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header16.xml" ContentType="application/vnd.openxmlformats-officedocument.wordprocessingml.header+xml"/>
  <Default Extension="rels" ContentType="application/vnd.openxmlformats-package.relationships+xml"/>
  <Override PartName="/word/header14.xml" ContentType="application/vnd.openxmlformats-officedocument.wordprocessingml.head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header17.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rsidRPr="001A0303" w14:paraId="40612564" w14:textId="77777777" w:rsidTr="00AB5070">
        <w:trPr>
          <w:trHeight w:val="720"/>
        </w:trPr>
        <w:tc>
          <w:tcPr>
            <w:tcW w:w="5490" w:type="dxa"/>
            <w:gridSpan w:val="2"/>
            <w:tcBorders>
              <w:bottom w:val="single" w:sz="18" w:space="0" w:color="auto"/>
            </w:tcBorders>
          </w:tcPr>
          <w:p w14:paraId="0D799DB6" w14:textId="77777777" w:rsidR="00AB5070" w:rsidRPr="00F70AAA" w:rsidRDefault="00AB5070" w:rsidP="00AB507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F70AAA">
              <w:rPr>
                <w:rFonts w:ascii="Univers" w:hAnsi="Univers"/>
                <w:b/>
                <w:sz w:val="28"/>
                <w:szCs w:val="28"/>
                <w:lang w:val="fr-CA"/>
              </w:rPr>
              <w:t>NATIONS</w:t>
            </w:r>
          </w:p>
          <w:p w14:paraId="0F3BCF96" w14:textId="0DA41421" w:rsidR="00C15867" w:rsidRPr="001A0303" w:rsidRDefault="00AB5070" w:rsidP="00AB507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F70AAA">
              <w:rPr>
                <w:rFonts w:ascii="Univers" w:hAnsi="Univers"/>
                <w:b/>
                <w:sz w:val="28"/>
                <w:szCs w:val="28"/>
                <w:lang w:val="fr-CA"/>
              </w:rPr>
              <w:t>UNIES</w:t>
            </w:r>
          </w:p>
        </w:tc>
        <w:tc>
          <w:tcPr>
            <w:tcW w:w="4590" w:type="dxa"/>
            <w:tcBorders>
              <w:bottom w:val="single" w:sz="18" w:space="0" w:color="auto"/>
            </w:tcBorders>
          </w:tcPr>
          <w:p w14:paraId="04976DEF" w14:textId="77777777" w:rsidR="00C15867" w:rsidRPr="001A0303" w:rsidRDefault="00C15867" w:rsidP="001E39EE">
            <w:pPr>
              <w:jc w:val="right"/>
              <w:rPr>
                <w:sz w:val="52"/>
                <w:szCs w:val="52"/>
              </w:rPr>
            </w:pPr>
            <w:r w:rsidRPr="001A0303">
              <w:rPr>
                <w:rFonts w:ascii="Univers Bold" w:hAnsi="Univers Bold"/>
                <w:b/>
                <w:sz w:val="72"/>
              </w:rPr>
              <w:t>EP</w:t>
            </w:r>
          </w:p>
        </w:tc>
      </w:tr>
      <w:tr w:rsidR="00C15867" w:rsidRPr="001A0303" w14:paraId="09A42749" w14:textId="77777777" w:rsidTr="00AB5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9E456AD" w14:textId="77777777" w:rsidR="00C15867" w:rsidRPr="001A0303" w:rsidRDefault="00E52838" w:rsidP="001E39EE">
            <w:pPr>
              <w:spacing w:before="120"/>
            </w:pPr>
            <w:r w:rsidRPr="001A0303">
              <w:rPr>
                <w:noProof/>
                <w:lang w:eastAsia="en-CA"/>
              </w:rPr>
              <mc:AlternateContent>
                <mc:Choice Requires="wpg">
                  <w:drawing>
                    <wp:anchor distT="0" distB="0" distL="114300" distR="114300" simplePos="0" relativeHeight="251660288" behindDoc="0" locked="0" layoutInCell="1" allowOverlap="1" wp14:anchorId="32E09285" wp14:editId="6C61BFCC">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10FED7"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28406487" w14:textId="77777777" w:rsidR="003D423A" w:rsidRDefault="003D423A" w:rsidP="00AB507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03715805" w14:textId="00967CDA" w:rsidR="00AB5070" w:rsidRPr="00F70AAA" w:rsidRDefault="00AB5070" w:rsidP="00AB507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sidRPr="00F70AAA">
              <w:rPr>
                <w:rFonts w:ascii="Univers" w:hAnsi="Univers"/>
                <w:b/>
                <w:sz w:val="32"/>
                <w:lang w:val="fr-CA"/>
              </w:rPr>
              <w:t>Programme des Nations Unies pour l’environnement</w:t>
            </w:r>
          </w:p>
          <w:p w14:paraId="4B42DB2F" w14:textId="77777777" w:rsidR="00C15867" w:rsidRPr="00AB5070" w:rsidRDefault="00C15867" w:rsidP="001E39EE">
            <w:pPr>
              <w:spacing w:before="720"/>
              <w:ind w:left="158"/>
              <w:rPr>
                <w:lang w:val="fr-CA"/>
              </w:rPr>
            </w:pPr>
          </w:p>
        </w:tc>
        <w:tc>
          <w:tcPr>
            <w:tcW w:w="4590" w:type="dxa"/>
            <w:tcBorders>
              <w:top w:val="nil"/>
              <w:left w:val="nil"/>
              <w:bottom w:val="single" w:sz="36" w:space="0" w:color="auto"/>
              <w:right w:val="nil"/>
            </w:tcBorders>
          </w:tcPr>
          <w:p w14:paraId="2E98ECB3" w14:textId="77777777" w:rsidR="003D423A" w:rsidRDefault="003D423A" w:rsidP="001E39EE">
            <w:pPr>
              <w:rPr>
                <w:lang w:val="fr-CA"/>
              </w:rPr>
            </w:pPr>
          </w:p>
          <w:p w14:paraId="5EDF8572" w14:textId="35FC6419" w:rsidR="00C15867" w:rsidRPr="00715329" w:rsidRDefault="00C15867" w:rsidP="001E39EE">
            <w:pPr>
              <w:rPr>
                <w:lang w:val="fr-CA"/>
              </w:rPr>
            </w:pPr>
            <w:proofErr w:type="spellStart"/>
            <w:r w:rsidRPr="00715329">
              <w:rPr>
                <w:lang w:val="fr-CA"/>
              </w:rPr>
              <w:t>Distr</w:t>
            </w:r>
            <w:proofErr w:type="spellEnd"/>
            <w:r w:rsidRPr="00715329">
              <w:rPr>
                <w:lang w:val="fr-CA"/>
              </w:rPr>
              <w:t>.</w:t>
            </w:r>
          </w:p>
          <w:p w14:paraId="400F4B6B" w14:textId="59022DDE" w:rsidR="00923540" w:rsidRPr="00715329" w:rsidRDefault="00CF7CBC" w:rsidP="001E39EE">
            <w:pPr>
              <w:rPr>
                <w:lang w:val="fr-CA"/>
              </w:rPr>
            </w:pPr>
            <w:r w:rsidRPr="00715329">
              <w:rPr>
                <w:lang w:val="fr-CA"/>
              </w:rPr>
              <w:t>GÉNÉRALE</w:t>
            </w:r>
          </w:p>
          <w:p w14:paraId="25CD1C04" w14:textId="77777777" w:rsidR="00C15867" w:rsidRPr="00715329" w:rsidRDefault="00C15867" w:rsidP="001E39EE">
            <w:pPr>
              <w:rPr>
                <w:lang w:val="fr-CA"/>
              </w:rPr>
            </w:pPr>
          </w:p>
          <w:p w14:paraId="6DA9F314" w14:textId="2DE38B98" w:rsidR="00C15867" w:rsidRPr="00715329" w:rsidRDefault="00AB5070" w:rsidP="001E39EE">
            <w:pPr>
              <w:rPr>
                <w:lang w:val="fr-CA"/>
              </w:rPr>
            </w:pPr>
            <w:r>
              <w:fldChar w:fldCharType="begin"/>
            </w:r>
            <w:r w:rsidRPr="00715329">
              <w:rPr>
                <w:lang w:val="fr-CA"/>
              </w:rPr>
              <w:instrText xml:space="preserve"> DOCPROPERTY "Document number"  \* MERGEFORMAT </w:instrText>
            </w:r>
            <w:r>
              <w:fldChar w:fldCharType="separate"/>
            </w:r>
            <w:r w:rsidR="00D303D6">
              <w:rPr>
                <w:lang w:val="fr-CA"/>
              </w:rPr>
              <w:t>UNEP/</w:t>
            </w:r>
            <w:proofErr w:type="spellStart"/>
            <w:r w:rsidR="00D303D6">
              <w:rPr>
                <w:lang w:val="fr-CA"/>
              </w:rPr>
              <w:t>OzL.Pro</w:t>
            </w:r>
            <w:proofErr w:type="spellEnd"/>
            <w:r w:rsidR="00D303D6">
              <w:rPr>
                <w:lang w:val="fr-CA"/>
              </w:rPr>
              <w:t>/</w:t>
            </w:r>
            <w:proofErr w:type="spellStart"/>
            <w:r w:rsidR="00D303D6">
              <w:rPr>
                <w:lang w:val="fr-CA"/>
              </w:rPr>
              <w:t>ExCom</w:t>
            </w:r>
            <w:proofErr w:type="spellEnd"/>
            <w:r w:rsidR="00D303D6">
              <w:rPr>
                <w:lang w:val="fr-CA"/>
              </w:rPr>
              <w:t>/88/12</w:t>
            </w:r>
            <w:r>
              <w:fldChar w:fldCharType="end"/>
            </w:r>
          </w:p>
          <w:p w14:paraId="2BDF44BF" w14:textId="3179A4A0" w:rsidR="00C15867" w:rsidRPr="003D423A" w:rsidRDefault="00BC2495" w:rsidP="001E39EE">
            <w:pPr>
              <w:rPr>
                <w:lang w:val="fr-CA"/>
              </w:rPr>
            </w:pPr>
            <w:r w:rsidRPr="001A0303">
              <w:fldChar w:fldCharType="begin"/>
            </w:r>
            <w:r w:rsidR="00851352" w:rsidRPr="003D423A">
              <w:rPr>
                <w:lang w:val="fr-CA"/>
              </w:rPr>
              <w:instrText xml:space="preserve"> DOCPROPERTY "Revision date" \@ "d MMMM YYYY"  \* MERGEFORMAT </w:instrText>
            </w:r>
            <w:r w:rsidRPr="001A0303">
              <w:fldChar w:fldCharType="separate"/>
            </w:r>
            <w:r w:rsidR="00372521" w:rsidRPr="003D423A">
              <w:rPr>
                <w:lang w:val="fr-CA"/>
              </w:rPr>
              <w:t xml:space="preserve">28 </w:t>
            </w:r>
            <w:r w:rsidR="00CF7CBC" w:rsidRPr="003D423A">
              <w:rPr>
                <w:lang w:val="fr-CA"/>
              </w:rPr>
              <w:t>octobre</w:t>
            </w:r>
            <w:r w:rsidR="00372521" w:rsidRPr="003D423A">
              <w:rPr>
                <w:lang w:val="fr-CA"/>
              </w:rPr>
              <w:t xml:space="preserve"> 2021</w:t>
            </w:r>
            <w:r w:rsidRPr="001A0303">
              <w:fldChar w:fldCharType="end"/>
            </w:r>
          </w:p>
          <w:p w14:paraId="2F5D1E3E" w14:textId="77777777" w:rsidR="00C15867" w:rsidRPr="003D423A" w:rsidRDefault="00C15867" w:rsidP="001E39EE">
            <w:pPr>
              <w:rPr>
                <w:caps/>
                <w:lang w:val="fr-CA"/>
              </w:rPr>
            </w:pPr>
          </w:p>
          <w:p w14:paraId="6E190754" w14:textId="77777777" w:rsidR="00CF7CBC" w:rsidRPr="003D423A" w:rsidRDefault="00CF7CBC" w:rsidP="001E39EE">
            <w:pPr>
              <w:rPr>
                <w:lang w:val="fr-CA"/>
              </w:rPr>
            </w:pPr>
            <w:r w:rsidRPr="003D423A">
              <w:rPr>
                <w:lang w:val="fr-CA"/>
              </w:rPr>
              <w:t>FRANÇAIS</w:t>
            </w:r>
          </w:p>
          <w:p w14:paraId="225DF59C" w14:textId="6A8C9634" w:rsidR="00C15867" w:rsidRPr="001A0303" w:rsidRDefault="00C15867" w:rsidP="00CF7CBC">
            <w:r w:rsidRPr="001A0303">
              <w:t>ORIGINAL</w:t>
            </w:r>
            <w:r w:rsidR="00CF7CBC">
              <w:t xml:space="preserve"> </w:t>
            </w:r>
            <w:r w:rsidRPr="001A0303">
              <w:t xml:space="preserve">: </w:t>
            </w:r>
            <w:r w:rsidR="00CF7CBC">
              <w:t>ANGLAIS</w:t>
            </w:r>
          </w:p>
        </w:tc>
      </w:tr>
    </w:tbl>
    <w:p w14:paraId="3C2AD48C" w14:textId="513B07B8" w:rsidR="00AB5070" w:rsidRPr="0000212D" w:rsidRDefault="00AB5070" w:rsidP="00AB5070">
      <w:pPr>
        <w:jc w:val="left"/>
        <w:rPr>
          <w:lang w:val="fr-CA"/>
        </w:rPr>
      </w:pPr>
      <w:r w:rsidRPr="0000212D">
        <w:rPr>
          <w:lang w:val="fr-CA"/>
        </w:rPr>
        <w:t xml:space="preserve">COMITÉ EXÉCUTIF </w:t>
      </w:r>
      <w:r w:rsidRPr="0000212D">
        <w:rPr>
          <w:lang w:val="fr-CA"/>
        </w:rPr>
        <w:br/>
        <w:t xml:space="preserve">  DU FONDS MULTILATÉRAL AUX FINS </w:t>
      </w:r>
      <w:r w:rsidRPr="0000212D">
        <w:rPr>
          <w:lang w:val="fr-CA"/>
        </w:rPr>
        <w:br/>
        <w:t xml:space="preserve">  D’APPLICATION DU PROTOCOLE DE MONTRÉAL</w:t>
      </w:r>
      <w:r w:rsidRPr="0000212D">
        <w:rPr>
          <w:lang w:val="fr-CA"/>
        </w:rPr>
        <w:br/>
        <w:t>Quatre-vingt-huitième réunion</w:t>
      </w:r>
    </w:p>
    <w:p w14:paraId="4F304F40" w14:textId="3A3C894B" w:rsidR="00066CE8" w:rsidRPr="00AB5070" w:rsidRDefault="00AB5070" w:rsidP="00AB5070">
      <w:pPr>
        <w:suppressAutoHyphens/>
        <w:jc w:val="left"/>
        <w:rPr>
          <w:lang w:val="fr-CA"/>
        </w:rPr>
      </w:pPr>
      <w:r w:rsidRPr="0000212D">
        <w:rPr>
          <w:lang w:val="fr-CA"/>
        </w:rPr>
        <w:t>Montréal, 15-19 novembre 2021</w:t>
      </w:r>
      <w:r w:rsidRPr="0000212D">
        <w:rPr>
          <w:rStyle w:val="FootnoteReference"/>
          <w:lang w:val="fr-CA"/>
        </w:rPr>
        <w:footnoteReference w:id="1"/>
      </w:r>
    </w:p>
    <w:p w14:paraId="0B5D267E" w14:textId="04E14B9B" w:rsidR="00D631A9" w:rsidRDefault="00D631A9" w:rsidP="001E39EE">
      <w:pPr>
        <w:jc w:val="left"/>
        <w:rPr>
          <w:lang w:val="fr-CA"/>
        </w:rPr>
      </w:pPr>
    </w:p>
    <w:p w14:paraId="521E2943" w14:textId="77777777" w:rsidR="003D423A" w:rsidRPr="00715329" w:rsidRDefault="003D423A" w:rsidP="001E39EE">
      <w:pPr>
        <w:jc w:val="left"/>
        <w:rPr>
          <w:lang w:val="fr-CA"/>
        </w:rPr>
      </w:pPr>
    </w:p>
    <w:p w14:paraId="0F9A53E4" w14:textId="77777777" w:rsidR="00D631A9" w:rsidRPr="00715329" w:rsidRDefault="00D631A9" w:rsidP="001E39EE">
      <w:pPr>
        <w:jc w:val="left"/>
        <w:rPr>
          <w:lang w:val="fr-CA"/>
        </w:rPr>
      </w:pPr>
    </w:p>
    <w:p w14:paraId="0FAFEE8B" w14:textId="572E52B3" w:rsidR="00D631A9" w:rsidRDefault="00515A95" w:rsidP="001E39EE">
      <w:pPr>
        <w:pStyle w:val="Title1"/>
        <w:rPr>
          <w:caps w:val="0"/>
          <w:lang w:val="fr-CA"/>
        </w:rPr>
      </w:pPr>
      <w:r>
        <w:rPr>
          <w:caps w:val="0"/>
          <w:lang w:val="fr-CA"/>
        </w:rPr>
        <w:t>R</w:t>
      </w:r>
      <w:bookmarkStart w:id="0" w:name="_GoBack"/>
      <w:bookmarkEnd w:id="0"/>
      <w:r w:rsidR="007E124F">
        <w:rPr>
          <w:caps w:val="0"/>
          <w:lang w:val="fr-CA"/>
        </w:rPr>
        <w:t>APPORT P</w:t>
      </w:r>
      <w:r w:rsidR="00344D11">
        <w:rPr>
          <w:caps w:val="0"/>
          <w:lang w:val="fr-CA"/>
        </w:rPr>
        <w:t>ÉRIODIQUE GLOBAL AU 31 DÉCEMBRE</w:t>
      </w:r>
      <w:r w:rsidR="00D631A9" w:rsidRPr="007E124F">
        <w:rPr>
          <w:caps w:val="0"/>
          <w:lang w:val="fr-CA"/>
        </w:rPr>
        <w:t xml:space="preserve"> 20</w:t>
      </w:r>
      <w:r w:rsidR="00A53300" w:rsidRPr="007E124F">
        <w:rPr>
          <w:caps w:val="0"/>
          <w:lang w:val="fr-CA"/>
        </w:rPr>
        <w:t>20</w:t>
      </w:r>
    </w:p>
    <w:p w14:paraId="6811907F" w14:textId="77777777" w:rsidR="003D423A" w:rsidRPr="007E124F" w:rsidRDefault="003D423A" w:rsidP="001E39EE">
      <w:pPr>
        <w:pStyle w:val="Title1"/>
        <w:rPr>
          <w:caps w:val="0"/>
          <w:lang w:val="fr-CA"/>
        </w:rPr>
      </w:pPr>
    </w:p>
    <w:p w14:paraId="6B5EF248" w14:textId="77777777" w:rsidR="00D631A9" w:rsidRPr="007E124F" w:rsidRDefault="00D631A9" w:rsidP="001E39EE">
      <w:pPr>
        <w:pStyle w:val="Title1"/>
        <w:rPr>
          <w:caps w:val="0"/>
          <w:lang w:val="fr-CA"/>
        </w:rPr>
      </w:pPr>
    </w:p>
    <w:p w14:paraId="34819F4E" w14:textId="25500EDF" w:rsidR="00D631A9" w:rsidRPr="007E124F" w:rsidRDefault="007E124F" w:rsidP="001E39EE">
      <w:pPr>
        <w:pStyle w:val="Heading1"/>
        <w:rPr>
          <w:lang w:val="fr-CA"/>
        </w:rPr>
      </w:pPr>
      <w:r w:rsidRPr="004212F8">
        <w:rPr>
          <w:lang w:val="fr-CA"/>
        </w:rPr>
        <w:t xml:space="preserve">Le rapport périodique global résume les </w:t>
      </w:r>
      <w:r>
        <w:rPr>
          <w:lang w:val="fr-CA"/>
        </w:rPr>
        <w:t xml:space="preserve">progrès </w:t>
      </w:r>
      <w:r w:rsidRPr="004212F8">
        <w:rPr>
          <w:lang w:val="fr-CA"/>
        </w:rPr>
        <w:t>et les données financi</w:t>
      </w:r>
      <w:r>
        <w:rPr>
          <w:lang w:val="fr-CA"/>
        </w:rPr>
        <w:t>ères des agences bilatérales et d’exécution</w:t>
      </w:r>
      <w:r w:rsidRPr="00B93886">
        <w:rPr>
          <w:vertAlign w:val="superscript"/>
          <w:lang w:val="fr-CA"/>
        </w:rPr>
        <w:footnoteReference w:id="2"/>
      </w:r>
      <w:r w:rsidRPr="004212F8">
        <w:rPr>
          <w:lang w:val="fr-CA"/>
        </w:rPr>
        <w:t xml:space="preserve"> </w:t>
      </w:r>
      <w:r>
        <w:rPr>
          <w:lang w:val="fr-CA"/>
        </w:rPr>
        <w:t>au 31 décembre 20</w:t>
      </w:r>
      <w:r w:rsidR="00344D11">
        <w:rPr>
          <w:lang w:val="fr-CA"/>
        </w:rPr>
        <w:t>20</w:t>
      </w:r>
      <w:r>
        <w:rPr>
          <w:lang w:val="fr-CA"/>
        </w:rPr>
        <w:t>, comme communiqués dans leurs rapports périodiques respectifs</w:t>
      </w:r>
      <w:r w:rsidRPr="00B93886">
        <w:rPr>
          <w:rStyle w:val="FootnoteReference"/>
          <w:lang w:val="fr-CA"/>
        </w:rPr>
        <w:footnoteReference w:id="3"/>
      </w:r>
      <w:r w:rsidRPr="004212F8">
        <w:rPr>
          <w:lang w:val="fr-CA"/>
        </w:rPr>
        <w:t xml:space="preserve"> </w:t>
      </w:r>
      <w:r>
        <w:rPr>
          <w:lang w:val="fr-CA"/>
        </w:rPr>
        <w:t>au Secrétariat</w:t>
      </w:r>
      <w:r w:rsidR="00D631A9" w:rsidRPr="007E124F">
        <w:rPr>
          <w:lang w:val="fr-CA"/>
        </w:rPr>
        <w:t>.</w:t>
      </w:r>
    </w:p>
    <w:p w14:paraId="1A23CC61" w14:textId="283FBDD0" w:rsidR="00E2698A" w:rsidRPr="006A065D" w:rsidRDefault="007E124F" w:rsidP="001E39EE">
      <w:pPr>
        <w:pStyle w:val="Heading1"/>
        <w:rPr>
          <w:lang w:val="fr-CA"/>
        </w:rPr>
      </w:pPr>
      <w:r>
        <w:rPr>
          <w:lang w:val="fr-CA"/>
        </w:rPr>
        <w:t xml:space="preserve">Le rapport périodique global et les rapports périodiques des agences bilatérales et d’exécution portent sur toutes les matières réglementées au titre du Protocole de Montréal. Compte tenu que les activités et projets sur les HFC ont été financés à partir des contributions régulières au Fonds multilatéral, ou au moyen des contribution supplémentaires volontaires de 17 pays non visés à l’article 5 souhaitant offrir un soutien pour le démarrage rapide de la mise en œuvre </w:t>
      </w:r>
      <w:r w:rsidR="00344D11">
        <w:rPr>
          <w:lang w:val="fr-CA"/>
        </w:rPr>
        <w:t>de l’Amendement</w:t>
      </w:r>
      <w:r>
        <w:rPr>
          <w:lang w:val="fr-CA"/>
        </w:rPr>
        <w:t xml:space="preserve"> de Kigali,</w:t>
      </w:r>
      <w:r w:rsidRPr="00B93886">
        <w:rPr>
          <w:rStyle w:val="FootnoteReference"/>
          <w:lang w:val="fr-CA"/>
        </w:rPr>
        <w:footnoteReference w:id="4"/>
      </w:r>
      <w:r w:rsidRPr="00B93886">
        <w:rPr>
          <w:lang w:val="fr-CA"/>
        </w:rPr>
        <w:t xml:space="preserve"> </w:t>
      </w:r>
      <w:r>
        <w:rPr>
          <w:lang w:val="fr-CA"/>
        </w:rPr>
        <w:t xml:space="preserve">les informations portant sur ces projets sont présentées séparément, selon la source de financement. </w:t>
      </w:r>
      <w:r w:rsidRPr="007E124F">
        <w:rPr>
          <w:lang w:val="fr-CA"/>
        </w:rPr>
        <w:t>L’analyse proposée dans le présent rapport présente les données sur</w:t>
      </w:r>
      <w:r>
        <w:rPr>
          <w:lang w:val="fr-CA"/>
        </w:rPr>
        <w:t xml:space="preserve"> toutes les substances réglementées en tonnes PAO, sauf pour les HFC, qui sont présentées en tonnes d’éq</w:t>
      </w:r>
      <w:r w:rsidR="006A065D">
        <w:rPr>
          <w:lang w:val="fr-CA"/>
        </w:rPr>
        <w:t>-</w:t>
      </w:r>
      <w:r w:rsidRPr="006A065D">
        <w:rPr>
          <w:lang w:val="fr-CA"/>
        </w:rPr>
        <w:t>CO</w:t>
      </w:r>
      <w:r w:rsidRPr="006A065D">
        <w:rPr>
          <w:vertAlign w:val="subscript"/>
          <w:lang w:val="fr-CA"/>
        </w:rPr>
        <w:t>2</w:t>
      </w:r>
      <w:r w:rsidR="00E2698A" w:rsidRPr="006A065D">
        <w:rPr>
          <w:lang w:val="fr-CA"/>
        </w:rPr>
        <w:t>.</w:t>
      </w:r>
      <w:r w:rsidR="00E2698A" w:rsidRPr="007E124F">
        <w:rPr>
          <w:rStyle w:val="FootnoteReference"/>
          <w:lang w:val="fr-CA"/>
        </w:rPr>
        <w:footnoteReference w:id="5"/>
      </w:r>
      <w:r w:rsidR="00E2698A" w:rsidRPr="006A065D">
        <w:rPr>
          <w:lang w:val="fr-CA"/>
        </w:rPr>
        <w:t xml:space="preserve"> </w:t>
      </w:r>
    </w:p>
    <w:p w14:paraId="23329993" w14:textId="3AEABE4D" w:rsidR="00D631A9" w:rsidRPr="00F602DC" w:rsidRDefault="006A065D" w:rsidP="001E39EE">
      <w:pPr>
        <w:rPr>
          <w:b/>
          <w:lang w:val="fr-CA"/>
        </w:rPr>
      </w:pPr>
      <w:r w:rsidRPr="00F602DC">
        <w:rPr>
          <w:b/>
          <w:lang w:val="fr-CA"/>
        </w:rPr>
        <w:t>Processus d’analyse par le Secrétariat</w:t>
      </w:r>
    </w:p>
    <w:p w14:paraId="673A6C59" w14:textId="77777777" w:rsidR="00D631A9" w:rsidRPr="00F602DC" w:rsidRDefault="00D631A9" w:rsidP="001E39EE">
      <w:pPr>
        <w:rPr>
          <w:lang w:val="fr-CA"/>
        </w:rPr>
      </w:pPr>
    </w:p>
    <w:p w14:paraId="475B8B44" w14:textId="476A6201" w:rsidR="00D631A9" w:rsidRPr="007E124F" w:rsidRDefault="00F602DC" w:rsidP="001E39EE">
      <w:pPr>
        <w:pStyle w:val="Heading1"/>
        <w:rPr>
          <w:lang w:val="fr-CA"/>
        </w:rPr>
      </w:pPr>
      <w:r w:rsidRPr="001F1FFA">
        <w:rPr>
          <w:lang w:val="fr-CA"/>
        </w:rPr>
        <w:t xml:space="preserve">Le Secrétariat a examiné </w:t>
      </w:r>
      <w:r>
        <w:rPr>
          <w:lang w:val="fr-CA"/>
        </w:rPr>
        <w:t xml:space="preserve">individuellement </w:t>
      </w:r>
      <w:r w:rsidRPr="001F1FFA">
        <w:rPr>
          <w:lang w:val="fr-CA"/>
        </w:rPr>
        <w:t xml:space="preserve">tous </w:t>
      </w:r>
      <w:r>
        <w:rPr>
          <w:lang w:val="fr-CA"/>
        </w:rPr>
        <w:t>les rapports périodiques annuels proposés par les agences bilatérales et d’exécution. L’analyse a été effectuée en fonction des étapes déterminées pour les projets d’investissement et ne portant pas sur des investissements, notamment la signature des accords; la date de d’émission du premier décaissement; l’état de l’achat et de l’installation de l’équipement; l’état des services offerts, y compris la formation des techniciens en réfrigération et des douaniers; le niveau de décaissement des sommes approuvées; l’achèvement opérationnel et financier du projet; et le retour des soldes</w:t>
      </w:r>
      <w:r w:rsidR="00D631A9" w:rsidRPr="007E124F">
        <w:rPr>
          <w:lang w:val="fr-CA"/>
        </w:rPr>
        <w:t xml:space="preserve">. </w:t>
      </w:r>
    </w:p>
    <w:p w14:paraId="1DFA8FFD" w14:textId="5799329C" w:rsidR="00D631A9" w:rsidRPr="007E124F" w:rsidRDefault="00545ED9" w:rsidP="001E39EE">
      <w:pPr>
        <w:pStyle w:val="Heading1"/>
        <w:rPr>
          <w:lang w:val="fr-CA"/>
        </w:rPr>
      </w:pPr>
      <w:r>
        <w:rPr>
          <w:lang w:val="fr-CA"/>
        </w:rPr>
        <w:t>Des problèmes possibles ont été soulevés pendant l’examen des projets, notamment la non-signature des accords; l’absence d’un administrateur du Bureau national de l’ozone; l’absence de rapports périodiques financiers; les retards dans le processus d’achat; l’absence de technologies de remplacement sur les marchés locaux; et les questions de sécurité dans les pays. Tous les projets pour lesquels des questions demeurent en instance présentaient un faible niveau de décaissement des fonds et/ou faisaient l’objet d’une demande de report de la date d’achèvement</w:t>
      </w:r>
      <w:r w:rsidR="00D631A9" w:rsidRPr="007E124F">
        <w:rPr>
          <w:lang w:val="fr-CA"/>
        </w:rPr>
        <w:t xml:space="preserve">. </w:t>
      </w:r>
    </w:p>
    <w:p w14:paraId="3072A00C" w14:textId="7E706F9C" w:rsidR="00D631A9" w:rsidRPr="007E124F" w:rsidRDefault="00545ED9" w:rsidP="001E39EE">
      <w:pPr>
        <w:pStyle w:val="Heading1"/>
        <w:rPr>
          <w:lang w:val="fr-CA"/>
        </w:rPr>
      </w:pPr>
      <w:r w:rsidRPr="00D0249C">
        <w:rPr>
          <w:lang w:val="fr-CA"/>
        </w:rPr>
        <w:t>Le Secrétariat s’est entretenu à plusieurs reprises avec le</w:t>
      </w:r>
      <w:r>
        <w:rPr>
          <w:lang w:val="fr-CA"/>
        </w:rPr>
        <w:t>s agenc</w:t>
      </w:r>
      <w:r w:rsidRPr="00D0249C">
        <w:rPr>
          <w:lang w:val="fr-CA"/>
        </w:rPr>
        <w:t>es bilatérales et d’exécution con</w:t>
      </w:r>
      <w:r>
        <w:rPr>
          <w:lang w:val="fr-CA"/>
        </w:rPr>
        <w:t>cernant les projets et activités pour lesquels des questions demeurent en instance et plusieurs questions ont été réglées de façon satisfaisante. En ce qui concerne les projets pour lesquels les questions n’ont pas pu être réglées, les recommandations proposées pour examen par le Comité exécutif ont été abordées et convenues avec les agences bilatérales et d’exécution</w:t>
      </w:r>
      <w:r w:rsidR="00D631A9" w:rsidRPr="007E124F">
        <w:rPr>
          <w:lang w:val="fr-CA"/>
        </w:rPr>
        <w:t xml:space="preserve">. </w:t>
      </w:r>
      <w:r w:rsidRPr="00545ED9">
        <w:rPr>
          <w:lang w:val="fr-CA"/>
        </w:rPr>
        <w:t xml:space="preserve">Les projets et activités pour lesquels un report de la date d’achèvement a été demandé sont </w:t>
      </w:r>
      <w:r>
        <w:rPr>
          <w:lang w:val="fr-CA"/>
        </w:rPr>
        <w:t>examiné</w:t>
      </w:r>
      <w:r w:rsidRPr="00545ED9">
        <w:rPr>
          <w:lang w:val="fr-CA"/>
        </w:rPr>
        <w:t>s dans les documents principaux, tandis que les projets</w:t>
      </w:r>
      <w:r w:rsidR="00D631A9" w:rsidRPr="007E124F">
        <w:rPr>
          <w:rStyle w:val="FootnoteReference"/>
          <w:lang w:val="fr-CA"/>
        </w:rPr>
        <w:footnoteReference w:id="6"/>
      </w:r>
      <w:r w:rsidR="00D631A9" w:rsidRPr="00545ED9">
        <w:rPr>
          <w:lang w:val="fr-CA"/>
        </w:rPr>
        <w:t xml:space="preserve"> </w:t>
      </w:r>
      <w:r>
        <w:rPr>
          <w:lang w:val="fr-CA"/>
        </w:rPr>
        <w:t>p</w:t>
      </w:r>
      <w:r w:rsidR="00024C8F">
        <w:rPr>
          <w:lang w:val="fr-CA"/>
        </w:rPr>
        <w:t>our lesquel</w:t>
      </w:r>
      <w:r>
        <w:rPr>
          <w:lang w:val="fr-CA"/>
        </w:rPr>
        <w:t>s des questions demeurent en instance sont joints à l’annexe I aux différents rapports des agences bilatérales et d’exécution. Les recommandations seront abordées au cours des échanges sur les rapports périodiques des différentes agences à la 88</w:t>
      </w:r>
      <w:r w:rsidRPr="00545ED9">
        <w:rPr>
          <w:vertAlign w:val="superscript"/>
          <w:lang w:val="fr-CA"/>
        </w:rPr>
        <w:t>e</w:t>
      </w:r>
      <w:r>
        <w:rPr>
          <w:lang w:val="fr-CA"/>
        </w:rPr>
        <w:t xml:space="preserve"> réunion</w:t>
      </w:r>
      <w:r w:rsidR="00D631A9" w:rsidRPr="007E124F">
        <w:rPr>
          <w:lang w:val="fr-CA"/>
        </w:rPr>
        <w:t>.</w:t>
      </w:r>
    </w:p>
    <w:p w14:paraId="169B01D9" w14:textId="7C720791" w:rsidR="00D631A9" w:rsidRPr="007E124F" w:rsidRDefault="001760C7" w:rsidP="001E39EE">
      <w:pPr>
        <w:pStyle w:val="Heading1"/>
        <w:keepNext/>
        <w:keepLines/>
        <w:widowControl w:val="0"/>
        <w:rPr>
          <w:u w:val="single"/>
          <w:lang w:val="fr-CA"/>
        </w:rPr>
      </w:pPr>
      <w:r>
        <w:rPr>
          <w:lang w:val="fr-CA"/>
        </w:rPr>
        <w:t>Conformément à la décision 84/45 c), l</w:t>
      </w:r>
      <w:r w:rsidR="00024C8F">
        <w:rPr>
          <w:lang w:val="fr-CA"/>
        </w:rPr>
        <w:t xml:space="preserve">e Secrétariat a recensé tous les éléments </w:t>
      </w:r>
      <w:r w:rsidR="005B6DEE">
        <w:rPr>
          <w:lang w:val="fr-CA"/>
        </w:rPr>
        <w:t>des projets pluriannuels dont la</w:t>
      </w:r>
      <w:r w:rsidR="00024C8F">
        <w:rPr>
          <w:lang w:val="fr-CA"/>
        </w:rPr>
        <w:t xml:space="preserve"> mise en œuvre </w:t>
      </w:r>
      <w:r>
        <w:rPr>
          <w:lang w:val="fr-CA"/>
        </w:rPr>
        <w:t>accuse du</w:t>
      </w:r>
      <w:r w:rsidR="00024C8F">
        <w:rPr>
          <w:lang w:val="fr-CA"/>
        </w:rPr>
        <w:t xml:space="preserve"> retard et en a informé les agences bilatérales et d’</w:t>
      </w:r>
      <w:r>
        <w:rPr>
          <w:lang w:val="fr-CA"/>
        </w:rPr>
        <w:t>exécution concernées</w:t>
      </w:r>
      <w:r w:rsidR="00024C8F">
        <w:rPr>
          <w:lang w:val="fr-CA"/>
        </w:rPr>
        <w:t xml:space="preserve">. </w:t>
      </w:r>
      <w:r>
        <w:rPr>
          <w:lang w:val="fr-CA"/>
        </w:rPr>
        <w:t>Les recommandations du Secrétariat dont indiquées à l’annexe I des différents rapports périodiques des agences bilatérales et d’exécution</w:t>
      </w:r>
      <w:r w:rsidR="00D631A9" w:rsidRPr="007E124F">
        <w:rPr>
          <w:lang w:val="fr-CA"/>
        </w:rPr>
        <w:t>.</w:t>
      </w:r>
    </w:p>
    <w:p w14:paraId="53A2AE55" w14:textId="3B8AEA54" w:rsidR="00D631A9" w:rsidRPr="007E124F" w:rsidRDefault="001760C7" w:rsidP="001E39EE">
      <w:pPr>
        <w:pStyle w:val="Heading1"/>
        <w:keepNext/>
        <w:numPr>
          <w:ilvl w:val="0"/>
          <w:numId w:val="0"/>
        </w:numPr>
        <w:rPr>
          <w:u w:val="single"/>
          <w:lang w:val="fr-CA"/>
        </w:rPr>
      </w:pPr>
      <w:r>
        <w:rPr>
          <w:u w:val="single"/>
          <w:lang w:val="fr-CA"/>
        </w:rPr>
        <w:t>Portée du document</w:t>
      </w:r>
    </w:p>
    <w:p w14:paraId="2306DE2E" w14:textId="3998991E" w:rsidR="00D631A9" w:rsidRPr="007E124F" w:rsidRDefault="001760C7" w:rsidP="001E39EE">
      <w:pPr>
        <w:pStyle w:val="Heading1"/>
        <w:rPr>
          <w:lang w:val="fr-CA"/>
        </w:rPr>
      </w:pPr>
      <w:r>
        <w:rPr>
          <w:lang w:val="fr-CA"/>
        </w:rPr>
        <w:t xml:space="preserve">Le présent document comprend les parties suivantes </w:t>
      </w:r>
      <w:r w:rsidR="00D631A9" w:rsidRPr="007E124F">
        <w:rPr>
          <w:lang w:val="fr-CA"/>
        </w:rPr>
        <w:t>:</w:t>
      </w:r>
    </w:p>
    <w:p w14:paraId="59864262" w14:textId="7AC487F1" w:rsidR="00D631A9" w:rsidRPr="007E124F" w:rsidRDefault="00D631A9" w:rsidP="001E39EE">
      <w:pPr>
        <w:pStyle w:val="Heading2"/>
        <w:numPr>
          <w:ilvl w:val="0"/>
          <w:numId w:val="0"/>
        </w:numPr>
        <w:adjustRightInd w:val="0"/>
        <w:ind w:left="2160" w:hanging="1440"/>
        <w:textAlignment w:val="baseline"/>
        <w:rPr>
          <w:lang w:val="fr-CA"/>
        </w:rPr>
      </w:pPr>
      <w:r w:rsidRPr="007E124F">
        <w:rPr>
          <w:lang w:val="fr-CA"/>
        </w:rPr>
        <w:t>Part</w:t>
      </w:r>
      <w:r w:rsidR="001760C7">
        <w:rPr>
          <w:lang w:val="fr-CA"/>
        </w:rPr>
        <w:t>ie</w:t>
      </w:r>
      <w:r w:rsidRPr="007E124F">
        <w:rPr>
          <w:lang w:val="fr-CA"/>
        </w:rPr>
        <w:t xml:space="preserve"> I</w:t>
      </w:r>
      <w:r w:rsidR="001760C7">
        <w:rPr>
          <w:lang w:val="fr-CA"/>
        </w:rPr>
        <w:t xml:space="preserve"> </w:t>
      </w:r>
      <w:r w:rsidRPr="007E124F">
        <w:rPr>
          <w:lang w:val="fr-CA"/>
        </w:rPr>
        <w:t>:</w:t>
      </w:r>
      <w:r w:rsidRPr="007E124F">
        <w:rPr>
          <w:lang w:val="fr-CA"/>
        </w:rPr>
        <w:tab/>
      </w:r>
      <w:r w:rsidR="001760C7">
        <w:rPr>
          <w:lang w:val="fr-CA"/>
        </w:rPr>
        <w:t>Projets approuvés au titre des contributions régulières au Fonds multilatéral. Elle propose un s</w:t>
      </w:r>
      <w:r w:rsidR="001760C7" w:rsidRPr="001175BE">
        <w:rPr>
          <w:lang w:val="fr-CA"/>
        </w:rPr>
        <w:t xml:space="preserve">ommaire des </w:t>
      </w:r>
      <w:r w:rsidR="001760C7">
        <w:rPr>
          <w:lang w:val="fr-CA"/>
        </w:rPr>
        <w:t>progrès</w:t>
      </w:r>
      <w:r w:rsidR="001760C7" w:rsidRPr="001175BE">
        <w:rPr>
          <w:lang w:val="fr-CA"/>
        </w:rPr>
        <w:t xml:space="preserve"> dans la mise en </w:t>
      </w:r>
      <w:r w:rsidR="001760C7">
        <w:rPr>
          <w:lang w:val="fr-CA"/>
        </w:rPr>
        <w:t xml:space="preserve">œuvre </w:t>
      </w:r>
      <w:r w:rsidR="004251CE">
        <w:rPr>
          <w:lang w:val="fr-CA"/>
        </w:rPr>
        <w:t>des projets en 2020</w:t>
      </w:r>
      <w:r w:rsidR="001760C7" w:rsidRPr="001175BE">
        <w:rPr>
          <w:lang w:val="fr-CA"/>
        </w:rPr>
        <w:t xml:space="preserve"> et cumulatifs depuis 1991 pour </w:t>
      </w:r>
      <w:r w:rsidR="001760C7">
        <w:rPr>
          <w:lang w:val="fr-CA"/>
        </w:rPr>
        <w:t>toutes</w:t>
      </w:r>
      <w:r w:rsidR="001760C7" w:rsidRPr="001175BE">
        <w:rPr>
          <w:lang w:val="fr-CA"/>
        </w:rPr>
        <w:t xml:space="preserve"> les substances visées par le Protocole de Montréal, y compri</w:t>
      </w:r>
      <w:r w:rsidR="001760C7">
        <w:rPr>
          <w:lang w:val="fr-CA"/>
        </w:rPr>
        <w:t>s les substances de l’annexe F (</w:t>
      </w:r>
      <w:r w:rsidR="001760C7" w:rsidRPr="001175BE">
        <w:rPr>
          <w:lang w:val="fr-CA"/>
        </w:rPr>
        <w:t>HFC); un examen de l’état de</w:t>
      </w:r>
      <w:r w:rsidR="001760C7">
        <w:rPr>
          <w:lang w:val="fr-CA"/>
        </w:rPr>
        <w:t xml:space="preserve"> la mise en œuvre de tous les projets en cours</w:t>
      </w:r>
      <w:r w:rsidR="001760C7" w:rsidRPr="001175BE">
        <w:rPr>
          <w:rStyle w:val="FootnoteReference"/>
          <w:lang w:val="fr-CA"/>
        </w:rPr>
        <w:footnoteReference w:id="7"/>
      </w:r>
      <w:r w:rsidR="001760C7" w:rsidRPr="001175BE">
        <w:rPr>
          <w:lang w:val="fr-CA"/>
        </w:rPr>
        <w:t xml:space="preserve"> </w:t>
      </w:r>
      <w:r w:rsidR="001760C7">
        <w:rPr>
          <w:lang w:val="fr-CA"/>
        </w:rPr>
        <w:t>par pays; et un recensement des projets dont la mise en œuvre accuse du retard et les conséquences possibles sur l’élimination des substances réglementées, ainsi que des projets ayant des questions en instance pour examen par le Comité exécutif</w:t>
      </w:r>
      <w:r w:rsidRPr="007E124F">
        <w:rPr>
          <w:lang w:val="fr-CA"/>
        </w:rPr>
        <w:t xml:space="preserve">. </w:t>
      </w:r>
    </w:p>
    <w:p w14:paraId="0EAD81DF" w14:textId="32B9F3F2" w:rsidR="00D631A9" w:rsidRPr="007E124F" w:rsidRDefault="00D631A9" w:rsidP="001E39EE">
      <w:pPr>
        <w:pStyle w:val="Heading2"/>
        <w:widowControl/>
        <w:numPr>
          <w:ilvl w:val="0"/>
          <w:numId w:val="0"/>
        </w:numPr>
        <w:adjustRightInd w:val="0"/>
        <w:ind w:left="2160" w:hanging="1440"/>
        <w:textAlignment w:val="baseline"/>
        <w:rPr>
          <w:lang w:val="fr-CA"/>
        </w:rPr>
      </w:pPr>
      <w:r w:rsidRPr="007E124F">
        <w:rPr>
          <w:lang w:val="fr-CA"/>
        </w:rPr>
        <w:lastRenderedPageBreak/>
        <w:t>Part</w:t>
      </w:r>
      <w:r w:rsidR="004251CE">
        <w:rPr>
          <w:lang w:val="fr-CA"/>
        </w:rPr>
        <w:t>ie</w:t>
      </w:r>
      <w:r w:rsidRPr="007E124F">
        <w:rPr>
          <w:lang w:val="fr-CA"/>
        </w:rPr>
        <w:t xml:space="preserve"> II</w:t>
      </w:r>
      <w:r w:rsidR="004251CE">
        <w:rPr>
          <w:lang w:val="fr-CA"/>
        </w:rPr>
        <w:t xml:space="preserve"> </w:t>
      </w:r>
      <w:r w:rsidRPr="007E124F">
        <w:rPr>
          <w:lang w:val="fr-CA"/>
        </w:rPr>
        <w:t>:</w:t>
      </w:r>
      <w:r w:rsidRPr="007E124F">
        <w:rPr>
          <w:lang w:val="fr-CA"/>
        </w:rPr>
        <w:tab/>
      </w:r>
      <w:r w:rsidR="004251CE">
        <w:rPr>
          <w:lang w:val="fr-CA"/>
        </w:rPr>
        <w:t>Projets approuvés au titre des contributions supplémentaires volontaires pour un soutien au démarrage rapide de la réduction progressive des HFC. Elle propose un sommaire de l’état de la mise en œuvre des projets de réduction progressive des HFC financés au titre des contributions volontaires</w:t>
      </w:r>
      <w:r w:rsidRPr="007E124F">
        <w:rPr>
          <w:lang w:val="fr-CA"/>
        </w:rPr>
        <w:t>.</w:t>
      </w:r>
    </w:p>
    <w:p w14:paraId="315BFA71" w14:textId="4B1923CC" w:rsidR="00D631A9" w:rsidRPr="007E124F" w:rsidRDefault="00030B67" w:rsidP="001E39EE">
      <w:pPr>
        <w:ind w:firstLine="720"/>
        <w:rPr>
          <w:lang w:val="fr-CA"/>
        </w:rPr>
      </w:pPr>
      <w:r>
        <w:rPr>
          <w:lang w:val="fr-CA"/>
        </w:rPr>
        <w:t>Recomma</w:t>
      </w:r>
      <w:r w:rsidR="00D631A9" w:rsidRPr="007E124F">
        <w:rPr>
          <w:lang w:val="fr-CA"/>
        </w:rPr>
        <w:t>ndation</w:t>
      </w:r>
    </w:p>
    <w:p w14:paraId="30A37DE5" w14:textId="77777777" w:rsidR="00D631A9" w:rsidRPr="007E124F" w:rsidRDefault="00D631A9" w:rsidP="001E39EE">
      <w:pPr>
        <w:rPr>
          <w:lang w:val="fr-CA"/>
        </w:rPr>
      </w:pPr>
    </w:p>
    <w:p w14:paraId="0B21808D" w14:textId="5109FD10" w:rsidR="00D631A9" w:rsidRPr="007E124F" w:rsidRDefault="00030B67" w:rsidP="001E39EE">
      <w:pPr>
        <w:pStyle w:val="Heading1"/>
        <w:widowControl w:val="0"/>
        <w:rPr>
          <w:lang w:val="fr-CA"/>
        </w:rPr>
      </w:pPr>
      <w:r>
        <w:rPr>
          <w:lang w:val="fr-CA"/>
        </w:rPr>
        <w:t xml:space="preserve">Le document contient également les annexes suivantes </w:t>
      </w:r>
      <w:r w:rsidR="00D631A9" w:rsidRPr="007E124F">
        <w:rPr>
          <w:lang w:val="fr-CA"/>
        </w:rPr>
        <w:t>:</w:t>
      </w:r>
    </w:p>
    <w:p w14:paraId="1F4D6A35" w14:textId="5F71FFF6" w:rsidR="00D631A9" w:rsidRPr="007E124F" w:rsidRDefault="00D631A9" w:rsidP="001E39EE">
      <w:pPr>
        <w:pStyle w:val="Heading1"/>
        <w:numPr>
          <w:ilvl w:val="0"/>
          <w:numId w:val="0"/>
        </w:numPr>
        <w:spacing w:after="0"/>
        <w:ind w:left="2160" w:hanging="1440"/>
        <w:rPr>
          <w:lang w:val="fr-CA"/>
        </w:rPr>
      </w:pPr>
      <w:r w:rsidRPr="007E124F">
        <w:rPr>
          <w:lang w:val="fr-CA"/>
        </w:rPr>
        <w:t>Annex</w:t>
      </w:r>
      <w:r w:rsidR="00030B67">
        <w:rPr>
          <w:lang w:val="fr-CA"/>
        </w:rPr>
        <w:t>e</w:t>
      </w:r>
      <w:r w:rsidRPr="007E124F">
        <w:rPr>
          <w:lang w:val="fr-CA"/>
        </w:rPr>
        <w:t xml:space="preserve"> I</w:t>
      </w:r>
      <w:r w:rsidRPr="007E124F">
        <w:rPr>
          <w:lang w:val="fr-CA"/>
        </w:rPr>
        <w:tab/>
      </w:r>
      <w:r w:rsidR="00030B67">
        <w:rPr>
          <w:lang w:val="fr-CA"/>
        </w:rPr>
        <w:t>Un aperçu des projets et activités en lien avec les HFC, qui propose un aperçu de tous les projets et activités relevant du Fonds multilatéral, indépendamment de leur source de financement, par pays, comprenant l’état de la ratification de l’Amendement de Kigali et l’état du programme d’octroi de permis pour les HFC</w:t>
      </w:r>
      <w:r w:rsidRPr="007E124F">
        <w:rPr>
          <w:lang w:val="fr-CA"/>
        </w:rPr>
        <w:t>.</w:t>
      </w:r>
    </w:p>
    <w:p w14:paraId="77F02394" w14:textId="77777777" w:rsidR="00D631A9" w:rsidRPr="007E124F" w:rsidRDefault="00D631A9" w:rsidP="001E39EE">
      <w:pPr>
        <w:pStyle w:val="Heading1"/>
        <w:numPr>
          <w:ilvl w:val="0"/>
          <w:numId w:val="0"/>
        </w:numPr>
        <w:spacing w:after="0"/>
        <w:ind w:firstLine="720"/>
        <w:rPr>
          <w:lang w:val="fr-CA"/>
        </w:rPr>
      </w:pPr>
    </w:p>
    <w:p w14:paraId="5291EB09" w14:textId="5259CA2C" w:rsidR="00D631A9" w:rsidRPr="007E124F" w:rsidRDefault="00D631A9" w:rsidP="001E39EE">
      <w:pPr>
        <w:pStyle w:val="Heading1"/>
        <w:numPr>
          <w:ilvl w:val="0"/>
          <w:numId w:val="0"/>
        </w:numPr>
        <w:spacing w:after="0"/>
        <w:ind w:left="2127" w:hanging="1418"/>
        <w:rPr>
          <w:lang w:val="fr-CA"/>
        </w:rPr>
      </w:pPr>
      <w:r w:rsidRPr="007E124F">
        <w:rPr>
          <w:lang w:val="fr-CA"/>
        </w:rPr>
        <w:t>Annex</w:t>
      </w:r>
      <w:r w:rsidR="00030B67">
        <w:rPr>
          <w:lang w:val="fr-CA"/>
        </w:rPr>
        <w:t>e</w:t>
      </w:r>
      <w:r w:rsidRPr="007E124F">
        <w:rPr>
          <w:lang w:val="fr-CA"/>
        </w:rPr>
        <w:t xml:space="preserve"> II</w:t>
      </w:r>
      <w:r w:rsidRPr="007E124F">
        <w:rPr>
          <w:lang w:val="fr-CA"/>
        </w:rPr>
        <w:tab/>
      </w:r>
      <w:r w:rsidR="00030B67">
        <w:rPr>
          <w:lang w:val="fr-CA"/>
        </w:rPr>
        <w:t>Une analyse du rapport périodique global, qui présente de l’information globale depuis la création du Fonds multilatéral jusqu’au 31 décembre 2020, en deux parties : la partie I, projets approuvés au titre des contributions régulières au Fonds multilatéral et la partie II, projets approuvés au titre des contributions supplémentaires volontaires en soutien au démarrage rapide de la réduction progressive des HFC</w:t>
      </w:r>
      <w:r w:rsidRPr="007E124F">
        <w:rPr>
          <w:lang w:val="fr-CA"/>
        </w:rPr>
        <w:t>.</w:t>
      </w:r>
    </w:p>
    <w:p w14:paraId="42F2A54A" w14:textId="77777777" w:rsidR="00D631A9" w:rsidRPr="007E124F" w:rsidRDefault="00D631A9" w:rsidP="001E39EE">
      <w:pPr>
        <w:rPr>
          <w:lang w:val="fr-CA"/>
        </w:rPr>
      </w:pPr>
    </w:p>
    <w:p w14:paraId="71BBECBC" w14:textId="42FED3F5" w:rsidR="00D631A9" w:rsidRPr="007E124F" w:rsidRDefault="00D631A9" w:rsidP="001E39EE">
      <w:pPr>
        <w:ind w:left="2160" w:hanging="1440"/>
        <w:rPr>
          <w:lang w:val="fr-CA"/>
        </w:rPr>
      </w:pPr>
      <w:r w:rsidRPr="007E124F">
        <w:rPr>
          <w:lang w:val="fr-CA"/>
        </w:rPr>
        <w:t>Annex</w:t>
      </w:r>
      <w:r w:rsidR="00030B67">
        <w:rPr>
          <w:lang w:val="fr-CA"/>
        </w:rPr>
        <w:t>e</w:t>
      </w:r>
      <w:r w:rsidRPr="007E124F">
        <w:rPr>
          <w:lang w:val="fr-CA"/>
        </w:rPr>
        <w:t xml:space="preserve"> III</w:t>
      </w:r>
      <w:r w:rsidRPr="007E124F">
        <w:rPr>
          <w:lang w:val="fr-CA"/>
        </w:rPr>
        <w:tab/>
      </w:r>
      <w:r w:rsidR="00030B67">
        <w:rPr>
          <w:lang w:val="fr-CA"/>
        </w:rPr>
        <w:t xml:space="preserve">Un </w:t>
      </w:r>
      <w:r w:rsidR="00030B67" w:rsidRPr="00E63C9F">
        <w:rPr>
          <w:lang w:val="fr-CA"/>
        </w:rPr>
        <w:t xml:space="preserve">rapport sur les projets d’investissement en lien avec les HFC et les activités de facilitation financés </w:t>
      </w:r>
      <w:r w:rsidR="00030B67">
        <w:rPr>
          <w:lang w:val="fr-CA"/>
        </w:rPr>
        <w:t>au titre</w:t>
      </w:r>
      <w:r w:rsidR="00030B67" w:rsidRPr="00E63C9F">
        <w:rPr>
          <w:lang w:val="fr-CA"/>
        </w:rPr>
        <w:t xml:space="preserve"> des contributions supplémentaires volontaires d’un groupe de 17 pays non visés à l'article 5, qui propose un rapport périodique exhaustif des activités en lien avec les HFC financées à partir des contributions volontaires, conformément</w:t>
      </w:r>
      <w:r w:rsidR="00030B67">
        <w:rPr>
          <w:lang w:val="fr-CA"/>
        </w:rPr>
        <w:t xml:space="preserve"> à la décision 8</w:t>
      </w:r>
      <w:r w:rsidR="00030B67" w:rsidRPr="00E63C9F">
        <w:rPr>
          <w:lang w:val="fr-CA"/>
        </w:rPr>
        <w:t>4/12 b) et c)</w:t>
      </w:r>
      <w:r w:rsidRPr="007E124F">
        <w:rPr>
          <w:lang w:val="fr-CA"/>
        </w:rPr>
        <w:t>.</w:t>
      </w:r>
    </w:p>
    <w:p w14:paraId="5175D4DE" w14:textId="77777777" w:rsidR="00D631A9" w:rsidRPr="007E124F" w:rsidRDefault="00D631A9" w:rsidP="001E39EE">
      <w:pPr>
        <w:widowControl w:val="0"/>
        <w:ind w:left="2160" w:hanging="1440"/>
        <w:rPr>
          <w:lang w:val="fr-CA"/>
        </w:rPr>
      </w:pPr>
    </w:p>
    <w:p w14:paraId="30742A22" w14:textId="46AE10D1" w:rsidR="00D631A9" w:rsidRPr="007E124F" w:rsidRDefault="00822E60" w:rsidP="001E39EE">
      <w:pPr>
        <w:pStyle w:val="Heading1"/>
        <w:widowControl w:val="0"/>
        <w:rPr>
          <w:lang w:val="fr-CA"/>
        </w:rPr>
      </w:pPr>
      <w:r>
        <w:rPr>
          <w:lang w:val="fr-CA"/>
        </w:rPr>
        <w:t>Les rapports périodiques des agences bilatérales et d’exécution ne comprenaient aucune question d’orientation pour examen par le Comité exécutif et aucune question d’orientation n’a été recensée pendant l’examen des projets par le Secrétariat</w:t>
      </w:r>
      <w:r w:rsidR="00D631A9" w:rsidRPr="007E124F">
        <w:rPr>
          <w:lang w:val="fr-CA"/>
        </w:rPr>
        <w:t xml:space="preserve">. </w:t>
      </w:r>
    </w:p>
    <w:p w14:paraId="738119E3" w14:textId="60FE138E" w:rsidR="00D631A9" w:rsidRPr="00822E60" w:rsidRDefault="00D631A9" w:rsidP="001E39EE">
      <w:pPr>
        <w:pStyle w:val="sub-title"/>
        <w:keepNext/>
        <w:keepLines/>
        <w:ind w:left="1411" w:hanging="1411"/>
        <w:rPr>
          <w:caps/>
          <w:noProof w:val="0"/>
          <w:lang w:val="fr-CA"/>
        </w:rPr>
      </w:pPr>
      <w:r w:rsidRPr="00822E60">
        <w:rPr>
          <w:caps/>
          <w:noProof w:val="0"/>
          <w:lang w:val="fr-CA"/>
        </w:rPr>
        <w:t>Part</w:t>
      </w:r>
      <w:r w:rsidR="00822E60" w:rsidRPr="00822E60">
        <w:rPr>
          <w:caps/>
          <w:noProof w:val="0"/>
          <w:lang w:val="fr-CA"/>
        </w:rPr>
        <w:t>iE</w:t>
      </w:r>
      <w:r w:rsidRPr="00822E60">
        <w:rPr>
          <w:caps/>
          <w:noProof w:val="0"/>
          <w:lang w:val="fr-CA"/>
        </w:rPr>
        <w:t xml:space="preserve"> I</w:t>
      </w:r>
      <w:r w:rsidR="00822E60" w:rsidRPr="00822E60">
        <w:rPr>
          <w:caps/>
          <w:noProof w:val="0"/>
          <w:lang w:val="fr-CA"/>
        </w:rPr>
        <w:t xml:space="preserve"> </w:t>
      </w:r>
      <w:r w:rsidRPr="00822E60">
        <w:rPr>
          <w:caps/>
          <w:noProof w:val="0"/>
          <w:lang w:val="fr-CA"/>
        </w:rPr>
        <w:t xml:space="preserve">: </w:t>
      </w:r>
      <w:r w:rsidRPr="00822E60">
        <w:rPr>
          <w:caps/>
          <w:noProof w:val="0"/>
          <w:lang w:val="fr-CA"/>
        </w:rPr>
        <w:tab/>
      </w:r>
      <w:r w:rsidR="00822E60">
        <w:rPr>
          <w:lang w:val="fr-CA"/>
        </w:rPr>
        <w:t>PROJETS APPROUVÉS AU TITRE DES CONTRIBUTIONS RÉGULIÈRES AU FONDS MULTILATÉRAL</w:t>
      </w:r>
    </w:p>
    <w:p w14:paraId="3ACB1ADE" w14:textId="77777777" w:rsidR="00D631A9" w:rsidRPr="00822E60" w:rsidRDefault="00D631A9" w:rsidP="001E39EE">
      <w:pPr>
        <w:keepNext/>
        <w:rPr>
          <w:lang w:val="fr-CA"/>
        </w:rPr>
      </w:pPr>
    </w:p>
    <w:p w14:paraId="1CD284CD" w14:textId="4E2F0270" w:rsidR="00D631A9" w:rsidRPr="00822E60" w:rsidRDefault="00822E60" w:rsidP="001E39EE">
      <w:pPr>
        <w:rPr>
          <w:b/>
          <w:lang w:val="fr-CA"/>
        </w:rPr>
      </w:pPr>
      <w:r>
        <w:rPr>
          <w:b/>
          <w:lang w:val="fr-CA"/>
        </w:rPr>
        <w:t>Sommaire des progrès dans la mise en œuvre des projets en 2020 et cumulatifs</w:t>
      </w:r>
    </w:p>
    <w:p w14:paraId="533D7142" w14:textId="77777777" w:rsidR="00D631A9" w:rsidRPr="00822E60" w:rsidRDefault="00D631A9" w:rsidP="001E39EE">
      <w:pPr>
        <w:pStyle w:val="Heading1"/>
        <w:numPr>
          <w:ilvl w:val="0"/>
          <w:numId w:val="0"/>
        </w:numPr>
        <w:spacing w:after="0"/>
        <w:rPr>
          <w:lang w:val="fr-CA"/>
        </w:rPr>
      </w:pPr>
    </w:p>
    <w:p w14:paraId="772EC112" w14:textId="028848DC" w:rsidR="00D631A9" w:rsidRPr="00822E60" w:rsidRDefault="00822E60" w:rsidP="001E39EE">
      <w:pPr>
        <w:pStyle w:val="Heading1"/>
        <w:rPr>
          <w:lang w:val="fr-CA"/>
        </w:rPr>
      </w:pPr>
      <w:r>
        <w:rPr>
          <w:lang w:val="fr-CA"/>
        </w:rPr>
        <w:t xml:space="preserve">Le sommaire des activités et des projets entrepris par les agences bilatérales et d’exécution en 2020 et cumulatif de 1991 au 31 décembre 2020 est présenté ci-dessous </w:t>
      </w:r>
      <w:r w:rsidR="00D631A9" w:rsidRPr="00822E60">
        <w:rPr>
          <w:lang w:val="fr-CA"/>
        </w:rPr>
        <w:t xml:space="preserve">: </w:t>
      </w:r>
    </w:p>
    <w:p w14:paraId="57B1D669" w14:textId="197F975E" w:rsidR="00D631A9" w:rsidRPr="00822E60" w:rsidRDefault="00C63B7E" w:rsidP="00822E60">
      <w:pPr>
        <w:pStyle w:val="Heading2"/>
        <w:rPr>
          <w:lang w:val="fr-CA"/>
        </w:rPr>
      </w:pPr>
      <w:r>
        <w:rPr>
          <w:b/>
          <w:bCs/>
          <w:lang w:val="fr-CA"/>
        </w:rPr>
        <w:t xml:space="preserve">Élimination </w:t>
      </w:r>
      <w:r w:rsidR="00D631A9" w:rsidRPr="00F86A85">
        <w:rPr>
          <w:b/>
          <w:bCs/>
          <w:lang w:val="fr-CA"/>
        </w:rPr>
        <w:t>:</w:t>
      </w:r>
      <w:r w:rsidR="00D631A9" w:rsidRPr="00F86A85">
        <w:rPr>
          <w:lang w:val="fr-CA"/>
        </w:rPr>
        <w:t xml:space="preserve"> </w:t>
      </w:r>
      <w:r w:rsidR="00F86A85" w:rsidRPr="00A57B74">
        <w:rPr>
          <w:lang w:val="fr-CA"/>
        </w:rPr>
        <w:t xml:space="preserve">Une quantité de </w:t>
      </w:r>
      <w:r w:rsidR="00F86A85">
        <w:rPr>
          <w:lang w:val="fr-CA"/>
        </w:rPr>
        <w:t>1 324,1</w:t>
      </w:r>
      <w:r w:rsidR="00F86A85" w:rsidRPr="001A0303">
        <w:rPr>
          <w:rStyle w:val="FootnoteReference"/>
        </w:rPr>
        <w:footnoteReference w:id="8"/>
      </w:r>
      <w:r w:rsidR="00F86A85" w:rsidRPr="00A57B74">
        <w:rPr>
          <w:lang w:val="fr-CA"/>
        </w:rPr>
        <w:t xml:space="preserve"> tonnes PAO de consommation de substance</w:t>
      </w:r>
      <w:r w:rsidR="00F86A85">
        <w:rPr>
          <w:lang w:val="fr-CA"/>
        </w:rPr>
        <w:t>s réglementées a éliminée en 2020 et l’approbation a été donnée pour éliminer 2 133,4 tonnes PAO de plus. Au total, 289 191 tonnes PAO et 500 994 tonnes d’éq-CO</w:t>
      </w:r>
      <w:r w:rsidR="00F86A85" w:rsidRPr="00F86A85">
        <w:rPr>
          <w:vertAlign w:val="subscript"/>
          <w:lang w:val="fr-CA"/>
        </w:rPr>
        <w:t>2</w:t>
      </w:r>
      <w:r w:rsidR="00F86A85">
        <w:rPr>
          <w:lang w:val="fr-CA"/>
        </w:rPr>
        <w:t xml:space="preserve"> de consommation et 205 377 tonnes PAO de production de substances réglementées ont été éliminées par rapport à un total prévu de 469 653 tonnes PAO et 521 729 tonnes d’éq-CO</w:t>
      </w:r>
      <w:r w:rsidR="00F86A85" w:rsidRPr="00C63B7E">
        <w:rPr>
          <w:vertAlign w:val="subscript"/>
          <w:lang w:val="fr-CA"/>
        </w:rPr>
        <w:t>2</w:t>
      </w:r>
      <w:r w:rsidR="00F86A85">
        <w:rPr>
          <w:lang w:val="fr-CA"/>
        </w:rPr>
        <w:t xml:space="preserve"> dans le cadre de projets approuvés, depuis 1991 (ne comprenant pas les projets annulés et transférés</w:t>
      </w:r>
      <w:r w:rsidR="00D631A9" w:rsidRPr="00822E60">
        <w:rPr>
          <w:lang w:val="fr-CA"/>
        </w:rPr>
        <w:t>);</w:t>
      </w:r>
    </w:p>
    <w:p w14:paraId="5C7B522F" w14:textId="1761C493" w:rsidR="00D631A9" w:rsidRPr="00822E60" w:rsidRDefault="00C63B7E" w:rsidP="001E39EE">
      <w:pPr>
        <w:pStyle w:val="Heading2"/>
        <w:rPr>
          <w:lang w:val="fr-CA"/>
        </w:rPr>
      </w:pPr>
      <w:r w:rsidRPr="00B6120A">
        <w:rPr>
          <w:b/>
          <w:bCs/>
          <w:lang w:val="fr-CA"/>
        </w:rPr>
        <w:t>Décaissements/approbations :</w:t>
      </w:r>
      <w:r w:rsidRPr="00B6120A">
        <w:rPr>
          <w:lang w:val="fr-CA"/>
        </w:rPr>
        <w:t xml:space="preserve"> </w:t>
      </w:r>
      <w:r>
        <w:rPr>
          <w:lang w:val="fr-CA"/>
        </w:rPr>
        <w:t xml:space="preserve">Selon le rapport périodique de 2019, 78,64 millions $US avaient été décaissés et 89,35 millions $US de plus devaient être décaissés en 2020, ce qui représente un taux de décaissement de 88 p. cent de la somme prévue. Cumulativement, 3,16 milliards $US des 3,38 milliards approuvés aux fins de décaissement ont été décaissés (ne comprenant pas les coûts d’appui aux agences), ce qui représente un taux de </w:t>
      </w:r>
      <w:r>
        <w:rPr>
          <w:lang w:val="fr-CA"/>
        </w:rPr>
        <w:lastRenderedPageBreak/>
        <w:t>décaissement de 93 p. cent. Une somme de 71,9 millions $US a été approuvée pour la mise en œuvre, en 2020</w:t>
      </w:r>
      <w:r w:rsidR="00D631A9" w:rsidRPr="00822E60">
        <w:rPr>
          <w:lang w:val="fr-CA"/>
        </w:rPr>
        <w:t>;</w:t>
      </w:r>
    </w:p>
    <w:p w14:paraId="049A26C4" w14:textId="705A4E91" w:rsidR="00D0503A" w:rsidRPr="00B81F58" w:rsidRDefault="00D0503A" w:rsidP="00D0503A">
      <w:pPr>
        <w:pStyle w:val="Heading2"/>
        <w:rPr>
          <w:lang w:val="fr-CA"/>
        </w:rPr>
      </w:pPr>
      <w:r w:rsidRPr="005D446C">
        <w:rPr>
          <w:b/>
          <w:lang w:val="fr-CA"/>
        </w:rPr>
        <w:t>Rapport coût-efficacité (en tonnes PAO):</w:t>
      </w:r>
      <w:r w:rsidRPr="00B81F58">
        <w:rPr>
          <w:rStyle w:val="FootnoteReference"/>
          <w:bCs/>
          <w:lang w:val="fr-CA"/>
        </w:rPr>
        <w:footnoteReference w:id="9"/>
      </w:r>
      <w:r w:rsidRPr="005D446C">
        <w:rPr>
          <w:b/>
          <w:lang w:val="fr-CA"/>
        </w:rPr>
        <w:t xml:space="preserve"> </w:t>
      </w:r>
      <w:r w:rsidRPr="005D446C">
        <w:rPr>
          <w:lang w:val="fr-CA"/>
        </w:rPr>
        <w:t>Le ra</w:t>
      </w:r>
      <w:r>
        <w:rPr>
          <w:lang w:val="fr-CA"/>
        </w:rPr>
        <w:t>p</w:t>
      </w:r>
      <w:r w:rsidRPr="005D446C">
        <w:rPr>
          <w:lang w:val="fr-CA"/>
        </w:rPr>
        <w:t>port co</w:t>
      </w:r>
      <w:r>
        <w:rPr>
          <w:lang w:val="fr-CA"/>
        </w:rPr>
        <w:t>ût-efficacité m</w:t>
      </w:r>
      <w:r w:rsidRPr="005D446C">
        <w:rPr>
          <w:lang w:val="fr-CA"/>
        </w:rPr>
        <w:t xml:space="preserve">oyen des projets </w:t>
      </w:r>
      <w:r>
        <w:rPr>
          <w:lang w:val="fr-CA"/>
        </w:rPr>
        <w:t>d’i</w:t>
      </w:r>
      <w:r w:rsidRPr="005D446C">
        <w:rPr>
          <w:lang w:val="fr-CA"/>
        </w:rPr>
        <w:t xml:space="preserve">nvestissement menant </w:t>
      </w:r>
      <w:r>
        <w:rPr>
          <w:lang w:val="fr-CA"/>
        </w:rPr>
        <w:t>à la réduction permanente de la consommation est de 8,41 $US/kg depuis 1991. Le rapport coût-efficacité pour le secteur de la production est de 4,62 $US/kg et le rapport coût-efficacité moyen des projets d’investissement par tonne PAO est de 4,87 $US/kg pour les projets achevés et de 50,01 $US/kg pour les projets en cours</w:t>
      </w:r>
      <w:r w:rsidRPr="00B81F58">
        <w:rPr>
          <w:lang w:val="fr-CA"/>
        </w:rPr>
        <w:t>;</w:t>
      </w:r>
      <w:r w:rsidRPr="00B81F58">
        <w:rPr>
          <w:rStyle w:val="FootnoteReference"/>
          <w:lang w:val="fr-CA"/>
        </w:rPr>
        <w:footnoteReference w:id="10"/>
      </w:r>
    </w:p>
    <w:p w14:paraId="3E149C5C" w14:textId="07A9FF3E" w:rsidR="00D631A9" w:rsidRPr="00822E60" w:rsidRDefault="00D0503A" w:rsidP="001E39EE">
      <w:pPr>
        <w:pStyle w:val="Heading2"/>
        <w:rPr>
          <w:lang w:val="fr-CA"/>
        </w:rPr>
      </w:pPr>
      <w:r>
        <w:rPr>
          <w:b/>
          <w:bCs/>
          <w:lang w:val="fr-CA"/>
        </w:rPr>
        <w:t xml:space="preserve">Nombre de projets achevés </w:t>
      </w:r>
      <w:r w:rsidRPr="00B81F58">
        <w:rPr>
          <w:b/>
          <w:bCs/>
          <w:lang w:val="fr-CA"/>
        </w:rPr>
        <w:t>:</w:t>
      </w:r>
      <w:r w:rsidRPr="00B81F58">
        <w:rPr>
          <w:lang w:val="fr-CA"/>
        </w:rPr>
        <w:t xml:space="preserve"> </w:t>
      </w:r>
      <w:r>
        <w:rPr>
          <w:lang w:val="fr-CA"/>
        </w:rPr>
        <w:t>Cent quatre-vingt-seize projets ont été achevés en 2020. Au total, 7 833 des 8 664 projets (sauf les projets annulés et transférés) financés par le Fonds multilatéral ont été achevés depuis 1991, ce qui représente un taux d’achèvement de 90 pour cent</w:t>
      </w:r>
      <w:r w:rsidR="00D631A9" w:rsidRPr="00822E60">
        <w:rPr>
          <w:lang w:val="fr-CA"/>
        </w:rPr>
        <w:t>;</w:t>
      </w:r>
    </w:p>
    <w:p w14:paraId="37BF3AA9" w14:textId="3468CE70" w:rsidR="00D631A9" w:rsidRPr="00822E60" w:rsidRDefault="00D0503A" w:rsidP="001E39EE">
      <w:pPr>
        <w:pStyle w:val="Heading2"/>
        <w:rPr>
          <w:lang w:val="fr-CA"/>
        </w:rPr>
      </w:pPr>
      <w:r w:rsidRPr="00096586">
        <w:rPr>
          <w:b/>
          <w:lang w:val="fr-CA"/>
        </w:rPr>
        <w:t xml:space="preserve">Rapidité d’exécution, projets d’investissement : </w:t>
      </w:r>
      <w:r>
        <w:rPr>
          <w:lang w:val="fr-CA"/>
        </w:rPr>
        <w:t>Les projets achevés avant 2020 ont généralement été menés à terme 50 mois après leur approbation. La durée moyenne d’achèvement des projets d’investissement a été de 37 mois après l’approbation depuis 1991. Les premiers décaissements pour ces projets ont été effectués 14 mois, en moyenne</w:t>
      </w:r>
      <w:r w:rsidR="004D62B0">
        <w:rPr>
          <w:lang w:val="fr-CA"/>
        </w:rPr>
        <w:t>,</w:t>
      </w:r>
      <w:r>
        <w:rPr>
          <w:lang w:val="fr-CA"/>
        </w:rPr>
        <w:t xml:space="preserve"> après leur approbation</w:t>
      </w:r>
      <w:r w:rsidR="00D631A9" w:rsidRPr="00822E60">
        <w:rPr>
          <w:lang w:val="fr-CA"/>
        </w:rPr>
        <w:t>;</w:t>
      </w:r>
    </w:p>
    <w:p w14:paraId="3E3A2994" w14:textId="168F2A5D" w:rsidR="00D631A9" w:rsidRPr="00822E60" w:rsidRDefault="00D0503A" w:rsidP="001E39EE">
      <w:pPr>
        <w:pStyle w:val="Heading2"/>
        <w:rPr>
          <w:lang w:val="fr-CA"/>
        </w:rPr>
      </w:pPr>
      <w:r>
        <w:rPr>
          <w:b/>
          <w:lang w:val="fr-CA"/>
        </w:rPr>
        <w:t xml:space="preserve">Rapidité d’exécution, projets ne portant pas sur des investissements </w:t>
      </w:r>
      <w:r w:rsidRPr="00B81F58">
        <w:rPr>
          <w:b/>
          <w:lang w:val="fr-CA"/>
        </w:rPr>
        <w:t>:</w:t>
      </w:r>
      <w:r w:rsidRPr="00B81F58">
        <w:rPr>
          <w:lang w:val="fr-CA"/>
        </w:rPr>
        <w:t xml:space="preserve"> </w:t>
      </w:r>
      <w:r>
        <w:rPr>
          <w:lang w:val="fr-CA"/>
        </w:rPr>
        <w:t>Les projets achevés en 20</w:t>
      </w:r>
      <w:r w:rsidR="00945134">
        <w:rPr>
          <w:lang w:val="fr-CA"/>
        </w:rPr>
        <w:t>20</w:t>
      </w:r>
      <w:r>
        <w:rPr>
          <w:lang w:val="fr-CA"/>
        </w:rPr>
        <w:t xml:space="preserve"> ont été menés</w:t>
      </w:r>
      <w:r w:rsidR="00945134">
        <w:rPr>
          <w:lang w:val="fr-CA"/>
        </w:rPr>
        <w:t xml:space="preserve"> à terme 38</w:t>
      </w:r>
      <w:r>
        <w:rPr>
          <w:lang w:val="fr-CA"/>
        </w:rPr>
        <w:t xml:space="preserve"> mois, en moyenne, après leur approbation. La durée moyenne d’achèvement des projets ne portant pas sur des investissements a été de 38 mois après l’approbation depuis 1991. Les premiers décaissements pour ces projets ont été effectués 12 mois, en moyenne, après leur approbation</w:t>
      </w:r>
      <w:r w:rsidR="00D631A9" w:rsidRPr="00822E60">
        <w:rPr>
          <w:lang w:val="fr-CA"/>
        </w:rPr>
        <w:t xml:space="preserve">; </w:t>
      </w:r>
    </w:p>
    <w:p w14:paraId="5859F7D8" w14:textId="11628447" w:rsidR="00D631A9" w:rsidRPr="00822E60" w:rsidRDefault="00945134" w:rsidP="001E39EE">
      <w:pPr>
        <w:pStyle w:val="Heading2"/>
        <w:rPr>
          <w:lang w:val="fr-CA"/>
        </w:rPr>
      </w:pPr>
      <w:r w:rsidRPr="00C223E2">
        <w:rPr>
          <w:b/>
          <w:bCs/>
          <w:lang w:val="fr-CA"/>
        </w:rPr>
        <w:t xml:space="preserve">Préparation des projets : </w:t>
      </w:r>
      <w:r w:rsidRPr="00C223E2">
        <w:rPr>
          <w:lang w:val="fr-CA"/>
        </w:rPr>
        <w:t>Au total, 1 </w:t>
      </w:r>
      <w:r>
        <w:rPr>
          <w:lang w:val="fr-CA"/>
        </w:rPr>
        <w:t>629 des 1 751</w:t>
      </w:r>
      <w:r w:rsidRPr="00C223E2">
        <w:rPr>
          <w:lang w:val="fr-CA"/>
        </w:rPr>
        <w:t xml:space="preserve"> activités de préparation de projet </w:t>
      </w:r>
      <w:r>
        <w:rPr>
          <w:lang w:val="fr-CA"/>
        </w:rPr>
        <w:t xml:space="preserve">approuvées en date de la fin de 2020 </w:t>
      </w:r>
      <w:r w:rsidRPr="00C223E2">
        <w:rPr>
          <w:lang w:val="fr-CA"/>
        </w:rPr>
        <w:t xml:space="preserve">ont </w:t>
      </w:r>
      <w:r>
        <w:rPr>
          <w:lang w:val="fr-CA"/>
        </w:rPr>
        <w:t>été achevées, ce qui laisse 122 activités en cours. Vingt-quatre activités de préparation de projet ont été approuvées en 2020 et 36 ont été achevées</w:t>
      </w:r>
      <w:r w:rsidR="00D631A9" w:rsidRPr="00822E60">
        <w:rPr>
          <w:lang w:val="fr-CA"/>
        </w:rPr>
        <w:t>;</w:t>
      </w:r>
    </w:p>
    <w:p w14:paraId="0E85F496" w14:textId="1C16166E" w:rsidR="00D631A9" w:rsidRPr="00822E60" w:rsidRDefault="00945134" w:rsidP="00D303D6">
      <w:pPr>
        <w:pStyle w:val="Heading2"/>
        <w:spacing w:after="120"/>
        <w:rPr>
          <w:lang w:val="fr-CA"/>
        </w:rPr>
      </w:pPr>
      <w:r w:rsidRPr="00C223E2">
        <w:rPr>
          <w:b/>
          <w:bCs/>
          <w:lang w:val="fr-CA"/>
        </w:rPr>
        <w:t>Retards dans la mise en œuvre :</w:t>
      </w:r>
      <w:r w:rsidRPr="00C223E2">
        <w:rPr>
          <w:lang w:val="fr-CA"/>
        </w:rPr>
        <w:t xml:space="preserve"> Au total, </w:t>
      </w:r>
      <w:r>
        <w:rPr>
          <w:lang w:val="fr-CA"/>
        </w:rPr>
        <w:t>831</w:t>
      </w:r>
      <w:r w:rsidRPr="00C223E2">
        <w:rPr>
          <w:lang w:val="fr-CA"/>
        </w:rPr>
        <w:t xml:space="preserve"> projets étaient en cour</w:t>
      </w:r>
      <w:r>
        <w:rPr>
          <w:lang w:val="fr-CA"/>
        </w:rPr>
        <w:t>s</w:t>
      </w:r>
      <w:r w:rsidRPr="00C223E2">
        <w:rPr>
          <w:lang w:val="fr-CA"/>
        </w:rPr>
        <w:t xml:space="preserve"> de mise en </w:t>
      </w:r>
      <w:r>
        <w:rPr>
          <w:lang w:val="fr-CA"/>
        </w:rPr>
        <w:t>œuvre</w:t>
      </w:r>
      <w:r w:rsidRPr="00C223E2">
        <w:rPr>
          <w:lang w:val="fr-CA"/>
        </w:rPr>
        <w:t xml:space="preserve"> </w:t>
      </w:r>
      <w:r>
        <w:rPr>
          <w:lang w:val="fr-CA"/>
        </w:rPr>
        <w:t xml:space="preserve">à la fin de 2020 et connaissaient un retard moyen de 14 mois. </w:t>
      </w:r>
      <w:r w:rsidR="004D62B0">
        <w:rPr>
          <w:lang w:val="fr-CA"/>
        </w:rPr>
        <w:t>Cent neuf</w:t>
      </w:r>
      <w:r>
        <w:rPr>
          <w:lang w:val="fr-CA"/>
        </w:rPr>
        <w:t xml:space="preserve"> de ces projets sont classés « projets dont la mise en œuvre accuse du retard »</w:t>
      </w:r>
      <w:r w:rsidRPr="00B81F58">
        <w:rPr>
          <w:rStyle w:val="FootnoteReference"/>
          <w:lang w:val="fr-CA"/>
        </w:rPr>
        <w:footnoteReference w:id="11"/>
      </w:r>
      <w:r w:rsidRPr="00B81F58">
        <w:rPr>
          <w:lang w:val="fr-CA"/>
        </w:rPr>
        <w:t xml:space="preserve"> </w:t>
      </w:r>
      <w:r>
        <w:rPr>
          <w:lang w:val="fr-CA"/>
        </w:rPr>
        <w:t>et sont assujettis à la procédure d’annulation de projet (la procédure ne s’applique pas aux projets de démonstration, à la préparation de projets et ni aux projets de renforcement des institutions</w:t>
      </w:r>
      <w:r w:rsidR="00D631A9" w:rsidRPr="00822E60">
        <w:rPr>
          <w:lang w:val="fr-CA"/>
        </w:rPr>
        <w:t xml:space="preserve">); </w:t>
      </w:r>
    </w:p>
    <w:p w14:paraId="4404CD2C" w14:textId="6A637027" w:rsidR="00D631A9" w:rsidRPr="00822E60" w:rsidRDefault="00945134" w:rsidP="00D303D6">
      <w:pPr>
        <w:pStyle w:val="Heading2"/>
        <w:keepNext/>
        <w:keepLines/>
        <w:rPr>
          <w:lang w:val="fr-CA"/>
        </w:rPr>
      </w:pPr>
      <w:r w:rsidRPr="003A2660">
        <w:rPr>
          <w:b/>
          <w:lang w:val="fr-CA"/>
        </w:rPr>
        <w:lastRenderedPageBreak/>
        <w:t xml:space="preserve">Accords pluriannuels </w:t>
      </w:r>
      <w:r w:rsidRPr="003A2660">
        <w:rPr>
          <w:lang w:val="fr-CA"/>
        </w:rPr>
        <w:t>: Un accord pluriannuel pour un plan d’élimination des SAO, un accord pluriannuel pour la production de bromure de méthyle</w:t>
      </w:r>
      <w:r w:rsidR="002765D3">
        <w:rPr>
          <w:lang w:val="fr-CA"/>
        </w:rPr>
        <w:t>, un plan d’élimination de la production de HFC, 188</w:t>
      </w:r>
      <w:r w:rsidRPr="003A2660">
        <w:rPr>
          <w:lang w:val="fr-CA"/>
        </w:rPr>
        <w:t xml:space="preserve"> accords pluriannuels pour des PGEH </w:t>
      </w:r>
      <w:r w:rsidR="002765D3">
        <w:rPr>
          <w:lang w:val="fr-CA"/>
        </w:rPr>
        <w:t>et un accord sur le contrôle et l’élimination des émissions de HFC-23 étaient en cours en 2020</w:t>
      </w:r>
      <w:r>
        <w:rPr>
          <w:lang w:val="fr-CA"/>
        </w:rPr>
        <w:t>,</w:t>
      </w:r>
      <w:r w:rsidRPr="003A2660">
        <w:rPr>
          <w:lang w:val="fr-CA"/>
        </w:rPr>
        <w:t xml:space="preserve"> et </w:t>
      </w:r>
      <w:r w:rsidR="002765D3">
        <w:rPr>
          <w:lang w:val="fr-CA"/>
        </w:rPr>
        <w:t>212</w:t>
      </w:r>
      <w:r w:rsidRPr="003A2660">
        <w:rPr>
          <w:lang w:val="fr-CA"/>
        </w:rPr>
        <w:t xml:space="preserve"> accords pluriannuels ont été achevés, ce qui représente un taux d’ach</w:t>
      </w:r>
      <w:r w:rsidR="002765D3">
        <w:rPr>
          <w:lang w:val="fr-CA"/>
        </w:rPr>
        <w:t>èvement de 52</w:t>
      </w:r>
      <w:r>
        <w:rPr>
          <w:lang w:val="fr-CA"/>
        </w:rPr>
        <w:t xml:space="preserve"> p. cent</w:t>
      </w:r>
      <w:r w:rsidR="00D631A9" w:rsidRPr="00822E60">
        <w:rPr>
          <w:lang w:val="fr-CA"/>
        </w:rPr>
        <w:t xml:space="preserve">. </w:t>
      </w:r>
    </w:p>
    <w:p w14:paraId="073FF10C" w14:textId="287D3676" w:rsidR="00D631A9" w:rsidRPr="00822E60" w:rsidRDefault="00AA3DB4" w:rsidP="001E39EE">
      <w:pPr>
        <w:pStyle w:val="a--"/>
        <w:suppressAutoHyphens w:val="0"/>
        <w:rPr>
          <w:sz w:val="22"/>
          <w:szCs w:val="22"/>
          <w:lang w:val="fr-CA"/>
        </w:rPr>
      </w:pPr>
      <w:r>
        <w:rPr>
          <w:sz w:val="22"/>
          <w:szCs w:val="22"/>
          <w:lang w:val="fr-CA"/>
        </w:rPr>
        <w:t xml:space="preserve">Progrès dans la mise en œuvre de projets en </w:t>
      </w:r>
      <w:r w:rsidR="00D631A9" w:rsidRPr="00822E60">
        <w:rPr>
          <w:sz w:val="22"/>
          <w:szCs w:val="22"/>
          <w:lang w:val="fr-CA"/>
        </w:rPr>
        <w:t>20</w:t>
      </w:r>
      <w:r w:rsidR="00352738" w:rsidRPr="00822E60">
        <w:rPr>
          <w:sz w:val="22"/>
          <w:szCs w:val="22"/>
          <w:lang w:val="fr-CA"/>
        </w:rPr>
        <w:t>20</w:t>
      </w:r>
    </w:p>
    <w:p w14:paraId="3B0F0797" w14:textId="77777777" w:rsidR="00D631A9" w:rsidRPr="00822E60" w:rsidRDefault="00D631A9" w:rsidP="001E39EE">
      <w:pPr>
        <w:pStyle w:val="a--"/>
        <w:suppressAutoHyphens w:val="0"/>
        <w:rPr>
          <w:b w:val="0"/>
          <w:sz w:val="22"/>
          <w:szCs w:val="22"/>
          <w:lang w:val="fr-CA"/>
        </w:rPr>
      </w:pPr>
    </w:p>
    <w:p w14:paraId="4AA30877" w14:textId="18EE137E" w:rsidR="00D631A9" w:rsidRPr="00822E60" w:rsidRDefault="00AA3DB4" w:rsidP="001E39EE">
      <w:pPr>
        <w:pStyle w:val="Heading1"/>
        <w:rPr>
          <w:lang w:val="fr-CA"/>
        </w:rPr>
      </w:pPr>
      <w:r>
        <w:rPr>
          <w:snapToGrid w:val="0"/>
          <w:lang w:val="fr-CA"/>
        </w:rPr>
        <w:t xml:space="preserve">Les agences bilatérales et d’exécution ont mené à terme 51 pour cent des projets qu’elles prévoyaient terminer en 2020 et atteint 19 p. cent de l’objectif d’élimination globale, selon les dates d’achèvement déclarées dans le rapport périodique de 2019 et les résultats déclarés dans les rapports périodiques de 2020. La date d’achèvement prévue a été reportée pour 203 des 550 projets en cours (ne comprenant pas </w:t>
      </w:r>
      <w:r w:rsidR="00BF5525">
        <w:rPr>
          <w:snapToGrid w:val="0"/>
          <w:lang w:val="fr-CA"/>
        </w:rPr>
        <w:t>le renforcement des institutions et les activités de préparation de projet) depuis le rapport périodique de 2019.</w:t>
      </w:r>
      <w:r w:rsidR="00D631A9" w:rsidRPr="00822E60">
        <w:rPr>
          <w:lang w:val="fr-CA"/>
        </w:rPr>
        <w:t xml:space="preserve"> </w:t>
      </w:r>
    </w:p>
    <w:p w14:paraId="6B88AA8C" w14:textId="712EFE59" w:rsidR="00D631A9" w:rsidRPr="00822E60" w:rsidRDefault="00BF5525" w:rsidP="001E39EE">
      <w:pPr>
        <w:pStyle w:val="Heading1"/>
        <w:widowControl w:val="0"/>
        <w:rPr>
          <w:lang w:val="fr-CA"/>
        </w:rPr>
      </w:pPr>
      <w:r>
        <w:rPr>
          <w:snapToGrid w:val="0"/>
          <w:lang w:val="fr-CA"/>
        </w:rPr>
        <w:t>Les agences bilatérales et d’exécution ont atteint un taux de décaissement global de 88 p. cent en 2020. Par pays et région, 58 pays (et régions) ont atteint un taux de décaissement de plus de 85 p. cent, tandis que 41 pays ont présenté un taux de décaissement inférieur à 50 p. cent</w:t>
      </w:r>
      <w:r w:rsidR="00D631A9" w:rsidRPr="00822E60">
        <w:rPr>
          <w:snapToGrid w:val="0"/>
          <w:lang w:val="fr-CA"/>
        </w:rPr>
        <w:t xml:space="preserve">. </w:t>
      </w:r>
    </w:p>
    <w:p w14:paraId="7503BD95" w14:textId="7E185B95" w:rsidR="00D631A9" w:rsidRPr="00BF5525" w:rsidRDefault="00BF5525" w:rsidP="00BF5525">
      <w:pPr>
        <w:pStyle w:val="Heading1"/>
        <w:rPr>
          <w:lang w:val="fr-CA"/>
        </w:rPr>
      </w:pPr>
      <w:r>
        <w:rPr>
          <w:lang w:val="fr-CA"/>
        </w:rPr>
        <w:t>Les agences bilatérales et d’exécution doivent présenter à la 90</w:t>
      </w:r>
      <w:r w:rsidRPr="00BF5525">
        <w:rPr>
          <w:vertAlign w:val="superscript"/>
          <w:lang w:val="fr-CA"/>
        </w:rPr>
        <w:t>e</w:t>
      </w:r>
      <w:r w:rsidRPr="00BF5525">
        <w:rPr>
          <w:lang w:val="fr-CA"/>
        </w:rPr>
        <w:t xml:space="preserve"> réunion un rapport sur </w:t>
      </w:r>
      <w:r>
        <w:rPr>
          <w:lang w:val="fr-CA"/>
        </w:rPr>
        <w:t>109</w:t>
      </w:r>
      <w:r w:rsidRPr="00BF5525">
        <w:rPr>
          <w:lang w:val="fr-CA"/>
        </w:rPr>
        <w:t xml:space="preserve"> projets en cours dont la mise en œuvre accuse du retard et 5</w:t>
      </w:r>
      <w:r>
        <w:rPr>
          <w:lang w:val="fr-CA"/>
        </w:rPr>
        <w:t>3</w:t>
      </w:r>
      <w:r w:rsidRPr="00BF5525">
        <w:rPr>
          <w:lang w:val="fr-CA"/>
        </w:rPr>
        <w:t xml:space="preserve"> projets et tranches de projets pluriannuels pour lesquels un rapport de situation a été recommandé</w:t>
      </w:r>
      <w:r w:rsidR="00D631A9" w:rsidRPr="00BF5525">
        <w:rPr>
          <w:lang w:val="fr-CA"/>
        </w:rPr>
        <w:t>.</w:t>
      </w:r>
    </w:p>
    <w:p w14:paraId="2B8CFFBB" w14:textId="10DB6B8B" w:rsidR="00D631A9" w:rsidRPr="00822E60" w:rsidRDefault="00BF5525" w:rsidP="001E39EE">
      <w:pPr>
        <w:pStyle w:val="Heading1"/>
        <w:rPr>
          <w:lang w:val="fr-CA"/>
        </w:rPr>
      </w:pPr>
      <w:r>
        <w:rPr>
          <w:lang w:val="fr-CA"/>
        </w:rPr>
        <w:t>L’appendice I à l’annexe II présente des renseignements sur la mise en œuvre des projets par pays en 2020 et l’appendice II à l’annexe II résume le financement total approuvé et décaissé pour les activités du PGEH par pays</w:t>
      </w:r>
      <w:r w:rsidR="00D631A9" w:rsidRPr="00822E60">
        <w:rPr>
          <w:lang w:val="fr-CA"/>
        </w:rPr>
        <w:t>.</w:t>
      </w:r>
    </w:p>
    <w:p w14:paraId="5B3B737C" w14:textId="405A5E78" w:rsidR="00D631A9" w:rsidRPr="006A5F8A" w:rsidRDefault="00D631A9" w:rsidP="001E39EE">
      <w:pPr>
        <w:pStyle w:val="Heading1"/>
        <w:keepNext/>
        <w:keepLines/>
        <w:numPr>
          <w:ilvl w:val="0"/>
          <w:numId w:val="0"/>
        </w:numPr>
        <w:ind w:left="1418" w:hanging="1418"/>
        <w:rPr>
          <w:b/>
          <w:caps/>
          <w:lang w:val="fr-CA"/>
        </w:rPr>
      </w:pPr>
      <w:r w:rsidRPr="006A5F8A">
        <w:rPr>
          <w:b/>
          <w:caps/>
          <w:lang w:val="fr-CA"/>
        </w:rPr>
        <w:t>Part</w:t>
      </w:r>
      <w:r w:rsidR="006A5F8A" w:rsidRPr="006A5F8A">
        <w:rPr>
          <w:b/>
          <w:caps/>
          <w:lang w:val="fr-CA"/>
        </w:rPr>
        <w:t>IE</w:t>
      </w:r>
      <w:r w:rsidRPr="006A5F8A">
        <w:rPr>
          <w:b/>
          <w:caps/>
          <w:lang w:val="fr-CA"/>
        </w:rPr>
        <w:t xml:space="preserve"> II</w:t>
      </w:r>
      <w:r w:rsidR="006A5F8A" w:rsidRPr="006A5F8A">
        <w:rPr>
          <w:b/>
          <w:caps/>
          <w:lang w:val="fr-CA"/>
        </w:rPr>
        <w:t xml:space="preserve"> </w:t>
      </w:r>
      <w:r w:rsidRPr="006A5F8A">
        <w:rPr>
          <w:b/>
          <w:caps/>
          <w:lang w:val="fr-CA"/>
        </w:rPr>
        <w:t>:</w:t>
      </w:r>
      <w:r w:rsidRPr="006A5F8A">
        <w:rPr>
          <w:b/>
          <w:caps/>
          <w:lang w:val="fr-CA"/>
        </w:rPr>
        <w:tab/>
      </w:r>
      <w:r w:rsidR="006A5F8A" w:rsidRPr="006A5F8A">
        <w:rPr>
          <w:b/>
          <w:lang w:val="fr-CA"/>
        </w:rPr>
        <w:t>PROJETS APPROUVÉS AU TITRE DES CONTRIBUTIONS SUPPLÉMENTAIRES VOLONTAIRES POUR UN SOUTIEN AU DÉMARRAGE RAPIDE DE LA RÉDUCTION PROGRESSIVE DES HFC</w:t>
      </w:r>
    </w:p>
    <w:p w14:paraId="12CA51FD" w14:textId="5B540EA1" w:rsidR="00D631A9" w:rsidRPr="006A5F8A" w:rsidRDefault="00291167" w:rsidP="001E39EE">
      <w:pPr>
        <w:pStyle w:val="Heading1"/>
        <w:rPr>
          <w:lang w:val="fr-CA"/>
        </w:rPr>
      </w:pPr>
      <w:r>
        <w:rPr>
          <w:lang w:val="fr-CA"/>
        </w:rPr>
        <w:t>Le Comité exécutif avait approuvé 144 projets en lien avec les HFC au titre des contributions supplémentaires volontaires pour la somme de 23,93 millions $US (ne comprenant pas les coûts d’appui aux agences) au 31 décembre 2020. Le tableau 1 présente un sommaire de l’état de ces projets</w:t>
      </w:r>
      <w:r w:rsidR="00D631A9" w:rsidRPr="006A5F8A">
        <w:rPr>
          <w:lang w:val="fr-CA"/>
        </w:rPr>
        <w:t xml:space="preserve">. </w:t>
      </w:r>
    </w:p>
    <w:p w14:paraId="76B806A3" w14:textId="00E5E5A7" w:rsidR="00D631A9" w:rsidRPr="006A5F8A" w:rsidRDefault="00291167" w:rsidP="001E39EE">
      <w:pPr>
        <w:pStyle w:val="Heading1"/>
        <w:keepNext/>
        <w:keepLines/>
        <w:numPr>
          <w:ilvl w:val="0"/>
          <w:numId w:val="0"/>
        </w:numPr>
        <w:spacing w:after="0"/>
        <w:rPr>
          <w:b/>
          <w:lang w:val="fr-CA"/>
        </w:rPr>
      </w:pPr>
      <w:r w:rsidRPr="00464E8B">
        <w:rPr>
          <w:b/>
          <w:lang w:val="fr-CA"/>
        </w:rPr>
        <w:t>Table</w:t>
      </w:r>
      <w:r>
        <w:rPr>
          <w:b/>
          <w:lang w:val="fr-CA"/>
        </w:rPr>
        <w:t>au</w:t>
      </w:r>
      <w:r w:rsidRPr="00464E8B">
        <w:rPr>
          <w:b/>
          <w:lang w:val="fr-CA"/>
        </w:rPr>
        <w:t xml:space="preserve"> 1. </w:t>
      </w:r>
      <w:r>
        <w:rPr>
          <w:b/>
          <w:lang w:val="fr-CA"/>
        </w:rPr>
        <w:t>État des projets approuvés en lien avec les HFC à la fin de</w:t>
      </w:r>
      <w:r w:rsidRPr="00464E8B">
        <w:rPr>
          <w:b/>
          <w:lang w:val="fr-CA"/>
        </w:rPr>
        <w:t xml:space="preserve"> </w:t>
      </w:r>
      <w:r w:rsidR="00D631A9" w:rsidRPr="006A5F8A">
        <w:rPr>
          <w:b/>
          <w:lang w:val="fr-CA"/>
        </w:rPr>
        <w:t>20</w:t>
      </w:r>
      <w:r w:rsidR="00A51FFF" w:rsidRPr="006A5F8A">
        <w:rPr>
          <w:b/>
          <w:lang w:val="fr-CA"/>
        </w:rPr>
        <w:t>20</w:t>
      </w:r>
    </w:p>
    <w:tbl>
      <w:tblPr>
        <w:tblW w:w="9355" w:type="dxa"/>
        <w:tblInd w:w="-5" w:type="dxa"/>
        <w:tblLook w:val="04A0" w:firstRow="1" w:lastRow="0" w:firstColumn="1" w:lastColumn="0" w:noHBand="0" w:noVBand="1"/>
      </w:tblPr>
      <w:tblGrid>
        <w:gridCol w:w="1806"/>
        <w:gridCol w:w="1027"/>
        <w:gridCol w:w="988"/>
        <w:gridCol w:w="1167"/>
        <w:gridCol w:w="1115"/>
        <w:gridCol w:w="1177"/>
        <w:gridCol w:w="1015"/>
        <w:gridCol w:w="1060"/>
      </w:tblGrid>
      <w:tr w:rsidR="00291167" w:rsidRPr="006A5F8A" w14:paraId="13388E13" w14:textId="77777777" w:rsidTr="00291167">
        <w:trPr>
          <w:trHeight w:val="58"/>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0CE3901B" w14:textId="77777777" w:rsidR="00291167" w:rsidRPr="00291167" w:rsidRDefault="00291167" w:rsidP="00291167">
            <w:pPr>
              <w:jc w:val="left"/>
              <w:rPr>
                <w:b/>
                <w:bCs/>
                <w:sz w:val="18"/>
                <w:szCs w:val="20"/>
                <w:lang w:val="fr-CA" w:eastAsia="en-CA"/>
              </w:rPr>
            </w:pPr>
            <w:r w:rsidRPr="00291167">
              <w:rPr>
                <w:b/>
                <w:bCs/>
                <w:sz w:val="18"/>
                <w:szCs w:val="20"/>
                <w:lang w:val="fr-CA" w:eastAsia="en-CA"/>
              </w:rPr>
              <w:t>Type</w:t>
            </w:r>
          </w:p>
        </w:tc>
        <w:tc>
          <w:tcPr>
            <w:tcW w:w="3185" w:type="dxa"/>
            <w:gridSpan w:val="3"/>
            <w:tcBorders>
              <w:top w:val="single" w:sz="4" w:space="0" w:color="auto"/>
              <w:left w:val="nil"/>
              <w:bottom w:val="single" w:sz="4" w:space="0" w:color="auto"/>
              <w:right w:val="single" w:sz="4" w:space="0" w:color="auto"/>
            </w:tcBorders>
            <w:shd w:val="clear" w:color="auto" w:fill="auto"/>
            <w:noWrap/>
            <w:hideMark/>
          </w:tcPr>
          <w:p w14:paraId="111C1D13" w14:textId="5997520F" w:rsidR="00291167" w:rsidRPr="00291167" w:rsidRDefault="00291167" w:rsidP="00291167">
            <w:pPr>
              <w:jc w:val="center"/>
              <w:rPr>
                <w:b/>
                <w:bCs/>
                <w:sz w:val="18"/>
                <w:szCs w:val="20"/>
                <w:lang w:val="fr-CA" w:eastAsia="en-CA"/>
              </w:rPr>
            </w:pPr>
            <w:r w:rsidRPr="00291167">
              <w:rPr>
                <w:b/>
                <w:bCs/>
                <w:sz w:val="18"/>
                <w:szCs w:val="20"/>
                <w:lang w:val="fr-CA" w:eastAsia="en-CA"/>
              </w:rPr>
              <w:t>Nombre de projets</w:t>
            </w:r>
          </w:p>
        </w:tc>
        <w:tc>
          <w:tcPr>
            <w:tcW w:w="4371" w:type="dxa"/>
            <w:gridSpan w:val="4"/>
            <w:tcBorders>
              <w:top w:val="single" w:sz="4" w:space="0" w:color="auto"/>
              <w:left w:val="nil"/>
              <w:bottom w:val="single" w:sz="4" w:space="0" w:color="auto"/>
              <w:right w:val="single" w:sz="4" w:space="0" w:color="auto"/>
            </w:tcBorders>
            <w:shd w:val="clear" w:color="auto" w:fill="auto"/>
            <w:noWrap/>
            <w:hideMark/>
          </w:tcPr>
          <w:p w14:paraId="7E941D64" w14:textId="6B1EF9FE" w:rsidR="00291167" w:rsidRPr="00291167" w:rsidRDefault="00291167" w:rsidP="00291167">
            <w:pPr>
              <w:jc w:val="center"/>
              <w:rPr>
                <w:b/>
                <w:bCs/>
                <w:sz w:val="18"/>
                <w:szCs w:val="20"/>
                <w:lang w:val="fr-CA" w:eastAsia="en-CA"/>
              </w:rPr>
            </w:pPr>
            <w:r w:rsidRPr="00291167">
              <w:rPr>
                <w:b/>
                <w:bCs/>
                <w:sz w:val="18"/>
                <w:szCs w:val="20"/>
                <w:lang w:val="fr-CA" w:eastAsia="en-CA"/>
              </w:rPr>
              <w:t>Financement ($US)*</w:t>
            </w:r>
          </w:p>
        </w:tc>
      </w:tr>
      <w:tr w:rsidR="00291167" w:rsidRPr="006A5F8A" w14:paraId="5B163C13" w14:textId="77777777" w:rsidTr="00291167">
        <w:trPr>
          <w:trHeight w:val="58"/>
        </w:trPr>
        <w:tc>
          <w:tcPr>
            <w:tcW w:w="1799"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7BAF3568" w14:textId="77777777" w:rsidR="00291167" w:rsidRPr="00291167" w:rsidRDefault="00291167" w:rsidP="00291167">
            <w:pPr>
              <w:jc w:val="left"/>
              <w:rPr>
                <w:b/>
                <w:bCs/>
                <w:sz w:val="18"/>
                <w:szCs w:val="20"/>
                <w:lang w:val="fr-CA" w:eastAsia="en-CA"/>
              </w:rPr>
            </w:pPr>
          </w:p>
        </w:tc>
        <w:tc>
          <w:tcPr>
            <w:tcW w:w="1028" w:type="dxa"/>
            <w:tcBorders>
              <w:top w:val="nil"/>
              <w:left w:val="nil"/>
              <w:bottom w:val="single" w:sz="4" w:space="0" w:color="auto"/>
              <w:right w:val="single" w:sz="4" w:space="0" w:color="auto"/>
            </w:tcBorders>
            <w:shd w:val="clear" w:color="auto" w:fill="auto"/>
            <w:tcMar>
              <w:left w:w="0" w:type="dxa"/>
              <w:right w:w="0" w:type="dxa"/>
            </w:tcMar>
            <w:hideMark/>
          </w:tcPr>
          <w:p w14:paraId="0BA0D411" w14:textId="4D91F4C4" w:rsidR="00291167" w:rsidRPr="00291167" w:rsidRDefault="00291167" w:rsidP="00291167">
            <w:pPr>
              <w:jc w:val="center"/>
              <w:rPr>
                <w:b/>
                <w:bCs/>
                <w:sz w:val="18"/>
                <w:szCs w:val="20"/>
                <w:lang w:val="fr-CA" w:eastAsia="en-CA"/>
              </w:rPr>
            </w:pPr>
            <w:r w:rsidRPr="00291167">
              <w:rPr>
                <w:b/>
                <w:bCs/>
                <w:sz w:val="18"/>
                <w:szCs w:val="20"/>
                <w:lang w:val="fr-CA" w:eastAsia="en-CA"/>
              </w:rPr>
              <w:t>Approuvés</w:t>
            </w:r>
          </w:p>
        </w:tc>
        <w:tc>
          <w:tcPr>
            <w:tcW w:w="989" w:type="dxa"/>
            <w:tcBorders>
              <w:top w:val="nil"/>
              <w:left w:val="nil"/>
              <w:bottom w:val="single" w:sz="4" w:space="0" w:color="auto"/>
              <w:right w:val="single" w:sz="4" w:space="0" w:color="auto"/>
            </w:tcBorders>
            <w:shd w:val="clear" w:color="auto" w:fill="auto"/>
            <w:tcMar>
              <w:left w:w="0" w:type="dxa"/>
              <w:right w:w="0" w:type="dxa"/>
            </w:tcMar>
            <w:hideMark/>
          </w:tcPr>
          <w:p w14:paraId="33F43843" w14:textId="70C8F57D" w:rsidR="00291167" w:rsidRPr="00291167" w:rsidRDefault="00291167" w:rsidP="00291167">
            <w:pPr>
              <w:jc w:val="center"/>
              <w:rPr>
                <w:b/>
                <w:bCs/>
                <w:sz w:val="18"/>
                <w:szCs w:val="20"/>
                <w:lang w:val="fr-CA" w:eastAsia="en-CA"/>
              </w:rPr>
            </w:pPr>
            <w:r w:rsidRPr="00291167">
              <w:rPr>
                <w:b/>
                <w:bCs/>
                <w:sz w:val="18"/>
                <w:szCs w:val="20"/>
                <w:lang w:val="fr-CA" w:eastAsia="en-CA"/>
              </w:rPr>
              <w:t>Achevés</w:t>
            </w:r>
          </w:p>
        </w:tc>
        <w:tc>
          <w:tcPr>
            <w:tcW w:w="1168" w:type="dxa"/>
            <w:tcBorders>
              <w:top w:val="nil"/>
              <w:left w:val="nil"/>
              <w:bottom w:val="single" w:sz="4" w:space="0" w:color="auto"/>
              <w:right w:val="single" w:sz="4" w:space="0" w:color="auto"/>
            </w:tcBorders>
            <w:shd w:val="clear" w:color="auto" w:fill="auto"/>
            <w:tcMar>
              <w:left w:w="0" w:type="dxa"/>
              <w:right w:w="0" w:type="dxa"/>
            </w:tcMar>
            <w:hideMark/>
          </w:tcPr>
          <w:p w14:paraId="3FCF0970" w14:textId="77777777" w:rsidR="00CB2DC9" w:rsidRDefault="00291167" w:rsidP="00291167">
            <w:pPr>
              <w:ind w:left="-103" w:right="-105"/>
              <w:jc w:val="center"/>
              <w:rPr>
                <w:b/>
                <w:bCs/>
                <w:sz w:val="18"/>
                <w:szCs w:val="20"/>
                <w:lang w:val="fr-CA" w:eastAsia="en-CA"/>
              </w:rPr>
            </w:pPr>
            <w:r w:rsidRPr="00291167">
              <w:rPr>
                <w:b/>
                <w:bCs/>
                <w:sz w:val="18"/>
                <w:szCs w:val="20"/>
                <w:lang w:val="fr-CA" w:eastAsia="en-CA"/>
              </w:rPr>
              <w:t xml:space="preserve">% </w:t>
            </w:r>
          </w:p>
          <w:p w14:paraId="3B1F42FF" w14:textId="04A9D998" w:rsidR="00291167" w:rsidRPr="00291167" w:rsidRDefault="00291167" w:rsidP="00291167">
            <w:pPr>
              <w:ind w:left="-103" w:right="-105"/>
              <w:jc w:val="center"/>
              <w:rPr>
                <w:b/>
                <w:bCs/>
                <w:sz w:val="18"/>
                <w:szCs w:val="20"/>
                <w:lang w:val="fr-CA" w:eastAsia="en-CA"/>
              </w:rPr>
            </w:pPr>
            <w:r w:rsidRPr="00291167">
              <w:rPr>
                <w:b/>
                <w:bCs/>
                <w:sz w:val="18"/>
                <w:szCs w:val="20"/>
                <w:lang w:val="fr-CA" w:eastAsia="en-CA"/>
              </w:rPr>
              <w:t>d’achèvement</w:t>
            </w:r>
          </w:p>
        </w:tc>
        <w:tc>
          <w:tcPr>
            <w:tcW w:w="1116" w:type="dxa"/>
            <w:tcBorders>
              <w:top w:val="nil"/>
              <w:left w:val="nil"/>
              <w:bottom w:val="single" w:sz="4" w:space="0" w:color="auto"/>
              <w:right w:val="single" w:sz="4" w:space="0" w:color="auto"/>
            </w:tcBorders>
            <w:shd w:val="clear" w:color="auto" w:fill="auto"/>
            <w:tcMar>
              <w:left w:w="0" w:type="dxa"/>
              <w:right w:w="0" w:type="dxa"/>
            </w:tcMar>
            <w:hideMark/>
          </w:tcPr>
          <w:p w14:paraId="395A169D" w14:textId="3B4319AF" w:rsidR="00291167" w:rsidRPr="00291167" w:rsidRDefault="00291167" w:rsidP="00291167">
            <w:pPr>
              <w:jc w:val="left"/>
              <w:rPr>
                <w:b/>
                <w:bCs/>
                <w:sz w:val="18"/>
                <w:szCs w:val="20"/>
                <w:lang w:val="fr-CA" w:eastAsia="en-CA"/>
              </w:rPr>
            </w:pPr>
            <w:r w:rsidRPr="00291167">
              <w:rPr>
                <w:b/>
                <w:bCs/>
                <w:sz w:val="18"/>
                <w:szCs w:val="20"/>
                <w:lang w:val="fr-CA" w:eastAsia="en-CA"/>
              </w:rPr>
              <w:t>Approuvés</w:t>
            </w:r>
          </w:p>
        </w:tc>
        <w:tc>
          <w:tcPr>
            <w:tcW w:w="1178" w:type="dxa"/>
            <w:tcBorders>
              <w:top w:val="nil"/>
              <w:left w:val="nil"/>
              <w:bottom w:val="single" w:sz="4" w:space="0" w:color="auto"/>
              <w:right w:val="single" w:sz="4" w:space="0" w:color="auto"/>
            </w:tcBorders>
            <w:shd w:val="clear" w:color="auto" w:fill="auto"/>
            <w:tcMar>
              <w:left w:w="0" w:type="dxa"/>
              <w:right w:w="0" w:type="dxa"/>
            </w:tcMar>
            <w:hideMark/>
          </w:tcPr>
          <w:p w14:paraId="5022670A" w14:textId="670F3CC9" w:rsidR="00291167" w:rsidRPr="00291167" w:rsidRDefault="00291167" w:rsidP="00291167">
            <w:pPr>
              <w:jc w:val="center"/>
              <w:rPr>
                <w:b/>
                <w:bCs/>
                <w:sz w:val="18"/>
                <w:szCs w:val="20"/>
                <w:lang w:val="fr-CA" w:eastAsia="en-CA"/>
              </w:rPr>
            </w:pPr>
            <w:r w:rsidRPr="00291167">
              <w:rPr>
                <w:b/>
                <w:bCs/>
                <w:sz w:val="18"/>
                <w:szCs w:val="20"/>
                <w:lang w:val="fr-CA" w:eastAsia="en-CA"/>
              </w:rPr>
              <w:t>Décaissement</w:t>
            </w:r>
          </w:p>
        </w:tc>
        <w:tc>
          <w:tcPr>
            <w:tcW w:w="1016" w:type="dxa"/>
            <w:tcBorders>
              <w:top w:val="nil"/>
              <w:left w:val="nil"/>
              <w:bottom w:val="single" w:sz="4" w:space="0" w:color="auto"/>
              <w:right w:val="single" w:sz="4" w:space="0" w:color="auto"/>
            </w:tcBorders>
            <w:shd w:val="clear" w:color="auto" w:fill="auto"/>
            <w:tcMar>
              <w:left w:w="0" w:type="dxa"/>
              <w:right w:w="0" w:type="dxa"/>
            </w:tcMar>
            <w:hideMark/>
          </w:tcPr>
          <w:p w14:paraId="52D7DAF3" w14:textId="7152D8AD" w:rsidR="00291167" w:rsidRPr="00291167" w:rsidRDefault="00291167" w:rsidP="00291167">
            <w:pPr>
              <w:jc w:val="center"/>
              <w:rPr>
                <w:b/>
                <w:bCs/>
                <w:sz w:val="18"/>
                <w:szCs w:val="20"/>
                <w:lang w:val="fr-CA" w:eastAsia="en-CA"/>
              </w:rPr>
            </w:pPr>
            <w:r w:rsidRPr="00291167">
              <w:rPr>
                <w:b/>
                <w:bCs/>
                <w:sz w:val="18"/>
                <w:szCs w:val="20"/>
                <w:lang w:val="fr-CA" w:eastAsia="en-CA"/>
              </w:rPr>
              <w:t>Solde</w:t>
            </w:r>
          </w:p>
        </w:tc>
        <w:tc>
          <w:tcPr>
            <w:tcW w:w="1061" w:type="dxa"/>
            <w:tcBorders>
              <w:top w:val="nil"/>
              <w:left w:val="nil"/>
              <w:bottom w:val="single" w:sz="4" w:space="0" w:color="auto"/>
              <w:right w:val="single" w:sz="4" w:space="0" w:color="auto"/>
            </w:tcBorders>
            <w:shd w:val="clear" w:color="auto" w:fill="auto"/>
            <w:tcMar>
              <w:left w:w="0" w:type="dxa"/>
              <w:right w:w="0" w:type="dxa"/>
            </w:tcMar>
            <w:hideMark/>
          </w:tcPr>
          <w:p w14:paraId="3DF780D5" w14:textId="2CBE5B59" w:rsidR="00291167" w:rsidRPr="00291167" w:rsidRDefault="00291167" w:rsidP="00291167">
            <w:pPr>
              <w:ind w:left="-163" w:right="-131"/>
              <w:jc w:val="center"/>
              <w:rPr>
                <w:b/>
                <w:bCs/>
                <w:sz w:val="18"/>
                <w:szCs w:val="20"/>
                <w:lang w:val="fr-CA" w:eastAsia="en-CA"/>
              </w:rPr>
            </w:pPr>
            <w:r w:rsidRPr="00291167">
              <w:rPr>
                <w:b/>
                <w:bCs/>
                <w:sz w:val="18"/>
                <w:szCs w:val="20"/>
                <w:lang w:val="fr-CA" w:eastAsia="en-CA"/>
              </w:rPr>
              <w:t>% de décaissement</w:t>
            </w:r>
          </w:p>
        </w:tc>
      </w:tr>
      <w:tr w:rsidR="00291167" w:rsidRPr="006A5F8A" w14:paraId="693AF214" w14:textId="77777777" w:rsidTr="00291167">
        <w:trPr>
          <w:trHeight w:val="58"/>
        </w:trPr>
        <w:tc>
          <w:tcPr>
            <w:tcW w:w="1799"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F0B96CA" w14:textId="77777777" w:rsidR="00A51FFF" w:rsidRPr="006A5F8A" w:rsidRDefault="00A51FFF" w:rsidP="001E39EE">
            <w:pPr>
              <w:jc w:val="left"/>
              <w:rPr>
                <w:sz w:val="20"/>
                <w:szCs w:val="20"/>
                <w:lang w:val="fr-CA" w:eastAsia="en-CA"/>
              </w:rPr>
            </w:pPr>
            <w:r w:rsidRPr="006A5F8A">
              <w:rPr>
                <w:sz w:val="20"/>
                <w:szCs w:val="20"/>
                <w:lang w:val="fr-CA" w:eastAsia="en-CA"/>
              </w:rPr>
              <w:t>Investment**</w:t>
            </w:r>
          </w:p>
        </w:tc>
        <w:tc>
          <w:tcPr>
            <w:tcW w:w="1028" w:type="dxa"/>
            <w:tcBorders>
              <w:top w:val="nil"/>
              <w:left w:val="nil"/>
              <w:bottom w:val="single" w:sz="4" w:space="0" w:color="auto"/>
              <w:right w:val="single" w:sz="4" w:space="0" w:color="auto"/>
            </w:tcBorders>
            <w:shd w:val="clear" w:color="auto" w:fill="auto"/>
            <w:noWrap/>
            <w:hideMark/>
          </w:tcPr>
          <w:p w14:paraId="7AA4C72E" w14:textId="77777777" w:rsidR="00A51FFF" w:rsidRPr="006A5F8A" w:rsidRDefault="00A51FFF" w:rsidP="001E39EE">
            <w:pPr>
              <w:jc w:val="right"/>
              <w:rPr>
                <w:sz w:val="20"/>
                <w:szCs w:val="20"/>
                <w:lang w:val="fr-CA" w:eastAsia="en-CA"/>
              </w:rPr>
            </w:pPr>
            <w:r w:rsidRPr="006A5F8A">
              <w:rPr>
                <w:sz w:val="20"/>
                <w:szCs w:val="20"/>
                <w:lang w:val="fr-CA" w:eastAsia="en-CA"/>
              </w:rPr>
              <w:t>6</w:t>
            </w:r>
          </w:p>
        </w:tc>
        <w:tc>
          <w:tcPr>
            <w:tcW w:w="989" w:type="dxa"/>
            <w:tcBorders>
              <w:top w:val="nil"/>
              <w:left w:val="nil"/>
              <w:bottom w:val="single" w:sz="4" w:space="0" w:color="auto"/>
              <w:right w:val="single" w:sz="4" w:space="0" w:color="auto"/>
            </w:tcBorders>
            <w:shd w:val="clear" w:color="auto" w:fill="auto"/>
            <w:noWrap/>
            <w:hideMark/>
          </w:tcPr>
          <w:p w14:paraId="1E7A1D09" w14:textId="77777777" w:rsidR="00A51FFF" w:rsidRPr="006A5F8A" w:rsidRDefault="00A51FFF" w:rsidP="001E39EE">
            <w:pPr>
              <w:jc w:val="right"/>
              <w:rPr>
                <w:sz w:val="20"/>
                <w:szCs w:val="20"/>
                <w:lang w:val="fr-CA" w:eastAsia="en-CA"/>
              </w:rPr>
            </w:pPr>
            <w:r w:rsidRPr="006A5F8A">
              <w:rPr>
                <w:sz w:val="20"/>
                <w:szCs w:val="20"/>
                <w:lang w:val="fr-CA" w:eastAsia="en-CA"/>
              </w:rPr>
              <w:t>2</w:t>
            </w:r>
          </w:p>
        </w:tc>
        <w:tc>
          <w:tcPr>
            <w:tcW w:w="1168" w:type="dxa"/>
            <w:tcBorders>
              <w:top w:val="nil"/>
              <w:left w:val="nil"/>
              <w:bottom w:val="single" w:sz="4" w:space="0" w:color="auto"/>
              <w:right w:val="single" w:sz="4" w:space="0" w:color="auto"/>
            </w:tcBorders>
            <w:shd w:val="clear" w:color="auto" w:fill="auto"/>
            <w:noWrap/>
            <w:hideMark/>
          </w:tcPr>
          <w:p w14:paraId="4DB89658" w14:textId="77777777" w:rsidR="00A51FFF" w:rsidRPr="006A5F8A" w:rsidRDefault="00A51FFF" w:rsidP="001E39EE">
            <w:pPr>
              <w:jc w:val="right"/>
              <w:rPr>
                <w:sz w:val="20"/>
                <w:szCs w:val="20"/>
                <w:lang w:val="fr-CA" w:eastAsia="en-CA"/>
              </w:rPr>
            </w:pPr>
            <w:r w:rsidRPr="006A5F8A">
              <w:rPr>
                <w:sz w:val="20"/>
                <w:szCs w:val="20"/>
                <w:lang w:val="fr-CA" w:eastAsia="en-CA"/>
              </w:rPr>
              <w:t>33</w:t>
            </w:r>
          </w:p>
        </w:tc>
        <w:tc>
          <w:tcPr>
            <w:tcW w:w="1116" w:type="dxa"/>
            <w:tcBorders>
              <w:top w:val="nil"/>
              <w:left w:val="nil"/>
              <w:bottom w:val="single" w:sz="4" w:space="0" w:color="auto"/>
              <w:right w:val="single" w:sz="4" w:space="0" w:color="auto"/>
            </w:tcBorders>
            <w:shd w:val="clear" w:color="auto" w:fill="auto"/>
            <w:noWrap/>
            <w:hideMark/>
          </w:tcPr>
          <w:p w14:paraId="3D6C9106" w14:textId="04331678" w:rsidR="00A51FFF" w:rsidRPr="006A5F8A" w:rsidRDefault="00A51FFF" w:rsidP="001E39EE">
            <w:pPr>
              <w:jc w:val="right"/>
              <w:rPr>
                <w:sz w:val="20"/>
                <w:szCs w:val="20"/>
                <w:lang w:val="fr-CA" w:eastAsia="en-CA"/>
              </w:rPr>
            </w:pPr>
            <w:r w:rsidRPr="006A5F8A">
              <w:rPr>
                <w:sz w:val="20"/>
                <w:szCs w:val="20"/>
                <w:lang w:val="fr-CA" w:eastAsia="en-CA"/>
              </w:rPr>
              <w:t>8</w:t>
            </w:r>
            <w:r w:rsidR="00C540F4">
              <w:rPr>
                <w:sz w:val="20"/>
                <w:szCs w:val="20"/>
                <w:lang w:val="fr-CA" w:eastAsia="en-CA"/>
              </w:rPr>
              <w:t xml:space="preserve"> </w:t>
            </w:r>
            <w:r w:rsidRPr="006A5F8A">
              <w:rPr>
                <w:sz w:val="20"/>
                <w:szCs w:val="20"/>
                <w:lang w:val="fr-CA" w:eastAsia="en-CA"/>
              </w:rPr>
              <w:t>502</w:t>
            </w:r>
            <w:r w:rsidR="00C540F4">
              <w:rPr>
                <w:sz w:val="20"/>
                <w:szCs w:val="20"/>
                <w:lang w:val="fr-CA" w:eastAsia="en-CA"/>
              </w:rPr>
              <w:t xml:space="preserve"> </w:t>
            </w:r>
            <w:r w:rsidRPr="006A5F8A">
              <w:rPr>
                <w:sz w:val="20"/>
                <w:szCs w:val="20"/>
                <w:lang w:val="fr-CA" w:eastAsia="en-CA"/>
              </w:rPr>
              <w:t>860</w:t>
            </w:r>
          </w:p>
        </w:tc>
        <w:tc>
          <w:tcPr>
            <w:tcW w:w="1178" w:type="dxa"/>
            <w:tcBorders>
              <w:top w:val="nil"/>
              <w:left w:val="nil"/>
              <w:bottom w:val="single" w:sz="4" w:space="0" w:color="auto"/>
              <w:right w:val="single" w:sz="4" w:space="0" w:color="auto"/>
            </w:tcBorders>
            <w:shd w:val="clear" w:color="auto" w:fill="auto"/>
            <w:noWrap/>
            <w:hideMark/>
          </w:tcPr>
          <w:p w14:paraId="090471F8" w14:textId="5998E759" w:rsidR="00A51FFF" w:rsidRPr="006A5F8A" w:rsidRDefault="00A51FFF" w:rsidP="001E39EE">
            <w:pPr>
              <w:jc w:val="right"/>
              <w:rPr>
                <w:sz w:val="20"/>
                <w:szCs w:val="20"/>
                <w:lang w:val="fr-CA" w:eastAsia="en-CA"/>
              </w:rPr>
            </w:pPr>
            <w:r w:rsidRPr="006A5F8A">
              <w:rPr>
                <w:sz w:val="20"/>
                <w:szCs w:val="20"/>
                <w:lang w:val="fr-CA" w:eastAsia="en-CA"/>
              </w:rPr>
              <w:t>6</w:t>
            </w:r>
            <w:r w:rsidR="00C540F4">
              <w:rPr>
                <w:sz w:val="20"/>
                <w:szCs w:val="20"/>
                <w:lang w:val="fr-CA" w:eastAsia="en-CA"/>
              </w:rPr>
              <w:t xml:space="preserve"> </w:t>
            </w:r>
            <w:r w:rsidRPr="006A5F8A">
              <w:rPr>
                <w:sz w:val="20"/>
                <w:szCs w:val="20"/>
                <w:lang w:val="fr-CA" w:eastAsia="en-CA"/>
              </w:rPr>
              <w:t>266</w:t>
            </w:r>
            <w:r w:rsidR="00C540F4">
              <w:rPr>
                <w:sz w:val="20"/>
                <w:szCs w:val="20"/>
                <w:lang w:val="fr-CA" w:eastAsia="en-CA"/>
              </w:rPr>
              <w:t xml:space="preserve"> </w:t>
            </w:r>
            <w:r w:rsidRPr="006A5F8A">
              <w:rPr>
                <w:sz w:val="20"/>
                <w:szCs w:val="20"/>
                <w:lang w:val="fr-CA" w:eastAsia="en-CA"/>
              </w:rPr>
              <w:t>199</w:t>
            </w:r>
          </w:p>
        </w:tc>
        <w:tc>
          <w:tcPr>
            <w:tcW w:w="1016" w:type="dxa"/>
            <w:tcBorders>
              <w:top w:val="nil"/>
              <w:left w:val="nil"/>
              <w:bottom w:val="single" w:sz="4" w:space="0" w:color="auto"/>
              <w:right w:val="single" w:sz="4" w:space="0" w:color="auto"/>
            </w:tcBorders>
            <w:shd w:val="clear" w:color="auto" w:fill="auto"/>
            <w:noWrap/>
            <w:hideMark/>
          </w:tcPr>
          <w:p w14:paraId="0A94E1F5" w14:textId="2C15DB8E" w:rsidR="00A51FFF" w:rsidRPr="006A5F8A" w:rsidRDefault="00A51FFF" w:rsidP="001E39EE">
            <w:pPr>
              <w:jc w:val="right"/>
              <w:rPr>
                <w:sz w:val="20"/>
                <w:szCs w:val="20"/>
                <w:lang w:val="fr-CA" w:eastAsia="en-CA"/>
              </w:rPr>
            </w:pPr>
            <w:r w:rsidRPr="006A5F8A">
              <w:rPr>
                <w:sz w:val="20"/>
                <w:szCs w:val="20"/>
                <w:lang w:val="fr-CA" w:eastAsia="en-CA"/>
              </w:rPr>
              <w:t>2</w:t>
            </w:r>
            <w:r w:rsidR="00C540F4">
              <w:rPr>
                <w:sz w:val="20"/>
                <w:szCs w:val="20"/>
                <w:lang w:val="fr-CA" w:eastAsia="en-CA"/>
              </w:rPr>
              <w:t xml:space="preserve"> </w:t>
            </w:r>
            <w:r w:rsidRPr="006A5F8A">
              <w:rPr>
                <w:sz w:val="20"/>
                <w:szCs w:val="20"/>
                <w:lang w:val="fr-CA" w:eastAsia="en-CA"/>
              </w:rPr>
              <w:t>236</w:t>
            </w:r>
            <w:r w:rsidR="00C540F4">
              <w:rPr>
                <w:sz w:val="20"/>
                <w:szCs w:val="20"/>
                <w:lang w:val="fr-CA" w:eastAsia="en-CA"/>
              </w:rPr>
              <w:t xml:space="preserve"> </w:t>
            </w:r>
            <w:r w:rsidRPr="006A5F8A">
              <w:rPr>
                <w:sz w:val="20"/>
                <w:szCs w:val="20"/>
                <w:lang w:val="fr-CA" w:eastAsia="en-CA"/>
              </w:rPr>
              <w:t>661</w:t>
            </w:r>
          </w:p>
        </w:tc>
        <w:tc>
          <w:tcPr>
            <w:tcW w:w="1061" w:type="dxa"/>
            <w:tcBorders>
              <w:top w:val="nil"/>
              <w:left w:val="nil"/>
              <w:bottom w:val="single" w:sz="4" w:space="0" w:color="auto"/>
              <w:right w:val="single" w:sz="4" w:space="0" w:color="auto"/>
            </w:tcBorders>
            <w:shd w:val="clear" w:color="auto" w:fill="auto"/>
            <w:noWrap/>
            <w:hideMark/>
          </w:tcPr>
          <w:p w14:paraId="0CAD2396" w14:textId="77777777" w:rsidR="00A51FFF" w:rsidRPr="006A5F8A" w:rsidRDefault="00A51FFF" w:rsidP="001E39EE">
            <w:pPr>
              <w:jc w:val="right"/>
              <w:rPr>
                <w:sz w:val="20"/>
                <w:szCs w:val="20"/>
                <w:lang w:val="fr-CA" w:eastAsia="en-CA"/>
              </w:rPr>
            </w:pPr>
            <w:r w:rsidRPr="006A5F8A">
              <w:rPr>
                <w:sz w:val="20"/>
                <w:szCs w:val="20"/>
                <w:lang w:val="fr-CA" w:eastAsia="en-CA"/>
              </w:rPr>
              <w:t>74</w:t>
            </w:r>
          </w:p>
        </w:tc>
      </w:tr>
      <w:tr w:rsidR="00291167" w:rsidRPr="006A5F8A" w14:paraId="5665F2EF" w14:textId="77777777" w:rsidTr="00291167">
        <w:trPr>
          <w:trHeight w:val="58"/>
        </w:trPr>
        <w:tc>
          <w:tcPr>
            <w:tcW w:w="1799"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565D923" w14:textId="1353DCB1" w:rsidR="00A51FFF" w:rsidRPr="006A5F8A" w:rsidRDefault="00291167" w:rsidP="001E39EE">
            <w:pPr>
              <w:jc w:val="left"/>
              <w:rPr>
                <w:sz w:val="20"/>
                <w:szCs w:val="20"/>
                <w:lang w:val="fr-CA" w:eastAsia="en-CA"/>
              </w:rPr>
            </w:pPr>
            <w:r>
              <w:rPr>
                <w:sz w:val="20"/>
                <w:szCs w:val="20"/>
                <w:lang w:val="fr-CA" w:eastAsia="en-CA"/>
              </w:rPr>
              <w:t>Préparation de projet</w:t>
            </w:r>
          </w:p>
        </w:tc>
        <w:tc>
          <w:tcPr>
            <w:tcW w:w="1028" w:type="dxa"/>
            <w:tcBorders>
              <w:top w:val="nil"/>
              <w:left w:val="nil"/>
              <w:bottom w:val="single" w:sz="4" w:space="0" w:color="auto"/>
              <w:right w:val="single" w:sz="4" w:space="0" w:color="auto"/>
            </w:tcBorders>
            <w:shd w:val="clear" w:color="auto" w:fill="auto"/>
            <w:noWrap/>
            <w:hideMark/>
          </w:tcPr>
          <w:p w14:paraId="7F47CE75" w14:textId="77777777" w:rsidR="00A51FFF" w:rsidRPr="006A5F8A" w:rsidRDefault="00A51FFF" w:rsidP="001E39EE">
            <w:pPr>
              <w:jc w:val="right"/>
              <w:rPr>
                <w:sz w:val="20"/>
                <w:szCs w:val="20"/>
                <w:lang w:val="fr-CA" w:eastAsia="en-CA"/>
              </w:rPr>
            </w:pPr>
            <w:r w:rsidRPr="006A5F8A">
              <w:rPr>
                <w:sz w:val="20"/>
                <w:szCs w:val="20"/>
                <w:lang w:val="fr-CA" w:eastAsia="en-CA"/>
              </w:rPr>
              <w:t>10</w:t>
            </w:r>
          </w:p>
        </w:tc>
        <w:tc>
          <w:tcPr>
            <w:tcW w:w="989" w:type="dxa"/>
            <w:tcBorders>
              <w:top w:val="nil"/>
              <w:left w:val="nil"/>
              <w:bottom w:val="single" w:sz="4" w:space="0" w:color="auto"/>
              <w:right w:val="single" w:sz="4" w:space="0" w:color="auto"/>
            </w:tcBorders>
            <w:shd w:val="clear" w:color="auto" w:fill="auto"/>
            <w:noWrap/>
            <w:hideMark/>
          </w:tcPr>
          <w:p w14:paraId="00C847EF" w14:textId="77777777" w:rsidR="00A51FFF" w:rsidRPr="006A5F8A" w:rsidRDefault="00A51FFF" w:rsidP="001E39EE">
            <w:pPr>
              <w:jc w:val="right"/>
              <w:rPr>
                <w:sz w:val="20"/>
                <w:szCs w:val="20"/>
                <w:lang w:val="fr-CA" w:eastAsia="en-CA"/>
              </w:rPr>
            </w:pPr>
            <w:r w:rsidRPr="006A5F8A">
              <w:rPr>
                <w:sz w:val="20"/>
                <w:szCs w:val="20"/>
                <w:lang w:val="fr-CA" w:eastAsia="en-CA"/>
              </w:rPr>
              <w:t>10</w:t>
            </w:r>
          </w:p>
        </w:tc>
        <w:tc>
          <w:tcPr>
            <w:tcW w:w="1168" w:type="dxa"/>
            <w:tcBorders>
              <w:top w:val="nil"/>
              <w:left w:val="nil"/>
              <w:bottom w:val="single" w:sz="4" w:space="0" w:color="auto"/>
              <w:right w:val="single" w:sz="4" w:space="0" w:color="auto"/>
            </w:tcBorders>
            <w:shd w:val="clear" w:color="auto" w:fill="auto"/>
            <w:noWrap/>
            <w:hideMark/>
          </w:tcPr>
          <w:p w14:paraId="1E7C3ED1" w14:textId="77777777" w:rsidR="00A51FFF" w:rsidRPr="006A5F8A" w:rsidRDefault="00A51FFF" w:rsidP="001E39EE">
            <w:pPr>
              <w:jc w:val="right"/>
              <w:rPr>
                <w:sz w:val="20"/>
                <w:szCs w:val="20"/>
                <w:lang w:val="fr-CA" w:eastAsia="en-CA"/>
              </w:rPr>
            </w:pPr>
            <w:r w:rsidRPr="006A5F8A">
              <w:rPr>
                <w:sz w:val="20"/>
                <w:szCs w:val="20"/>
                <w:lang w:val="fr-CA" w:eastAsia="en-CA"/>
              </w:rPr>
              <w:t>100</w:t>
            </w:r>
          </w:p>
        </w:tc>
        <w:tc>
          <w:tcPr>
            <w:tcW w:w="1116" w:type="dxa"/>
            <w:tcBorders>
              <w:top w:val="nil"/>
              <w:left w:val="nil"/>
              <w:bottom w:val="single" w:sz="4" w:space="0" w:color="auto"/>
              <w:right w:val="single" w:sz="4" w:space="0" w:color="auto"/>
            </w:tcBorders>
            <w:shd w:val="clear" w:color="auto" w:fill="auto"/>
            <w:hideMark/>
          </w:tcPr>
          <w:p w14:paraId="1F82AB1A" w14:textId="2BBFBD17" w:rsidR="00A51FFF" w:rsidRPr="006A5F8A" w:rsidRDefault="00A51FFF" w:rsidP="001E39EE">
            <w:pPr>
              <w:jc w:val="right"/>
              <w:rPr>
                <w:sz w:val="20"/>
                <w:szCs w:val="20"/>
                <w:lang w:val="fr-CA" w:eastAsia="en-CA"/>
              </w:rPr>
            </w:pPr>
            <w:r w:rsidRPr="006A5F8A">
              <w:rPr>
                <w:sz w:val="20"/>
                <w:szCs w:val="20"/>
                <w:lang w:val="fr-CA" w:eastAsia="en-CA"/>
              </w:rPr>
              <w:t>273</w:t>
            </w:r>
            <w:r w:rsidR="00C540F4">
              <w:rPr>
                <w:sz w:val="20"/>
                <w:szCs w:val="20"/>
                <w:lang w:val="fr-CA" w:eastAsia="en-CA"/>
              </w:rPr>
              <w:t xml:space="preserve"> </w:t>
            </w:r>
            <w:r w:rsidRPr="006A5F8A">
              <w:rPr>
                <w:sz w:val="20"/>
                <w:szCs w:val="20"/>
                <w:lang w:val="fr-CA" w:eastAsia="en-CA"/>
              </w:rPr>
              <w:t>821</w:t>
            </w:r>
          </w:p>
        </w:tc>
        <w:tc>
          <w:tcPr>
            <w:tcW w:w="1178" w:type="dxa"/>
            <w:tcBorders>
              <w:top w:val="nil"/>
              <w:left w:val="nil"/>
              <w:bottom w:val="single" w:sz="4" w:space="0" w:color="auto"/>
              <w:right w:val="single" w:sz="4" w:space="0" w:color="auto"/>
            </w:tcBorders>
            <w:shd w:val="clear" w:color="auto" w:fill="auto"/>
            <w:hideMark/>
          </w:tcPr>
          <w:p w14:paraId="72EAB4E2" w14:textId="4556BC9B" w:rsidR="00A51FFF" w:rsidRPr="006A5F8A" w:rsidRDefault="00A51FFF" w:rsidP="001E39EE">
            <w:pPr>
              <w:jc w:val="right"/>
              <w:rPr>
                <w:sz w:val="20"/>
                <w:szCs w:val="20"/>
                <w:lang w:val="fr-CA" w:eastAsia="en-CA"/>
              </w:rPr>
            </w:pPr>
            <w:r w:rsidRPr="006A5F8A">
              <w:rPr>
                <w:sz w:val="20"/>
                <w:szCs w:val="20"/>
                <w:lang w:val="fr-CA" w:eastAsia="en-CA"/>
              </w:rPr>
              <w:t>214</w:t>
            </w:r>
            <w:r w:rsidR="00C540F4">
              <w:rPr>
                <w:sz w:val="20"/>
                <w:szCs w:val="20"/>
                <w:lang w:val="fr-CA" w:eastAsia="en-CA"/>
              </w:rPr>
              <w:t xml:space="preserve"> </w:t>
            </w:r>
            <w:r w:rsidRPr="006A5F8A">
              <w:rPr>
                <w:sz w:val="20"/>
                <w:szCs w:val="20"/>
                <w:lang w:val="fr-CA" w:eastAsia="en-CA"/>
              </w:rPr>
              <w:t>900</w:t>
            </w:r>
          </w:p>
        </w:tc>
        <w:tc>
          <w:tcPr>
            <w:tcW w:w="1016" w:type="dxa"/>
            <w:tcBorders>
              <w:top w:val="nil"/>
              <w:left w:val="nil"/>
              <w:bottom w:val="single" w:sz="4" w:space="0" w:color="auto"/>
              <w:right w:val="single" w:sz="4" w:space="0" w:color="auto"/>
            </w:tcBorders>
            <w:shd w:val="clear" w:color="auto" w:fill="auto"/>
            <w:hideMark/>
          </w:tcPr>
          <w:p w14:paraId="312A3FA5" w14:textId="0EB27300" w:rsidR="00A51FFF" w:rsidRPr="006A5F8A" w:rsidRDefault="00A51FFF" w:rsidP="001E39EE">
            <w:pPr>
              <w:jc w:val="right"/>
              <w:rPr>
                <w:sz w:val="20"/>
                <w:szCs w:val="20"/>
                <w:lang w:val="fr-CA" w:eastAsia="en-CA"/>
              </w:rPr>
            </w:pPr>
            <w:r w:rsidRPr="006A5F8A">
              <w:rPr>
                <w:sz w:val="20"/>
                <w:szCs w:val="20"/>
                <w:lang w:val="fr-CA" w:eastAsia="en-CA"/>
              </w:rPr>
              <w:t>58</w:t>
            </w:r>
            <w:r w:rsidR="00C540F4">
              <w:rPr>
                <w:sz w:val="20"/>
                <w:szCs w:val="20"/>
                <w:lang w:val="fr-CA" w:eastAsia="en-CA"/>
              </w:rPr>
              <w:t xml:space="preserve"> </w:t>
            </w:r>
            <w:r w:rsidRPr="006A5F8A">
              <w:rPr>
                <w:sz w:val="20"/>
                <w:szCs w:val="20"/>
                <w:lang w:val="fr-CA" w:eastAsia="en-CA"/>
              </w:rPr>
              <w:t>921</w:t>
            </w:r>
          </w:p>
        </w:tc>
        <w:tc>
          <w:tcPr>
            <w:tcW w:w="1061" w:type="dxa"/>
            <w:tcBorders>
              <w:top w:val="nil"/>
              <w:left w:val="nil"/>
              <w:bottom w:val="single" w:sz="4" w:space="0" w:color="auto"/>
              <w:right w:val="single" w:sz="4" w:space="0" w:color="auto"/>
            </w:tcBorders>
            <w:shd w:val="clear" w:color="auto" w:fill="auto"/>
            <w:noWrap/>
            <w:hideMark/>
          </w:tcPr>
          <w:p w14:paraId="3CD870A3" w14:textId="77777777" w:rsidR="00A51FFF" w:rsidRPr="006A5F8A" w:rsidRDefault="00A51FFF" w:rsidP="001E39EE">
            <w:pPr>
              <w:jc w:val="right"/>
              <w:rPr>
                <w:sz w:val="20"/>
                <w:szCs w:val="20"/>
                <w:lang w:val="fr-CA" w:eastAsia="en-CA"/>
              </w:rPr>
            </w:pPr>
            <w:r w:rsidRPr="006A5F8A">
              <w:rPr>
                <w:sz w:val="20"/>
                <w:szCs w:val="20"/>
                <w:lang w:val="fr-CA" w:eastAsia="en-CA"/>
              </w:rPr>
              <w:t>78</w:t>
            </w:r>
          </w:p>
        </w:tc>
      </w:tr>
      <w:tr w:rsidR="00291167" w:rsidRPr="006A5F8A" w14:paraId="3DC5A891" w14:textId="77777777" w:rsidTr="00291167">
        <w:trPr>
          <w:trHeight w:val="111"/>
        </w:trPr>
        <w:tc>
          <w:tcPr>
            <w:tcW w:w="1799"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0258CDF" w14:textId="6D9A477B" w:rsidR="00A51FFF" w:rsidRPr="006A5F8A" w:rsidRDefault="00291167" w:rsidP="001E39EE">
            <w:pPr>
              <w:jc w:val="left"/>
              <w:rPr>
                <w:sz w:val="20"/>
                <w:szCs w:val="20"/>
                <w:lang w:val="fr-CA" w:eastAsia="en-CA"/>
              </w:rPr>
            </w:pPr>
            <w:r>
              <w:rPr>
                <w:sz w:val="20"/>
                <w:szCs w:val="20"/>
                <w:lang w:val="fr-CA" w:eastAsia="en-CA"/>
              </w:rPr>
              <w:t>Assistance technique, activités de facilitation</w:t>
            </w:r>
          </w:p>
        </w:tc>
        <w:tc>
          <w:tcPr>
            <w:tcW w:w="1028" w:type="dxa"/>
            <w:tcBorders>
              <w:top w:val="nil"/>
              <w:left w:val="nil"/>
              <w:bottom w:val="single" w:sz="4" w:space="0" w:color="auto"/>
              <w:right w:val="single" w:sz="4" w:space="0" w:color="auto"/>
            </w:tcBorders>
            <w:shd w:val="clear" w:color="auto" w:fill="auto"/>
            <w:noWrap/>
            <w:hideMark/>
          </w:tcPr>
          <w:p w14:paraId="5B9A1CE1" w14:textId="77777777" w:rsidR="00A51FFF" w:rsidRPr="006A5F8A" w:rsidRDefault="00A51FFF" w:rsidP="001E39EE">
            <w:pPr>
              <w:jc w:val="right"/>
              <w:rPr>
                <w:sz w:val="20"/>
                <w:szCs w:val="20"/>
                <w:lang w:val="fr-CA" w:eastAsia="en-CA"/>
              </w:rPr>
            </w:pPr>
            <w:r w:rsidRPr="006A5F8A">
              <w:rPr>
                <w:sz w:val="20"/>
                <w:szCs w:val="20"/>
                <w:lang w:val="fr-CA" w:eastAsia="en-CA"/>
              </w:rPr>
              <w:t>128</w:t>
            </w:r>
          </w:p>
        </w:tc>
        <w:tc>
          <w:tcPr>
            <w:tcW w:w="989" w:type="dxa"/>
            <w:tcBorders>
              <w:top w:val="nil"/>
              <w:left w:val="nil"/>
              <w:bottom w:val="single" w:sz="4" w:space="0" w:color="auto"/>
              <w:right w:val="single" w:sz="4" w:space="0" w:color="auto"/>
            </w:tcBorders>
            <w:shd w:val="clear" w:color="auto" w:fill="auto"/>
            <w:hideMark/>
          </w:tcPr>
          <w:p w14:paraId="4252C3B9" w14:textId="77777777" w:rsidR="00A51FFF" w:rsidRPr="006A5F8A" w:rsidRDefault="00A51FFF" w:rsidP="001E39EE">
            <w:pPr>
              <w:jc w:val="right"/>
              <w:rPr>
                <w:sz w:val="20"/>
                <w:szCs w:val="20"/>
                <w:lang w:val="fr-CA" w:eastAsia="en-CA"/>
              </w:rPr>
            </w:pPr>
            <w:r w:rsidRPr="006A5F8A">
              <w:rPr>
                <w:sz w:val="20"/>
                <w:szCs w:val="20"/>
                <w:lang w:val="fr-CA" w:eastAsia="en-CA"/>
              </w:rPr>
              <w:t>22</w:t>
            </w:r>
          </w:p>
        </w:tc>
        <w:tc>
          <w:tcPr>
            <w:tcW w:w="1168" w:type="dxa"/>
            <w:tcBorders>
              <w:top w:val="nil"/>
              <w:left w:val="nil"/>
              <w:bottom w:val="single" w:sz="4" w:space="0" w:color="auto"/>
              <w:right w:val="single" w:sz="4" w:space="0" w:color="auto"/>
            </w:tcBorders>
            <w:shd w:val="clear" w:color="auto" w:fill="auto"/>
            <w:noWrap/>
            <w:hideMark/>
          </w:tcPr>
          <w:p w14:paraId="7C2B5DD4" w14:textId="77777777" w:rsidR="00A51FFF" w:rsidRPr="006A5F8A" w:rsidRDefault="00A51FFF" w:rsidP="001E39EE">
            <w:pPr>
              <w:jc w:val="right"/>
              <w:rPr>
                <w:sz w:val="20"/>
                <w:szCs w:val="20"/>
                <w:lang w:val="fr-CA" w:eastAsia="en-CA"/>
              </w:rPr>
            </w:pPr>
            <w:r w:rsidRPr="006A5F8A">
              <w:rPr>
                <w:sz w:val="20"/>
                <w:szCs w:val="20"/>
                <w:lang w:val="fr-CA" w:eastAsia="en-CA"/>
              </w:rPr>
              <w:t>17</w:t>
            </w:r>
          </w:p>
        </w:tc>
        <w:tc>
          <w:tcPr>
            <w:tcW w:w="1116" w:type="dxa"/>
            <w:tcBorders>
              <w:top w:val="nil"/>
              <w:left w:val="nil"/>
              <w:bottom w:val="single" w:sz="4" w:space="0" w:color="auto"/>
              <w:right w:val="single" w:sz="4" w:space="0" w:color="auto"/>
            </w:tcBorders>
            <w:shd w:val="clear" w:color="auto" w:fill="auto"/>
            <w:hideMark/>
          </w:tcPr>
          <w:p w14:paraId="26BB951D" w14:textId="4EAB8369" w:rsidR="00A51FFF" w:rsidRPr="006A5F8A" w:rsidRDefault="00A51FFF" w:rsidP="001E39EE">
            <w:pPr>
              <w:jc w:val="right"/>
              <w:rPr>
                <w:sz w:val="20"/>
                <w:szCs w:val="20"/>
                <w:lang w:val="fr-CA" w:eastAsia="en-CA"/>
              </w:rPr>
            </w:pPr>
            <w:r w:rsidRPr="006A5F8A">
              <w:rPr>
                <w:sz w:val="20"/>
                <w:szCs w:val="20"/>
                <w:lang w:val="fr-CA" w:eastAsia="en-CA"/>
              </w:rPr>
              <w:t>15</w:t>
            </w:r>
            <w:r w:rsidR="00C540F4">
              <w:rPr>
                <w:sz w:val="20"/>
                <w:szCs w:val="20"/>
                <w:lang w:val="fr-CA" w:eastAsia="en-CA"/>
              </w:rPr>
              <w:t xml:space="preserve"> </w:t>
            </w:r>
            <w:r w:rsidRPr="006A5F8A">
              <w:rPr>
                <w:sz w:val="20"/>
                <w:szCs w:val="20"/>
                <w:lang w:val="fr-CA" w:eastAsia="en-CA"/>
              </w:rPr>
              <w:t>154</w:t>
            </w:r>
            <w:r w:rsidR="00C540F4">
              <w:rPr>
                <w:sz w:val="20"/>
                <w:szCs w:val="20"/>
                <w:lang w:val="fr-CA" w:eastAsia="en-CA"/>
              </w:rPr>
              <w:t xml:space="preserve"> </w:t>
            </w:r>
            <w:r w:rsidRPr="006A5F8A">
              <w:rPr>
                <w:sz w:val="20"/>
                <w:szCs w:val="20"/>
                <w:lang w:val="fr-CA" w:eastAsia="en-CA"/>
              </w:rPr>
              <w:t>254</w:t>
            </w:r>
          </w:p>
        </w:tc>
        <w:tc>
          <w:tcPr>
            <w:tcW w:w="1178" w:type="dxa"/>
            <w:tcBorders>
              <w:top w:val="nil"/>
              <w:left w:val="nil"/>
              <w:bottom w:val="single" w:sz="4" w:space="0" w:color="auto"/>
              <w:right w:val="single" w:sz="4" w:space="0" w:color="auto"/>
            </w:tcBorders>
            <w:shd w:val="clear" w:color="auto" w:fill="auto"/>
            <w:hideMark/>
          </w:tcPr>
          <w:p w14:paraId="05544032" w14:textId="60D3FE2E" w:rsidR="00A51FFF" w:rsidRPr="006A5F8A" w:rsidRDefault="00A51FFF" w:rsidP="001E39EE">
            <w:pPr>
              <w:jc w:val="right"/>
              <w:rPr>
                <w:sz w:val="20"/>
                <w:szCs w:val="20"/>
                <w:lang w:val="fr-CA" w:eastAsia="en-CA"/>
              </w:rPr>
            </w:pPr>
            <w:r w:rsidRPr="006A5F8A">
              <w:rPr>
                <w:sz w:val="20"/>
                <w:szCs w:val="20"/>
                <w:lang w:val="fr-CA" w:eastAsia="en-CA"/>
              </w:rPr>
              <w:t>9</w:t>
            </w:r>
            <w:r w:rsidR="00C540F4">
              <w:rPr>
                <w:sz w:val="20"/>
                <w:szCs w:val="20"/>
                <w:lang w:val="fr-CA" w:eastAsia="en-CA"/>
              </w:rPr>
              <w:t xml:space="preserve"> </w:t>
            </w:r>
            <w:r w:rsidRPr="006A5F8A">
              <w:rPr>
                <w:sz w:val="20"/>
                <w:szCs w:val="20"/>
                <w:lang w:val="fr-CA" w:eastAsia="en-CA"/>
              </w:rPr>
              <w:t>842</w:t>
            </w:r>
            <w:r w:rsidR="00C540F4">
              <w:rPr>
                <w:sz w:val="20"/>
                <w:szCs w:val="20"/>
                <w:lang w:val="fr-CA" w:eastAsia="en-CA"/>
              </w:rPr>
              <w:t xml:space="preserve"> </w:t>
            </w:r>
            <w:r w:rsidRPr="006A5F8A">
              <w:rPr>
                <w:sz w:val="20"/>
                <w:szCs w:val="20"/>
                <w:lang w:val="fr-CA" w:eastAsia="en-CA"/>
              </w:rPr>
              <w:t>553</w:t>
            </w:r>
          </w:p>
        </w:tc>
        <w:tc>
          <w:tcPr>
            <w:tcW w:w="1016" w:type="dxa"/>
            <w:tcBorders>
              <w:top w:val="nil"/>
              <w:left w:val="nil"/>
              <w:bottom w:val="single" w:sz="4" w:space="0" w:color="auto"/>
              <w:right w:val="single" w:sz="4" w:space="0" w:color="auto"/>
            </w:tcBorders>
            <w:shd w:val="clear" w:color="auto" w:fill="auto"/>
            <w:hideMark/>
          </w:tcPr>
          <w:p w14:paraId="0C2F7CA8" w14:textId="2720C364" w:rsidR="00A51FFF" w:rsidRPr="006A5F8A" w:rsidRDefault="00A51FFF" w:rsidP="001E39EE">
            <w:pPr>
              <w:jc w:val="right"/>
              <w:rPr>
                <w:sz w:val="20"/>
                <w:szCs w:val="20"/>
                <w:lang w:val="fr-CA" w:eastAsia="en-CA"/>
              </w:rPr>
            </w:pPr>
            <w:r w:rsidRPr="006A5F8A">
              <w:rPr>
                <w:sz w:val="20"/>
                <w:szCs w:val="20"/>
                <w:lang w:val="fr-CA" w:eastAsia="en-CA"/>
              </w:rPr>
              <w:t>5</w:t>
            </w:r>
            <w:r w:rsidR="00C540F4">
              <w:rPr>
                <w:sz w:val="20"/>
                <w:szCs w:val="20"/>
                <w:lang w:val="fr-CA" w:eastAsia="en-CA"/>
              </w:rPr>
              <w:t xml:space="preserve"> </w:t>
            </w:r>
            <w:r w:rsidRPr="006A5F8A">
              <w:rPr>
                <w:sz w:val="20"/>
                <w:szCs w:val="20"/>
                <w:lang w:val="fr-CA" w:eastAsia="en-CA"/>
              </w:rPr>
              <w:t>311</w:t>
            </w:r>
            <w:r w:rsidR="00C540F4">
              <w:rPr>
                <w:sz w:val="20"/>
                <w:szCs w:val="20"/>
                <w:lang w:val="fr-CA" w:eastAsia="en-CA"/>
              </w:rPr>
              <w:t xml:space="preserve"> </w:t>
            </w:r>
            <w:r w:rsidRPr="006A5F8A">
              <w:rPr>
                <w:sz w:val="20"/>
                <w:szCs w:val="20"/>
                <w:lang w:val="fr-CA" w:eastAsia="en-CA"/>
              </w:rPr>
              <w:t>701</w:t>
            </w:r>
          </w:p>
        </w:tc>
        <w:tc>
          <w:tcPr>
            <w:tcW w:w="1061" w:type="dxa"/>
            <w:tcBorders>
              <w:top w:val="nil"/>
              <w:left w:val="nil"/>
              <w:bottom w:val="single" w:sz="4" w:space="0" w:color="auto"/>
              <w:right w:val="single" w:sz="4" w:space="0" w:color="auto"/>
            </w:tcBorders>
            <w:shd w:val="clear" w:color="auto" w:fill="auto"/>
            <w:noWrap/>
            <w:hideMark/>
          </w:tcPr>
          <w:p w14:paraId="14CDFF3E" w14:textId="77777777" w:rsidR="00A51FFF" w:rsidRPr="006A5F8A" w:rsidRDefault="00A51FFF" w:rsidP="001E39EE">
            <w:pPr>
              <w:jc w:val="right"/>
              <w:rPr>
                <w:sz w:val="20"/>
                <w:szCs w:val="20"/>
                <w:lang w:val="fr-CA" w:eastAsia="en-CA"/>
              </w:rPr>
            </w:pPr>
            <w:r w:rsidRPr="006A5F8A">
              <w:rPr>
                <w:sz w:val="20"/>
                <w:szCs w:val="20"/>
                <w:lang w:val="fr-CA" w:eastAsia="en-CA"/>
              </w:rPr>
              <w:t>65</w:t>
            </w:r>
          </w:p>
        </w:tc>
      </w:tr>
      <w:tr w:rsidR="00291167" w:rsidRPr="006A5F8A" w14:paraId="7FF07D8F" w14:textId="77777777" w:rsidTr="00291167">
        <w:trPr>
          <w:trHeight w:val="60"/>
        </w:trPr>
        <w:tc>
          <w:tcPr>
            <w:tcW w:w="1799"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2E0A19C" w14:textId="77777777" w:rsidR="00A51FFF" w:rsidRPr="006A5F8A" w:rsidRDefault="00A51FFF" w:rsidP="001E39EE">
            <w:pPr>
              <w:jc w:val="left"/>
              <w:rPr>
                <w:b/>
                <w:bCs/>
                <w:sz w:val="20"/>
                <w:szCs w:val="20"/>
                <w:lang w:val="fr-CA" w:eastAsia="en-CA"/>
              </w:rPr>
            </w:pPr>
            <w:r w:rsidRPr="006A5F8A">
              <w:rPr>
                <w:b/>
                <w:bCs/>
                <w:sz w:val="20"/>
                <w:szCs w:val="20"/>
                <w:lang w:val="fr-CA" w:eastAsia="en-CA"/>
              </w:rPr>
              <w:t>Total</w:t>
            </w:r>
          </w:p>
        </w:tc>
        <w:tc>
          <w:tcPr>
            <w:tcW w:w="1028" w:type="dxa"/>
            <w:tcBorders>
              <w:top w:val="nil"/>
              <w:left w:val="nil"/>
              <w:bottom w:val="single" w:sz="4" w:space="0" w:color="auto"/>
              <w:right w:val="single" w:sz="4" w:space="0" w:color="auto"/>
            </w:tcBorders>
            <w:shd w:val="clear" w:color="auto" w:fill="auto"/>
            <w:noWrap/>
            <w:hideMark/>
          </w:tcPr>
          <w:p w14:paraId="5EA4BCD4" w14:textId="77777777" w:rsidR="00A51FFF" w:rsidRPr="006A5F8A" w:rsidRDefault="00A51FFF" w:rsidP="001E39EE">
            <w:pPr>
              <w:jc w:val="right"/>
              <w:rPr>
                <w:b/>
                <w:bCs/>
                <w:sz w:val="20"/>
                <w:szCs w:val="20"/>
                <w:lang w:val="fr-CA" w:eastAsia="en-CA"/>
              </w:rPr>
            </w:pPr>
            <w:r w:rsidRPr="006A5F8A">
              <w:rPr>
                <w:b/>
                <w:bCs/>
                <w:sz w:val="20"/>
                <w:szCs w:val="20"/>
                <w:lang w:val="fr-CA" w:eastAsia="en-CA"/>
              </w:rPr>
              <w:t>144</w:t>
            </w:r>
          </w:p>
        </w:tc>
        <w:tc>
          <w:tcPr>
            <w:tcW w:w="989" w:type="dxa"/>
            <w:tcBorders>
              <w:top w:val="nil"/>
              <w:left w:val="nil"/>
              <w:bottom w:val="single" w:sz="4" w:space="0" w:color="auto"/>
              <w:right w:val="single" w:sz="4" w:space="0" w:color="auto"/>
            </w:tcBorders>
            <w:shd w:val="clear" w:color="auto" w:fill="auto"/>
            <w:hideMark/>
          </w:tcPr>
          <w:p w14:paraId="70ED0514" w14:textId="77777777" w:rsidR="00A51FFF" w:rsidRPr="006A5F8A" w:rsidRDefault="00A51FFF" w:rsidP="001E39EE">
            <w:pPr>
              <w:jc w:val="right"/>
              <w:rPr>
                <w:b/>
                <w:bCs/>
                <w:sz w:val="20"/>
                <w:szCs w:val="20"/>
                <w:lang w:val="fr-CA" w:eastAsia="en-CA"/>
              </w:rPr>
            </w:pPr>
            <w:r w:rsidRPr="006A5F8A">
              <w:rPr>
                <w:b/>
                <w:bCs/>
                <w:sz w:val="20"/>
                <w:szCs w:val="20"/>
                <w:lang w:val="fr-CA" w:eastAsia="en-CA"/>
              </w:rPr>
              <w:t>34</w:t>
            </w:r>
          </w:p>
        </w:tc>
        <w:tc>
          <w:tcPr>
            <w:tcW w:w="1168" w:type="dxa"/>
            <w:tcBorders>
              <w:top w:val="nil"/>
              <w:left w:val="nil"/>
              <w:bottom w:val="single" w:sz="4" w:space="0" w:color="auto"/>
              <w:right w:val="single" w:sz="4" w:space="0" w:color="auto"/>
            </w:tcBorders>
            <w:shd w:val="clear" w:color="auto" w:fill="auto"/>
            <w:noWrap/>
            <w:hideMark/>
          </w:tcPr>
          <w:p w14:paraId="4FE8B7F7" w14:textId="77777777" w:rsidR="00A51FFF" w:rsidRPr="006A5F8A" w:rsidRDefault="00A51FFF" w:rsidP="001E39EE">
            <w:pPr>
              <w:jc w:val="right"/>
              <w:rPr>
                <w:b/>
                <w:bCs/>
                <w:sz w:val="20"/>
                <w:szCs w:val="20"/>
                <w:lang w:val="fr-CA" w:eastAsia="en-CA"/>
              </w:rPr>
            </w:pPr>
            <w:r w:rsidRPr="006A5F8A">
              <w:rPr>
                <w:b/>
                <w:bCs/>
                <w:sz w:val="20"/>
                <w:szCs w:val="20"/>
                <w:lang w:val="fr-CA" w:eastAsia="en-CA"/>
              </w:rPr>
              <w:t>24</w:t>
            </w:r>
          </w:p>
        </w:tc>
        <w:tc>
          <w:tcPr>
            <w:tcW w:w="1116" w:type="dxa"/>
            <w:tcBorders>
              <w:top w:val="nil"/>
              <w:left w:val="nil"/>
              <w:bottom w:val="single" w:sz="4" w:space="0" w:color="auto"/>
              <w:right w:val="single" w:sz="4" w:space="0" w:color="auto"/>
            </w:tcBorders>
            <w:shd w:val="clear" w:color="auto" w:fill="auto"/>
            <w:hideMark/>
          </w:tcPr>
          <w:p w14:paraId="2DE6678E" w14:textId="5BCAAA16" w:rsidR="00A51FFF" w:rsidRPr="006A5F8A" w:rsidRDefault="00A51FFF" w:rsidP="001E39EE">
            <w:pPr>
              <w:jc w:val="right"/>
              <w:rPr>
                <w:b/>
                <w:bCs/>
                <w:sz w:val="20"/>
                <w:szCs w:val="20"/>
                <w:lang w:val="fr-CA" w:eastAsia="en-CA"/>
              </w:rPr>
            </w:pPr>
            <w:r w:rsidRPr="006A5F8A">
              <w:rPr>
                <w:b/>
                <w:bCs/>
                <w:sz w:val="20"/>
                <w:szCs w:val="20"/>
                <w:lang w:val="fr-CA" w:eastAsia="en-CA"/>
              </w:rPr>
              <w:t>23</w:t>
            </w:r>
            <w:r w:rsidR="00C540F4">
              <w:rPr>
                <w:b/>
                <w:bCs/>
                <w:sz w:val="20"/>
                <w:szCs w:val="20"/>
                <w:lang w:val="fr-CA" w:eastAsia="en-CA"/>
              </w:rPr>
              <w:t xml:space="preserve"> </w:t>
            </w:r>
            <w:r w:rsidRPr="006A5F8A">
              <w:rPr>
                <w:b/>
                <w:bCs/>
                <w:sz w:val="20"/>
                <w:szCs w:val="20"/>
                <w:lang w:val="fr-CA" w:eastAsia="en-CA"/>
              </w:rPr>
              <w:t>930</w:t>
            </w:r>
            <w:r w:rsidR="00C540F4">
              <w:rPr>
                <w:b/>
                <w:bCs/>
                <w:sz w:val="20"/>
                <w:szCs w:val="20"/>
                <w:lang w:val="fr-CA" w:eastAsia="en-CA"/>
              </w:rPr>
              <w:t xml:space="preserve"> </w:t>
            </w:r>
            <w:r w:rsidRPr="006A5F8A">
              <w:rPr>
                <w:b/>
                <w:bCs/>
                <w:sz w:val="20"/>
                <w:szCs w:val="20"/>
                <w:lang w:val="fr-CA" w:eastAsia="en-CA"/>
              </w:rPr>
              <w:t>935</w:t>
            </w:r>
          </w:p>
        </w:tc>
        <w:tc>
          <w:tcPr>
            <w:tcW w:w="1178" w:type="dxa"/>
            <w:tcBorders>
              <w:top w:val="nil"/>
              <w:left w:val="nil"/>
              <w:bottom w:val="single" w:sz="4" w:space="0" w:color="auto"/>
              <w:right w:val="single" w:sz="4" w:space="0" w:color="auto"/>
            </w:tcBorders>
            <w:shd w:val="clear" w:color="auto" w:fill="auto"/>
            <w:hideMark/>
          </w:tcPr>
          <w:p w14:paraId="7B1F90D8" w14:textId="21CC36E9" w:rsidR="00A51FFF" w:rsidRPr="006A5F8A" w:rsidRDefault="00A51FFF" w:rsidP="001E39EE">
            <w:pPr>
              <w:jc w:val="right"/>
              <w:rPr>
                <w:b/>
                <w:bCs/>
                <w:sz w:val="20"/>
                <w:szCs w:val="20"/>
                <w:lang w:val="fr-CA" w:eastAsia="en-CA"/>
              </w:rPr>
            </w:pPr>
            <w:r w:rsidRPr="006A5F8A">
              <w:rPr>
                <w:b/>
                <w:bCs/>
                <w:sz w:val="20"/>
                <w:szCs w:val="20"/>
                <w:lang w:val="fr-CA" w:eastAsia="en-CA"/>
              </w:rPr>
              <w:t>16</w:t>
            </w:r>
            <w:r w:rsidR="00C540F4">
              <w:rPr>
                <w:b/>
                <w:bCs/>
                <w:sz w:val="20"/>
                <w:szCs w:val="20"/>
                <w:lang w:val="fr-CA" w:eastAsia="en-CA"/>
              </w:rPr>
              <w:t xml:space="preserve"> </w:t>
            </w:r>
            <w:r w:rsidRPr="006A5F8A">
              <w:rPr>
                <w:b/>
                <w:bCs/>
                <w:sz w:val="20"/>
                <w:szCs w:val="20"/>
                <w:lang w:val="fr-CA" w:eastAsia="en-CA"/>
              </w:rPr>
              <w:t>323</w:t>
            </w:r>
            <w:r w:rsidR="00C540F4">
              <w:rPr>
                <w:b/>
                <w:bCs/>
                <w:sz w:val="20"/>
                <w:szCs w:val="20"/>
                <w:lang w:val="fr-CA" w:eastAsia="en-CA"/>
              </w:rPr>
              <w:t xml:space="preserve"> </w:t>
            </w:r>
            <w:r w:rsidRPr="006A5F8A">
              <w:rPr>
                <w:b/>
                <w:bCs/>
                <w:sz w:val="20"/>
                <w:szCs w:val="20"/>
                <w:lang w:val="fr-CA" w:eastAsia="en-CA"/>
              </w:rPr>
              <w:t>651</w:t>
            </w:r>
          </w:p>
        </w:tc>
        <w:tc>
          <w:tcPr>
            <w:tcW w:w="1016" w:type="dxa"/>
            <w:tcBorders>
              <w:top w:val="nil"/>
              <w:left w:val="nil"/>
              <w:bottom w:val="single" w:sz="4" w:space="0" w:color="auto"/>
              <w:right w:val="single" w:sz="4" w:space="0" w:color="auto"/>
            </w:tcBorders>
            <w:shd w:val="clear" w:color="auto" w:fill="auto"/>
            <w:hideMark/>
          </w:tcPr>
          <w:p w14:paraId="05049BA5" w14:textId="5A77678A" w:rsidR="00A51FFF" w:rsidRPr="006A5F8A" w:rsidRDefault="00A51FFF" w:rsidP="001E39EE">
            <w:pPr>
              <w:jc w:val="right"/>
              <w:rPr>
                <w:b/>
                <w:bCs/>
                <w:sz w:val="20"/>
                <w:szCs w:val="20"/>
                <w:lang w:val="fr-CA" w:eastAsia="en-CA"/>
              </w:rPr>
            </w:pPr>
            <w:r w:rsidRPr="006A5F8A">
              <w:rPr>
                <w:b/>
                <w:bCs/>
                <w:sz w:val="20"/>
                <w:szCs w:val="20"/>
                <w:lang w:val="fr-CA" w:eastAsia="en-CA"/>
              </w:rPr>
              <w:t>7</w:t>
            </w:r>
            <w:r w:rsidR="00C540F4">
              <w:rPr>
                <w:b/>
                <w:bCs/>
                <w:sz w:val="20"/>
                <w:szCs w:val="20"/>
                <w:lang w:val="fr-CA" w:eastAsia="en-CA"/>
              </w:rPr>
              <w:t xml:space="preserve"> </w:t>
            </w:r>
            <w:r w:rsidRPr="006A5F8A">
              <w:rPr>
                <w:b/>
                <w:bCs/>
                <w:sz w:val="20"/>
                <w:szCs w:val="20"/>
                <w:lang w:val="fr-CA" w:eastAsia="en-CA"/>
              </w:rPr>
              <w:t>607</w:t>
            </w:r>
            <w:r w:rsidR="00C540F4">
              <w:rPr>
                <w:b/>
                <w:bCs/>
                <w:sz w:val="20"/>
                <w:szCs w:val="20"/>
                <w:lang w:val="fr-CA" w:eastAsia="en-CA"/>
              </w:rPr>
              <w:t xml:space="preserve"> </w:t>
            </w:r>
            <w:r w:rsidRPr="006A5F8A">
              <w:rPr>
                <w:b/>
                <w:bCs/>
                <w:sz w:val="20"/>
                <w:szCs w:val="20"/>
                <w:lang w:val="fr-CA" w:eastAsia="en-CA"/>
              </w:rPr>
              <w:t>284</w:t>
            </w:r>
          </w:p>
        </w:tc>
        <w:tc>
          <w:tcPr>
            <w:tcW w:w="1061" w:type="dxa"/>
            <w:tcBorders>
              <w:top w:val="nil"/>
              <w:left w:val="nil"/>
              <w:bottom w:val="single" w:sz="4" w:space="0" w:color="auto"/>
              <w:right w:val="single" w:sz="4" w:space="0" w:color="auto"/>
            </w:tcBorders>
            <w:shd w:val="clear" w:color="auto" w:fill="auto"/>
            <w:noWrap/>
            <w:hideMark/>
          </w:tcPr>
          <w:p w14:paraId="1CD3AF15" w14:textId="77777777" w:rsidR="00A51FFF" w:rsidRPr="006A5F8A" w:rsidRDefault="00A51FFF" w:rsidP="001E39EE">
            <w:pPr>
              <w:jc w:val="right"/>
              <w:rPr>
                <w:b/>
                <w:bCs/>
                <w:sz w:val="20"/>
                <w:szCs w:val="20"/>
                <w:lang w:val="fr-CA" w:eastAsia="en-CA"/>
              </w:rPr>
            </w:pPr>
            <w:r w:rsidRPr="006A5F8A">
              <w:rPr>
                <w:b/>
                <w:bCs/>
                <w:sz w:val="20"/>
                <w:szCs w:val="20"/>
                <w:lang w:val="fr-CA" w:eastAsia="en-CA"/>
              </w:rPr>
              <w:t>68</w:t>
            </w:r>
          </w:p>
        </w:tc>
      </w:tr>
    </w:tbl>
    <w:p w14:paraId="480DDB59" w14:textId="3B4C8DFD" w:rsidR="00A51FFF" w:rsidRPr="006A5F8A" w:rsidRDefault="00A51FFF" w:rsidP="001E39EE">
      <w:pPr>
        <w:rPr>
          <w:sz w:val="19"/>
          <w:szCs w:val="19"/>
          <w:lang w:val="fr-CA"/>
        </w:rPr>
      </w:pPr>
      <w:r w:rsidRPr="006A5F8A">
        <w:rPr>
          <w:sz w:val="19"/>
          <w:szCs w:val="19"/>
          <w:lang w:val="fr-CA"/>
        </w:rPr>
        <w:t>*</w:t>
      </w:r>
      <w:r w:rsidR="00C540F4">
        <w:rPr>
          <w:sz w:val="19"/>
          <w:szCs w:val="19"/>
          <w:lang w:val="fr-CA"/>
        </w:rPr>
        <w:t>Ne comprend pas les coûts d’appui aux agences</w:t>
      </w:r>
      <w:r w:rsidRPr="006A5F8A">
        <w:rPr>
          <w:sz w:val="19"/>
          <w:szCs w:val="19"/>
          <w:lang w:val="fr-CA"/>
        </w:rPr>
        <w:t xml:space="preserve">. </w:t>
      </w:r>
    </w:p>
    <w:p w14:paraId="090D4F3F" w14:textId="56B54148" w:rsidR="00D631A9" w:rsidRPr="006A5F8A" w:rsidRDefault="00AC3D87" w:rsidP="001E39EE">
      <w:pPr>
        <w:rPr>
          <w:sz w:val="19"/>
          <w:szCs w:val="19"/>
          <w:lang w:val="fr-CA"/>
        </w:rPr>
      </w:pPr>
      <w:r w:rsidRPr="006A5F8A">
        <w:rPr>
          <w:sz w:val="19"/>
          <w:szCs w:val="19"/>
          <w:lang w:val="fr-CA"/>
        </w:rPr>
        <w:t xml:space="preserve">** </w:t>
      </w:r>
      <w:r w:rsidR="00C540F4">
        <w:rPr>
          <w:sz w:val="19"/>
          <w:szCs w:val="19"/>
          <w:lang w:val="fr-CA"/>
        </w:rPr>
        <w:t xml:space="preserve">Élimination de 443,1 </w:t>
      </w:r>
      <w:proofErr w:type="spellStart"/>
      <w:r w:rsidRPr="006A5F8A">
        <w:rPr>
          <w:sz w:val="19"/>
          <w:szCs w:val="19"/>
          <w:lang w:val="fr-CA"/>
        </w:rPr>
        <w:t>t</w:t>
      </w:r>
      <w:r w:rsidR="00C540F4">
        <w:rPr>
          <w:sz w:val="19"/>
          <w:szCs w:val="19"/>
          <w:lang w:val="fr-CA"/>
        </w:rPr>
        <w:t>m</w:t>
      </w:r>
      <w:proofErr w:type="spellEnd"/>
      <w:r w:rsidRPr="006A5F8A">
        <w:rPr>
          <w:sz w:val="19"/>
          <w:szCs w:val="19"/>
          <w:lang w:val="fr-CA"/>
        </w:rPr>
        <w:t xml:space="preserve"> (678</w:t>
      </w:r>
      <w:r w:rsidR="00C540F4">
        <w:rPr>
          <w:sz w:val="19"/>
          <w:szCs w:val="19"/>
          <w:lang w:val="fr-CA"/>
        </w:rPr>
        <w:t xml:space="preserve"> </w:t>
      </w:r>
      <w:r w:rsidRPr="006A5F8A">
        <w:rPr>
          <w:sz w:val="19"/>
          <w:szCs w:val="19"/>
          <w:lang w:val="fr-CA"/>
        </w:rPr>
        <w:t xml:space="preserve">661 </w:t>
      </w:r>
      <w:proofErr w:type="spellStart"/>
      <w:r w:rsidR="00CB2DC9">
        <w:rPr>
          <w:sz w:val="19"/>
          <w:szCs w:val="19"/>
          <w:lang w:val="fr-CA"/>
        </w:rPr>
        <w:t>tm</w:t>
      </w:r>
      <w:proofErr w:type="spellEnd"/>
      <w:r w:rsidRPr="006A5F8A">
        <w:rPr>
          <w:sz w:val="19"/>
          <w:szCs w:val="19"/>
          <w:lang w:val="fr-CA"/>
        </w:rPr>
        <w:t xml:space="preserve"> </w:t>
      </w:r>
      <w:r w:rsidR="00C540F4">
        <w:rPr>
          <w:sz w:val="19"/>
          <w:szCs w:val="19"/>
          <w:lang w:val="fr-CA"/>
        </w:rPr>
        <w:t>éq-</w:t>
      </w:r>
      <w:r w:rsidRPr="006A5F8A">
        <w:rPr>
          <w:sz w:val="19"/>
          <w:szCs w:val="19"/>
          <w:lang w:val="fr-CA"/>
        </w:rPr>
        <w:t>CO</w:t>
      </w:r>
      <w:r w:rsidRPr="006A5F8A">
        <w:rPr>
          <w:sz w:val="19"/>
          <w:szCs w:val="19"/>
          <w:vertAlign w:val="subscript"/>
          <w:lang w:val="fr-CA"/>
        </w:rPr>
        <w:t>2</w:t>
      </w:r>
      <w:r w:rsidRPr="006A5F8A">
        <w:rPr>
          <w:sz w:val="19"/>
          <w:szCs w:val="19"/>
          <w:lang w:val="fr-CA"/>
        </w:rPr>
        <w:t xml:space="preserve">) </w:t>
      </w:r>
      <w:r w:rsidR="00C540F4">
        <w:rPr>
          <w:sz w:val="19"/>
          <w:szCs w:val="19"/>
          <w:lang w:val="fr-CA"/>
        </w:rPr>
        <w:t>sur</w:t>
      </w:r>
      <w:r w:rsidRPr="006A5F8A">
        <w:rPr>
          <w:sz w:val="19"/>
          <w:szCs w:val="19"/>
          <w:lang w:val="fr-CA"/>
        </w:rPr>
        <w:t xml:space="preserve"> </w:t>
      </w:r>
      <w:r w:rsidRPr="006A5F8A">
        <w:rPr>
          <w:sz w:val="20"/>
          <w:szCs w:val="20"/>
          <w:lang w:val="fr-CA"/>
        </w:rPr>
        <w:t>754</w:t>
      </w:r>
      <w:r w:rsidR="00C540F4">
        <w:rPr>
          <w:sz w:val="20"/>
          <w:szCs w:val="20"/>
          <w:lang w:val="fr-CA"/>
        </w:rPr>
        <w:t xml:space="preserve">,5 </w:t>
      </w:r>
      <w:proofErr w:type="spellStart"/>
      <w:r w:rsidRPr="006A5F8A">
        <w:rPr>
          <w:sz w:val="20"/>
          <w:szCs w:val="20"/>
          <w:lang w:val="fr-CA"/>
        </w:rPr>
        <w:t>t</w:t>
      </w:r>
      <w:r w:rsidR="00C540F4">
        <w:rPr>
          <w:sz w:val="20"/>
          <w:szCs w:val="20"/>
          <w:lang w:val="fr-CA"/>
        </w:rPr>
        <w:t>m</w:t>
      </w:r>
      <w:proofErr w:type="spellEnd"/>
      <w:r w:rsidRPr="006A5F8A">
        <w:rPr>
          <w:sz w:val="20"/>
          <w:szCs w:val="20"/>
          <w:lang w:val="fr-CA"/>
        </w:rPr>
        <w:t xml:space="preserve"> (1</w:t>
      </w:r>
      <w:r w:rsidR="00C540F4">
        <w:rPr>
          <w:sz w:val="20"/>
          <w:szCs w:val="20"/>
          <w:lang w:val="fr-CA"/>
        </w:rPr>
        <w:t> </w:t>
      </w:r>
      <w:r w:rsidRPr="006A5F8A">
        <w:rPr>
          <w:sz w:val="20"/>
          <w:szCs w:val="20"/>
          <w:lang w:val="fr-CA"/>
        </w:rPr>
        <w:t>108</w:t>
      </w:r>
      <w:r w:rsidR="00C540F4">
        <w:rPr>
          <w:sz w:val="20"/>
          <w:szCs w:val="20"/>
          <w:lang w:val="fr-CA"/>
        </w:rPr>
        <w:t xml:space="preserve"> </w:t>
      </w:r>
      <w:r w:rsidRPr="006A5F8A">
        <w:rPr>
          <w:sz w:val="20"/>
          <w:szCs w:val="20"/>
          <w:lang w:val="fr-CA"/>
        </w:rPr>
        <w:t xml:space="preserve">442 </w:t>
      </w:r>
      <w:proofErr w:type="spellStart"/>
      <w:r w:rsidR="00C540F4">
        <w:rPr>
          <w:sz w:val="20"/>
          <w:szCs w:val="20"/>
          <w:lang w:val="fr-CA"/>
        </w:rPr>
        <w:t>tm</w:t>
      </w:r>
      <w:proofErr w:type="spellEnd"/>
      <w:r w:rsidRPr="006A5F8A">
        <w:rPr>
          <w:sz w:val="20"/>
          <w:szCs w:val="20"/>
          <w:lang w:val="fr-CA"/>
        </w:rPr>
        <w:t xml:space="preserve"> </w:t>
      </w:r>
      <w:r w:rsidR="00C540F4">
        <w:rPr>
          <w:sz w:val="20"/>
          <w:szCs w:val="20"/>
          <w:lang w:val="fr-CA"/>
        </w:rPr>
        <w:t>éq-</w:t>
      </w:r>
      <w:r w:rsidRPr="006A5F8A">
        <w:rPr>
          <w:sz w:val="20"/>
          <w:szCs w:val="20"/>
          <w:lang w:val="fr-CA"/>
        </w:rPr>
        <w:t>CO</w:t>
      </w:r>
      <w:r w:rsidRPr="006A5F8A">
        <w:rPr>
          <w:sz w:val="20"/>
          <w:szCs w:val="20"/>
          <w:vertAlign w:val="subscript"/>
          <w:lang w:val="fr-CA"/>
        </w:rPr>
        <w:t>2</w:t>
      </w:r>
      <w:r w:rsidRPr="006A5F8A">
        <w:rPr>
          <w:sz w:val="20"/>
          <w:szCs w:val="20"/>
          <w:lang w:val="fr-CA"/>
        </w:rPr>
        <w:t xml:space="preserve">) </w:t>
      </w:r>
      <w:r w:rsidR="00C540F4">
        <w:rPr>
          <w:sz w:val="20"/>
          <w:szCs w:val="20"/>
          <w:lang w:val="fr-CA"/>
        </w:rPr>
        <w:t xml:space="preserve">de </w:t>
      </w:r>
      <w:r w:rsidR="00C540F4">
        <w:rPr>
          <w:sz w:val="19"/>
          <w:szCs w:val="19"/>
          <w:lang w:val="fr-CA"/>
        </w:rPr>
        <w:t>HFC</w:t>
      </w:r>
      <w:r w:rsidRPr="006A5F8A">
        <w:rPr>
          <w:sz w:val="19"/>
          <w:szCs w:val="19"/>
          <w:lang w:val="fr-CA"/>
        </w:rPr>
        <w:t>.</w:t>
      </w:r>
    </w:p>
    <w:p w14:paraId="7436E039" w14:textId="77777777" w:rsidR="00AC3D87" w:rsidRPr="006A5F8A" w:rsidRDefault="00AC3D87" w:rsidP="001E39EE">
      <w:pPr>
        <w:rPr>
          <w:sz w:val="19"/>
          <w:szCs w:val="19"/>
          <w:lang w:val="fr-CA"/>
        </w:rPr>
      </w:pPr>
    </w:p>
    <w:p w14:paraId="1C0D1368" w14:textId="141C421B" w:rsidR="00A51FFF" w:rsidRPr="006A5F8A" w:rsidRDefault="00C540F4" w:rsidP="00D303D6">
      <w:pPr>
        <w:pStyle w:val="Heading1"/>
        <w:keepNext/>
        <w:keepLines/>
        <w:widowControl w:val="0"/>
        <w:rPr>
          <w:lang w:val="fr-CA"/>
        </w:rPr>
      </w:pPr>
      <w:r>
        <w:rPr>
          <w:lang w:val="fr-CA"/>
        </w:rPr>
        <w:lastRenderedPageBreak/>
        <w:t>Deux projets d’investissement, 10 propositions de préparation de projet et 22 activités de facilitation ont été achevés sur les 144 projets approuvés avant la fin de 2020. Le report de la date d’</w:t>
      </w:r>
      <w:r w:rsidR="008A02C4">
        <w:rPr>
          <w:lang w:val="fr-CA"/>
        </w:rPr>
        <w:t>achè</w:t>
      </w:r>
      <w:r>
        <w:rPr>
          <w:lang w:val="fr-CA"/>
        </w:rPr>
        <w:t>vement de 106 projets en cours a été approuvé. Les activités de facilitation en cours en sont à différentes étapes de leur mise en œuvre et devraient être achevé</w:t>
      </w:r>
      <w:r w:rsidR="00BB63FB">
        <w:rPr>
          <w:lang w:val="fr-CA"/>
        </w:rPr>
        <w:t>e</w:t>
      </w:r>
      <w:r>
        <w:rPr>
          <w:lang w:val="fr-CA"/>
        </w:rPr>
        <w:t xml:space="preserve">s entre 2021 et 2022. Les quatre projets d’investissement en cours devraient être </w:t>
      </w:r>
      <w:r w:rsidR="008A02C4">
        <w:rPr>
          <w:lang w:val="fr-CA"/>
        </w:rPr>
        <w:t>achevés</w:t>
      </w:r>
      <w:r>
        <w:rPr>
          <w:lang w:val="fr-CA"/>
        </w:rPr>
        <w:t xml:space="preserve"> entre 2021 et 2022</w:t>
      </w:r>
      <w:r w:rsidR="008A02C4">
        <w:rPr>
          <w:lang w:val="fr-CA"/>
        </w:rPr>
        <w:t>. Vingt projets (trois projets d’investissement et</w:t>
      </w:r>
      <w:r w:rsidR="00BB63FB">
        <w:rPr>
          <w:lang w:val="fr-CA"/>
        </w:rPr>
        <w:t xml:space="preserve"> 17 activités de facilitation) ont</w:t>
      </w:r>
      <w:r w:rsidR="008A02C4">
        <w:rPr>
          <w:lang w:val="fr-CA"/>
        </w:rPr>
        <w:t xml:space="preserve"> été classés parmi les projets dont la mise en œuvre connaît du retard après l’examen et figurent à l’annexe I au présent rapport contenant les recommandations du Secrétariat, qui demande la remise d’un rapport à la 90</w:t>
      </w:r>
      <w:r w:rsidR="008A02C4" w:rsidRPr="008A02C4">
        <w:rPr>
          <w:vertAlign w:val="superscript"/>
          <w:lang w:val="fr-CA"/>
        </w:rPr>
        <w:t>e</w:t>
      </w:r>
      <w:r w:rsidR="008A02C4">
        <w:rPr>
          <w:lang w:val="fr-CA"/>
        </w:rPr>
        <w:t xml:space="preserve"> réunion</w:t>
      </w:r>
      <w:r w:rsidR="001D6B44" w:rsidRPr="006A5F8A">
        <w:rPr>
          <w:lang w:val="fr-CA"/>
        </w:rPr>
        <w:t>.</w:t>
      </w:r>
    </w:p>
    <w:p w14:paraId="2A90724D" w14:textId="620854E9" w:rsidR="007917A3" w:rsidRPr="006A5F8A" w:rsidRDefault="00BB63FB" w:rsidP="001E39EE">
      <w:pPr>
        <w:pStyle w:val="Heading1"/>
        <w:rPr>
          <w:lang w:val="fr-CA"/>
        </w:rPr>
      </w:pPr>
      <w:r>
        <w:rPr>
          <w:lang w:val="fr-CA"/>
        </w:rPr>
        <w:t>Cumulativement</w:t>
      </w:r>
      <w:r w:rsidR="008A02C4">
        <w:rPr>
          <w:lang w:val="fr-CA"/>
        </w:rPr>
        <w:t>, 16 323 651 $US des 23 930 935 $US approuvés aux fins de décaissement ont été décaissés (ne comprenant pas les coûts d’appui aux agences), ce qui représente un taux de décaissement de 68 pour cent</w:t>
      </w:r>
      <w:r w:rsidR="007917A3" w:rsidRPr="006A5F8A">
        <w:rPr>
          <w:lang w:val="fr-CA"/>
        </w:rPr>
        <w:t>.</w:t>
      </w:r>
    </w:p>
    <w:p w14:paraId="3CAE423E" w14:textId="66CEF8E5" w:rsidR="00D631A9" w:rsidRPr="006A5F8A" w:rsidRDefault="008A02C4" w:rsidP="001E39EE">
      <w:pPr>
        <w:pStyle w:val="Heading1"/>
        <w:keepNext/>
        <w:keepLines/>
        <w:numPr>
          <w:ilvl w:val="0"/>
          <w:numId w:val="0"/>
        </w:numPr>
        <w:ind w:left="1418" w:hanging="1418"/>
        <w:rPr>
          <w:b/>
          <w:caps/>
          <w:lang w:val="fr-CA"/>
        </w:rPr>
      </w:pPr>
      <w:r>
        <w:rPr>
          <w:b/>
          <w:lang w:val="fr-CA"/>
        </w:rPr>
        <w:t>Observations du Secrétariat</w:t>
      </w:r>
    </w:p>
    <w:p w14:paraId="74224F66" w14:textId="3C6994FA" w:rsidR="00F96316" w:rsidRPr="006A5F8A" w:rsidRDefault="00682D6A" w:rsidP="001E39EE">
      <w:pPr>
        <w:pStyle w:val="Heading1"/>
        <w:rPr>
          <w:lang w:val="fr-CA"/>
        </w:rPr>
      </w:pPr>
      <w:r>
        <w:rPr>
          <w:lang w:val="fr-CA"/>
        </w:rPr>
        <w:t>Le Secrétariat a constaté que certains projets, t</w:t>
      </w:r>
      <w:r w:rsidR="00193869">
        <w:rPr>
          <w:lang w:val="fr-CA"/>
        </w:rPr>
        <w:t>ra</w:t>
      </w:r>
      <w:r>
        <w:rPr>
          <w:lang w:val="fr-CA"/>
        </w:rPr>
        <w:t xml:space="preserve">nches de PGEH et activités de réduction progressive des HFC ont été retardés </w:t>
      </w:r>
      <w:r w:rsidR="00193869">
        <w:rPr>
          <w:lang w:val="fr-CA"/>
        </w:rPr>
        <w:t xml:space="preserve">à cause des difficultés associées à pandémie de la COVID-19. La prolongation de ces projets jusqu’au 31 décembre 2022 exige l’approbation du Comité exécutif, conformément à la décision 82/121 b). </w:t>
      </w:r>
      <w:r w:rsidR="00063AC0">
        <w:rPr>
          <w:lang w:val="fr-CA"/>
        </w:rPr>
        <w:t>Les recommandations concernant le report de la date d’achèvement des PGE</w:t>
      </w:r>
      <w:r w:rsidR="00FE4740">
        <w:rPr>
          <w:lang w:val="fr-CA"/>
        </w:rPr>
        <w:t>H</w:t>
      </w:r>
      <w:r w:rsidR="00063AC0">
        <w:rPr>
          <w:lang w:val="fr-CA"/>
        </w:rPr>
        <w:t xml:space="preserve"> pour les Bahamas (PNUE/ONUDI), Cabo Verde (PNUE), Djibouti (PNUE), Fidji (PNUE/PNUD), </w:t>
      </w:r>
      <w:r w:rsidR="00BB63FB">
        <w:rPr>
          <w:lang w:val="fr-CA"/>
        </w:rPr>
        <w:t xml:space="preserve">le </w:t>
      </w:r>
      <w:r w:rsidR="00063AC0">
        <w:rPr>
          <w:lang w:val="fr-CA"/>
        </w:rPr>
        <w:t xml:space="preserve">Koweït (PNUE/ONUDI), </w:t>
      </w:r>
      <w:r w:rsidR="00BB63FB">
        <w:rPr>
          <w:lang w:val="fr-CA"/>
        </w:rPr>
        <w:t xml:space="preserve">le </w:t>
      </w:r>
      <w:r w:rsidR="00063AC0">
        <w:rPr>
          <w:lang w:val="fr-CA"/>
        </w:rPr>
        <w:t>Niger (PNUE/ONUDI)</w:t>
      </w:r>
      <w:r w:rsidR="00C20D02" w:rsidRPr="006A5F8A">
        <w:rPr>
          <w:lang w:val="fr-CA"/>
        </w:rPr>
        <w:t>,</w:t>
      </w:r>
      <w:r w:rsidR="00063AC0">
        <w:rPr>
          <w:lang w:val="fr-CA"/>
        </w:rPr>
        <w:t xml:space="preserve"> </w:t>
      </w:r>
      <w:r w:rsidR="00BB63FB">
        <w:rPr>
          <w:lang w:val="fr-CA"/>
        </w:rPr>
        <w:t xml:space="preserve">la </w:t>
      </w:r>
      <w:r w:rsidR="00063AC0">
        <w:rPr>
          <w:lang w:val="fr-CA"/>
        </w:rPr>
        <w:t>Macédoine du No</w:t>
      </w:r>
      <w:r w:rsidR="00FE4740">
        <w:rPr>
          <w:lang w:val="fr-CA"/>
        </w:rPr>
        <w:t xml:space="preserve">rd (ONUDI), </w:t>
      </w:r>
      <w:r w:rsidR="00BB63FB">
        <w:rPr>
          <w:lang w:val="fr-CA"/>
        </w:rPr>
        <w:t xml:space="preserve">le </w:t>
      </w:r>
      <w:r w:rsidR="00FE4740">
        <w:rPr>
          <w:lang w:val="fr-CA"/>
        </w:rPr>
        <w:t>Pakistan (PNUE/ONUDI</w:t>
      </w:r>
      <w:r w:rsidR="00063AC0">
        <w:rPr>
          <w:lang w:val="fr-CA"/>
        </w:rPr>
        <w:t xml:space="preserve">) et </w:t>
      </w:r>
      <w:r w:rsidR="00BB63FB">
        <w:rPr>
          <w:lang w:val="fr-CA"/>
        </w:rPr>
        <w:t xml:space="preserve">le </w:t>
      </w:r>
      <w:r w:rsidR="00063AC0">
        <w:rPr>
          <w:lang w:val="fr-CA"/>
        </w:rPr>
        <w:t>Soudan (ONUDI) ont été abordées</w:t>
      </w:r>
      <w:r w:rsidR="00FE4740">
        <w:rPr>
          <w:lang w:val="fr-CA"/>
        </w:rPr>
        <w:t xml:space="preserve"> comme il convenait dans les rapports périodiques des différentes agences d’exécution, dans le document sur les projets comportant des exigences particulières de remise de rapports,</w:t>
      </w:r>
      <w:r w:rsidR="00194550" w:rsidRPr="006A5F8A">
        <w:rPr>
          <w:rStyle w:val="FootnoteReference"/>
          <w:lang w:val="fr-CA"/>
        </w:rPr>
        <w:footnoteReference w:id="12"/>
      </w:r>
      <w:r w:rsidR="00C20D02" w:rsidRPr="006A5F8A">
        <w:rPr>
          <w:lang w:val="fr-CA"/>
        </w:rPr>
        <w:t xml:space="preserve"> </w:t>
      </w:r>
      <w:r w:rsidR="00FE4740">
        <w:rPr>
          <w:lang w:val="fr-CA"/>
        </w:rPr>
        <w:t>dans le document sur les retards dans la proposition des tranches,</w:t>
      </w:r>
      <w:r w:rsidR="00194550" w:rsidRPr="006A5F8A">
        <w:rPr>
          <w:rStyle w:val="FootnoteReference"/>
          <w:lang w:val="fr-CA"/>
        </w:rPr>
        <w:footnoteReference w:id="13"/>
      </w:r>
      <w:r w:rsidR="00C20D02" w:rsidRPr="006A5F8A">
        <w:rPr>
          <w:lang w:val="fr-CA"/>
        </w:rPr>
        <w:t xml:space="preserve"> </w:t>
      </w:r>
      <w:r w:rsidR="00FE4740">
        <w:rPr>
          <w:lang w:val="fr-CA"/>
        </w:rPr>
        <w:t>ou dans les différentes propositions de projets. Les demandes de prolongation pour le volet argentin du projet mondial de remplacement des refroidisseurs (ONUDI) et les activités de facilitation pour le Chili (ONUDI), la Jordanie (ONUDI), le Maroc (ONUDI), la Papouasie-Nouvelle-Guinée (Allemagne), la Thaïlande (Banque mondiale) et l’Uruguay (PNUD/ONUDI) sont abordées dans les rapports périodiques des agences d’exécution concernés</w:t>
      </w:r>
      <w:r w:rsidR="0019554B" w:rsidRPr="006A5F8A">
        <w:rPr>
          <w:lang w:val="fr-CA"/>
        </w:rPr>
        <w:t xml:space="preserve">. </w:t>
      </w:r>
    </w:p>
    <w:p w14:paraId="5EFBAD4E" w14:textId="4ACB4F8F" w:rsidR="00E46926" w:rsidRPr="006A5F8A" w:rsidRDefault="00A23BB6" w:rsidP="001E39EE">
      <w:pPr>
        <w:pStyle w:val="Heading1"/>
        <w:rPr>
          <w:lang w:val="fr-CA"/>
        </w:rPr>
      </w:pPr>
      <w:r>
        <w:rPr>
          <w:lang w:val="fr-CA"/>
        </w:rPr>
        <w:t>Le Secrétariat a pris note que le report de la date d’achèvement des PGEH au-delà du 31 déc</w:t>
      </w:r>
      <w:r w:rsidR="007B0529">
        <w:rPr>
          <w:lang w:val="fr-CA"/>
        </w:rPr>
        <w:t>embre 2022 a été demandé pour la</w:t>
      </w:r>
      <w:r>
        <w:rPr>
          <w:lang w:val="fr-CA"/>
        </w:rPr>
        <w:t xml:space="preserve"> Barbade, le Botswana, la Côte d’Ivoire, le Congo, la Dominique, Grenade, Haïti, la Jamaïque, le Mali, le Mozambique, Saint-Kitts-et-Nevis, l’Afrique du Sud, le Soudan</w:t>
      </w:r>
      <w:r w:rsidR="007B0529">
        <w:rPr>
          <w:lang w:val="fr-CA"/>
        </w:rPr>
        <w:t xml:space="preserve"> du Sud, le Venezuela (République bolivarienne d</w:t>
      </w:r>
      <w:r>
        <w:rPr>
          <w:lang w:val="fr-CA"/>
        </w:rPr>
        <w:t xml:space="preserve">u) et la Zambie par les agences d’exécution concernées; le Secrétariat estime que ces demandes doivent être évaluées après un examen plus approfondi et </w:t>
      </w:r>
      <w:r w:rsidR="00A40447">
        <w:rPr>
          <w:lang w:val="fr-CA"/>
        </w:rPr>
        <w:t>l’évaluation des plans de mise en œuvre présentés par les agences d’exécution concernées. Les détails des échanges et les recommandations pour ces projets sont présentés dans le document sur les projets comportant des exigences particulières de remise de rapports</w:t>
      </w:r>
      <w:r w:rsidR="00742D58" w:rsidRPr="006A5F8A">
        <w:rPr>
          <w:lang w:val="fr-CA"/>
        </w:rPr>
        <w:t>.</w:t>
      </w:r>
    </w:p>
    <w:p w14:paraId="64C9D3A6" w14:textId="2DD1E007" w:rsidR="00D631A9" w:rsidRPr="006A5F8A" w:rsidRDefault="00A40447" w:rsidP="001E39EE">
      <w:pPr>
        <w:pStyle w:val="a--"/>
        <w:keepNext/>
        <w:suppressAutoHyphens w:val="0"/>
        <w:jc w:val="left"/>
        <w:rPr>
          <w:sz w:val="22"/>
          <w:szCs w:val="22"/>
          <w:lang w:val="fr-CA"/>
        </w:rPr>
      </w:pPr>
      <w:r>
        <w:rPr>
          <w:sz w:val="22"/>
          <w:szCs w:val="22"/>
          <w:lang w:val="fr-CA"/>
        </w:rPr>
        <w:t>RECOMMA</w:t>
      </w:r>
      <w:r w:rsidR="00D631A9" w:rsidRPr="006A5F8A">
        <w:rPr>
          <w:sz w:val="22"/>
          <w:szCs w:val="22"/>
          <w:lang w:val="fr-CA"/>
        </w:rPr>
        <w:t>NDATION</w:t>
      </w:r>
    </w:p>
    <w:p w14:paraId="2DC983C3" w14:textId="77777777" w:rsidR="00D631A9" w:rsidRPr="006A5F8A" w:rsidRDefault="00D631A9" w:rsidP="001E39EE">
      <w:pPr>
        <w:keepNext/>
        <w:rPr>
          <w:lang w:val="fr-CA"/>
        </w:rPr>
      </w:pPr>
    </w:p>
    <w:p w14:paraId="26D09E5E" w14:textId="6233FB48" w:rsidR="00D631A9" w:rsidRPr="006A5F8A" w:rsidRDefault="00A40447" w:rsidP="001E39EE">
      <w:pPr>
        <w:pStyle w:val="Heading1"/>
        <w:rPr>
          <w:lang w:val="fr-CA"/>
        </w:rPr>
      </w:pPr>
      <w:r>
        <w:rPr>
          <w:lang w:val="fr-CA"/>
        </w:rPr>
        <w:t xml:space="preserve">Le Comité exécutif pourrait souhaiter prendre note </w:t>
      </w:r>
      <w:r w:rsidR="00D631A9" w:rsidRPr="006A5F8A">
        <w:rPr>
          <w:lang w:val="fr-CA"/>
        </w:rPr>
        <w:t>:</w:t>
      </w:r>
    </w:p>
    <w:p w14:paraId="6B03B89D" w14:textId="5549ED7F" w:rsidR="00A40447" w:rsidRPr="0098665C" w:rsidRDefault="00A40447" w:rsidP="00A40447">
      <w:pPr>
        <w:pStyle w:val="Heading2"/>
        <w:rPr>
          <w:lang w:val="fr-CA"/>
        </w:rPr>
      </w:pPr>
      <w:r w:rsidRPr="0098665C">
        <w:rPr>
          <w:lang w:val="fr-CA"/>
        </w:rPr>
        <w:t>Du rapport global d’achèvement de projet du Fonds multilatéral au 31 décembre 20</w:t>
      </w:r>
      <w:r>
        <w:rPr>
          <w:lang w:val="fr-CA"/>
        </w:rPr>
        <w:t>20</w:t>
      </w:r>
      <w:r w:rsidRPr="0098665C">
        <w:rPr>
          <w:lang w:val="fr-CA"/>
        </w:rPr>
        <w:t xml:space="preserve"> présenté dans le document UNEP/</w:t>
      </w:r>
      <w:proofErr w:type="spellStart"/>
      <w:r w:rsidRPr="0098665C">
        <w:rPr>
          <w:lang w:val="fr-CA"/>
        </w:rPr>
        <w:t>OzL.Pro</w:t>
      </w:r>
      <w:proofErr w:type="spellEnd"/>
      <w:r w:rsidRPr="0098665C">
        <w:rPr>
          <w:lang w:val="fr-CA"/>
        </w:rPr>
        <w:t>/</w:t>
      </w:r>
      <w:proofErr w:type="spellStart"/>
      <w:r w:rsidRPr="0098665C">
        <w:rPr>
          <w:lang w:val="fr-CA"/>
        </w:rPr>
        <w:t>ExCom</w:t>
      </w:r>
      <w:proofErr w:type="spellEnd"/>
      <w:r w:rsidRPr="0098665C">
        <w:rPr>
          <w:lang w:val="fr-CA"/>
        </w:rPr>
        <w:t>/</w:t>
      </w:r>
      <w:r>
        <w:rPr>
          <w:lang w:val="fr-CA"/>
        </w:rPr>
        <w:t xml:space="preserve">88/12 </w:t>
      </w:r>
      <w:r w:rsidRPr="0098665C">
        <w:rPr>
          <w:lang w:val="fr-CA"/>
        </w:rPr>
        <w:t xml:space="preserve">; </w:t>
      </w:r>
    </w:p>
    <w:p w14:paraId="08CE46BD" w14:textId="139B27F1" w:rsidR="00A40447" w:rsidRPr="0098665C" w:rsidRDefault="00A40447" w:rsidP="00A40447">
      <w:pPr>
        <w:pStyle w:val="Heading2"/>
        <w:rPr>
          <w:lang w:val="fr-CA"/>
        </w:rPr>
      </w:pPr>
      <w:r w:rsidRPr="0098665C">
        <w:rPr>
          <w:lang w:val="fr-CA"/>
        </w:rPr>
        <w:t>Avec satisfaction des efforts entrepris par les agences bilatérales et d’exécution pour établir les rapports de leurs activités de 20</w:t>
      </w:r>
      <w:r>
        <w:rPr>
          <w:lang w:val="fr-CA"/>
        </w:rPr>
        <w:t xml:space="preserve">20 </w:t>
      </w:r>
      <w:r w:rsidRPr="0098665C">
        <w:rPr>
          <w:lang w:val="fr-CA"/>
        </w:rPr>
        <w:t>;</w:t>
      </w:r>
      <w:r>
        <w:rPr>
          <w:lang w:val="fr-CA"/>
        </w:rPr>
        <w:t xml:space="preserve"> </w:t>
      </w:r>
    </w:p>
    <w:p w14:paraId="2D372D62" w14:textId="0885F191" w:rsidR="00D631A9" w:rsidRPr="006A5F8A" w:rsidRDefault="00A40447" w:rsidP="00A40447">
      <w:pPr>
        <w:pStyle w:val="Heading2"/>
        <w:rPr>
          <w:lang w:val="fr-CA"/>
        </w:rPr>
      </w:pPr>
      <w:r w:rsidRPr="0098665C">
        <w:rPr>
          <w:lang w:val="fr-CA"/>
        </w:rPr>
        <w:t xml:space="preserve">Que les agences bilatérales et </w:t>
      </w:r>
      <w:r>
        <w:rPr>
          <w:lang w:val="fr-CA"/>
        </w:rPr>
        <w:t>d’exécution présenteront à la 90</w:t>
      </w:r>
      <w:r w:rsidRPr="0098665C">
        <w:rPr>
          <w:vertAlign w:val="superscript"/>
          <w:lang w:val="fr-CA"/>
        </w:rPr>
        <w:t>e</w:t>
      </w:r>
      <w:r w:rsidRPr="0098665C">
        <w:rPr>
          <w:lang w:val="fr-CA"/>
        </w:rPr>
        <w:t xml:space="preserve"> réunion, un rapport sur les </w:t>
      </w:r>
      <w:r>
        <w:rPr>
          <w:lang w:val="fr-CA"/>
        </w:rPr>
        <w:lastRenderedPageBreak/>
        <w:t>129</w:t>
      </w:r>
      <w:r w:rsidRPr="0098665C">
        <w:rPr>
          <w:lang w:val="fr-CA"/>
        </w:rPr>
        <w:t xml:space="preserve"> projets dont l</w:t>
      </w:r>
      <w:r>
        <w:rPr>
          <w:lang w:val="fr-CA"/>
        </w:rPr>
        <w:t>a</w:t>
      </w:r>
      <w:r w:rsidRPr="0098665C">
        <w:rPr>
          <w:lang w:val="fr-CA"/>
        </w:rPr>
        <w:t xml:space="preserve"> mise</w:t>
      </w:r>
      <w:r>
        <w:rPr>
          <w:lang w:val="fr-CA"/>
        </w:rPr>
        <w:t xml:space="preserve"> en œuvre accuse du retard et 53</w:t>
      </w:r>
      <w:r w:rsidRPr="0098665C">
        <w:rPr>
          <w:lang w:val="fr-CA"/>
        </w:rPr>
        <w:t xml:space="preserve"> projets ou tranches d’accords pluriannuels en cours pour lesquels la remise de rapports de situation supplémentaires est recommandée, indiqués à l’annexe I des rapports périodiques des agences bilatérales et d’exécution</w:t>
      </w:r>
      <w:r w:rsidR="00D1706E">
        <w:rPr>
          <w:lang w:val="fr-CA"/>
        </w:rPr>
        <w:t xml:space="preserve"> concernées</w:t>
      </w:r>
      <w:r w:rsidR="00D631A9" w:rsidRPr="006A5F8A">
        <w:rPr>
          <w:lang w:val="fr-CA"/>
        </w:rPr>
        <w:t>.</w:t>
      </w:r>
    </w:p>
    <w:p w14:paraId="3639A2EA" w14:textId="77777777" w:rsidR="00D631A9" w:rsidRPr="006A5F8A" w:rsidRDefault="00D631A9" w:rsidP="001E39EE">
      <w:pPr>
        <w:rPr>
          <w:lang w:val="fr-CA"/>
        </w:rPr>
      </w:pPr>
    </w:p>
    <w:p w14:paraId="5C2BCB4A" w14:textId="77777777" w:rsidR="00D631A9" w:rsidRPr="006A5F8A" w:rsidRDefault="00D631A9" w:rsidP="001E39EE">
      <w:pPr>
        <w:rPr>
          <w:lang w:val="fr-CA"/>
        </w:rPr>
      </w:pPr>
    </w:p>
    <w:p w14:paraId="1722BF62" w14:textId="77777777" w:rsidR="00D631A9" w:rsidRPr="00A40447" w:rsidRDefault="00D631A9" w:rsidP="001E39EE">
      <w:pPr>
        <w:pStyle w:val="Title1"/>
        <w:rPr>
          <w:lang w:val="fr-CA"/>
        </w:rPr>
      </w:pPr>
    </w:p>
    <w:p w14:paraId="2B14E2DA" w14:textId="77777777" w:rsidR="00D631A9" w:rsidRPr="00A40447" w:rsidRDefault="00D631A9" w:rsidP="001E39EE">
      <w:pPr>
        <w:rPr>
          <w:lang w:val="fr-CA"/>
        </w:rPr>
        <w:sectPr w:rsidR="00D631A9" w:rsidRPr="00A40447"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5B4F8D46" w14:textId="6C4F23E9" w:rsidR="00D631A9" w:rsidRPr="00071529" w:rsidRDefault="00D631A9" w:rsidP="001E39EE">
      <w:pPr>
        <w:jc w:val="center"/>
        <w:rPr>
          <w:b/>
          <w:lang w:val="fr-CA"/>
        </w:rPr>
      </w:pPr>
      <w:r w:rsidRPr="00071529">
        <w:rPr>
          <w:b/>
          <w:lang w:val="fr-CA"/>
        </w:rPr>
        <w:lastRenderedPageBreak/>
        <w:t>Annex</w:t>
      </w:r>
      <w:r w:rsidR="00071529">
        <w:rPr>
          <w:b/>
          <w:lang w:val="fr-CA"/>
        </w:rPr>
        <w:t>e</w:t>
      </w:r>
      <w:r w:rsidRPr="00071529">
        <w:rPr>
          <w:b/>
          <w:lang w:val="fr-CA"/>
        </w:rPr>
        <w:t xml:space="preserve"> I</w:t>
      </w:r>
    </w:p>
    <w:p w14:paraId="15EBAC98" w14:textId="77777777" w:rsidR="00D631A9" w:rsidRPr="00071529" w:rsidRDefault="00D631A9" w:rsidP="001E39EE">
      <w:pPr>
        <w:jc w:val="center"/>
        <w:rPr>
          <w:b/>
          <w:lang w:val="fr-CA"/>
        </w:rPr>
      </w:pPr>
    </w:p>
    <w:p w14:paraId="0D4907DB" w14:textId="15B0B48F" w:rsidR="00D631A9" w:rsidRPr="00071529" w:rsidRDefault="00B930C3" w:rsidP="001E39EE">
      <w:pPr>
        <w:jc w:val="center"/>
        <w:rPr>
          <w:b/>
          <w:lang w:val="fr-CA"/>
        </w:rPr>
      </w:pPr>
      <w:r>
        <w:rPr>
          <w:b/>
          <w:lang w:val="fr-CA"/>
        </w:rPr>
        <w:t>APERÇU DES PROJETS ET ACTIVITÉS EN LIEN AVEC LES HFC</w:t>
      </w:r>
    </w:p>
    <w:p w14:paraId="45BF1EB8" w14:textId="77777777" w:rsidR="00D631A9" w:rsidRPr="00071529" w:rsidRDefault="00D631A9" w:rsidP="001E39EE">
      <w:pPr>
        <w:pStyle w:val="Heading1"/>
        <w:numPr>
          <w:ilvl w:val="0"/>
          <w:numId w:val="0"/>
        </w:numPr>
        <w:spacing w:after="0"/>
        <w:rPr>
          <w:lang w:val="fr-CA"/>
        </w:rPr>
      </w:pPr>
    </w:p>
    <w:p w14:paraId="500A6198" w14:textId="46374691" w:rsidR="00D631A9" w:rsidRPr="00071529" w:rsidRDefault="00B930C3" w:rsidP="001E39EE">
      <w:pPr>
        <w:pStyle w:val="Heading1"/>
        <w:numPr>
          <w:ilvl w:val="0"/>
          <w:numId w:val="41"/>
        </w:numPr>
        <w:rPr>
          <w:lang w:val="fr-CA"/>
        </w:rPr>
      </w:pPr>
      <w:r>
        <w:rPr>
          <w:lang w:val="fr-CA"/>
        </w:rPr>
        <w:t>Le Comité exécutif approuve le financement de la mise en œuvre de projets d’investissement en lien avec les HFC (décisions 78/3 g)) et 79/54) et d’activités de facilitation depuis 1980, afin d’aider les Bureaux nationaux de l’ozone à respecter leurs obligations initiales en lien avec la réduction progressive des HFC au titre de l’Amendement de Kigali (décision 79/46)</w:t>
      </w:r>
      <w:r w:rsidR="00D631A9" w:rsidRPr="00071529">
        <w:rPr>
          <w:lang w:val="fr-CA"/>
        </w:rPr>
        <w:t xml:space="preserve">. </w:t>
      </w:r>
    </w:p>
    <w:p w14:paraId="394EDB83" w14:textId="2A569C04" w:rsidR="00D631A9" w:rsidRPr="00071529" w:rsidRDefault="00B930C3" w:rsidP="001E39EE">
      <w:pPr>
        <w:pStyle w:val="Heading1"/>
        <w:rPr>
          <w:lang w:val="fr-CA"/>
        </w:rPr>
      </w:pPr>
      <w:r>
        <w:rPr>
          <w:lang w:val="fr-CA"/>
        </w:rPr>
        <w:t>L</w:t>
      </w:r>
      <w:r w:rsidR="002E41E8">
        <w:rPr>
          <w:lang w:val="fr-CA"/>
        </w:rPr>
        <w:t>e Comité exécutif avait approuvé 184</w:t>
      </w:r>
      <w:r>
        <w:rPr>
          <w:lang w:val="fr-CA"/>
        </w:rPr>
        <w:t xml:space="preserve"> projets et activités en lien a</w:t>
      </w:r>
      <w:r w:rsidR="002E41E8">
        <w:rPr>
          <w:lang w:val="fr-CA"/>
        </w:rPr>
        <w:t>vec les HFC dans 137</w:t>
      </w:r>
      <w:r>
        <w:rPr>
          <w:lang w:val="fr-CA"/>
        </w:rPr>
        <w:t xml:space="preserve"> pays au 31 décembre 20</w:t>
      </w:r>
      <w:r w:rsidR="002E41E8">
        <w:rPr>
          <w:lang w:val="fr-CA"/>
        </w:rPr>
        <w:t>20, dont 13</w:t>
      </w:r>
      <w:r>
        <w:rPr>
          <w:lang w:val="fr-CA"/>
        </w:rPr>
        <w:t xml:space="preserve"> deman</w:t>
      </w:r>
      <w:r w:rsidR="002E41E8">
        <w:rPr>
          <w:lang w:val="fr-CA"/>
        </w:rPr>
        <w:t>des de préparation de projet, 14</w:t>
      </w:r>
      <w:r>
        <w:rPr>
          <w:lang w:val="fr-CA"/>
        </w:rPr>
        <w:t xml:space="preserve"> projets d’investissement et 1</w:t>
      </w:r>
      <w:r w:rsidR="002E41E8">
        <w:rPr>
          <w:lang w:val="fr-CA"/>
        </w:rPr>
        <w:t>57</w:t>
      </w:r>
      <w:r>
        <w:rPr>
          <w:lang w:val="fr-CA"/>
        </w:rPr>
        <w:t xml:space="preserve"> activités de facilitation, pour la somme de </w:t>
      </w:r>
      <w:r w:rsidR="002E41E8">
        <w:rPr>
          <w:lang w:val="fr-CA"/>
        </w:rPr>
        <w:t>32,81</w:t>
      </w:r>
      <w:r>
        <w:rPr>
          <w:lang w:val="fr-CA"/>
        </w:rPr>
        <w:t xml:space="preserve"> millions $US (ne comprenant pas les coûts d’appui</w:t>
      </w:r>
      <w:r w:rsidR="00D631A9" w:rsidRPr="00071529">
        <w:rPr>
          <w:lang w:val="fr-CA"/>
        </w:rPr>
        <w:t xml:space="preserve">). </w:t>
      </w:r>
    </w:p>
    <w:p w14:paraId="2147FB85" w14:textId="1DC7FD02" w:rsidR="00D631A9" w:rsidRPr="00071529" w:rsidRDefault="002E41E8" w:rsidP="001E39EE">
      <w:pPr>
        <w:pStyle w:val="Heading1"/>
        <w:rPr>
          <w:lang w:val="fr-CA"/>
        </w:rPr>
      </w:pPr>
      <w:r>
        <w:rPr>
          <w:lang w:val="fr-CA"/>
        </w:rPr>
        <w:t>Le tableau 1 présente un aperçu de tous les projets et activités en lien avec les HFC relevant du Fonds multilatéral, par pays, indépendamment de leur source de financement, en précisant l’état de la ratification de l’Amendement de Kigali et l’état du programme d’octroi de permis pour les HFC</w:t>
      </w:r>
      <w:r w:rsidR="00D631A9" w:rsidRPr="00071529">
        <w:rPr>
          <w:lang w:val="fr-CA"/>
        </w:rPr>
        <w:t>.</w:t>
      </w:r>
    </w:p>
    <w:p w14:paraId="35701224" w14:textId="77777777" w:rsidR="002E41E8" w:rsidRDefault="002E41E8" w:rsidP="002E41E8">
      <w:pPr>
        <w:jc w:val="left"/>
        <w:rPr>
          <w:b/>
          <w:lang w:val="fr-CA"/>
        </w:rPr>
      </w:pPr>
      <w:r w:rsidRPr="001D419D">
        <w:rPr>
          <w:b/>
          <w:lang w:val="fr-CA"/>
        </w:rPr>
        <w:t>Table</w:t>
      </w:r>
      <w:r>
        <w:rPr>
          <w:b/>
          <w:lang w:val="fr-CA"/>
        </w:rPr>
        <w:t>au</w:t>
      </w:r>
      <w:r w:rsidRPr="001D419D">
        <w:rPr>
          <w:b/>
          <w:lang w:val="fr-CA"/>
        </w:rPr>
        <w:t xml:space="preserve"> 1. </w:t>
      </w:r>
      <w:r>
        <w:rPr>
          <w:b/>
          <w:lang w:val="fr-CA"/>
        </w:rPr>
        <w:t>Aperçu de tous les projets et activités en lien avec les HFC relevant du Fonds multilatéral</w:t>
      </w:r>
    </w:p>
    <w:tbl>
      <w:tblPr>
        <w:tblW w:w="9540" w:type="dxa"/>
        <w:tblInd w:w="-5" w:type="dxa"/>
        <w:tblLayout w:type="fixed"/>
        <w:tblLook w:val="04A0" w:firstRow="1" w:lastRow="0" w:firstColumn="1" w:lastColumn="0" w:noHBand="0" w:noVBand="1"/>
      </w:tblPr>
      <w:tblGrid>
        <w:gridCol w:w="1980"/>
        <w:gridCol w:w="854"/>
        <w:gridCol w:w="1396"/>
        <w:gridCol w:w="1530"/>
        <w:gridCol w:w="1331"/>
        <w:gridCol w:w="1189"/>
        <w:gridCol w:w="1260"/>
      </w:tblGrid>
      <w:tr w:rsidR="005B55FD" w:rsidRPr="00071529" w14:paraId="34C5111D" w14:textId="77777777" w:rsidTr="005521AD">
        <w:trPr>
          <w:tblHeader/>
        </w:trPr>
        <w:tc>
          <w:tcPr>
            <w:tcW w:w="1980" w:type="dxa"/>
            <w:vMerge w:val="restart"/>
            <w:tcBorders>
              <w:top w:val="single" w:sz="4" w:space="0" w:color="auto"/>
              <w:left w:val="single" w:sz="4" w:space="0" w:color="auto"/>
              <w:right w:val="single" w:sz="4" w:space="0" w:color="auto"/>
            </w:tcBorders>
            <w:shd w:val="clear" w:color="auto" w:fill="auto"/>
            <w:noWrap/>
            <w:tcMar>
              <w:left w:w="29" w:type="dxa"/>
              <w:right w:w="0" w:type="dxa"/>
            </w:tcMar>
            <w:vAlign w:val="center"/>
          </w:tcPr>
          <w:p w14:paraId="0D9ECCA4" w14:textId="2539B743" w:rsidR="005B55FD" w:rsidRPr="005B55FD" w:rsidRDefault="005B55FD" w:rsidP="008C2F02">
            <w:pPr>
              <w:jc w:val="left"/>
              <w:rPr>
                <w:b/>
                <w:bCs/>
                <w:sz w:val="19"/>
                <w:szCs w:val="20"/>
                <w:lang w:val="fr-CA"/>
              </w:rPr>
            </w:pPr>
            <w:r w:rsidRPr="005B55FD">
              <w:rPr>
                <w:b/>
                <w:bCs/>
                <w:sz w:val="19"/>
                <w:szCs w:val="20"/>
                <w:lang w:val="fr-CA"/>
              </w:rPr>
              <w:t>Pays</w:t>
            </w:r>
          </w:p>
        </w:tc>
        <w:tc>
          <w:tcPr>
            <w:tcW w:w="854" w:type="dxa"/>
            <w:vMerge w:val="restart"/>
            <w:tcBorders>
              <w:top w:val="single" w:sz="4" w:space="0" w:color="auto"/>
              <w:left w:val="nil"/>
              <w:right w:val="single" w:sz="4" w:space="0" w:color="auto"/>
            </w:tcBorders>
            <w:shd w:val="clear" w:color="auto" w:fill="auto"/>
            <w:noWrap/>
            <w:vAlign w:val="center"/>
          </w:tcPr>
          <w:p w14:paraId="201D617C" w14:textId="44E401DD" w:rsidR="005B55FD" w:rsidRPr="005B55FD" w:rsidRDefault="005B55FD" w:rsidP="008C2F02">
            <w:pPr>
              <w:jc w:val="center"/>
              <w:rPr>
                <w:b/>
                <w:bCs/>
                <w:sz w:val="19"/>
                <w:szCs w:val="20"/>
                <w:lang w:val="fr-CA"/>
              </w:rPr>
            </w:pPr>
            <w:r w:rsidRPr="005B55FD">
              <w:rPr>
                <w:b/>
                <w:bCs/>
                <w:sz w:val="19"/>
                <w:szCs w:val="20"/>
                <w:lang w:val="fr-CA"/>
              </w:rPr>
              <w:t>Groupe</w:t>
            </w:r>
          </w:p>
        </w:tc>
        <w:tc>
          <w:tcPr>
            <w:tcW w:w="1396" w:type="dxa"/>
            <w:vMerge w:val="restart"/>
            <w:tcBorders>
              <w:top w:val="single" w:sz="4" w:space="0" w:color="auto"/>
              <w:left w:val="nil"/>
              <w:right w:val="single" w:sz="4" w:space="0" w:color="auto"/>
            </w:tcBorders>
            <w:shd w:val="clear" w:color="auto" w:fill="auto"/>
            <w:noWrap/>
          </w:tcPr>
          <w:p w14:paraId="2231847A" w14:textId="2F255DFB" w:rsidR="005B55FD" w:rsidRPr="005B55FD" w:rsidRDefault="005B55FD" w:rsidP="008C2F02">
            <w:pPr>
              <w:jc w:val="center"/>
              <w:rPr>
                <w:b/>
                <w:bCs/>
                <w:sz w:val="19"/>
                <w:szCs w:val="20"/>
                <w:lang w:val="fr-CA"/>
              </w:rPr>
            </w:pPr>
            <w:r w:rsidRPr="005B55FD">
              <w:rPr>
                <w:b/>
                <w:bCs/>
                <w:sz w:val="19"/>
                <w:szCs w:val="20"/>
                <w:lang w:val="fr-CA"/>
              </w:rPr>
              <w:t>Ratification de l’</w:t>
            </w:r>
            <w:proofErr w:type="spellStart"/>
            <w:r w:rsidRPr="005B55FD">
              <w:rPr>
                <w:b/>
                <w:bCs/>
                <w:sz w:val="19"/>
                <w:szCs w:val="20"/>
                <w:lang w:val="fr-CA"/>
              </w:rPr>
              <w:t>Amende-ment</w:t>
            </w:r>
            <w:proofErr w:type="spellEnd"/>
            <w:r w:rsidRPr="005B55FD">
              <w:rPr>
                <w:b/>
                <w:bCs/>
                <w:sz w:val="19"/>
                <w:szCs w:val="20"/>
                <w:lang w:val="fr-CA"/>
              </w:rPr>
              <w:t xml:space="preserve"> de Kigali</w:t>
            </w:r>
          </w:p>
        </w:tc>
        <w:tc>
          <w:tcPr>
            <w:tcW w:w="1530" w:type="dxa"/>
            <w:vMerge w:val="restart"/>
            <w:tcBorders>
              <w:top w:val="single" w:sz="4" w:space="0" w:color="auto"/>
              <w:left w:val="nil"/>
              <w:right w:val="single" w:sz="4" w:space="0" w:color="auto"/>
            </w:tcBorders>
            <w:shd w:val="clear" w:color="auto" w:fill="auto"/>
            <w:noWrap/>
          </w:tcPr>
          <w:p w14:paraId="60B3F929" w14:textId="1B35ADE9" w:rsidR="005B55FD" w:rsidRPr="005B55FD" w:rsidRDefault="005B55FD" w:rsidP="008C2F02">
            <w:pPr>
              <w:jc w:val="center"/>
              <w:rPr>
                <w:b/>
                <w:bCs/>
                <w:sz w:val="19"/>
                <w:szCs w:val="20"/>
                <w:lang w:val="fr-CA"/>
              </w:rPr>
            </w:pPr>
            <w:r w:rsidRPr="005B55FD">
              <w:rPr>
                <w:b/>
                <w:bCs/>
                <w:sz w:val="19"/>
                <w:szCs w:val="20"/>
                <w:lang w:val="fr-CA"/>
              </w:rPr>
              <w:t>Mise en œuvre  du programme d’octroi de permis</w:t>
            </w:r>
          </w:p>
        </w:tc>
        <w:tc>
          <w:tcPr>
            <w:tcW w:w="3780" w:type="dxa"/>
            <w:gridSpan w:val="3"/>
            <w:tcBorders>
              <w:top w:val="single" w:sz="4" w:space="0" w:color="auto"/>
              <w:left w:val="nil"/>
              <w:bottom w:val="single" w:sz="4" w:space="0" w:color="auto"/>
              <w:right w:val="single" w:sz="4" w:space="0" w:color="auto"/>
            </w:tcBorders>
            <w:shd w:val="clear" w:color="auto" w:fill="auto"/>
            <w:noWrap/>
          </w:tcPr>
          <w:p w14:paraId="1E6F7415" w14:textId="77207602" w:rsidR="005B55FD" w:rsidRPr="005B55FD" w:rsidRDefault="005B55FD" w:rsidP="005B55FD">
            <w:pPr>
              <w:jc w:val="center"/>
              <w:rPr>
                <w:b/>
                <w:bCs/>
                <w:sz w:val="19"/>
                <w:szCs w:val="20"/>
                <w:lang w:val="fr-CA"/>
              </w:rPr>
            </w:pPr>
            <w:r w:rsidRPr="005B55FD">
              <w:rPr>
                <w:b/>
                <w:bCs/>
                <w:sz w:val="19"/>
                <w:szCs w:val="20"/>
                <w:lang w:val="fr-CA"/>
              </w:rPr>
              <w:t>Sommes approuvées ($US)</w:t>
            </w:r>
          </w:p>
        </w:tc>
      </w:tr>
      <w:tr w:rsidR="008C2F02" w:rsidRPr="00071529" w14:paraId="29F48260" w14:textId="77777777" w:rsidTr="005521AD">
        <w:trPr>
          <w:tblHeader/>
        </w:trPr>
        <w:tc>
          <w:tcPr>
            <w:tcW w:w="1980" w:type="dxa"/>
            <w:vMerge/>
            <w:tcBorders>
              <w:left w:val="single" w:sz="4" w:space="0" w:color="auto"/>
              <w:bottom w:val="single" w:sz="4" w:space="0" w:color="auto"/>
              <w:right w:val="single" w:sz="4" w:space="0" w:color="auto"/>
            </w:tcBorders>
            <w:shd w:val="clear" w:color="auto" w:fill="auto"/>
            <w:noWrap/>
            <w:tcMar>
              <w:left w:w="29" w:type="dxa"/>
              <w:right w:w="0" w:type="dxa"/>
            </w:tcMar>
            <w:vAlign w:val="center"/>
          </w:tcPr>
          <w:p w14:paraId="2A32D7A9" w14:textId="1DE2EA0D" w:rsidR="008C2F02" w:rsidRPr="005B55FD" w:rsidRDefault="008C2F02" w:rsidP="008C2F02">
            <w:pPr>
              <w:jc w:val="left"/>
              <w:rPr>
                <w:b/>
                <w:bCs/>
                <w:sz w:val="19"/>
                <w:szCs w:val="20"/>
                <w:lang w:val="fr-CA"/>
              </w:rPr>
            </w:pPr>
          </w:p>
        </w:tc>
        <w:tc>
          <w:tcPr>
            <w:tcW w:w="854" w:type="dxa"/>
            <w:vMerge/>
            <w:tcBorders>
              <w:left w:val="nil"/>
              <w:bottom w:val="single" w:sz="4" w:space="0" w:color="auto"/>
              <w:right w:val="single" w:sz="4" w:space="0" w:color="auto"/>
            </w:tcBorders>
            <w:shd w:val="clear" w:color="auto" w:fill="auto"/>
            <w:noWrap/>
            <w:vAlign w:val="center"/>
          </w:tcPr>
          <w:p w14:paraId="7B884708" w14:textId="66617C22" w:rsidR="008C2F02" w:rsidRPr="005B55FD" w:rsidRDefault="008C2F02" w:rsidP="008C2F02">
            <w:pPr>
              <w:jc w:val="center"/>
              <w:rPr>
                <w:b/>
                <w:bCs/>
                <w:sz w:val="19"/>
                <w:szCs w:val="20"/>
                <w:lang w:val="fr-CA"/>
              </w:rPr>
            </w:pPr>
          </w:p>
        </w:tc>
        <w:tc>
          <w:tcPr>
            <w:tcW w:w="1396" w:type="dxa"/>
            <w:vMerge/>
            <w:tcBorders>
              <w:left w:val="nil"/>
              <w:bottom w:val="single" w:sz="4" w:space="0" w:color="auto"/>
              <w:right w:val="single" w:sz="4" w:space="0" w:color="auto"/>
            </w:tcBorders>
            <w:shd w:val="clear" w:color="auto" w:fill="auto"/>
            <w:noWrap/>
          </w:tcPr>
          <w:p w14:paraId="3619F98A" w14:textId="3C233E9A" w:rsidR="008C2F02" w:rsidRPr="005B55FD" w:rsidRDefault="008C2F02" w:rsidP="008C2F02">
            <w:pPr>
              <w:jc w:val="center"/>
              <w:rPr>
                <w:b/>
                <w:bCs/>
                <w:sz w:val="19"/>
                <w:szCs w:val="20"/>
                <w:lang w:val="fr-CA"/>
              </w:rPr>
            </w:pPr>
          </w:p>
        </w:tc>
        <w:tc>
          <w:tcPr>
            <w:tcW w:w="1530" w:type="dxa"/>
            <w:vMerge/>
            <w:tcBorders>
              <w:left w:val="nil"/>
              <w:bottom w:val="single" w:sz="4" w:space="0" w:color="auto"/>
              <w:right w:val="single" w:sz="4" w:space="0" w:color="auto"/>
            </w:tcBorders>
            <w:shd w:val="clear" w:color="auto" w:fill="auto"/>
            <w:noWrap/>
          </w:tcPr>
          <w:p w14:paraId="1D86F1E3" w14:textId="0CB8738D" w:rsidR="008C2F02" w:rsidRPr="005B55FD" w:rsidRDefault="008C2F02" w:rsidP="008C2F02">
            <w:pPr>
              <w:jc w:val="center"/>
              <w:rPr>
                <w:b/>
                <w:bCs/>
                <w:sz w:val="19"/>
                <w:szCs w:val="20"/>
                <w:lang w:val="fr-CA"/>
              </w:rPr>
            </w:pPr>
          </w:p>
        </w:tc>
        <w:tc>
          <w:tcPr>
            <w:tcW w:w="1331" w:type="dxa"/>
            <w:tcBorders>
              <w:top w:val="nil"/>
              <w:left w:val="nil"/>
              <w:bottom w:val="single" w:sz="4" w:space="0" w:color="auto"/>
              <w:right w:val="single" w:sz="4" w:space="0" w:color="auto"/>
            </w:tcBorders>
            <w:shd w:val="clear" w:color="auto" w:fill="auto"/>
            <w:noWrap/>
          </w:tcPr>
          <w:p w14:paraId="5CFA4145" w14:textId="09BDA9CC" w:rsidR="008C2F02" w:rsidRPr="005B55FD" w:rsidRDefault="005B55FD" w:rsidP="005B55FD">
            <w:pPr>
              <w:jc w:val="center"/>
              <w:rPr>
                <w:b/>
                <w:bCs/>
                <w:sz w:val="19"/>
                <w:szCs w:val="20"/>
                <w:lang w:val="fr-CA"/>
              </w:rPr>
            </w:pPr>
            <w:r w:rsidRPr="005B55FD">
              <w:rPr>
                <w:b/>
                <w:bCs/>
                <w:sz w:val="19"/>
                <w:szCs w:val="20"/>
                <w:lang w:val="fr-CA"/>
              </w:rPr>
              <w:t>Activités de facilitation</w:t>
            </w:r>
          </w:p>
        </w:tc>
        <w:tc>
          <w:tcPr>
            <w:tcW w:w="1189" w:type="dxa"/>
            <w:tcBorders>
              <w:top w:val="nil"/>
              <w:left w:val="nil"/>
              <w:bottom w:val="single" w:sz="4" w:space="0" w:color="auto"/>
              <w:right w:val="single" w:sz="4" w:space="0" w:color="auto"/>
            </w:tcBorders>
            <w:shd w:val="clear" w:color="auto" w:fill="auto"/>
            <w:noWrap/>
            <w:vAlign w:val="center"/>
          </w:tcPr>
          <w:p w14:paraId="07A6C990" w14:textId="49CAF249" w:rsidR="008C2F02" w:rsidRPr="005B55FD" w:rsidRDefault="005B55FD" w:rsidP="005B55FD">
            <w:pPr>
              <w:jc w:val="center"/>
              <w:rPr>
                <w:b/>
                <w:bCs/>
                <w:sz w:val="19"/>
                <w:szCs w:val="20"/>
                <w:lang w:val="fr-CA"/>
              </w:rPr>
            </w:pPr>
            <w:r w:rsidRPr="005B55FD">
              <w:rPr>
                <w:b/>
                <w:bCs/>
                <w:sz w:val="19"/>
                <w:szCs w:val="20"/>
                <w:lang w:val="fr-CA"/>
              </w:rPr>
              <w:t>Projets d’</w:t>
            </w:r>
            <w:proofErr w:type="spellStart"/>
            <w:r w:rsidRPr="005B55FD">
              <w:rPr>
                <w:b/>
                <w:bCs/>
                <w:sz w:val="19"/>
                <w:szCs w:val="20"/>
                <w:lang w:val="fr-CA"/>
              </w:rPr>
              <w:t>investis-sement</w:t>
            </w:r>
            <w:proofErr w:type="spellEnd"/>
          </w:p>
        </w:tc>
        <w:tc>
          <w:tcPr>
            <w:tcW w:w="1260" w:type="dxa"/>
            <w:tcBorders>
              <w:top w:val="nil"/>
              <w:left w:val="nil"/>
              <w:bottom w:val="single" w:sz="4" w:space="0" w:color="auto"/>
              <w:right w:val="single" w:sz="4" w:space="0" w:color="auto"/>
            </w:tcBorders>
            <w:shd w:val="clear" w:color="auto" w:fill="auto"/>
            <w:noWrap/>
            <w:vAlign w:val="center"/>
          </w:tcPr>
          <w:p w14:paraId="248F5675" w14:textId="062B8029" w:rsidR="008C2F02" w:rsidRPr="005B55FD" w:rsidRDefault="005B55FD" w:rsidP="005B55FD">
            <w:pPr>
              <w:jc w:val="center"/>
              <w:rPr>
                <w:b/>
                <w:bCs/>
                <w:sz w:val="19"/>
                <w:szCs w:val="20"/>
                <w:lang w:val="fr-CA"/>
              </w:rPr>
            </w:pPr>
            <w:r w:rsidRPr="005B55FD">
              <w:rPr>
                <w:b/>
                <w:bCs/>
                <w:sz w:val="19"/>
                <w:szCs w:val="20"/>
                <w:lang w:val="fr-CA"/>
              </w:rPr>
              <w:t>Préparation de projets</w:t>
            </w:r>
          </w:p>
        </w:tc>
      </w:tr>
      <w:tr w:rsidR="008C2F02" w:rsidRPr="00071529" w14:paraId="040884B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tcPr>
          <w:p w14:paraId="6FA5AF1D" w14:textId="6C782502" w:rsidR="008C2F02" w:rsidRPr="00071529" w:rsidRDefault="008C2F02" w:rsidP="008C2F02">
            <w:pPr>
              <w:jc w:val="left"/>
              <w:rPr>
                <w:sz w:val="20"/>
                <w:szCs w:val="20"/>
                <w:lang w:val="fr-CA" w:eastAsia="en-CA"/>
              </w:rPr>
            </w:pPr>
            <w:r w:rsidRPr="00071529">
              <w:rPr>
                <w:sz w:val="20"/>
                <w:szCs w:val="20"/>
                <w:lang w:val="fr-CA" w:eastAsia="en-CA"/>
              </w:rPr>
              <w:t>Afghanistan</w:t>
            </w:r>
          </w:p>
        </w:tc>
        <w:tc>
          <w:tcPr>
            <w:tcW w:w="854" w:type="dxa"/>
            <w:tcBorders>
              <w:top w:val="nil"/>
              <w:left w:val="nil"/>
              <w:bottom w:val="single" w:sz="4" w:space="0" w:color="auto"/>
              <w:right w:val="single" w:sz="4" w:space="0" w:color="auto"/>
            </w:tcBorders>
            <w:shd w:val="clear" w:color="auto" w:fill="auto"/>
            <w:noWrap/>
          </w:tcPr>
          <w:p w14:paraId="423BDFD3" w14:textId="5830A0EE" w:rsidR="008C2F02" w:rsidRPr="00071529" w:rsidRDefault="008C2F02" w:rsidP="008C2F02">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tcPr>
          <w:p w14:paraId="0E068370" w14:textId="5C9AB72E" w:rsidR="008C2F02" w:rsidRPr="00071529" w:rsidRDefault="008C2F02" w:rsidP="008C2F02">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tcPr>
          <w:p w14:paraId="2AED14BD" w14:textId="36724F0E" w:rsidR="008C2F02" w:rsidRPr="00071529" w:rsidRDefault="008C2F02" w:rsidP="008C2F02">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tcPr>
          <w:p w14:paraId="64416136" w14:textId="5A4FA2C7" w:rsidR="008C2F02" w:rsidRPr="00071529" w:rsidRDefault="008C2F02" w:rsidP="008C2F02">
            <w:pPr>
              <w:jc w:val="right"/>
              <w:rPr>
                <w:sz w:val="20"/>
                <w:szCs w:val="20"/>
                <w:lang w:val="fr-CA" w:eastAsia="en-CA"/>
              </w:rPr>
            </w:pPr>
            <w:r w:rsidRPr="00071529">
              <w:rPr>
                <w:sz w:val="20"/>
                <w:szCs w:val="20"/>
                <w:lang w:val="fr-CA" w:eastAsia="en-CA"/>
              </w:rPr>
              <w:t>150,000</w:t>
            </w:r>
          </w:p>
        </w:tc>
        <w:tc>
          <w:tcPr>
            <w:tcW w:w="1189" w:type="dxa"/>
            <w:tcBorders>
              <w:top w:val="nil"/>
              <w:left w:val="nil"/>
              <w:bottom w:val="single" w:sz="4" w:space="0" w:color="auto"/>
              <w:right w:val="single" w:sz="4" w:space="0" w:color="auto"/>
            </w:tcBorders>
            <w:shd w:val="clear" w:color="auto" w:fill="auto"/>
            <w:noWrap/>
          </w:tcPr>
          <w:p w14:paraId="3B3B4A8E" w14:textId="3C248C34" w:rsidR="008C2F02" w:rsidRPr="00071529" w:rsidRDefault="008C2F02" w:rsidP="008C2F02">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tcPr>
          <w:p w14:paraId="6CA7FFAD" w14:textId="61236D8C" w:rsidR="008C2F02" w:rsidRPr="00071529" w:rsidRDefault="008C2F02" w:rsidP="008C2F02">
            <w:pPr>
              <w:jc w:val="right"/>
              <w:rPr>
                <w:sz w:val="20"/>
                <w:szCs w:val="20"/>
                <w:lang w:val="fr-CA" w:eastAsia="en-CA"/>
              </w:rPr>
            </w:pPr>
            <w:r w:rsidRPr="00071529">
              <w:rPr>
                <w:sz w:val="20"/>
                <w:szCs w:val="20"/>
                <w:lang w:val="fr-CA" w:eastAsia="en-CA"/>
              </w:rPr>
              <w:t> </w:t>
            </w:r>
          </w:p>
        </w:tc>
      </w:tr>
      <w:tr w:rsidR="008C2F02" w:rsidRPr="00071529" w14:paraId="33116C9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E329CF0" w14:textId="77777777" w:rsidR="008C2F02" w:rsidRPr="00071529" w:rsidRDefault="008C2F02" w:rsidP="001E39EE">
            <w:pPr>
              <w:jc w:val="left"/>
              <w:rPr>
                <w:sz w:val="20"/>
                <w:szCs w:val="20"/>
                <w:lang w:val="fr-CA" w:eastAsia="en-CA"/>
              </w:rPr>
            </w:pPr>
            <w:r>
              <w:rPr>
                <w:sz w:val="20"/>
                <w:szCs w:val="20"/>
                <w:lang w:val="fr-CA" w:eastAsia="en-CA"/>
              </w:rPr>
              <w:t>Afrique du Sud</w:t>
            </w:r>
          </w:p>
        </w:tc>
        <w:tc>
          <w:tcPr>
            <w:tcW w:w="854" w:type="dxa"/>
            <w:tcBorders>
              <w:top w:val="nil"/>
              <w:left w:val="nil"/>
              <w:bottom w:val="single" w:sz="4" w:space="0" w:color="auto"/>
              <w:right w:val="single" w:sz="4" w:space="0" w:color="auto"/>
            </w:tcBorders>
            <w:shd w:val="clear" w:color="auto" w:fill="auto"/>
            <w:noWrap/>
            <w:hideMark/>
          </w:tcPr>
          <w:p w14:paraId="66BB5D54"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CF85DEC"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1F37EA9F"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3F309EF8" w14:textId="77777777" w:rsidR="008C2F02" w:rsidRPr="00071529" w:rsidRDefault="008C2F02" w:rsidP="001E39EE">
            <w:pPr>
              <w:jc w:val="right"/>
              <w:rPr>
                <w:sz w:val="20"/>
                <w:szCs w:val="20"/>
                <w:lang w:val="fr-CA" w:eastAsia="en-CA"/>
              </w:rPr>
            </w:pPr>
            <w:r w:rsidRPr="00071529">
              <w:rPr>
                <w:sz w:val="20"/>
                <w:szCs w:val="20"/>
                <w:lang w:val="fr-CA" w:eastAsia="en-CA"/>
              </w:rPr>
              <w:t>240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74F5554"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9894B0F"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EC96812"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E7FDD82" w14:textId="77777777" w:rsidR="008C2F02" w:rsidRPr="00071529" w:rsidRDefault="008C2F02" w:rsidP="001E39EE">
            <w:pPr>
              <w:jc w:val="left"/>
              <w:rPr>
                <w:sz w:val="20"/>
                <w:szCs w:val="20"/>
                <w:lang w:val="fr-CA" w:eastAsia="en-CA"/>
              </w:rPr>
            </w:pPr>
            <w:r>
              <w:rPr>
                <w:sz w:val="20"/>
                <w:szCs w:val="20"/>
                <w:lang w:val="fr-CA" w:eastAsia="en-CA"/>
              </w:rPr>
              <w:t>Albanie</w:t>
            </w:r>
          </w:p>
        </w:tc>
        <w:tc>
          <w:tcPr>
            <w:tcW w:w="854" w:type="dxa"/>
            <w:tcBorders>
              <w:top w:val="nil"/>
              <w:left w:val="nil"/>
              <w:bottom w:val="single" w:sz="4" w:space="0" w:color="auto"/>
              <w:right w:val="single" w:sz="4" w:space="0" w:color="auto"/>
            </w:tcBorders>
            <w:shd w:val="clear" w:color="auto" w:fill="auto"/>
            <w:noWrap/>
            <w:hideMark/>
          </w:tcPr>
          <w:p w14:paraId="4A619958"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1D44ABFF"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E87261B"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51CDDD28" w14:textId="77777777" w:rsidR="008C2F02" w:rsidRPr="00071529" w:rsidRDefault="008C2F02" w:rsidP="001E39EE">
            <w:pPr>
              <w:jc w:val="right"/>
              <w:rPr>
                <w:sz w:val="20"/>
                <w:szCs w:val="20"/>
                <w:lang w:val="fr-CA" w:eastAsia="en-CA"/>
              </w:rPr>
            </w:pPr>
            <w:r w:rsidRPr="00071529">
              <w:rPr>
                <w:sz w:val="20"/>
                <w:szCs w:val="20"/>
                <w:lang w:val="fr-CA" w:eastAsia="en-CA"/>
              </w:rPr>
              <w:t>94</w:t>
            </w:r>
            <w:r>
              <w:rPr>
                <w:sz w:val="20"/>
                <w:szCs w:val="20"/>
                <w:lang w:val="fr-CA" w:eastAsia="en-CA"/>
              </w:rPr>
              <w:t xml:space="preserve"> </w:t>
            </w:r>
            <w:r w:rsidRPr="00071529">
              <w:rPr>
                <w:sz w:val="20"/>
                <w:szCs w:val="20"/>
                <w:lang w:val="fr-CA" w:eastAsia="en-CA"/>
              </w:rPr>
              <w:t>978</w:t>
            </w:r>
          </w:p>
        </w:tc>
        <w:tc>
          <w:tcPr>
            <w:tcW w:w="1189" w:type="dxa"/>
            <w:tcBorders>
              <w:top w:val="nil"/>
              <w:left w:val="nil"/>
              <w:bottom w:val="single" w:sz="4" w:space="0" w:color="auto"/>
              <w:right w:val="single" w:sz="4" w:space="0" w:color="auto"/>
            </w:tcBorders>
            <w:shd w:val="clear" w:color="auto" w:fill="auto"/>
            <w:noWrap/>
            <w:hideMark/>
          </w:tcPr>
          <w:p w14:paraId="61AA316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9362F82"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76CA61E"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FAA25D9" w14:textId="77777777" w:rsidR="008C2F02" w:rsidRPr="00071529" w:rsidRDefault="008C2F02" w:rsidP="00890793">
            <w:pPr>
              <w:jc w:val="left"/>
              <w:rPr>
                <w:sz w:val="20"/>
                <w:szCs w:val="20"/>
                <w:lang w:val="fr-CA" w:eastAsia="en-CA"/>
              </w:rPr>
            </w:pPr>
            <w:r>
              <w:rPr>
                <w:sz w:val="20"/>
                <w:szCs w:val="20"/>
                <w:lang w:val="fr-CA" w:eastAsia="en-CA"/>
              </w:rPr>
              <w:t>Algé</w:t>
            </w:r>
            <w:r w:rsidRPr="00071529">
              <w:rPr>
                <w:sz w:val="20"/>
                <w:szCs w:val="20"/>
                <w:lang w:val="fr-CA" w:eastAsia="en-CA"/>
              </w:rPr>
              <w:t>ri</w:t>
            </w:r>
            <w:r>
              <w:rPr>
                <w:sz w:val="20"/>
                <w:szCs w:val="20"/>
                <w:lang w:val="fr-CA" w:eastAsia="en-CA"/>
              </w:rPr>
              <w:t>e</w:t>
            </w:r>
          </w:p>
        </w:tc>
        <w:tc>
          <w:tcPr>
            <w:tcW w:w="854" w:type="dxa"/>
            <w:tcBorders>
              <w:top w:val="nil"/>
              <w:left w:val="nil"/>
              <w:bottom w:val="single" w:sz="4" w:space="0" w:color="auto"/>
              <w:right w:val="single" w:sz="4" w:space="0" w:color="auto"/>
            </w:tcBorders>
            <w:shd w:val="clear" w:color="auto" w:fill="auto"/>
            <w:noWrap/>
            <w:hideMark/>
          </w:tcPr>
          <w:p w14:paraId="1D7ACF39"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B6C8BF0"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5E411B93"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02CBC8BF"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EE101E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912F5CD"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5A392D6"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E2DB56C" w14:textId="77777777" w:rsidR="008C2F02" w:rsidRPr="00071529" w:rsidRDefault="008C2F02" w:rsidP="001E39EE">
            <w:pPr>
              <w:jc w:val="left"/>
              <w:rPr>
                <w:sz w:val="20"/>
                <w:szCs w:val="20"/>
                <w:lang w:val="fr-CA" w:eastAsia="en-CA"/>
              </w:rPr>
            </w:pPr>
            <w:r w:rsidRPr="00071529">
              <w:rPr>
                <w:sz w:val="20"/>
                <w:szCs w:val="20"/>
                <w:lang w:val="fr-CA" w:eastAsia="en-CA"/>
              </w:rPr>
              <w:t>Angola</w:t>
            </w:r>
          </w:p>
        </w:tc>
        <w:tc>
          <w:tcPr>
            <w:tcW w:w="854" w:type="dxa"/>
            <w:tcBorders>
              <w:top w:val="nil"/>
              <w:left w:val="nil"/>
              <w:bottom w:val="single" w:sz="4" w:space="0" w:color="auto"/>
              <w:right w:val="single" w:sz="4" w:space="0" w:color="auto"/>
            </w:tcBorders>
            <w:shd w:val="clear" w:color="auto" w:fill="auto"/>
            <w:noWrap/>
            <w:hideMark/>
          </w:tcPr>
          <w:p w14:paraId="4A95D8F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1B212D6"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57898D08"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52F45E52"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3D357A5"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DD5FEFA"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95F152C"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F4509AA" w14:textId="77777777" w:rsidR="008C2F02" w:rsidRPr="00071529" w:rsidRDefault="008C2F02" w:rsidP="00890793">
            <w:pPr>
              <w:jc w:val="left"/>
              <w:rPr>
                <w:sz w:val="20"/>
                <w:szCs w:val="20"/>
                <w:lang w:val="fr-CA" w:eastAsia="en-CA"/>
              </w:rPr>
            </w:pPr>
            <w:r w:rsidRPr="00071529">
              <w:rPr>
                <w:sz w:val="20"/>
                <w:szCs w:val="20"/>
                <w:lang w:val="fr-CA" w:eastAsia="en-CA"/>
              </w:rPr>
              <w:t>Antigua</w:t>
            </w:r>
            <w:r>
              <w:rPr>
                <w:sz w:val="20"/>
                <w:szCs w:val="20"/>
                <w:lang w:val="fr-CA" w:eastAsia="en-CA"/>
              </w:rPr>
              <w:t>-et-</w:t>
            </w:r>
            <w:r w:rsidRPr="00071529">
              <w:rPr>
                <w:sz w:val="20"/>
                <w:szCs w:val="20"/>
                <w:lang w:val="fr-CA" w:eastAsia="en-CA"/>
              </w:rPr>
              <w:t>Barbuda</w:t>
            </w:r>
          </w:p>
        </w:tc>
        <w:tc>
          <w:tcPr>
            <w:tcW w:w="854" w:type="dxa"/>
            <w:tcBorders>
              <w:top w:val="nil"/>
              <w:left w:val="nil"/>
              <w:bottom w:val="single" w:sz="4" w:space="0" w:color="auto"/>
              <w:right w:val="single" w:sz="4" w:space="0" w:color="auto"/>
            </w:tcBorders>
            <w:shd w:val="clear" w:color="auto" w:fill="auto"/>
            <w:noWrap/>
            <w:hideMark/>
          </w:tcPr>
          <w:p w14:paraId="36908438"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12D1A6E"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1A5BCFBF"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4F3D876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189" w:type="dxa"/>
            <w:tcBorders>
              <w:top w:val="nil"/>
              <w:left w:val="nil"/>
              <w:bottom w:val="single" w:sz="4" w:space="0" w:color="auto"/>
              <w:right w:val="single" w:sz="4" w:space="0" w:color="auto"/>
            </w:tcBorders>
            <w:shd w:val="clear" w:color="auto" w:fill="auto"/>
            <w:noWrap/>
            <w:hideMark/>
          </w:tcPr>
          <w:p w14:paraId="06819E3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5A08019"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ACEC93B"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FBC2DDE" w14:textId="77777777" w:rsidR="008C2F02" w:rsidRPr="00071529" w:rsidRDefault="008C2F02" w:rsidP="001E39EE">
            <w:pPr>
              <w:jc w:val="left"/>
              <w:rPr>
                <w:sz w:val="20"/>
                <w:szCs w:val="20"/>
                <w:lang w:val="fr-CA" w:eastAsia="en-CA"/>
              </w:rPr>
            </w:pPr>
            <w:r>
              <w:rPr>
                <w:sz w:val="20"/>
                <w:szCs w:val="20"/>
                <w:lang w:val="fr-CA" w:eastAsia="en-CA"/>
              </w:rPr>
              <w:t>Arabie saoudite</w:t>
            </w:r>
          </w:p>
        </w:tc>
        <w:tc>
          <w:tcPr>
            <w:tcW w:w="854" w:type="dxa"/>
            <w:tcBorders>
              <w:top w:val="nil"/>
              <w:left w:val="nil"/>
              <w:bottom w:val="single" w:sz="4" w:space="0" w:color="auto"/>
              <w:right w:val="single" w:sz="4" w:space="0" w:color="auto"/>
            </w:tcBorders>
            <w:shd w:val="clear" w:color="auto" w:fill="auto"/>
            <w:noWrap/>
            <w:hideMark/>
          </w:tcPr>
          <w:p w14:paraId="7138ABA3" w14:textId="77777777" w:rsidR="008C2F02" w:rsidRPr="00071529" w:rsidRDefault="008C2F02" w:rsidP="001E39EE">
            <w:pPr>
              <w:jc w:val="center"/>
              <w:rPr>
                <w:sz w:val="20"/>
                <w:szCs w:val="20"/>
                <w:lang w:val="fr-CA" w:eastAsia="en-CA"/>
              </w:rPr>
            </w:pPr>
            <w:r w:rsidRPr="00071529">
              <w:rPr>
                <w:sz w:val="20"/>
                <w:szCs w:val="20"/>
                <w:lang w:val="fr-CA" w:eastAsia="en-CA"/>
              </w:rPr>
              <w:t>2</w:t>
            </w:r>
          </w:p>
        </w:tc>
        <w:tc>
          <w:tcPr>
            <w:tcW w:w="1396" w:type="dxa"/>
            <w:tcBorders>
              <w:top w:val="nil"/>
              <w:left w:val="nil"/>
              <w:bottom w:val="single" w:sz="4" w:space="0" w:color="auto"/>
              <w:right w:val="single" w:sz="4" w:space="0" w:color="auto"/>
            </w:tcBorders>
            <w:shd w:val="clear" w:color="auto" w:fill="auto"/>
            <w:noWrap/>
            <w:hideMark/>
          </w:tcPr>
          <w:p w14:paraId="261D6E26"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52176ADD"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676B8FED"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247D69AA"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A4B6E2E"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403E8DBE"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A0AB347" w14:textId="77777777" w:rsidR="008C2F02" w:rsidRPr="00071529" w:rsidRDefault="008C2F02" w:rsidP="001E39EE">
            <w:pPr>
              <w:jc w:val="left"/>
              <w:rPr>
                <w:sz w:val="20"/>
                <w:szCs w:val="20"/>
                <w:lang w:val="fr-CA" w:eastAsia="en-CA"/>
              </w:rPr>
            </w:pPr>
            <w:r>
              <w:rPr>
                <w:sz w:val="20"/>
                <w:szCs w:val="20"/>
                <w:lang w:val="fr-CA" w:eastAsia="en-CA"/>
              </w:rPr>
              <w:t>Argentine</w:t>
            </w:r>
          </w:p>
        </w:tc>
        <w:tc>
          <w:tcPr>
            <w:tcW w:w="854" w:type="dxa"/>
            <w:tcBorders>
              <w:top w:val="nil"/>
              <w:left w:val="nil"/>
              <w:bottom w:val="single" w:sz="4" w:space="0" w:color="auto"/>
              <w:right w:val="single" w:sz="4" w:space="0" w:color="auto"/>
            </w:tcBorders>
            <w:shd w:val="clear" w:color="auto" w:fill="auto"/>
            <w:noWrap/>
            <w:hideMark/>
          </w:tcPr>
          <w:p w14:paraId="778C7246"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208CC35"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68EF2EF"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350A80F5"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F021171" w14:textId="77777777" w:rsidR="008C2F02" w:rsidRPr="00071529" w:rsidRDefault="008C2F02" w:rsidP="001E39EE">
            <w:pPr>
              <w:jc w:val="right"/>
              <w:rPr>
                <w:sz w:val="20"/>
                <w:szCs w:val="20"/>
                <w:lang w:val="fr-CA" w:eastAsia="en-CA"/>
              </w:rPr>
            </w:pPr>
            <w:r w:rsidRPr="00071529">
              <w:rPr>
                <w:sz w:val="20"/>
                <w:szCs w:val="20"/>
                <w:lang w:val="fr-CA" w:eastAsia="en-CA"/>
              </w:rPr>
              <w:t>1</w:t>
            </w:r>
            <w:r>
              <w:rPr>
                <w:sz w:val="20"/>
                <w:szCs w:val="20"/>
                <w:lang w:val="fr-CA" w:eastAsia="en-CA"/>
              </w:rPr>
              <w:t xml:space="preserve"> </w:t>
            </w:r>
            <w:r w:rsidRPr="00071529">
              <w:rPr>
                <w:sz w:val="20"/>
                <w:szCs w:val="20"/>
                <w:lang w:val="fr-CA" w:eastAsia="en-CA"/>
              </w:rPr>
              <w:t>840</w:t>
            </w:r>
            <w:r>
              <w:rPr>
                <w:sz w:val="20"/>
                <w:szCs w:val="20"/>
                <w:lang w:val="fr-CA" w:eastAsia="en-CA"/>
              </w:rPr>
              <w:t xml:space="preserve"> </w:t>
            </w:r>
            <w:r w:rsidRPr="00071529">
              <w:rPr>
                <w:sz w:val="20"/>
                <w:szCs w:val="20"/>
                <w:lang w:val="fr-CA" w:eastAsia="en-CA"/>
              </w:rPr>
              <w:t>755</w:t>
            </w:r>
          </w:p>
        </w:tc>
        <w:tc>
          <w:tcPr>
            <w:tcW w:w="1260" w:type="dxa"/>
            <w:tcBorders>
              <w:top w:val="nil"/>
              <w:left w:val="nil"/>
              <w:bottom w:val="single" w:sz="4" w:space="0" w:color="auto"/>
              <w:right w:val="single" w:sz="4" w:space="0" w:color="auto"/>
            </w:tcBorders>
            <w:shd w:val="clear" w:color="auto" w:fill="auto"/>
            <w:noWrap/>
            <w:hideMark/>
          </w:tcPr>
          <w:p w14:paraId="3D63FF1B" w14:textId="77777777" w:rsidR="008C2F02" w:rsidRPr="00071529" w:rsidRDefault="008C2F02" w:rsidP="001E39EE">
            <w:pPr>
              <w:jc w:val="right"/>
              <w:rPr>
                <w:sz w:val="20"/>
                <w:szCs w:val="20"/>
                <w:lang w:val="fr-CA" w:eastAsia="en-CA"/>
              </w:rPr>
            </w:pPr>
            <w:r w:rsidRPr="00071529">
              <w:rPr>
                <w:sz w:val="20"/>
                <w:szCs w:val="20"/>
                <w:lang w:val="fr-CA" w:eastAsia="en-CA"/>
              </w:rPr>
              <w:t>74</w:t>
            </w:r>
            <w:r>
              <w:rPr>
                <w:sz w:val="20"/>
                <w:szCs w:val="20"/>
                <w:lang w:val="fr-CA" w:eastAsia="en-CA"/>
              </w:rPr>
              <w:t xml:space="preserve"> </w:t>
            </w:r>
            <w:r w:rsidRPr="00071529">
              <w:rPr>
                <w:sz w:val="20"/>
                <w:szCs w:val="20"/>
                <w:lang w:val="fr-CA" w:eastAsia="en-CA"/>
              </w:rPr>
              <w:t>816</w:t>
            </w:r>
          </w:p>
        </w:tc>
      </w:tr>
      <w:tr w:rsidR="008C2F02" w:rsidRPr="00071529" w14:paraId="099AA2DC"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AD0912F" w14:textId="77777777" w:rsidR="008C2F02" w:rsidRPr="00071529" w:rsidRDefault="008C2F02" w:rsidP="001E39EE">
            <w:pPr>
              <w:jc w:val="left"/>
              <w:rPr>
                <w:sz w:val="20"/>
                <w:szCs w:val="20"/>
                <w:lang w:val="fr-CA" w:eastAsia="en-CA"/>
              </w:rPr>
            </w:pPr>
            <w:r>
              <w:rPr>
                <w:sz w:val="20"/>
                <w:szCs w:val="20"/>
                <w:lang w:val="fr-CA" w:eastAsia="en-CA"/>
              </w:rPr>
              <w:t>Arménie</w:t>
            </w:r>
          </w:p>
        </w:tc>
        <w:tc>
          <w:tcPr>
            <w:tcW w:w="854" w:type="dxa"/>
            <w:tcBorders>
              <w:top w:val="nil"/>
              <w:left w:val="nil"/>
              <w:bottom w:val="single" w:sz="4" w:space="0" w:color="auto"/>
              <w:right w:val="single" w:sz="4" w:space="0" w:color="auto"/>
            </w:tcBorders>
            <w:shd w:val="clear" w:color="auto" w:fill="auto"/>
            <w:noWrap/>
            <w:hideMark/>
          </w:tcPr>
          <w:p w14:paraId="6E5E85C6"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B3EE4A2"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76D5DD4F"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05982454"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38B64B1C"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46C4B89"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4EC549F"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C668E78" w14:textId="77777777" w:rsidR="008C2F02" w:rsidRPr="00071529" w:rsidRDefault="008C2F02" w:rsidP="00890793">
            <w:pPr>
              <w:jc w:val="left"/>
              <w:rPr>
                <w:sz w:val="20"/>
                <w:szCs w:val="20"/>
                <w:lang w:val="fr-CA" w:eastAsia="en-CA"/>
              </w:rPr>
            </w:pPr>
            <w:r w:rsidRPr="00071529">
              <w:rPr>
                <w:sz w:val="20"/>
                <w:szCs w:val="20"/>
                <w:lang w:val="fr-CA" w:eastAsia="en-CA"/>
              </w:rPr>
              <w:t xml:space="preserve">Bahamas </w:t>
            </w:r>
          </w:p>
        </w:tc>
        <w:tc>
          <w:tcPr>
            <w:tcW w:w="854" w:type="dxa"/>
            <w:tcBorders>
              <w:top w:val="nil"/>
              <w:left w:val="nil"/>
              <w:bottom w:val="single" w:sz="4" w:space="0" w:color="auto"/>
              <w:right w:val="single" w:sz="4" w:space="0" w:color="auto"/>
            </w:tcBorders>
            <w:shd w:val="clear" w:color="auto" w:fill="auto"/>
            <w:noWrap/>
            <w:hideMark/>
          </w:tcPr>
          <w:p w14:paraId="55743C14"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731A4BA"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76896F20"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11790C9F"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BE5FC1C"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105C1E5"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F05D23B"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97716EC" w14:textId="77777777" w:rsidR="008C2F02" w:rsidRPr="00071529" w:rsidRDefault="008C2F02" w:rsidP="001E39EE">
            <w:pPr>
              <w:jc w:val="left"/>
              <w:rPr>
                <w:sz w:val="20"/>
                <w:szCs w:val="20"/>
                <w:lang w:val="fr-CA" w:eastAsia="en-CA"/>
              </w:rPr>
            </w:pPr>
            <w:r>
              <w:rPr>
                <w:sz w:val="20"/>
                <w:szCs w:val="20"/>
                <w:lang w:val="fr-CA" w:eastAsia="en-CA"/>
              </w:rPr>
              <w:t>Bahreïn</w:t>
            </w:r>
          </w:p>
        </w:tc>
        <w:tc>
          <w:tcPr>
            <w:tcW w:w="854" w:type="dxa"/>
            <w:tcBorders>
              <w:top w:val="nil"/>
              <w:left w:val="nil"/>
              <w:bottom w:val="single" w:sz="4" w:space="0" w:color="auto"/>
              <w:right w:val="single" w:sz="4" w:space="0" w:color="auto"/>
            </w:tcBorders>
            <w:shd w:val="clear" w:color="auto" w:fill="auto"/>
            <w:noWrap/>
            <w:hideMark/>
          </w:tcPr>
          <w:p w14:paraId="68B760A8" w14:textId="77777777" w:rsidR="008C2F02" w:rsidRPr="00071529" w:rsidRDefault="008C2F02" w:rsidP="001E39EE">
            <w:pPr>
              <w:jc w:val="center"/>
              <w:rPr>
                <w:sz w:val="20"/>
                <w:szCs w:val="20"/>
                <w:lang w:val="fr-CA" w:eastAsia="en-CA"/>
              </w:rPr>
            </w:pPr>
            <w:r w:rsidRPr="00071529">
              <w:rPr>
                <w:sz w:val="20"/>
                <w:szCs w:val="20"/>
                <w:lang w:val="fr-CA" w:eastAsia="en-CA"/>
              </w:rPr>
              <w:t>2</w:t>
            </w:r>
          </w:p>
        </w:tc>
        <w:tc>
          <w:tcPr>
            <w:tcW w:w="1396" w:type="dxa"/>
            <w:tcBorders>
              <w:top w:val="nil"/>
              <w:left w:val="nil"/>
              <w:bottom w:val="single" w:sz="4" w:space="0" w:color="auto"/>
              <w:right w:val="single" w:sz="4" w:space="0" w:color="auto"/>
            </w:tcBorders>
            <w:shd w:val="clear" w:color="auto" w:fill="auto"/>
            <w:noWrap/>
            <w:hideMark/>
          </w:tcPr>
          <w:p w14:paraId="5E03EFDC"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5815BB2A"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54BA17D8"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2318E4B"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22C7809"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313A71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D5EED8F" w14:textId="77777777" w:rsidR="008C2F02" w:rsidRPr="00071529" w:rsidRDefault="008C2F02" w:rsidP="001E39EE">
            <w:pPr>
              <w:jc w:val="left"/>
              <w:rPr>
                <w:sz w:val="20"/>
                <w:szCs w:val="20"/>
                <w:lang w:val="fr-CA" w:eastAsia="en-CA"/>
              </w:rPr>
            </w:pPr>
            <w:r w:rsidRPr="00071529">
              <w:rPr>
                <w:sz w:val="20"/>
                <w:szCs w:val="20"/>
                <w:lang w:val="fr-CA" w:eastAsia="en-CA"/>
              </w:rPr>
              <w:t>Bangladesh</w:t>
            </w:r>
          </w:p>
        </w:tc>
        <w:tc>
          <w:tcPr>
            <w:tcW w:w="854" w:type="dxa"/>
            <w:tcBorders>
              <w:top w:val="nil"/>
              <w:left w:val="nil"/>
              <w:bottom w:val="single" w:sz="4" w:space="0" w:color="auto"/>
              <w:right w:val="single" w:sz="4" w:space="0" w:color="auto"/>
            </w:tcBorders>
            <w:shd w:val="clear" w:color="auto" w:fill="auto"/>
            <w:noWrap/>
            <w:hideMark/>
          </w:tcPr>
          <w:p w14:paraId="1DCC75C5"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7CED2D8"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47B7EDC"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70BEA851"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D4C28EE" w14:textId="77777777" w:rsidR="008C2F02" w:rsidRPr="00071529" w:rsidRDefault="008C2F02" w:rsidP="001E39EE">
            <w:pPr>
              <w:jc w:val="right"/>
              <w:rPr>
                <w:sz w:val="20"/>
                <w:szCs w:val="20"/>
                <w:lang w:val="fr-CA" w:eastAsia="en-CA"/>
              </w:rPr>
            </w:pPr>
            <w:r w:rsidRPr="00071529">
              <w:rPr>
                <w:sz w:val="20"/>
                <w:szCs w:val="20"/>
                <w:lang w:val="fr-CA" w:eastAsia="en-CA"/>
              </w:rPr>
              <w:t>3</w:t>
            </w:r>
            <w:r>
              <w:rPr>
                <w:sz w:val="20"/>
                <w:szCs w:val="20"/>
                <w:lang w:val="fr-CA" w:eastAsia="en-CA"/>
              </w:rPr>
              <w:t xml:space="preserve"> </w:t>
            </w:r>
            <w:r w:rsidRPr="00071529">
              <w:rPr>
                <w:sz w:val="20"/>
                <w:szCs w:val="20"/>
                <w:lang w:val="fr-CA" w:eastAsia="en-CA"/>
              </w:rPr>
              <w:t>131</w:t>
            </w:r>
            <w:r>
              <w:rPr>
                <w:sz w:val="20"/>
                <w:szCs w:val="20"/>
                <w:lang w:val="fr-CA" w:eastAsia="en-CA"/>
              </w:rPr>
              <w:t xml:space="preserve"> </w:t>
            </w:r>
            <w:r w:rsidRPr="00071529">
              <w:rPr>
                <w:sz w:val="20"/>
                <w:szCs w:val="20"/>
                <w:lang w:val="fr-CA" w:eastAsia="en-CA"/>
              </w:rPr>
              <w:t>610</w:t>
            </w:r>
          </w:p>
        </w:tc>
        <w:tc>
          <w:tcPr>
            <w:tcW w:w="1260" w:type="dxa"/>
            <w:tcBorders>
              <w:top w:val="nil"/>
              <w:left w:val="nil"/>
              <w:bottom w:val="single" w:sz="4" w:space="0" w:color="auto"/>
              <w:right w:val="single" w:sz="4" w:space="0" w:color="auto"/>
            </w:tcBorders>
            <w:shd w:val="clear" w:color="auto" w:fill="auto"/>
            <w:noWrap/>
            <w:hideMark/>
          </w:tcPr>
          <w:p w14:paraId="4DCB15E4"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0288767"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3FE0056" w14:textId="77777777" w:rsidR="008C2F02" w:rsidRPr="00071529" w:rsidRDefault="008C2F02" w:rsidP="00890793">
            <w:pPr>
              <w:jc w:val="left"/>
              <w:rPr>
                <w:sz w:val="20"/>
                <w:szCs w:val="20"/>
                <w:lang w:val="fr-CA" w:eastAsia="en-CA"/>
              </w:rPr>
            </w:pPr>
            <w:r>
              <w:rPr>
                <w:sz w:val="20"/>
                <w:szCs w:val="20"/>
                <w:lang w:val="fr-CA" w:eastAsia="en-CA"/>
              </w:rPr>
              <w:t>Barbade</w:t>
            </w:r>
          </w:p>
        </w:tc>
        <w:tc>
          <w:tcPr>
            <w:tcW w:w="854" w:type="dxa"/>
            <w:tcBorders>
              <w:top w:val="nil"/>
              <w:left w:val="nil"/>
              <w:bottom w:val="single" w:sz="4" w:space="0" w:color="auto"/>
              <w:right w:val="single" w:sz="4" w:space="0" w:color="auto"/>
            </w:tcBorders>
            <w:shd w:val="clear" w:color="auto" w:fill="auto"/>
            <w:noWrap/>
            <w:hideMark/>
          </w:tcPr>
          <w:p w14:paraId="625FBB0F"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D981ACD"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1F48D09D"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4777DBF8"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189" w:type="dxa"/>
            <w:tcBorders>
              <w:top w:val="nil"/>
              <w:left w:val="nil"/>
              <w:bottom w:val="single" w:sz="4" w:space="0" w:color="auto"/>
              <w:right w:val="single" w:sz="4" w:space="0" w:color="auto"/>
            </w:tcBorders>
            <w:shd w:val="clear" w:color="auto" w:fill="auto"/>
            <w:noWrap/>
            <w:hideMark/>
          </w:tcPr>
          <w:p w14:paraId="5C3E9721"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838A540"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41E9E435"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DDF5DA0" w14:textId="77777777" w:rsidR="008C2F02" w:rsidRPr="00071529" w:rsidRDefault="008C2F02" w:rsidP="001E39EE">
            <w:pPr>
              <w:jc w:val="left"/>
              <w:rPr>
                <w:sz w:val="20"/>
                <w:szCs w:val="20"/>
                <w:lang w:val="fr-CA" w:eastAsia="en-CA"/>
              </w:rPr>
            </w:pPr>
            <w:r w:rsidRPr="00071529">
              <w:rPr>
                <w:sz w:val="20"/>
                <w:szCs w:val="20"/>
                <w:lang w:val="fr-CA" w:eastAsia="en-CA"/>
              </w:rPr>
              <w:t>Belize</w:t>
            </w:r>
          </w:p>
        </w:tc>
        <w:tc>
          <w:tcPr>
            <w:tcW w:w="854" w:type="dxa"/>
            <w:tcBorders>
              <w:top w:val="nil"/>
              <w:left w:val="nil"/>
              <w:bottom w:val="single" w:sz="4" w:space="0" w:color="auto"/>
              <w:right w:val="single" w:sz="4" w:space="0" w:color="auto"/>
            </w:tcBorders>
            <w:shd w:val="clear" w:color="auto" w:fill="auto"/>
            <w:noWrap/>
            <w:hideMark/>
          </w:tcPr>
          <w:p w14:paraId="4D17897B"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1B022308"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3C069A3C"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6457CFB4"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7C8196A"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283B5FF"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A08888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4E4A6BC" w14:textId="77777777" w:rsidR="008C2F02" w:rsidRPr="00071529" w:rsidRDefault="008C2F02" w:rsidP="001E39EE">
            <w:pPr>
              <w:jc w:val="left"/>
              <w:rPr>
                <w:sz w:val="20"/>
                <w:szCs w:val="20"/>
                <w:lang w:val="fr-CA" w:eastAsia="en-CA"/>
              </w:rPr>
            </w:pPr>
            <w:r>
              <w:rPr>
                <w:sz w:val="20"/>
                <w:szCs w:val="20"/>
                <w:lang w:val="fr-CA" w:eastAsia="en-CA"/>
              </w:rPr>
              <w:t>Bé</w:t>
            </w:r>
            <w:r w:rsidRPr="00071529">
              <w:rPr>
                <w:sz w:val="20"/>
                <w:szCs w:val="20"/>
                <w:lang w:val="fr-CA" w:eastAsia="en-CA"/>
              </w:rPr>
              <w:t>nin</w:t>
            </w:r>
          </w:p>
        </w:tc>
        <w:tc>
          <w:tcPr>
            <w:tcW w:w="854" w:type="dxa"/>
            <w:tcBorders>
              <w:top w:val="nil"/>
              <w:left w:val="nil"/>
              <w:bottom w:val="single" w:sz="4" w:space="0" w:color="auto"/>
              <w:right w:val="single" w:sz="4" w:space="0" w:color="auto"/>
            </w:tcBorders>
            <w:shd w:val="clear" w:color="auto" w:fill="auto"/>
            <w:noWrap/>
            <w:hideMark/>
          </w:tcPr>
          <w:p w14:paraId="12DD6034"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1C05F91"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5C1F0BC0"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2E12A8EE"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CE786A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926A157"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49533C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46AA20D" w14:textId="77777777" w:rsidR="008C2F02" w:rsidRPr="00071529" w:rsidRDefault="008C2F02" w:rsidP="001E39EE">
            <w:pPr>
              <w:jc w:val="left"/>
              <w:rPr>
                <w:sz w:val="20"/>
                <w:szCs w:val="20"/>
                <w:lang w:val="fr-CA" w:eastAsia="en-CA"/>
              </w:rPr>
            </w:pPr>
            <w:r w:rsidRPr="00071529">
              <w:rPr>
                <w:sz w:val="20"/>
                <w:szCs w:val="20"/>
                <w:lang w:val="fr-CA" w:eastAsia="en-CA"/>
              </w:rPr>
              <w:t>Bh</w:t>
            </w:r>
            <w:r>
              <w:rPr>
                <w:sz w:val="20"/>
                <w:szCs w:val="20"/>
                <w:lang w:val="fr-CA" w:eastAsia="en-CA"/>
              </w:rPr>
              <w:t>o</w:t>
            </w:r>
            <w:r w:rsidRPr="00071529">
              <w:rPr>
                <w:sz w:val="20"/>
                <w:szCs w:val="20"/>
                <w:lang w:val="fr-CA" w:eastAsia="en-CA"/>
              </w:rPr>
              <w:t>utan</w:t>
            </w:r>
          </w:p>
        </w:tc>
        <w:tc>
          <w:tcPr>
            <w:tcW w:w="854" w:type="dxa"/>
            <w:tcBorders>
              <w:top w:val="nil"/>
              <w:left w:val="nil"/>
              <w:bottom w:val="single" w:sz="4" w:space="0" w:color="auto"/>
              <w:right w:val="single" w:sz="4" w:space="0" w:color="auto"/>
            </w:tcBorders>
            <w:shd w:val="clear" w:color="auto" w:fill="auto"/>
            <w:noWrap/>
            <w:hideMark/>
          </w:tcPr>
          <w:p w14:paraId="59D77BA0"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AAE9E17"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57F3A096"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3864783A"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1652BD4"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14F26EE"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BFD770F" w14:textId="77777777" w:rsidTr="005B55FD">
        <w:tc>
          <w:tcPr>
            <w:tcW w:w="198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AF145C9" w14:textId="77777777" w:rsidR="008C2F02" w:rsidRPr="00071529" w:rsidRDefault="008C2F02" w:rsidP="00890793">
            <w:pPr>
              <w:jc w:val="left"/>
              <w:rPr>
                <w:sz w:val="20"/>
                <w:szCs w:val="20"/>
                <w:lang w:val="fr-CA" w:eastAsia="en-CA"/>
              </w:rPr>
            </w:pPr>
            <w:r>
              <w:rPr>
                <w:sz w:val="20"/>
                <w:szCs w:val="20"/>
                <w:lang w:val="fr-CA" w:eastAsia="en-CA"/>
              </w:rPr>
              <w:t>Bolivie</w:t>
            </w:r>
            <w:r w:rsidRPr="00071529">
              <w:rPr>
                <w:sz w:val="20"/>
                <w:szCs w:val="20"/>
                <w:lang w:val="fr-CA" w:eastAsia="en-CA"/>
              </w:rPr>
              <w:t xml:space="preserve"> (</w:t>
            </w:r>
            <w:r>
              <w:rPr>
                <w:sz w:val="20"/>
                <w:szCs w:val="20"/>
                <w:lang w:val="fr-CA" w:eastAsia="en-CA"/>
              </w:rPr>
              <w:t>État plurinational de</w:t>
            </w:r>
            <w:r w:rsidRPr="00071529">
              <w:rPr>
                <w:sz w:val="20"/>
                <w:szCs w:val="20"/>
                <w:lang w:val="fr-CA" w:eastAsia="en-CA"/>
              </w:rPr>
              <w:t>)</w:t>
            </w:r>
          </w:p>
        </w:tc>
        <w:tc>
          <w:tcPr>
            <w:tcW w:w="854" w:type="dxa"/>
            <w:tcBorders>
              <w:top w:val="nil"/>
              <w:left w:val="nil"/>
              <w:bottom w:val="single" w:sz="4" w:space="0" w:color="auto"/>
              <w:right w:val="single" w:sz="4" w:space="0" w:color="auto"/>
            </w:tcBorders>
            <w:shd w:val="clear" w:color="auto" w:fill="auto"/>
            <w:noWrap/>
            <w:hideMark/>
          </w:tcPr>
          <w:p w14:paraId="350EE718"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17C44A9B"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06EC957"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152EEED1"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48C8418"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DB46116"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3808E8A"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5CD7421" w14:textId="77777777" w:rsidR="008C2F02" w:rsidRPr="00071529" w:rsidRDefault="008C2F02" w:rsidP="001E39EE">
            <w:pPr>
              <w:jc w:val="left"/>
              <w:rPr>
                <w:sz w:val="20"/>
                <w:szCs w:val="20"/>
                <w:lang w:val="fr-CA" w:eastAsia="en-CA"/>
              </w:rPr>
            </w:pPr>
            <w:r>
              <w:rPr>
                <w:sz w:val="20"/>
                <w:szCs w:val="20"/>
                <w:lang w:val="fr-CA" w:eastAsia="en-CA"/>
              </w:rPr>
              <w:t>Bosnie-Herzégovine</w:t>
            </w:r>
          </w:p>
        </w:tc>
        <w:tc>
          <w:tcPr>
            <w:tcW w:w="854" w:type="dxa"/>
            <w:tcBorders>
              <w:top w:val="nil"/>
              <w:left w:val="nil"/>
              <w:bottom w:val="single" w:sz="4" w:space="0" w:color="auto"/>
              <w:right w:val="single" w:sz="4" w:space="0" w:color="auto"/>
            </w:tcBorders>
            <w:shd w:val="clear" w:color="auto" w:fill="auto"/>
            <w:noWrap/>
            <w:hideMark/>
          </w:tcPr>
          <w:p w14:paraId="65ED1597"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3622895"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77BBB717"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776BDAD3"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FB6B906"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FE51C6F"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056F7FB"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E91128" w14:textId="77777777" w:rsidR="008C2F02" w:rsidRPr="00071529" w:rsidRDefault="008C2F02" w:rsidP="001E39EE">
            <w:pPr>
              <w:jc w:val="left"/>
              <w:rPr>
                <w:sz w:val="20"/>
                <w:szCs w:val="20"/>
                <w:lang w:val="fr-CA" w:eastAsia="en-CA"/>
              </w:rPr>
            </w:pPr>
            <w:r w:rsidRPr="00071529">
              <w:rPr>
                <w:sz w:val="20"/>
                <w:szCs w:val="20"/>
                <w:lang w:val="fr-CA" w:eastAsia="en-CA"/>
              </w:rPr>
              <w:t>Botswana</w:t>
            </w:r>
          </w:p>
        </w:tc>
        <w:tc>
          <w:tcPr>
            <w:tcW w:w="854" w:type="dxa"/>
            <w:tcBorders>
              <w:top w:val="nil"/>
              <w:left w:val="nil"/>
              <w:bottom w:val="single" w:sz="4" w:space="0" w:color="auto"/>
              <w:right w:val="single" w:sz="4" w:space="0" w:color="auto"/>
            </w:tcBorders>
            <w:shd w:val="clear" w:color="auto" w:fill="auto"/>
            <w:noWrap/>
            <w:hideMark/>
          </w:tcPr>
          <w:p w14:paraId="3944213F"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5BC2F14"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1F66C6CB"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44E519E2"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241EDF86"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F71EB26"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9A45635"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3743699" w14:textId="77777777" w:rsidR="008C2F02" w:rsidRPr="00071529" w:rsidRDefault="008C2F02" w:rsidP="001E39EE">
            <w:pPr>
              <w:jc w:val="left"/>
              <w:rPr>
                <w:sz w:val="20"/>
                <w:szCs w:val="20"/>
                <w:lang w:val="fr-CA" w:eastAsia="en-CA"/>
              </w:rPr>
            </w:pPr>
            <w:r>
              <w:rPr>
                <w:sz w:val="20"/>
                <w:szCs w:val="20"/>
                <w:lang w:val="fr-CA" w:eastAsia="en-CA"/>
              </w:rPr>
              <w:t>Brésil</w:t>
            </w:r>
          </w:p>
        </w:tc>
        <w:tc>
          <w:tcPr>
            <w:tcW w:w="854" w:type="dxa"/>
            <w:tcBorders>
              <w:top w:val="nil"/>
              <w:left w:val="nil"/>
              <w:bottom w:val="single" w:sz="4" w:space="0" w:color="auto"/>
              <w:right w:val="single" w:sz="4" w:space="0" w:color="auto"/>
            </w:tcBorders>
            <w:shd w:val="clear" w:color="auto" w:fill="auto"/>
            <w:noWrap/>
            <w:hideMark/>
          </w:tcPr>
          <w:p w14:paraId="1C5F39F7"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C3F7CEB"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7AA80215"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1A64E11C"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189" w:type="dxa"/>
            <w:tcBorders>
              <w:top w:val="nil"/>
              <w:left w:val="nil"/>
              <w:bottom w:val="single" w:sz="4" w:space="0" w:color="auto"/>
              <w:right w:val="single" w:sz="4" w:space="0" w:color="auto"/>
            </w:tcBorders>
            <w:shd w:val="clear" w:color="auto" w:fill="auto"/>
            <w:noWrap/>
            <w:hideMark/>
          </w:tcPr>
          <w:p w14:paraId="2B1C9DDB"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3E09442"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97F528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08C0BDE" w14:textId="77777777" w:rsidR="008C2F02" w:rsidRPr="00071529" w:rsidRDefault="008C2F02" w:rsidP="001E39EE">
            <w:pPr>
              <w:jc w:val="left"/>
              <w:rPr>
                <w:sz w:val="20"/>
                <w:szCs w:val="20"/>
                <w:lang w:val="fr-CA" w:eastAsia="en-CA"/>
              </w:rPr>
            </w:pPr>
            <w:r w:rsidRPr="00071529">
              <w:rPr>
                <w:sz w:val="20"/>
                <w:szCs w:val="20"/>
                <w:lang w:val="fr-CA" w:eastAsia="en-CA"/>
              </w:rPr>
              <w:t>Brunei Darussalam</w:t>
            </w:r>
          </w:p>
        </w:tc>
        <w:tc>
          <w:tcPr>
            <w:tcW w:w="854" w:type="dxa"/>
            <w:tcBorders>
              <w:top w:val="nil"/>
              <w:left w:val="nil"/>
              <w:bottom w:val="single" w:sz="4" w:space="0" w:color="auto"/>
              <w:right w:val="single" w:sz="4" w:space="0" w:color="auto"/>
            </w:tcBorders>
            <w:shd w:val="clear" w:color="auto" w:fill="auto"/>
            <w:noWrap/>
            <w:hideMark/>
          </w:tcPr>
          <w:p w14:paraId="67B00A9A"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793B6AC"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28D3C093"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5E8F83F1"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2C5ABC3"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45B314E"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3D6C821"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48DF30A" w14:textId="77777777" w:rsidR="008C2F02" w:rsidRPr="00071529" w:rsidRDefault="008C2F02" w:rsidP="001E39EE">
            <w:pPr>
              <w:jc w:val="left"/>
              <w:rPr>
                <w:sz w:val="20"/>
                <w:szCs w:val="20"/>
                <w:lang w:val="fr-CA" w:eastAsia="en-CA"/>
              </w:rPr>
            </w:pPr>
            <w:r w:rsidRPr="00071529">
              <w:rPr>
                <w:sz w:val="20"/>
                <w:szCs w:val="20"/>
                <w:lang w:val="fr-CA" w:eastAsia="en-CA"/>
              </w:rPr>
              <w:t>Burkina Faso</w:t>
            </w:r>
          </w:p>
        </w:tc>
        <w:tc>
          <w:tcPr>
            <w:tcW w:w="854" w:type="dxa"/>
            <w:tcBorders>
              <w:top w:val="nil"/>
              <w:left w:val="nil"/>
              <w:bottom w:val="single" w:sz="4" w:space="0" w:color="auto"/>
              <w:right w:val="single" w:sz="4" w:space="0" w:color="auto"/>
            </w:tcBorders>
            <w:shd w:val="clear" w:color="auto" w:fill="auto"/>
            <w:noWrap/>
            <w:hideMark/>
          </w:tcPr>
          <w:p w14:paraId="24B192FD"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B60AAE8"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56896C8F"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71168176"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7719211"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AFD55F1"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EC27130"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1C88210" w14:textId="77777777" w:rsidR="008C2F02" w:rsidRPr="00071529" w:rsidRDefault="008C2F02" w:rsidP="001E39EE">
            <w:pPr>
              <w:jc w:val="left"/>
              <w:rPr>
                <w:sz w:val="20"/>
                <w:szCs w:val="20"/>
                <w:lang w:val="fr-CA" w:eastAsia="en-CA"/>
              </w:rPr>
            </w:pPr>
            <w:r w:rsidRPr="00071529">
              <w:rPr>
                <w:sz w:val="20"/>
                <w:szCs w:val="20"/>
                <w:lang w:val="fr-CA" w:eastAsia="en-CA"/>
              </w:rPr>
              <w:t>Burundi</w:t>
            </w:r>
          </w:p>
        </w:tc>
        <w:tc>
          <w:tcPr>
            <w:tcW w:w="854" w:type="dxa"/>
            <w:tcBorders>
              <w:top w:val="nil"/>
              <w:left w:val="nil"/>
              <w:bottom w:val="single" w:sz="4" w:space="0" w:color="auto"/>
              <w:right w:val="single" w:sz="4" w:space="0" w:color="auto"/>
            </w:tcBorders>
            <w:shd w:val="clear" w:color="auto" w:fill="auto"/>
            <w:noWrap/>
            <w:hideMark/>
          </w:tcPr>
          <w:p w14:paraId="3432851E"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1129998E"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3F4A545"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5B7502E2"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32FC887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D0D354C"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26E47E6" w14:textId="77777777" w:rsidTr="005B55FD">
        <w:tc>
          <w:tcPr>
            <w:tcW w:w="198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47D0A58" w14:textId="77777777" w:rsidR="008C2F02" w:rsidRPr="00071529" w:rsidRDefault="008C2F02" w:rsidP="001E39EE">
            <w:pPr>
              <w:jc w:val="left"/>
              <w:rPr>
                <w:sz w:val="20"/>
                <w:szCs w:val="20"/>
                <w:lang w:val="fr-CA" w:eastAsia="en-CA"/>
              </w:rPr>
            </w:pPr>
            <w:r w:rsidRPr="00071529">
              <w:rPr>
                <w:sz w:val="20"/>
                <w:szCs w:val="20"/>
                <w:lang w:val="fr-CA" w:eastAsia="en-CA"/>
              </w:rPr>
              <w:t>Cabo Verde</w:t>
            </w:r>
          </w:p>
        </w:tc>
        <w:tc>
          <w:tcPr>
            <w:tcW w:w="854" w:type="dxa"/>
            <w:tcBorders>
              <w:top w:val="nil"/>
              <w:left w:val="nil"/>
              <w:bottom w:val="single" w:sz="4" w:space="0" w:color="auto"/>
              <w:right w:val="single" w:sz="4" w:space="0" w:color="auto"/>
            </w:tcBorders>
            <w:shd w:val="clear" w:color="auto" w:fill="auto"/>
            <w:noWrap/>
            <w:hideMark/>
          </w:tcPr>
          <w:p w14:paraId="6C028584"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7C917F5"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38A8E759"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42C016E6"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E3B600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6DFCAA8"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AFC69F0"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BC93D97" w14:textId="77777777" w:rsidR="008C2F02" w:rsidRPr="00071529" w:rsidRDefault="008C2F02" w:rsidP="001E39EE">
            <w:pPr>
              <w:jc w:val="left"/>
              <w:rPr>
                <w:sz w:val="20"/>
                <w:szCs w:val="20"/>
                <w:lang w:val="fr-CA" w:eastAsia="en-CA"/>
              </w:rPr>
            </w:pPr>
            <w:r>
              <w:rPr>
                <w:sz w:val="20"/>
                <w:szCs w:val="20"/>
                <w:lang w:val="fr-CA" w:eastAsia="en-CA"/>
              </w:rPr>
              <w:t>Cambodge</w:t>
            </w:r>
          </w:p>
        </w:tc>
        <w:tc>
          <w:tcPr>
            <w:tcW w:w="854" w:type="dxa"/>
            <w:tcBorders>
              <w:top w:val="nil"/>
              <w:left w:val="nil"/>
              <w:bottom w:val="single" w:sz="4" w:space="0" w:color="auto"/>
              <w:right w:val="single" w:sz="4" w:space="0" w:color="auto"/>
            </w:tcBorders>
            <w:shd w:val="clear" w:color="auto" w:fill="auto"/>
            <w:noWrap/>
            <w:hideMark/>
          </w:tcPr>
          <w:p w14:paraId="424C8739"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CEC667C"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4244F2E"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5FFE7106"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3F42E0CD"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3B6E85A"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290EA82"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78DA3A" w14:textId="77777777" w:rsidR="008C2F02" w:rsidRPr="00071529" w:rsidRDefault="008C2F02" w:rsidP="001E39EE">
            <w:pPr>
              <w:jc w:val="left"/>
              <w:rPr>
                <w:sz w:val="20"/>
                <w:szCs w:val="20"/>
                <w:lang w:val="fr-CA" w:eastAsia="en-CA"/>
              </w:rPr>
            </w:pPr>
            <w:r>
              <w:rPr>
                <w:sz w:val="20"/>
                <w:szCs w:val="20"/>
                <w:lang w:val="fr-CA" w:eastAsia="en-CA"/>
              </w:rPr>
              <w:t>Camerou</w:t>
            </w:r>
            <w:r w:rsidRPr="00071529">
              <w:rPr>
                <w:sz w:val="20"/>
                <w:szCs w:val="20"/>
                <w:lang w:val="fr-CA" w:eastAsia="en-CA"/>
              </w:rPr>
              <w:t>n</w:t>
            </w:r>
          </w:p>
        </w:tc>
        <w:tc>
          <w:tcPr>
            <w:tcW w:w="854" w:type="dxa"/>
            <w:tcBorders>
              <w:top w:val="nil"/>
              <w:left w:val="nil"/>
              <w:bottom w:val="single" w:sz="4" w:space="0" w:color="auto"/>
              <w:right w:val="single" w:sz="4" w:space="0" w:color="auto"/>
            </w:tcBorders>
            <w:shd w:val="clear" w:color="auto" w:fill="auto"/>
            <w:noWrap/>
            <w:hideMark/>
          </w:tcPr>
          <w:p w14:paraId="1758CC33"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49E6DEF"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CEC4684"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5F59DD84"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593E733"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61945A0"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4A1498F4"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C815FD5" w14:textId="77777777" w:rsidR="008C2F02" w:rsidRPr="00071529" w:rsidRDefault="008C2F02" w:rsidP="001E39EE">
            <w:pPr>
              <w:jc w:val="left"/>
              <w:rPr>
                <w:sz w:val="20"/>
                <w:szCs w:val="20"/>
                <w:lang w:val="fr-CA" w:eastAsia="en-CA"/>
              </w:rPr>
            </w:pPr>
            <w:r>
              <w:rPr>
                <w:sz w:val="20"/>
                <w:szCs w:val="20"/>
                <w:lang w:val="fr-CA" w:eastAsia="en-CA"/>
              </w:rPr>
              <w:t>Chili</w:t>
            </w:r>
          </w:p>
        </w:tc>
        <w:tc>
          <w:tcPr>
            <w:tcW w:w="854" w:type="dxa"/>
            <w:tcBorders>
              <w:top w:val="nil"/>
              <w:left w:val="nil"/>
              <w:bottom w:val="single" w:sz="4" w:space="0" w:color="auto"/>
              <w:right w:val="single" w:sz="4" w:space="0" w:color="auto"/>
            </w:tcBorders>
            <w:shd w:val="clear" w:color="auto" w:fill="auto"/>
            <w:noWrap/>
            <w:hideMark/>
          </w:tcPr>
          <w:p w14:paraId="4A4649B7"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586DB6F"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219CDEA8"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1A16A8C0"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2549FCB"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3832AFA"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2F5FFBA"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33CA435" w14:textId="77777777" w:rsidR="008C2F02" w:rsidRPr="00071529" w:rsidRDefault="008C2F02" w:rsidP="001E39EE">
            <w:pPr>
              <w:jc w:val="left"/>
              <w:rPr>
                <w:sz w:val="20"/>
                <w:szCs w:val="20"/>
                <w:lang w:val="fr-CA" w:eastAsia="en-CA"/>
              </w:rPr>
            </w:pPr>
            <w:r>
              <w:rPr>
                <w:sz w:val="20"/>
                <w:szCs w:val="20"/>
                <w:lang w:val="fr-CA" w:eastAsia="en-CA"/>
              </w:rPr>
              <w:t>Chine</w:t>
            </w:r>
          </w:p>
        </w:tc>
        <w:tc>
          <w:tcPr>
            <w:tcW w:w="854" w:type="dxa"/>
            <w:tcBorders>
              <w:top w:val="nil"/>
              <w:left w:val="nil"/>
              <w:bottom w:val="single" w:sz="4" w:space="0" w:color="auto"/>
              <w:right w:val="single" w:sz="4" w:space="0" w:color="auto"/>
            </w:tcBorders>
            <w:shd w:val="clear" w:color="auto" w:fill="auto"/>
            <w:noWrap/>
            <w:hideMark/>
          </w:tcPr>
          <w:p w14:paraId="18743762"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D7D71EF"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1088B4AB"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6787CB9A"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F9AB7B9" w14:textId="77777777" w:rsidR="008C2F02" w:rsidRPr="00071529" w:rsidRDefault="008C2F02" w:rsidP="001E39EE">
            <w:pPr>
              <w:jc w:val="right"/>
              <w:rPr>
                <w:sz w:val="20"/>
                <w:szCs w:val="20"/>
                <w:lang w:val="fr-CA" w:eastAsia="en-CA"/>
              </w:rPr>
            </w:pPr>
            <w:r w:rsidRPr="00071529">
              <w:rPr>
                <w:sz w:val="20"/>
                <w:szCs w:val="20"/>
                <w:lang w:val="fr-CA" w:eastAsia="en-CA"/>
              </w:rPr>
              <w:t>1</w:t>
            </w:r>
            <w:r>
              <w:rPr>
                <w:sz w:val="20"/>
                <w:szCs w:val="20"/>
                <w:lang w:val="fr-CA" w:eastAsia="en-CA"/>
              </w:rPr>
              <w:t xml:space="preserve"> </w:t>
            </w:r>
            <w:r w:rsidRPr="00071529">
              <w:rPr>
                <w:sz w:val="20"/>
                <w:szCs w:val="20"/>
                <w:lang w:val="fr-CA" w:eastAsia="en-CA"/>
              </w:rPr>
              <w:t>275</w:t>
            </w:r>
            <w:r>
              <w:rPr>
                <w:sz w:val="20"/>
                <w:szCs w:val="20"/>
                <w:lang w:val="fr-CA" w:eastAsia="en-CA"/>
              </w:rPr>
              <w:t xml:space="preserve"> </w:t>
            </w:r>
            <w:r w:rsidRPr="00071529">
              <w:rPr>
                <w:sz w:val="20"/>
                <w:szCs w:val="20"/>
                <w:lang w:val="fr-CA" w:eastAsia="en-CA"/>
              </w:rPr>
              <w:t>000</w:t>
            </w:r>
          </w:p>
        </w:tc>
        <w:tc>
          <w:tcPr>
            <w:tcW w:w="1260" w:type="dxa"/>
            <w:tcBorders>
              <w:top w:val="nil"/>
              <w:left w:val="nil"/>
              <w:bottom w:val="single" w:sz="4" w:space="0" w:color="auto"/>
              <w:right w:val="single" w:sz="4" w:space="0" w:color="auto"/>
            </w:tcBorders>
            <w:shd w:val="clear" w:color="auto" w:fill="auto"/>
            <w:noWrap/>
            <w:hideMark/>
          </w:tcPr>
          <w:p w14:paraId="4D8719CF" w14:textId="77777777" w:rsidR="008C2F02" w:rsidRPr="00071529" w:rsidRDefault="008C2F02" w:rsidP="001E39EE">
            <w:pPr>
              <w:jc w:val="right"/>
              <w:rPr>
                <w:sz w:val="20"/>
                <w:szCs w:val="20"/>
                <w:lang w:val="fr-CA" w:eastAsia="en-CA"/>
              </w:rPr>
            </w:pPr>
            <w:r w:rsidRPr="00071529">
              <w:rPr>
                <w:sz w:val="20"/>
                <w:szCs w:val="20"/>
                <w:lang w:val="fr-CA" w:eastAsia="en-CA"/>
              </w:rPr>
              <w:t>64</w:t>
            </w:r>
            <w:r>
              <w:rPr>
                <w:sz w:val="20"/>
                <w:szCs w:val="20"/>
                <w:lang w:val="fr-CA" w:eastAsia="en-CA"/>
              </w:rPr>
              <w:t xml:space="preserve"> </w:t>
            </w:r>
            <w:r w:rsidRPr="00071529">
              <w:rPr>
                <w:sz w:val="20"/>
                <w:szCs w:val="20"/>
                <w:lang w:val="fr-CA" w:eastAsia="en-CA"/>
              </w:rPr>
              <w:t>066</w:t>
            </w:r>
          </w:p>
        </w:tc>
      </w:tr>
      <w:tr w:rsidR="008C2F02" w:rsidRPr="00071529" w14:paraId="06B7B72E"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2606121" w14:textId="77777777" w:rsidR="008C2F02" w:rsidRPr="00071529" w:rsidRDefault="008C2F02" w:rsidP="001E39EE">
            <w:pPr>
              <w:jc w:val="left"/>
              <w:rPr>
                <w:sz w:val="20"/>
                <w:szCs w:val="20"/>
                <w:lang w:val="fr-CA" w:eastAsia="en-CA"/>
              </w:rPr>
            </w:pPr>
            <w:r>
              <w:rPr>
                <w:sz w:val="20"/>
                <w:szCs w:val="20"/>
                <w:lang w:val="fr-CA" w:eastAsia="en-CA"/>
              </w:rPr>
              <w:t>Colombie</w:t>
            </w:r>
          </w:p>
        </w:tc>
        <w:tc>
          <w:tcPr>
            <w:tcW w:w="854" w:type="dxa"/>
            <w:tcBorders>
              <w:top w:val="nil"/>
              <w:left w:val="nil"/>
              <w:bottom w:val="single" w:sz="4" w:space="0" w:color="auto"/>
              <w:right w:val="single" w:sz="4" w:space="0" w:color="auto"/>
            </w:tcBorders>
            <w:shd w:val="clear" w:color="auto" w:fill="auto"/>
            <w:noWrap/>
            <w:hideMark/>
          </w:tcPr>
          <w:p w14:paraId="067B11A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A61AF6D"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5093CE6D"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5162FFAB"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DF71551"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AF9A83A"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025E41C"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FB07CC" w14:textId="77777777" w:rsidR="008C2F02" w:rsidRPr="00071529" w:rsidRDefault="008C2F02" w:rsidP="00890793">
            <w:pPr>
              <w:jc w:val="left"/>
              <w:rPr>
                <w:sz w:val="20"/>
                <w:szCs w:val="20"/>
                <w:lang w:val="fr-CA" w:eastAsia="en-CA"/>
              </w:rPr>
            </w:pPr>
            <w:r>
              <w:rPr>
                <w:sz w:val="20"/>
                <w:szCs w:val="20"/>
                <w:lang w:val="fr-CA" w:eastAsia="en-CA"/>
              </w:rPr>
              <w:t>Comores</w:t>
            </w:r>
            <w:r w:rsidRPr="00071529">
              <w:rPr>
                <w:sz w:val="20"/>
                <w:szCs w:val="20"/>
                <w:lang w:val="fr-CA" w:eastAsia="en-CA"/>
              </w:rPr>
              <w:t xml:space="preserve"> </w:t>
            </w:r>
          </w:p>
        </w:tc>
        <w:tc>
          <w:tcPr>
            <w:tcW w:w="854" w:type="dxa"/>
            <w:tcBorders>
              <w:top w:val="nil"/>
              <w:left w:val="nil"/>
              <w:bottom w:val="single" w:sz="4" w:space="0" w:color="auto"/>
              <w:right w:val="single" w:sz="4" w:space="0" w:color="auto"/>
            </w:tcBorders>
            <w:shd w:val="clear" w:color="auto" w:fill="auto"/>
            <w:noWrap/>
            <w:hideMark/>
          </w:tcPr>
          <w:p w14:paraId="4966FDC4"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F222E2F"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2D527CB8"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508768CC"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5CC3EA9"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78CD075"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E07E02F"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8ACC437" w14:textId="77777777" w:rsidR="008C2F02" w:rsidRPr="00071529" w:rsidRDefault="008C2F02" w:rsidP="00890793">
            <w:pPr>
              <w:jc w:val="left"/>
              <w:rPr>
                <w:sz w:val="20"/>
                <w:szCs w:val="20"/>
                <w:lang w:val="fr-CA" w:eastAsia="en-CA"/>
              </w:rPr>
            </w:pPr>
            <w:r w:rsidRPr="00071529">
              <w:rPr>
                <w:sz w:val="20"/>
                <w:szCs w:val="20"/>
                <w:lang w:val="fr-CA" w:eastAsia="en-CA"/>
              </w:rPr>
              <w:t xml:space="preserve">Congo </w:t>
            </w:r>
          </w:p>
        </w:tc>
        <w:tc>
          <w:tcPr>
            <w:tcW w:w="854" w:type="dxa"/>
            <w:tcBorders>
              <w:top w:val="nil"/>
              <w:left w:val="nil"/>
              <w:bottom w:val="single" w:sz="4" w:space="0" w:color="auto"/>
              <w:right w:val="single" w:sz="4" w:space="0" w:color="auto"/>
            </w:tcBorders>
            <w:shd w:val="clear" w:color="auto" w:fill="auto"/>
            <w:noWrap/>
            <w:hideMark/>
          </w:tcPr>
          <w:p w14:paraId="56F034BE"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82430CB"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7F70B86E"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22604840"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2C0957E"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133DF3D"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BFA3A20"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F302751" w14:textId="77777777" w:rsidR="008C2F02" w:rsidRPr="00071529" w:rsidRDefault="008C2F02" w:rsidP="001E39EE">
            <w:pPr>
              <w:jc w:val="left"/>
              <w:rPr>
                <w:sz w:val="20"/>
                <w:szCs w:val="20"/>
                <w:lang w:val="fr-CA" w:eastAsia="en-CA"/>
              </w:rPr>
            </w:pPr>
            <w:r w:rsidRPr="00071529">
              <w:rPr>
                <w:sz w:val="20"/>
                <w:szCs w:val="20"/>
                <w:lang w:val="fr-CA" w:eastAsia="en-CA"/>
              </w:rPr>
              <w:lastRenderedPageBreak/>
              <w:t>Costa Rica</w:t>
            </w:r>
          </w:p>
        </w:tc>
        <w:tc>
          <w:tcPr>
            <w:tcW w:w="854" w:type="dxa"/>
            <w:tcBorders>
              <w:top w:val="nil"/>
              <w:left w:val="nil"/>
              <w:bottom w:val="single" w:sz="4" w:space="0" w:color="auto"/>
              <w:right w:val="single" w:sz="4" w:space="0" w:color="auto"/>
            </w:tcBorders>
            <w:shd w:val="clear" w:color="auto" w:fill="auto"/>
            <w:noWrap/>
            <w:hideMark/>
          </w:tcPr>
          <w:p w14:paraId="556129C3"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B8C07CB"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1613A415"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0A8A68FD"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AEA5D9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C156617"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3F5CC9B"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994B930" w14:textId="77777777" w:rsidR="008C2F02" w:rsidRPr="00071529" w:rsidRDefault="008C2F02" w:rsidP="00331806">
            <w:pPr>
              <w:jc w:val="left"/>
              <w:rPr>
                <w:sz w:val="20"/>
                <w:szCs w:val="20"/>
                <w:lang w:val="fr-CA" w:eastAsia="en-CA"/>
              </w:rPr>
            </w:pPr>
            <w:r w:rsidRPr="00071529">
              <w:rPr>
                <w:sz w:val="20"/>
                <w:szCs w:val="20"/>
                <w:lang w:val="fr-CA" w:eastAsia="en-CA"/>
              </w:rPr>
              <w:t>Côte d'Ivoire</w:t>
            </w:r>
          </w:p>
        </w:tc>
        <w:tc>
          <w:tcPr>
            <w:tcW w:w="854" w:type="dxa"/>
            <w:tcBorders>
              <w:top w:val="nil"/>
              <w:left w:val="nil"/>
              <w:bottom w:val="single" w:sz="4" w:space="0" w:color="auto"/>
              <w:right w:val="single" w:sz="4" w:space="0" w:color="auto"/>
            </w:tcBorders>
            <w:shd w:val="clear" w:color="auto" w:fill="auto"/>
            <w:noWrap/>
            <w:hideMark/>
          </w:tcPr>
          <w:p w14:paraId="19913EEE"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427F7CA"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3C59FD97"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63625169"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DDA14E4"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260504F"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E79906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7B70AFD" w14:textId="77777777" w:rsidR="008C2F02" w:rsidRPr="00071529" w:rsidRDefault="008C2F02" w:rsidP="001E39EE">
            <w:pPr>
              <w:jc w:val="left"/>
              <w:rPr>
                <w:sz w:val="20"/>
                <w:szCs w:val="20"/>
                <w:lang w:val="fr-CA" w:eastAsia="en-CA"/>
              </w:rPr>
            </w:pPr>
            <w:r w:rsidRPr="00071529">
              <w:rPr>
                <w:sz w:val="20"/>
                <w:szCs w:val="20"/>
                <w:lang w:val="fr-CA" w:eastAsia="en-CA"/>
              </w:rPr>
              <w:t>Cuba</w:t>
            </w:r>
          </w:p>
        </w:tc>
        <w:tc>
          <w:tcPr>
            <w:tcW w:w="854" w:type="dxa"/>
            <w:tcBorders>
              <w:top w:val="nil"/>
              <w:left w:val="nil"/>
              <w:bottom w:val="single" w:sz="4" w:space="0" w:color="auto"/>
              <w:right w:val="single" w:sz="4" w:space="0" w:color="auto"/>
            </w:tcBorders>
            <w:shd w:val="clear" w:color="auto" w:fill="auto"/>
            <w:noWrap/>
            <w:hideMark/>
          </w:tcPr>
          <w:p w14:paraId="142D33A0"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5223EF1"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2DD577C6"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7160A0B2"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2301CE98"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75F4F80"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0FBA3F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8A5B461" w14:textId="77777777" w:rsidR="008C2F02" w:rsidRPr="00071529" w:rsidRDefault="008C2F02" w:rsidP="001E39EE">
            <w:pPr>
              <w:jc w:val="left"/>
              <w:rPr>
                <w:sz w:val="20"/>
                <w:szCs w:val="20"/>
                <w:lang w:val="fr-CA" w:eastAsia="en-CA"/>
              </w:rPr>
            </w:pPr>
            <w:r w:rsidRPr="00071529">
              <w:rPr>
                <w:sz w:val="20"/>
                <w:szCs w:val="20"/>
                <w:lang w:val="fr-CA" w:eastAsia="en-CA"/>
              </w:rPr>
              <w:t>Djibouti</w:t>
            </w:r>
          </w:p>
        </w:tc>
        <w:tc>
          <w:tcPr>
            <w:tcW w:w="854" w:type="dxa"/>
            <w:tcBorders>
              <w:top w:val="nil"/>
              <w:left w:val="nil"/>
              <w:bottom w:val="single" w:sz="4" w:space="0" w:color="auto"/>
              <w:right w:val="single" w:sz="4" w:space="0" w:color="auto"/>
            </w:tcBorders>
            <w:shd w:val="clear" w:color="auto" w:fill="auto"/>
            <w:noWrap/>
            <w:hideMark/>
          </w:tcPr>
          <w:p w14:paraId="6805DBD5"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3CF581D"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0474334B"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78E08727"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8ADEB3D"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326579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6898549"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0CEC9C0" w14:textId="77777777" w:rsidR="008C2F02" w:rsidRPr="00071529" w:rsidRDefault="008C2F02" w:rsidP="001E39EE">
            <w:pPr>
              <w:jc w:val="left"/>
              <w:rPr>
                <w:sz w:val="20"/>
                <w:szCs w:val="20"/>
                <w:lang w:val="fr-CA" w:eastAsia="en-CA"/>
              </w:rPr>
            </w:pPr>
            <w:r>
              <w:rPr>
                <w:sz w:val="20"/>
                <w:szCs w:val="20"/>
                <w:lang w:val="fr-CA" w:eastAsia="en-CA"/>
              </w:rPr>
              <w:t>Dominique</w:t>
            </w:r>
          </w:p>
        </w:tc>
        <w:tc>
          <w:tcPr>
            <w:tcW w:w="854" w:type="dxa"/>
            <w:tcBorders>
              <w:top w:val="nil"/>
              <w:left w:val="nil"/>
              <w:bottom w:val="single" w:sz="4" w:space="0" w:color="auto"/>
              <w:right w:val="single" w:sz="4" w:space="0" w:color="auto"/>
            </w:tcBorders>
            <w:shd w:val="clear" w:color="auto" w:fill="auto"/>
            <w:noWrap/>
            <w:hideMark/>
          </w:tcPr>
          <w:p w14:paraId="381E7E00"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4D4A922"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6D693CBD"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794C121F"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6602C04"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2857FED"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7CB6BA3"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4CB015C" w14:textId="77777777" w:rsidR="008C2F02" w:rsidRPr="00071529" w:rsidRDefault="008C2F02" w:rsidP="001E39EE">
            <w:pPr>
              <w:jc w:val="left"/>
              <w:rPr>
                <w:sz w:val="20"/>
                <w:szCs w:val="20"/>
                <w:lang w:val="fr-CA" w:eastAsia="en-CA"/>
              </w:rPr>
            </w:pPr>
            <w:r>
              <w:rPr>
                <w:sz w:val="20"/>
                <w:szCs w:val="20"/>
                <w:lang w:val="fr-CA" w:eastAsia="en-CA"/>
              </w:rPr>
              <w:t>É</w:t>
            </w:r>
            <w:r w:rsidRPr="00071529">
              <w:rPr>
                <w:sz w:val="20"/>
                <w:szCs w:val="20"/>
                <w:lang w:val="fr-CA" w:eastAsia="en-CA"/>
              </w:rPr>
              <w:t>gypt</w:t>
            </w:r>
            <w:r>
              <w:rPr>
                <w:sz w:val="20"/>
                <w:szCs w:val="20"/>
                <w:lang w:val="fr-CA" w:eastAsia="en-CA"/>
              </w:rPr>
              <w:t>e</w:t>
            </w:r>
          </w:p>
        </w:tc>
        <w:tc>
          <w:tcPr>
            <w:tcW w:w="854" w:type="dxa"/>
            <w:tcBorders>
              <w:top w:val="nil"/>
              <w:left w:val="nil"/>
              <w:bottom w:val="single" w:sz="4" w:space="0" w:color="auto"/>
              <w:right w:val="single" w:sz="4" w:space="0" w:color="auto"/>
            </w:tcBorders>
            <w:shd w:val="clear" w:color="auto" w:fill="auto"/>
            <w:noWrap/>
            <w:hideMark/>
          </w:tcPr>
          <w:p w14:paraId="0AFFF6F9"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18B26C0D"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0FE7EE0A"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4FA3BBC4"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76728A4"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B8EFEA3" w14:textId="77777777" w:rsidR="008C2F02" w:rsidRPr="00071529" w:rsidRDefault="008C2F02" w:rsidP="001E39EE">
            <w:pPr>
              <w:jc w:val="right"/>
              <w:rPr>
                <w:sz w:val="20"/>
                <w:szCs w:val="20"/>
                <w:lang w:val="fr-CA" w:eastAsia="en-CA"/>
              </w:rPr>
            </w:pPr>
            <w:r w:rsidRPr="00071529">
              <w:rPr>
                <w:sz w:val="20"/>
                <w:szCs w:val="20"/>
                <w:lang w:val="fr-CA" w:eastAsia="en-CA"/>
              </w:rPr>
              <w:t>30</w:t>
            </w:r>
            <w:r>
              <w:rPr>
                <w:sz w:val="20"/>
                <w:szCs w:val="20"/>
                <w:lang w:val="fr-CA" w:eastAsia="en-CA"/>
              </w:rPr>
              <w:t xml:space="preserve"> </w:t>
            </w:r>
            <w:r w:rsidRPr="00071529">
              <w:rPr>
                <w:sz w:val="20"/>
                <w:szCs w:val="20"/>
                <w:lang w:val="fr-CA" w:eastAsia="en-CA"/>
              </w:rPr>
              <w:t>000</w:t>
            </w:r>
          </w:p>
        </w:tc>
      </w:tr>
      <w:tr w:rsidR="008C2F02" w:rsidRPr="00071529" w14:paraId="7E1AD057"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1ED1D70" w14:textId="77777777" w:rsidR="008C2F02" w:rsidRPr="00071529" w:rsidRDefault="008C2F02" w:rsidP="001E39EE">
            <w:pPr>
              <w:jc w:val="left"/>
              <w:rPr>
                <w:sz w:val="20"/>
                <w:szCs w:val="20"/>
                <w:lang w:val="fr-CA" w:eastAsia="en-CA"/>
              </w:rPr>
            </w:pPr>
            <w:r w:rsidRPr="00071529">
              <w:rPr>
                <w:sz w:val="20"/>
                <w:szCs w:val="20"/>
                <w:lang w:val="fr-CA" w:eastAsia="en-CA"/>
              </w:rPr>
              <w:t>El Salvador</w:t>
            </w:r>
          </w:p>
        </w:tc>
        <w:tc>
          <w:tcPr>
            <w:tcW w:w="854" w:type="dxa"/>
            <w:tcBorders>
              <w:top w:val="nil"/>
              <w:left w:val="nil"/>
              <w:bottom w:val="single" w:sz="4" w:space="0" w:color="auto"/>
              <w:right w:val="single" w:sz="4" w:space="0" w:color="auto"/>
            </w:tcBorders>
            <w:shd w:val="clear" w:color="auto" w:fill="auto"/>
            <w:noWrap/>
            <w:hideMark/>
          </w:tcPr>
          <w:p w14:paraId="408F27A1"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EF03270"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FCBE28E"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7BBF42B1"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36E69B9"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DDACDEC"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5383070"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B79250" w14:textId="77777777" w:rsidR="008C2F02" w:rsidRPr="00071529" w:rsidRDefault="008C2F02" w:rsidP="001E39EE">
            <w:pPr>
              <w:jc w:val="left"/>
              <w:rPr>
                <w:sz w:val="20"/>
                <w:szCs w:val="20"/>
                <w:lang w:val="fr-CA" w:eastAsia="en-CA"/>
              </w:rPr>
            </w:pPr>
            <w:r>
              <w:rPr>
                <w:sz w:val="20"/>
                <w:szCs w:val="20"/>
                <w:lang w:val="fr-CA" w:eastAsia="en-CA"/>
              </w:rPr>
              <w:t>Équateur</w:t>
            </w:r>
          </w:p>
        </w:tc>
        <w:tc>
          <w:tcPr>
            <w:tcW w:w="854" w:type="dxa"/>
            <w:tcBorders>
              <w:top w:val="nil"/>
              <w:left w:val="nil"/>
              <w:bottom w:val="single" w:sz="4" w:space="0" w:color="auto"/>
              <w:right w:val="single" w:sz="4" w:space="0" w:color="auto"/>
            </w:tcBorders>
            <w:shd w:val="clear" w:color="auto" w:fill="auto"/>
            <w:noWrap/>
            <w:hideMark/>
          </w:tcPr>
          <w:p w14:paraId="4E74F8E1"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87CA634"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1010A41"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7FF35912"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35ACF23D"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6D5DAD0" w14:textId="77777777" w:rsidR="008C2F02" w:rsidRPr="00071529" w:rsidRDefault="008C2F02" w:rsidP="001E39EE">
            <w:pPr>
              <w:jc w:val="right"/>
              <w:rPr>
                <w:sz w:val="20"/>
                <w:szCs w:val="20"/>
                <w:lang w:val="fr-CA" w:eastAsia="en-CA"/>
              </w:rPr>
            </w:pPr>
            <w:r w:rsidRPr="00071529">
              <w:rPr>
                <w:sz w:val="20"/>
                <w:szCs w:val="20"/>
                <w:lang w:val="fr-CA" w:eastAsia="en-CA"/>
              </w:rPr>
              <w:t>29</w:t>
            </w:r>
            <w:r>
              <w:rPr>
                <w:sz w:val="20"/>
                <w:szCs w:val="20"/>
                <w:lang w:val="fr-CA" w:eastAsia="en-CA"/>
              </w:rPr>
              <w:t xml:space="preserve"> </w:t>
            </w:r>
            <w:r w:rsidRPr="00071529">
              <w:rPr>
                <w:sz w:val="20"/>
                <w:szCs w:val="20"/>
                <w:lang w:val="fr-CA" w:eastAsia="en-CA"/>
              </w:rPr>
              <w:t>937</w:t>
            </w:r>
          </w:p>
        </w:tc>
      </w:tr>
      <w:tr w:rsidR="008C2F02" w:rsidRPr="00071529" w14:paraId="0C13134E"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7A6E81E" w14:textId="77777777" w:rsidR="008C2F02" w:rsidRPr="00071529" w:rsidRDefault="008C2F02" w:rsidP="001E39EE">
            <w:pPr>
              <w:jc w:val="left"/>
              <w:rPr>
                <w:sz w:val="20"/>
                <w:szCs w:val="20"/>
                <w:lang w:val="fr-CA" w:eastAsia="en-CA"/>
              </w:rPr>
            </w:pPr>
            <w:r>
              <w:rPr>
                <w:sz w:val="20"/>
                <w:szCs w:val="20"/>
                <w:lang w:val="fr-CA" w:eastAsia="en-CA"/>
              </w:rPr>
              <w:t>Érythrée</w:t>
            </w:r>
          </w:p>
        </w:tc>
        <w:tc>
          <w:tcPr>
            <w:tcW w:w="854" w:type="dxa"/>
            <w:tcBorders>
              <w:top w:val="nil"/>
              <w:left w:val="nil"/>
              <w:bottom w:val="single" w:sz="4" w:space="0" w:color="auto"/>
              <w:right w:val="single" w:sz="4" w:space="0" w:color="auto"/>
            </w:tcBorders>
            <w:shd w:val="clear" w:color="auto" w:fill="auto"/>
            <w:noWrap/>
            <w:hideMark/>
          </w:tcPr>
          <w:p w14:paraId="49239FEA"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6BAA5C0"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7175BD78"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4CF29536"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15312C2"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B0363A9"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7804FDA"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2D840B2" w14:textId="77777777" w:rsidR="008C2F02" w:rsidRPr="00071529" w:rsidRDefault="008C2F02" w:rsidP="001E39EE">
            <w:pPr>
              <w:jc w:val="left"/>
              <w:rPr>
                <w:sz w:val="20"/>
                <w:szCs w:val="20"/>
                <w:lang w:val="fr-CA" w:eastAsia="en-CA"/>
              </w:rPr>
            </w:pPr>
            <w:r w:rsidRPr="00071529">
              <w:rPr>
                <w:sz w:val="20"/>
                <w:szCs w:val="20"/>
                <w:lang w:val="fr-CA" w:eastAsia="en-CA"/>
              </w:rPr>
              <w:t>Eswatini</w:t>
            </w:r>
          </w:p>
        </w:tc>
        <w:tc>
          <w:tcPr>
            <w:tcW w:w="854" w:type="dxa"/>
            <w:tcBorders>
              <w:top w:val="nil"/>
              <w:left w:val="nil"/>
              <w:bottom w:val="single" w:sz="4" w:space="0" w:color="auto"/>
              <w:right w:val="single" w:sz="4" w:space="0" w:color="auto"/>
            </w:tcBorders>
            <w:shd w:val="clear" w:color="auto" w:fill="auto"/>
            <w:noWrap/>
            <w:hideMark/>
          </w:tcPr>
          <w:p w14:paraId="4D36D0B1"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AF102F2"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1B0AE64B"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0C317FB3"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1FCAF32"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5DA01B5"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100B036"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842287" w14:textId="77777777" w:rsidR="008C2F02" w:rsidRPr="00071529" w:rsidRDefault="008C2F02" w:rsidP="001E39EE">
            <w:pPr>
              <w:jc w:val="left"/>
              <w:rPr>
                <w:sz w:val="20"/>
                <w:szCs w:val="20"/>
                <w:lang w:val="fr-CA" w:eastAsia="en-CA"/>
              </w:rPr>
            </w:pPr>
            <w:r>
              <w:rPr>
                <w:sz w:val="20"/>
                <w:szCs w:val="20"/>
                <w:lang w:val="fr-CA" w:eastAsia="en-CA"/>
              </w:rPr>
              <w:t>Éthiopie</w:t>
            </w:r>
          </w:p>
        </w:tc>
        <w:tc>
          <w:tcPr>
            <w:tcW w:w="854" w:type="dxa"/>
            <w:tcBorders>
              <w:top w:val="nil"/>
              <w:left w:val="nil"/>
              <w:bottom w:val="single" w:sz="4" w:space="0" w:color="auto"/>
              <w:right w:val="single" w:sz="4" w:space="0" w:color="auto"/>
            </w:tcBorders>
            <w:shd w:val="clear" w:color="auto" w:fill="auto"/>
            <w:noWrap/>
            <w:hideMark/>
          </w:tcPr>
          <w:p w14:paraId="482D880F"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15C97A53"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D667194"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0E203A26"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5636F31"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2AD64C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46E8F5F"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274FA1B" w14:textId="77777777" w:rsidR="008C2F02" w:rsidRPr="00071529" w:rsidRDefault="008C2F02" w:rsidP="001E39EE">
            <w:pPr>
              <w:jc w:val="left"/>
              <w:rPr>
                <w:sz w:val="20"/>
                <w:szCs w:val="20"/>
                <w:lang w:val="fr-CA" w:eastAsia="en-CA"/>
              </w:rPr>
            </w:pPr>
            <w:r w:rsidRPr="00071529">
              <w:rPr>
                <w:sz w:val="20"/>
                <w:szCs w:val="20"/>
                <w:lang w:val="fr-CA" w:eastAsia="en-CA"/>
              </w:rPr>
              <w:t>Fi</w:t>
            </w:r>
            <w:r>
              <w:rPr>
                <w:sz w:val="20"/>
                <w:szCs w:val="20"/>
                <w:lang w:val="fr-CA" w:eastAsia="en-CA"/>
              </w:rPr>
              <w:t>d</w:t>
            </w:r>
            <w:r w:rsidRPr="00071529">
              <w:rPr>
                <w:sz w:val="20"/>
                <w:szCs w:val="20"/>
                <w:lang w:val="fr-CA" w:eastAsia="en-CA"/>
              </w:rPr>
              <w:t>ji</w:t>
            </w:r>
          </w:p>
        </w:tc>
        <w:tc>
          <w:tcPr>
            <w:tcW w:w="854" w:type="dxa"/>
            <w:tcBorders>
              <w:top w:val="nil"/>
              <w:left w:val="nil"/>
              <w:bottom w:val="single" w:sz="4" w:space="0" w:color="auto"/>
              <w:right w:val="single" w:sz="4" w:space="0" w:color="auto"/>
            </w:tcBorders>
            <w:shd w:val="clear" w:color="auto" w:fill="auto"/>
            <w:noWrap/>
            <w:hideMark/>
          </w:tcPr>
          <w:p w14:paraId="0CABCCA2"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5D608D7"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F1DFD77"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6C91A481"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2A60E6D2"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283C6CD"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4BA22441"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7F14BD" w14:textId="77777777" w:rsidR="008C2F02" w:rsidRPr="00071529" w:rsidRDefault="008C2F02" w:rsidP="001E39EE">
            <w:pPr>
              <w:jc w:val="left"/>
              <w:rPr>
                <w:sz w:val="20"/>
                <w:szCs w:val="20"/>
                <w:lang w:val="fr-CA" w:eastAsia="en-CA"/>
              </w:rPr>
            </w:pPr>
            <w:r w:rsidRPr="00071529">
              <w:rPr>
                <w:sz w:val="20"/>
                <w:szCs w:val="20"/>
                <w:lang w:val="fr-CA" w:eastAsia="en-CA"/>
              </w:rPr>
              <w:t>Gabon</w:t>
            </w:r>
          </w:p>
        </w:tc>
        <w:tc>
          <w:tcPr>
            <w:tcW w:w="854" w:type="dxa"/>
            <w:tcBorders>
              <w:top w:val="nil"/>
              <w:left w:val="nil"/>
              <w:bottom w:val="single" w:sz="4" w:space="0" w:color="auto"/>
              <w:right w:val="single" w:sz="4" w:space="0" w:color="auto"/>
            </w:tcBorders>
            <w:shd w:val="clear" w:color="auto" w:fill="auto"/>
            <w:noWrap/>
            <w:hideMark/>
          </w:tcPr>
          <w:p w14:paraId="364B7FC9"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97215CB"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78BAC311"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2FDA5777"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65A4679"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04E6C6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B0CF1CC"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655B439" w14:textId="77777777" w:rsidR="008C2F02" w:rsidRPr="00071529" w:rsidRDefault="008C2F02" w:rsidP="00A7143C">
            <w:pPr>
              <w:jc w:val="left"/>
              <w:rPr>
                <w:sz w:val="20"/>
                <w:szCs w:val="20"/>
                <w:lang w:val="fr-CA" w:eastAsia="en-CA"/>
              </w:rPr>
            </w:pPr>
            <w:r w:rsidRPr="00071529">
              <w:rPr>
                <w:sz w:val="20"/>
                <w:szCs w:val="20"/>
                <w:lang w:val="fr-CA" w:eastAsia="en-CA"/>
              </w:rPr>
              <w:t>Gambi</w:t>
            </w:r>
            <w:r>
              <w:rPr>
                <w:sz w:val="20"/>
                <w:szCs w:val="20"/>
                <w:lang w:val="fr-CA" w:eastAsia="en-CA"/>
              </w:rPr>
              <w:t>e</w:t>
            </w:r>
          </w:p>
        </w:tc>
        <w:tc>
          <w:tcPr>
            <w:tcW w:w="854" w:type="dxa"/>
            <w:tcBorders>
              <w:top w:val="nil"/>
              <w:left w:val="nil"/>
              <w:bottom w:val="single" w:sz="4" w:space="0" w:color="auto"/>
              <w:right w:val="single" w:sz="4" w:space="0" w:color="auto"/>
            </w:tcBorders>
            <w:shd w:val="clear" w:color="auto" w:fill="auto"/>
            <w:noWrap/>
            <w:hideMark/>
          </w:tcPr>
          <w:p w14:paraId="40EFA3AE"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4673429"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4648DC97"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74436292"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8297373"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93ED8B8"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2160C5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AA4E89E" w14:textId="77777777" w:rsidR="008C2F02" w:rsidRPr="00071529" w:rsidRDefault="008C2F02" w:rsidP="001E39EE">
            <w:pPr>
              <w:jc w:val="left"/>
              <w:rPr>
                <w:sz w:val="20"/>
                <w:szCs w:val="20"/>
                <w:lang w:val="fr-CA" w:eastAsia="en-CA"/>
              </w:rPr>
            </w:pPr>
            <w:r>
              <w:rPr>
                <w:sz w:val="20"/>
                <w:szCs w:val="20"/>
                <w:lang w:val="fr-CA" w:eastAsia="en-CA"/>
              </w:rPr>
              <w:t>Géorgie</w:t>
            </w:r>
          </w:p>
        </w:tc>
        <w:tc>
          <w:tcPr>
            <w:tcW w:w="854" w:type="dxa"/>
            <w:tcBorders>
              <w:top w:val="nil"/>
              <w:left w:val="nil"/>
              <w:bottom w:val="single" w:sz="4" w:space="0" w:color="auto"/>
              <w:right w:val="single" w:sz="4" w:space="0" w:color="auto"/>
            </w:tcBorders>
            <w:shd w:val="clear" w:color="auto" w:fill="auto"/>
            <w:noWrap/>
            <w:hideMark/>
          </w:tcPr>
          <w:p w14:paraId="737CB024"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117E3E81"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3330A438"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6C18CB83"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E445242"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E147694"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30A0862"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2E45A1E" w14:textId="77777777" w:rsidR="008C2F02" w:rsidRPr="00071529" w:rsidRDefault="008C2F02" w:rsidP="001E39EE">
            <w:pPr>
              <w:jc w:val="left"/>
              <w:rPr>
                <w:sz w:val="20"/>
                <w:szCs w:val="20"/>
                <w:lang w:val="fr-CA" w:eastAsia="en-CA"/>
              </w:rPr>
            </w:pPr>
            <w:r w:rsidRPr="00071529">
              <w:rPr>
                <w:sz w:val="20"/>
                <w:szCs w:val="20"/>
                <w:lang w:val="fr-CA" w:eastAsia="en-CA"/>
              </w:rPr>
              <w:t>Ghana</w:t>
            </w:r>
          </w:p>
        </w:tc>
        <w:tc>
          <w:tcPr>
            <w:tcW w:w="854" w:type="dxa"/>
            <w:tcBorders>
              <w:top w:val="nil"/>
              <w:left w:val="nil"/>
              <w:bottom w:val="single" w:sz="4" w:space="0" w:color="auto"/>
              <w:right w:val="single" w:sz="4" w:space="0" w:color="auto"/>
            </w:tcBorders>
            <w:shd w:val="clear" w:color="auto" w:fill="auto"/>
            <w:noWrap/>
            <w:hideMark/>
          </w:tcPr>
          <w:p w14:paraId="4D621C0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7DAC875"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2F491103"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211E7822"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28F3743D"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EBF115E"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1A77482"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2F06B25" w14:textId="77777777" w:rsidR="008C2F02" w:rsidRPr="00071529" w:rsidRDefault="008C2F02" w:rsidP="00A7143C">
            <w:pPr>
              <w:jc w:val="left"/>
              <w:rPr>
                <w:sz w:val="20"/>
                <w:szCs w:val="20"/>
                <w:lang w:val="fr-CA" w:eastAsia="en-CA"/>
              </w:rPr>
            </w:pPr>
            <w:r w:rsidRPr="00071529">
              <w:rPr>
                <w:sz w:val="20"/>
                <w:szCs w:val="20"/>
                <w:lang w:val="fr-CA" w:eastAsia="en-CA"/>
              </w:rPr>
              <w:t>Grenad</w:t>
            </w:r>
            <w:r>
              <w:rPr>
                <w:sz w:val="20"/>
                <w:szCs w:val="20"/>
                <w:lang w:val="fr-CA" w:eastAsia="en-CA"/>
              </w:rPr>
              <w:t>e</w:t>
            </w:r>
          </w:p>
        </w:tc>
        <w:tc>
          <w:tcPr>
            <w:tcW w:w="854" w:type="dxa"/>
            <w:tcBorders>
              <w:top w:val="nil"/>
              <w:left w:val="nil"/>
              <w:bottom w:val="single" w:sz="4" w:space="0" w:color="auto"/>
              <w:right w:val="single" w:sz="4" w:space="0" w:color="auto"/>
            </w:tcBorders>
            <w:shd w:val="clear" w:color="auto" w:fill="auto"/>
            <w:noWrap/>
            <w:hideMark/>
          </w:tcPr>
          <w:p w14:paraId="6C4B5895"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1924CC8"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49869DB"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662197D3" w14:textId="77777777" w:rsidR="008C2F02" w:rsidRPr="00071529" w:rsidRDefault="008C2F02" w:rsidP="001E39EE">
            <w:pPr>
              <w:jc w:val="right"/>
              <w:rPr>
                <w:sz w:val="20"/>
                <w:szCs w:val="20"/>
                <w:lang w:val="fr-CA" w:eastAsia="en-CA"/>
              </w:rPr>
            </w:pPr>
            <w:r w:rsidRPr="00071529">
              <w:rPr>
                <w:sz w:val="20"/>
                <w:szCs w:val="20"/>
                <w:lang w:val="fr-CA" w:eastAsia="en-CA"/>
              </w:rPr>
              <w:t>46</w:t>
            </w:r>
            <w:r>
              <w:rPr>
                <w:sz w:val="20"/>
                <w:szCs w:val="20"/>
                <w:lang w:val="fr-CA" w:eastAsia="en-CA"/>
              </w:rPr>
              <w:t xml:space="preserve"> </w:t>
            </w:r>
            <w:r w:rsidRPr="00071529">
              <w:rPr>
                <w:sz w:val="20"/>
                <w:szCs w:val="20"/>
                <w:lang w:val="fr-CA" w:eastAsia="en-CA"/>
              </w:rPr>
              <w:t>491</w:t>
            </w:r>
          </w:p>
        </w:tc>
        <w:tc>
          <w:tcPr>
            <w:tcW w:w="1189" w:type="dxa"/>
            <w:tcBorders>
              <w:top w:val="nil"/>
              <w:left w:val="nil"/>
              <w:bottom w:val="single" w:sz="4" w:space="0" w:color="auto"/>
              <w:right w:val="single" w:sz="4" w:space="0" w:color="auto"/>
            </w:tcBorders>
            <w:shd w:val="clear" w:color="auto" w:fill="auto"/>
            <w:noWrap/>
            <w:hideMark/>
          </w:tcPr>
          <w:p w14:paraId="31CA6C5E"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DAC2F82"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147918E"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2D5061" w14:textId="77777777" w:rsidR="008C2F02" w:rsidRPr="00071529" w:rsidRDefault="008C2F02" w:rsidP="001E39EE">
            <w:pPr>
              <w:jc w:val="left"/>
              <w:rPr>
                <w:sz w:val="20"/>
                <w:szCs w:val="20"/>
                <w:lang w:val="fr-CA" w:eastAsia="en-CA"/>
              </w:rPr>
            </w:pPr>
            <w:r w:rsidRPr="00071529">
              <w:rPr>
                <w:sz w:val="20"/>
                <w:szCs w:val="20"/>
                <w:lang w:val="fr-CA" w:eastAsia="en-CA"/>
              </w:rPr>
              <w:t>Guatemala</w:t>
            </w:r>
          </w:p>
        </w:tc>
        <w:tc>
          <w:tcPr>
            <w:tcW w:w="854" w:type="dxa"/>
            <w:tcBorders>
              <w:top w:val="nil"/>
              <w:left w:val="nil"/>
              <w:bottom w:val="single" w:sz="4" w:space="0" w:color="auto"/>
              <w:right w:val="single" w:sz="4" w:space="0" w:color="auto"/>
            </w:tcBorders>
            <w:shd w:val="clear" w:color="auto" w:fill="auto"/>
            <w:noWrap/>
            <w:hideMark/>
          </w:tcPr>
          <w:p w14:paraId="45717912"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D3E8D98"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53CAC2D4"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24A12B37"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6039B8B"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3731709"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8600EB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1A7D3E5" w14:textId="77777777" w:rsidR="008C2F02" w:rsidRPr="00071529" w:rsidRDefault="008C2F02" w:rsidP="001E39EE">
            <w:pPr>
              <w:jc w:val="left"/>
              <w:rPr>
                <w:sz w:val="20"/>
                <w:szCs w:val="20"/>
                <w:lang w:val="fr-CA" w:eastAsia="en-CA"/>
              </w:rPr>
            </w:pPr>
            <w:r>
              <w:rPr>
                <w:sz w:val="20"/>
                <w:szCs w:val="20"/>
                <w:lang w:val="fr-CA" w:eastAsia="en-CA"/>
              </w:rPr>
              <w:t>Guinée</w:t>
            </w:r>
          </w:p>
        </w:tc>
        <w:tc>
          <w:tcPr>
            <w:tcW w:w="854" w:type="dxa"/>
            <w:tcBorders>
              <w:top w:val="nil"/>
              <w:left w:val="nil"/>
              <w:bottom w:val="single" w:sz="4" w:space="0" w:color="auto"/>
              <w:right w:val="single" w:sz="4" w:space="0" w:color="auto"/>
            </w:tcBorders>
            <w:shd w:val="clear" w:color="auto" w:fill="auto"/>
            <w:noWrap/>
            <w:hideMark/>
          </w:tcPr>
          <w:p w14:paraId="5E78D3D4"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C634B79"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8534A87"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5E5F1A9F"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18D301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07A8C2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42E3D80"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82221B8" w14:textId="77777777" w:rsidR="008C2F02" w:rsidRPr="00071529" w:rsidRDefault="008C2F02" w:rsidP="001E39EE">
            <w:pPr>
              <w:jc w:val="left"/>
              <w:rPr>
                <w:sz w:val="20"/>
                <w:szCs w:val="20"/>
                <w:lang w:val="fr-CA" w:eastAsia="en-CA"/>
              </w:rPr>
            </w:pPr>
            <w:r>
              <w:rPr>
                <w:sz w:val="20"/>
                <w:szCs w:val="20"/>
                <w:lang w:val="fr-CA" w:eastAsia="en-CA"/>
              </w:rPr>
              <w:t>Guinée équatoriale</w:t>
            </w:r>
          </w:p>
        </w:tc>
        <w:tc>
          <w:tcPr>
            <w:tcW w:w="854" w:type="dxa"/>
            <w:tcBorders>
              <w:top w:val="nil"/>
              <w:left w:val="nil"/>
              <w:bottom w:val="single" w:sz="4" w:space="0" w:color="auto"/>
              <w:right w:val="single" w:sz="4" w:space="0" w:color="auto"/>
            </w:tcBorders>
            <w:shd w:val="clear" w:color="auto" w:fill="auto"/>
            <w:noWrap/>
            <w:hideMark/>
          </w:tcPr>
          <w:p w14:paraId="107462C1"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BFD4C3F"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1F62E754"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30513E35"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37CC560A"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50D8ED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D33984A"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CFA3E73" w14:textId="77777777" w:rsidR="008C2F02" w:rsidRPr="00071529" w:rsidRDefault="008C2F02" w:rsidP="001E39EE">
            <w:pPr>
              <w:jc w:val="left"/>
              <w:rPr>
                <w:sz w:val="20"/>
                <w:szCs w:val="20"/>
                <w:lang w:val="fr-CA" w:eastAsia="en-CA"/>
              </w:rPr>
            </w:pPr>
            <w:r>
              <w:rPr>
                <w:sz w:val="20"/>
                <w:szCs w:val="20"/>
                <w:lang w:val="fr-CA" w:eastAsia="en-CA"/>
              </w:rPr>
              <w:t>Guinée-</w:t>
            </w:r>
            <w:r w:rsidRPr="00071529">
              <w:rPr>
                <w:sz w:val="20"/>
                <w:szCs w:val="20"/>
                <w:lang w:val="fr-CA" w:eastAsia="en-CA"/>
              </w:rPr>
              <w:t>Bissau</w:t>
            </w:r>
          </w:p>
        </w:tc>
        <w:tc>
          <w:tcPr>
            <w:tcW w:w="854" w:type="dxa"/>
            <w:tcBorders>
              <w:top w:val="nil"/>
              <w:left w:val="nil"/>
              <w:bottom w:val="single" w:sz="4" w:space="0" w:color="auto"/>
              <w:right w:val="single" w:sz="4" w:space="0" w:color="auto"/>
            </w:tcBorders>
            <w:shd w:val="clear" w:color="auto" w:fill="auto"/>
            <w:noWrap/>
            <w:hideMark/>
          </w:tcPr>
          <w:p w14:paraId="073AB1A6"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1BDE80C"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1D7BFDC9"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38C3D160"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B44230C"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0014EAA"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AA001B7"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F662220" w14:textId="77777777" w:rsidR="008C2F02" w:rsidRPr="00071529" w:rsidRDefault="008C2F02" w:rsidP="001E39EE">
            <w:pPr>
              <w:jc w:val="left"/>
              <w:rPr>
                <w:sz w:val="20"/>
                <w:szCs w:val="20"/>
                <w:lang w:val="fr-CA" w:eastAsia="en-CA"/>
              </w:rPr>
            </w:pPr>
            <w:r w:rsidRPr="00071529">
              <w:rPr>
                <w:sz w:val="20"/>
                <w:szCs w:val="20"/>
                <w:lang w:val="fr-CA" w:eastAsia="en-CA"/>
              </w:rPr>
              <w:t>Guyana</w:t>
            </w:r>
          </w:p>
        </w:tc>
        <w:tc>
          <w:tcPr>
            <w:tcW w:w="854" w:type="dxa"/>
            <w:tcBorders>
              <w:top w:val="nil"/>
              <w:left w:val="nil"/>
              <w:bottom w:val="single" w:sz="4" w:space="0" w:color="auto"/>
              <w:right w:val="single" w:sz="4" w:space="0" w:color="auto"/>
            </w:tcBorders>
            <w:shd w:val="clear" w:color="auto" w:fill="auto"/>
            <w:noWrap/>
            <w:hideMark/>
          </w:tcPr>
          <w:p w14:paraId="6C381E42"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FEDB4C0"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1D3BFD73"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2176D422"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6B4EE65"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62A94EC"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9C89F4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76EBD79" w14:textId="77777777" w:rsidR="008C2F02" w:rsidRPr="00071529" w:rsidRDefault="008C2F02" w:rsidP="001E39EE">
            <w:pPr>
              <w:jc w:val="left"/>
              <w:rPr>
                <w:sz w:val="20"/>
                <w:szCs w:val="20"/>
                <w:lang w:val="fr-CA" w:eastAsia="en-CA"/>
              </w:rPr>
            </w:pPr>
            <w:r>
              <w:rPr>
                <w:sz w:val="20"/>
                <w:szCs w:val="20"/>
                <w:lang w:val="fr-CA" w:eastAsia="en-CA"/>
              </w:rPr>
              <w:t>Haï</w:t>
            </w:r>
            <w:r w:rsidRPr="00071529">
              <w:rPr>
                <w:sz w:val="20"/>
                <w:szCs w:val="20"/>
                <w:lang w:val="fr-CA" w:eastAsia="en-CA"/>
              </w:rPr>
              <w:t>ti</w:t>
            </w:r>
          </w:p>
        </w:tc>
        <w:tc>
          <w:tcPr>
            <w:tcW w:w="854" w:type="dxa"/>
            <w:tcBorders>
              <w:top w:val="nil"/>
              <w:left w:val="nil"/>
              <w:bottom w:val="single" w:sz="4" w:space="0" w:color="auto"/>
              <w:right w:val="single" w:sz="4" w:space="0" w:color="auto"/>
            </w:tcBorders>
            <w:shd w:val="clear" w:color="auto" w:fill="auto"/>
            <w:noWrap/>
            <w:hideMark/>
          </w:tcPr>
          <w:p w14:paraId="0E678554"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472AE19"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2E8DD2F8"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11E33E6D"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5DE9644"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7379128"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14B7D7E"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093F26F" w14:textId="77777777" w:rsidR="008C2F02" w:rsidRPr="00071529" w:rsidRDefault="008C2F02" w:rsidP="001E39EE">
            <w:pPr>
              <w:jc w:val="left"/>
              <w:rPr>
                <w:sz w:val="20"/>
                <w:szCs w:val="20"/>
                <w:lang w:val="fr-CA" w:eastAsia="en-CA"/>
              </w:rPr>
            </w:pPr>
            <w:r w:rsidRPr="00071529">
              <w:rPr>
                <w:sz w:val="20"/>
                <w:szCs w:val="20"/>
                <w:lang w:val="fr-CA" w:eastAsia="en-CA"/>
              </w:rPr>
              <w:t>Honduras</w:t>
            </w:r>
          </w:p>
        </w:tc>
        <w:tc>
          <w:tcPr>
            <w:tcW w:w="854" w:type="dxa"/>
            <w:tcBorders>
              <w:top w:val="nil"/>
              <w:left w:val="nil"/>
              <w:bottom w:val="single" w:sz="4" w:space="0" w:color="auto"/>
              <w:right w:val="single" w:sz="4" w:space="0" w:color="auto"/>
            </w:tcBorders>
            <w:shd w:val="clear" w:color="auto" w:fill="auto"/>
            <w:noWrap/>
            <w:hideMark/>
          </w:tcPr>
          <w:p w14:paraId="76C885A1"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5BB74B1"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3785FE1"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3C02E958"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6BEAE0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C284E29"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7C36D57"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81A3BB1" w14:textId="77777777" w:rsidR="008C2F02" w:rsidRPr="00071529" w:rsidRDefault="008C2F02" w:rsidP="001E39EE">
            <w:pPr>
              <w:jc w:val="left"/>
              <w:rPr>
                <w:sz w:val="20"/>
                <w:szCs w:val="20"/>
                <w:lang w:val="fr-CA" w:eastAsia="en-CA"/>
              </w:rPr>
            </w:pPr>
            <w:r>
              <w:rPr>
                <w:sz w:val="20"/>
                <w:szCs w:val="20"/>
                <w:lang w:val="fr-CA" w:eastAsia="en-CA"/>
              </w:rPr>
              <w:t>Îles Cook</w:t>
            </w:r>
          </w:p>
        </w:tc>
        <w:tc>
          <w:tcPr>
            <w:tcW w:w="854" w:type="dxa"/>
            <w:tcBorders>
              <w:top w:val="nil"/>
              <w:left w:val="nil"/>
              <w:bottom w:val="single" w:sz="4" w:space="0" w:color="auto"/>
              <w:right w:val="single" w:sz="4" w:space="0" w:color="auto"/>
            </w:tcBorders>
            <w:shd w:val="clear" w:color="auto" w:fill="auto"/>
            <w:noWrap/>
            <w:hideMark/>
          </w:tcPr>
          <w:p w14:paraId="1170C4E1"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E3D9B78"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C82191F"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760A7B85"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B31A58A"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AA85B4E"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4BBF921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F4690AD" w14:textId="77777777" w:rsidR="008C2F02" w:rsidRPr="00071529" w:rsidRDefault="008C2F02" w:rsidP="001E39EE">
            <w:pPr>
              <w:jc w:val="left"/>
              <w:rPr>
                <w:sz w:val="20"/>
                <w:szCs w:val="20"/>
                <w:lang w:val="fr-CA" w:eastAsia="en-CA"/>
              </w:rPr>
            </w:pPr>
            <w:r>
              <w:rPr>
                <w:sz w:val="20"/>
                <w:szCs w:val="20"/>
                <w:lang w:val="fr-CA" w:eastAsia="en-CA"/>
              </w:rPr>
              <w:t>Îles Marshall</w:t>
            </w:r>
          </w:p>
        </w:tc>
        <w:tc>
          <w:tcPr>
            <w:tcW w:w="854" w:type="dxa"/>
            <w:tcBorders>
              <w:top w:val="nil"/>
              <w:left w:val="nil"/>
              <w:bottom w:val="single" w:sz="4" w:space="0" w:color="auto"/>
              <w:right w:val="single" w:sz="4" w:space="0" w:color="auto"/>
            </w:tcBorders>
            <w:shd w:val="clear" w:color="auto" w:fill="auto"/>
            <w:noWrap/>
            <w:hideMark/>
          </w:tcPr>
          <w:p w14:paraId="7129103D"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F60FABB"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567FBA77"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7D213B99"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EF84AA6"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654BC11"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96A1E12"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F548C39" w14:textId="77777777" w:rsidR="008C2F02" w:rsidRPr="00071529" w:rsidRDefault="008C2F02" w:rsidP="00F029E2">
            <w:pPr>
              <w:jc w:val="left"/>
              <w:rPr>
                <w:sz w:val="20"/>
                <w:szCs w:val="20"/>
                <w:lang w:val="fr-CA" w:eastAsia="en-CA"/>
              </w:rPr>
            </w:pPr>
            <w:r>
              <w:rPr>
                <w:sz w:val="20"/>
                <w:szCs w:val="20"/>
                <w:lang w:val="fr-CA" w:eastAsia="en-CA"/>
              </w:rPr>
              <w:t>Iles Salomon</w:t>
            </w:r>
          </w:p>
        </w:tc>
        <w:tc>
          <w:tcPr>
            <w:tcW w:w="854" w:type="dxa"/>
            <w:tcBorders>
              <w:top w:val="nil"/>
              <w:left w:val="nil"/>
              <w:bottom w:val="single" w:sz="4" w:space="0" w:color="auto"/>
              <w:right w:val="single" w:sz="4" w:space="0" w:color="auto"/>
            </w:tcBorders>
            <w:shd w:val="clear" w:color="auto" w:fill="auto"/>
            <w:noWrap/>
            <w:hideMark/>
          </w:tcPr>
          <w:p w14:paraId="39941098"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04D5F4E"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334DDCC6"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4D1B5C91"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2DBAF73A"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8AB29A9"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6AAC70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710851C" w14:textId="77777777" w:rsidR="008C2F02" w:rsidRPr="00071529" w:rsidRDefault="008C2F02" w:rsidP="001E39EE">
            <w:pPr>
              <w:jc w:val="left"/>
              <w:rPr>
                <w:sz w:val="20"/>
                <w:szCs w:val="20"/>
                <w:lang w:val="fr-CA" w:eastAsia="en-CA"/>
              </w:rPr>
            </w:pPr>
            <w:r>
              <w:rPr>
                <w:sz w:val="20"/>
                <w:szCs w:val="20"/>
                <w:lang w:val="fr-CA" w:eastAsia="en-CA"/>
              </w:rPr>
              <w:t>Inde</w:t>
            </w:r>
          </w:p>
        </w:tc>
        <w:tc>
          <w:tcPr>
            <w:tcW w:w="854" w:type="dxa"/>
            <w:tcBorders>
              <w:top w:val="nil"/>
              <w:left w:val="nil"/>
              <w:bottom w:val="single" w:sz="4" w:space="0" w:color="auto"/>
              <w:right w:val="single" w:sz="4" w:space="0" w:color="auto"/>
            </w:tcBorders>
            <w:shd w:val="clear" w:color="auto" w:fill="auto"/>
            <w:noWrap/>
            <w:hideMark/>
          </w:tcPr>
          <w:p w14:paraId="2FCF6494" w14:textId="77777777" w:rsidR="008C2F02" w:rsidRPr="00071529" w:rsidRDefault="008C2F02" w:rsidP="001E39EE">
            <w:pPr>
              <w:jc w:val="center"/>
              <w:rPr>
                <w:sz w:val="20"/>
                <w:szCs w:val="20"/>
                <w:lang w:val="fr-CA" w:eastAsia="en-CA"/>
              </w:rPr>
            </w:pPr>
            <w:r w:rsidRPr="00071529">
              <w:rPr>
                <w:sz w:val="20"/>
                <w:szCs w:val="20"/>
                <w:lang w:val="fr-CA" w:eastAsia="en-CA"/>
              </w:rPr>
              <w:t>2</w:t>
            </w:r>
          </w:p>
        </w:tc>
        <w:tc>
          <w:tcPr>
            <w:tcW w:w="1396" w:type="dxa"/>
            <w:tcBorders>
              <w:top w:val="nil"/>
              <w:left w:val="nil"/>
              <w:bottom w:val="single" w:sz="4" w:space="0" w:color="auto"/>
              <w:right w:val="single" w:sz="4" w:space="0" w:color="auto"/>
            </w:tcBorders>
            <w:shd w:val="clear" w:color="auto" w:fill="auto"/>
            <w:noWrap/>
            <w:hideMark/>
          </w:tcPr>
          <w:p w14:paraId="425260B3"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6D54922F"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60790923"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189" w:type="dxa"/>
            <w:tcBorders>
              <w:top w:val="nil"/>
              <w:left w:val="nil"/>
              <w:bottom w:val="single" w:sz="4" w:space="0" w:color="auto"/>
              <w:right w:val="single" w:sz="4" w:space="0" w:color="auto"/>
            </w:tcBorders>
            <w:shd w:val="clear" w:color="auto" w:fill="auto"/>
            <w:noWrap/>
            <w:hideMark/>
          </w:tcPr>
          <w:p w14:paraId="1E606B7E"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4088A33"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FA5CC25"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A24529" w14:textId="77777777" w:rsidR="008C2F02" w:rsidRPr="00071529" w:rsidRDefault="008C2F02" w:rsidP="001E39EE">
            <w:pPr>
              <w:jc w:val="left"/>
              <w:rPr>
                <w:sz w:val="20"/>
                <w:szCs w:val="20"/>
                <w:lang w:val="fr-CA" w:eastAsia="en-CA"/>
              </w:rPr>
            </w:pPr>
            <w:r>
              <w:rPr>
                <w:sz w:val="20"/>
                <w:szCs w:val="20"/>
                <w:lang w:val="fr-CA" w:eastAsia="en-CA"/>
              </w:rPr>
              <w:t>Indonésie</w:t>
            </w:r>
          </w:p>
        </w:tc>
        <w:tc>
          <w:tcPr>
            <w:tcW w:w="854" w:type="dxa"/>
            <w:tcBorders>
              <w:top w:val="nil"/>
              <w:left w:val="nil"/>
              <w:bottom w:val="single" w:sz="4" w:space="0" w:color="auto"/>
              <w:right w:val="single" w:sz="4" w:space="0" w:color="auto"/>
            </w:tcBorders>
            <w:shd w:val="clear" w:color="auto" w:fill="auto"/>
            <w:noWrap/>
            <w:hideMark/>
          </w:tcPr>
          <w:p w14:paraId="4C442C22"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E5DDFF4"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2265780C"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29BB271F"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BD8A409"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119A399"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FC2BC6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6957DAF" w14:textId="77777777" w:rsidR="008C2F02" w:rsidRDefault="008C2F02" w:rsidP="00A7143C">
            <w:pPr>
              <w:ind w:right="-108"/>
              <w:jc w:val="left"/>
              <w:rPr>
                <w:sz w:val="20"/>
                <w:szCs w:val="20"/>
                <w:lang w:val="fr-CA" w:eastAsia="en-CA"/>
              </w:rPr>
            </w:pPr>
            <w:r w:rsidRPr="00071529">
              <w:rPr>
                <w:sz w:val="20"/>
                <w:szCs w:val="20"/>
                <w:lang w:val="fr-CA" w:eastAsia="en-CA"/>
              </w:rPr>
              <w:t>Iran (</w:t>
            </w:r>
            <w:r>
              <w:rPr>
                <w:sz w:val="20"/>
                <w:szCs w:val="20"/>
                <w:lang w:val="fr-CA" w:eastAsia="en-CA"/>
              </w:rPr>
              <w:t xml:space="preserve">République </w:t>
            </w:r>
          </w:p>
          <w:p w14:paraId="20037F0A" w14:textId="77777777" w:rsidR="008C2F02" w:rsidRPr="00071529" w:rsidRDefault="008C2F02" w:rsidP="00A7143C">
            <w:pPr>
              <w:ind w:right="-108"/>
              <w:jc w:val="left"/>
              <w:rPr>
                <w:sz w:val="20"/>
                <w:szCs w:val="20"/>
                <w:lang w:val="fr-CA" w:eastAsia="en-CA"/>
              </w:rPr>
            </w:pPr>
            <w:r>
              <w:rPr>
                <w:sz w:val="20"/>
                <w:szCs w:val="20"/>
                <w:lang w:val="fr-CA" w:eastAsia="en-CA"/>
              </w:rPr>
              <w:t>islamique d’</w:t>
            </w:r>
            <w:r w:rsidRPr="00071529">
              <w:rPr>
                <w:sz w:val="20"/>
                <w:szCs w:val="20"/>
                <w:lang w:val="fr-CA" w:eastAsia="en-CA"/>
              </w:rPr>
              <w:t>)</w:t>
            </w:r>
          </w:p>
        </w:tc>
        <w:tc>
          <w:tcPr>
            <w:tcW w:w="854" w:type="dxa"/>
            <w:tcBorders>
              <w:top w:val="nil"/>
              <w:left w:val="nil"/>
              <w:bottom w:val="single" w:sz="4" w:space="0" w:color="auto"/>
              <w:right w:val="single" w:sz="4" w:space="0" w:color="auto"/>
            </w:tcBorders>
            <w:shd w:val="clear" w:color="auto" w:fill="auto"/>
            <w:noWrap/>
            <w:hideMark/>
          </w:tcPr>
          <w:p w14:paraId="412D5BA7" w14:textId="77777777" w:rsidR="008C2F02" w:rsidRPr="00071529" w:rsidRDefault="008C2F02" w:rsidP="001E39EE">
            <w:pPr>
              <w:jc w:val="center"/>
              <w:rPr>
                <w:sz w:val="20"/>
                <w:szCs w:val="20"/>
                <w:lang w:val="fr-CA" w:eastAsia="en-CA"/>
              </w:rPr>
            </w:pPr>
            <w:r w:rsidRPr="00071529">
              <w:rPr>
                <w:sz w:val="20"/>
                <w:szCs w:val="20"/>
                <w:lang w:val="fr-CA" w:eastAsia="en-CA"/>
              </w:rPr>
              <w:t>2</w:t>
            </w:r>
          </w:p>
        </w:tc>
        <w:tc>
          <w:tcPr>
            <w:tcW w:w="1396" w:type="dxa"/>
            <w:tcBorders>
              <w:top w:val="nil"/>
              <w:left w:val="nil"/>
              <w:bottom w:val="single" w:sz="4" w:space="0" w:color="auto"/>
              <w:right w:val="single" w:sz="4" w:space="0" w:color="auto"/>
            </w:tcBorders>
            <w:shd w:val="clear" w:color="auto" w:fill="auto"/>
            <w:noWrap/>
            <w:hideMark/>
          </w:tcPr>
          <w:p w14:paraId="0421F847"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263E70C5"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4478F927"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FFB20DC"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0289402"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640DB42"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CC2DE03" w14:textId="77777777" w:rsidR="008C2F02" w:rsidRPr="00071529" w:rsidRDefault="008C2F02" w:rsidP="001E39EE">
            <w:pPr>
              <w:jc w:val="left"/>
              <w:rPr>
                <w:sz w:val="20"/>
                <w:szCs w:val="20"/>
                <w:lang w:val="fr-CA" w:eastAsia="en-CA"/>
              </w:rPr>
            </w:pPr>
            <w:r w:rsidRPr="00071529">
              <w:rPr>
                <w:sz w:val="20"/>
                <w:szCs w:val="20"/>
                <w:lang w:val="fr-CA" w:eastAsia="en-CA"/>
              </w:rPr>
              <w:t>Iraq</w:t>
            </w:r>
          </w:p>
        </w:tc>
        <w:tc>
          <w:tcPr>
            <w:tcW w:w="854" w:type="dxa"/>
            <w:tcBorders>
              <w:top w:val="nil"/>
              <w:left w:val="nil"/>
              <w:bottom w:val="single" w:sz="4" w:space="0" w:color="auto"/>
              <w:right w:val="single" w:sz="4" w:space="0" w:color="auto"/>
            </w:tcBorders>
            <w:shd w:val="clear" w:color="auto" w:fill="auto"/>
            <w:noWrap/>
            <w:hideMark/>
          </w:tcPr>
          <w:p w14:paraId="0ACBF93A" w14:textId="77777777" w:rsidR="008C2F02" w:rsidRPr="00071529" w:rsidRDefault="008C2F02" w:rsidP="001E39EE">
            <w:pPr>
              <w:jc w:val="center"/>
              <w:rPr>
                <w:sz w:val="20"/>
                <w:szCs w:val="20"/>
                <w:lang w:val="fr-CA" w:eastAsia="en-CA"/>
              </w:rPr>
            </w:pPr>
            <w:r w:rsidRPr="00071529">
              <w:rPr>
                <w:sz w:val="20"/>
                <w:szCs w:val="20"/>
                <w:lang w:val="fr-CA" w:eastAsia="en-CA"/>
              </w:rPr>
              <w:t>2</w:t>
            </w:r>
          </w:p>
        </w:tc>
        <w:tc>
          <w:tcPr>
            <w:tcW w:w="1396" w:type="dxa"/>
            <w:tcBorders>
              <w:top w:val="nil"/>
              <w:left w:val="nil"/>
              <w:bottom w:val="single" w:sz="4" w:space="0" w:color="auto"/>
              <w:right w:val="single" w:sz="4" w:space="0" w:color="auto"/>
            </w:tcBorders>
            <w:shd w:val="clear" w:color="auto" w:fill="auto"/>
            <w:noWrap/>
            <w:hideMark/>
          </w:tcPr>
          <w:p w14:paraId="4E24DB58"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76FF9E6D"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476DA52C"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4666046"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6884EB8"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42F5F71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1285AE7" w14:textId="77777777" w:rsidR="008C2F02" w:rsidRPr="00071529" w:rsidRDefault="008C2F02" w:rsidP="001E39EE">
            <w:pPr>
              <w:jc w:val="left"/>
              <w:rPr>
                <w:sz w:val="20"/>
                <w:szCs w:val="20"/>
                <w:lang w:val="fr-CA" w:eastAsia="en-CA"/>
              </w:rPr>
            </w:pPr>
            <w:r>
              <w:rPr>
                <w:sz w:val="20"/>
                <w:szCs w:val="20"/>
                <w:lang w:val="fr-CA" w:eastAsia="en-CA"/>
              </w:rPr>
              <w:t>Jamaïque</w:t>
            </w:r>
          </w:p>
        </w:tc>
        <w:tc>
          <w:tcPr>
            <w:tcW w:w="854" w:type="dxa"/>
            <w:tcBorders>
              <w:top w:val="nil"/>
              <w:left w:val="nil"/>
              <w:bottom w:val="single" w:sz="4" w:space="0" w:color="auto"/>
              <w:right w:val="single" w:sz="4" w:space="0" w:color="auto"/>
            </w:tcBorders>
            <w:shd w:val="clear" w:color="auto" w:fill="auto"/>
            <w:noWrap/>
            <w:hideMark/>
          </w:tcPr>
          <w:p w14:paraId="64342748"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FD3ED6B"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4047E9CD"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21E145B3"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A3BB0E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EFE75B2"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54744A5"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1152DDB" w14:textId="77777777" w:rsidR="008C2F02" w:rsidRPr="00071529" w:rsidRDefault="008C2F02" w:rsidP="001E39EE">
            <w:pPr>
              <w:jc w:val="left"/>
              <w:rPr>
                <w:sz w:val="20"/>
                <w:szCs w:val="20"/>
                <w:lang w:val="fr-CA" w:eastAsia="en-CA"/>
              </w:rPr>
            </w:pPr>
            <w:r w:rsidRPr="00071529">
              <w:rPr>
                <w:sz w:val="20"/>
                <w:szCs w:val="20"/>
                <w:lang w:val="fr-CA" w:eastAsia="en-CA"/>
              </w:rPr>
              <w:t>Jordan</w:t>
            </w:r>
            <w:r>
              <w:rPr>
                <w:sz w:val="20"/>
                <w:szCs w:val="20"/>
                <w:lang w:val="fr-CA" w:eastAsia="en-CA"/>
              </w:rPr>
              <w:t>ie</w:t>
            </w:r>
          </w:p>
        </w:tc>
        <w:tc>
          <w:tcPr>
            <w:tcW w:w="854" w:type="dxa"/>
            <w:tcBorders>
              <w:top w:val="nil"/>
              <w:left w:val="nil"/>
              <w:bottom w:val="single" w:sz="4" w:space="0" w:color="auto"/>
              <w:right w:val="single" w:sz="4" w:space="0" w:color="auto"/>
            </w:tcBorders>
            <w:shd w:val="clear" w:color="auto" w:fill="auto"/>
            <w:noWrap/>
            <w:hideMark/>
          </w:tcPr>
          <w:p w14:paraId="548D181A"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3E28CDD"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542D7F2"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50633AB3"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9CFD26D" w14:textId="77777777" w:rsidR="008C2F02" w:rsidRPr="00071529" w:rsidRDefault="008C2F02" w:rsidP="001E39EE">
            <w:pPr>
              <w:jc w:val="right"/>
              <w:rPr>
                <w:sz w:val="20"/>
                <w:szCs w:val="20"/>
                <w:lang w:val="fr-CA" w:eastAsia="en-CA"/>
              </w:rPr>
            </w:pPr>
            <w:r w:rsidRPr="00071529">
              <w:rPr>
                <w:sz w:val="20"/>
                <w:szCs w:val="20"/>
                <w:lang w:val="fr-CA" w:eastAsia="en-CA"/>
              </w:rPr>
              <w:t>1</w:t>
            </w:r>
            <w:r>
              <w:rPr>
                <w:sz w:val="20"/>
                <w:szCs w:val="20"/>
                <w:lang w:val="fr-CA" w:eastAsia="en-CA"/>
              </w:rPr>
              <w:t xml:space="preserve"> </w:t>
            </w:r>
            <w:r w:rsidRPr="00071529">
              <w:rPr>
                <w:sz w:val="20"/>
                <w:szCs w:val="20"/>
                <w:lang w:val="fr-CA" w:eastAsia="en-CA"/>
              </w:rPr>
              <w:t>637</w:t>
            </w:r>
            <w:r>
              <w:rPr>
                <w:sz w:val="20"/>
                <w:szCs w:val="20"/>
                <w:lang w:val="fr-CA" w:eastAsia="en-CA"/>
              </w:rPr>
              <w:t xml:space="preserve"> </w:t>
            </w:r>
            <w:r w:rsidRPr="00071529">
              <w:rPr>
                <w:sz w:val="20"/>
                <w:szCs w:val="20"/>
                <w:lang w:val="fr-CA" w:eastAsia="en-CA"/>
              </w:rPr>
              <w:t>610</w:t>
            </w:r>
          </w:p>
        </w:tc>
        <w:tc>
          <w:tcPr>
            <w:tcW w:w="1260" w:type="dxa"/>
            <w:tcBorders>
              <w:top w:val="nil"/>
              <w:left w:val="nil"/>
              <w:bottom w:val="single" w:sz="4" w:space="0" w:color="auto"/>
              <w:right w:val="single" w:sz="4" w:space="0" w:color="auto"/>
            </w:tcBorders>
            <w:shd w:val="clear" w:color="auto" w:fill="auto"/>
            <w:noWrap/>
            <w:hideMark/>
          </w:tcPr>
          <w:p w14:paraId="04C85A92"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70E16F2"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A212ADB" w14:textId="77777777" w:rsidR="008C2F02" w:rsidRPr="00071529" w:rsidRDefault="008C2F02" w:rsidP="001E39EE">
            <w:pPr>
              <w:jc w:val="left"/>
              <w:rPr>
                <w:sz w:val="20"/>
                <w:szCs w:val="20"/>
                <w:lang w:val="fr-CA" w:eastAsia="en-CA"/>
              </w:rPr>
            </w:pPr>
            <w:r w:rsidRPr="00071529">
              <w:rPr>
                <w:sz w:val="20"/>
                <w:szCs w:val="20"/>
                <w:lang w:val="fr-CA" w:eastAsia="en-CA"/>
              </w:rPr>
              <w:t>Kenya</w:t>
            </w:r>
          </w:p>
        </w:tc>
        <w:tc>
          <w:tcPr>
            <w:tcW w:w="854" w:type="dxa"/>
            <w:tcBorders>
              <w:top w:val="nil"/>
              <w:left w:val="nil"/>
              <w:bottom w:val="single" w:sz="4" w:space="0" w:color="auto"/>
              <w:right w:val="single" w:sz="4" w:space="0" w:color="auto"/>
            </w:tcBorders>
            <w:shd w:val="clear" w:color="auto" w:fill="auto"/>
            <w:noWrap/>
            <w:hideMark/>
          </w:tcPr>
          <w:p w14:paraId="15760740"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C00E71B"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79AEF43C"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47DCA4B2"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6A7271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59382D0"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FE6A527"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292E9ED" w14:textId="77777777" w:rsidR="008C2F02" w:rsidRPr="00F029E2" w:rsidRDefault="008C2F02" w:rsidP="001E39EE">
            <w:pPr>
              <w:jc w:val="left"/>
              <w:rPr>
                <w:sz w:val="20"/>
                <w:szCs w:val="20"/>
                <w:lang w:val="fr-CA" w:eastAsia="en-CA"/>
              </w:rPr>
            </w:pPr>
            <w:r w:rsidRPr="00F029E2">
              <w:rPr>
                <w:sz w:val="20"/>
                <w:szCs w:val="20"/>
                <w:lang w:val="fr-CA" w:eastAsia="en-CA"/>
              </w:rPr>
              <w:t>Kirghizistan</w:t>
            </w:r>
          </w:p>
        </w:tc>
        <w:tc>
          <w:tcPr>
            <w:tcW w:w="854" w:type="dxa"/>
            <w:tcBorders>
              <w:top w:val="nil"/>
              <w:left w:val="nil"/>
              <w:bottom w:val="single" w:sz="4" w:space="0" w:color="auto"/>
              <w:right w:val="single" w:sz="4" w:space="0" w:color="auto"/>
            </w:tcBorders>
            <w:shd w:val="clear" w:color="auto" w:fill="auto"/>
            <w:noWrap/>
            <w:hideMark/>
          </w:tcPr>
          <w:p w14:paraId="192502CA"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BE8C31E"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B923787"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636929E1"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478960C"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121271F"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204C052"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E5AC1A7" w14:textId="77777777" w:rsidR="008C2F02" w:rsidRPr="00071529" w:rsidRDefault="008C2F02" w:rsidP="001E39EE">
            <w:pPr>
              <w:jc w:val="left"/>
              <w:rPr>
                <w:sz w:val="20"/>
                <w:szCs w:val="20"/>
                <w:lang w:val="fr-CA" w:eastAsia="en-CA"/>
              </w:rPr>
            </w:pPr>
            <w:r w:rsidRPr="00071529">
              <w:rPr>
                <w:sz w:val="20"/>
                <w:szCs w:val="20"/>
                <w:lang w:val="fr-CA" w:eastAsia="en-CA"/>
              </w:rPr>
              <w:t>Kiribati</w:t>
            </w:r>
          </w:p>
        </w:tc>
        <w:tc>
          <w:tcPr>
            <w:tcW w:w="854" w:type="dxa"/>
            <w:tcBorders>
              <w:top w:val="nil"/>
              <w:left w:val="nil"/>
              <w:bottom w:val="single" w:sz="4" w:space="0" w:color="auto"/>
              <w:right w:val="single" w:sz="4" w:space="0" w:color="auto"/>
            </w:tcBorders>
            <w:shd w:val="clear" w:color="auto" w:fill="auto"/>
            <w:noWrap/>
            <w:hideMark/>
          </w:tcPr>
          <w:p w14:paraId="6AC40080"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C5430B9"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44DE1D92"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18214754"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FBA1A76"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195FC81"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8576276"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B52F35C" w14:textId="77777777" w:rsidR="008C2F02" w:rsidRPr="00F029E2" w:rsidRDefault="008C2F02" w:rsidP="001E39EE">
            <w:pPr>
              <w:jc w:val="left"/>
              <w:rPr>
                <w:sz w:val="20"/>
                <w:szCs w:val="20"/>
                <w:lang w:val="fr-CA" w:eastAsia="en-CA"/>
              </w:rPr>
            </w:pPr>
            <w:r w:rsidRPr="00F029E2">
              <w:rPr>
                <w:sz w:val="20"/>
                <w:szCs w:val="20"/>
                <w:lang w:val="fr-CA" w:eastAsia="en-CA"/>
              </w:rPr>
              <w:t>Koweït</w:t>
            </w:r>
          </w:p>
        </w:tc>
        <w:tc>
          <w:tcPr>
            <w:tcW w:w="854" w:type="dxa"/>
            <w:tcBorders>
              <w:top w:val="nil"/>
              <w:left w:val="nil"/>
              <w:bottom w:val="single" w:sz="4" w:space="0" w:color="auto"/>
              <w:right w:val="single" w:sz="4" w:space="0" w:color="auto"/>
            </w:tcBorders>
            <w:shd w:val="clear" w:color="auto" w:fill="auto"/>
            <w:noWrap/>
            <w:hideMark/>
          </w:tcPr>
          <w:p w14:paraId="684F0E00" w14:textId="77777777" w:rsidR="008C2F02" w:rsidRPr="00071529" w:rsidRDefault="008C2F02" w:rsidP="001E39EE">
            <w:pPr>
              <w:jc w:val="center"/>
              <w:rPr>
                <w:sz w:val="20"/>
                <w:szCs w:val="20"/>
                <w:lang w:val="fr-CA" w:eastAsia="en-CA"/>
              </w:rPr>
            </w:pPr>
            <w:r w:rsidRPr="00071529">
              <w:rPr>
                <w:sz w:val="20"/>
                <w:szCs w:val="20"/>
                <w:lang w:val="fr-CA" w:eastAsia="en-CA"/>
              </w:rPr>
              <w:t>2</w:t>
            </w:r>
          </w:p>
        </w:tc>
        <w:tc>
          <w:tcPr>
            <w:tcW w:w="1396" w:type="dxa"/>
            <w:tcBorders>
              <w:top w:val="nil"/>
              <w:left w:val="nil"/>
              <w:bottom w:val="single" w:sz="4" w:space="0" w:color="auto"/>
              <w:right w:val="single" w:sz="4" w:space="0" w:color="auto"/>
            </w:tcBorders>
            <w:shd w:val="clear" w:color="auto" w:fill="auto"/>
            <w:noWrap/>
            <w:hideMark/>
          </w:tcPr>
          <w:p w14:paraId="3BD90053"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0EEE4054"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652697A0"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493CF69"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588B368"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4464AF49"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B694638" w14:textId="77777777" w:rsidR="008C2F02" w:rsidRPr="00F029E2" w:rsidRDefault="008C2F02" w:rsidP="001E39EE">
            <w:pPr>
              <w:jc w:val="left"/>
              <w:rPr>
                <w:sz w:val="20"/>
                <w:szCs w:val="20"/>
                <w:lang w:val="fr-CA" w:eastAsia="en-CA"/>
              </w:rPr>
            </w:pPr>
            <w:r w:rsidRPr="00F029E2">
              <w:rPr>
                <w:sz w:val="20"/>
                <w:szCs w:val="20"/>
                <w:lang w:val="fr-CA" w:eastAsia="en-CA"/>
              </w:rPr>
              <w:t>Lesotho</w:t>
            </w:r>
          </w:p>
        </w:tc>
        <w:tc>
          <w:tcPr>
            <w:tcW w:w="854" w:type="dxa"/>
            <w:tcBorders>
              <w:top w:val="nil"/>
              <w:left w:val="nil"/>
              <w:bottom w:val="single" w:sz="4" w:space="0" w:color="auto"/>
              <w:right w:val="single" w:sz="4" w:space="0" w:color="auto"/>
            </w:tcBorders>
            <w:shd w:val="clear" w:color="auto" w:fill="auto"/>
            <w:noWrap/>
            <w:hideMark/>
          </w:tcPr>
          <w:p w14:paraId="10B7CE21"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66B7E29"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14D3D140"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1D0F3C86"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C91A3F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A4C18E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B6A497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A55B09" w14:textId="77777777" w:rsidR="008C2F02" w:rsidRPr="00F029E2" w:rsidRDefault="008C2F02" w:rsidP="001E39EE">
            <w:pPr>
              <w:jc w:val="left"/>
              <w:rPr>
                <w:sz w:val="20"/>
                <w:szCs w:val="20"/>
                <w:lang w:val="fr-CA" w:eastAsia="en-CA"/>
              </w:rPr>
            </w:pPr>
            <w:r w:rsidRPr="00F029E2">
              <w:rPr>
                <w:sz w:val="20"/>
                <w:szCs w:val="20"/>
                <w:lang w:val="fr-CA" w:eastAsia="en-CA"/>
              </w:rPr>
              <w:t>Liban</w:t>
            </w:r>
          </w:p>
        </w:tc>
        <w:tc>
          <w:tcPr>
            <w:tcW w:w="854" w:type="dxa"/>
            <w:tcBorders>
              <w:top w:val="nil"/>
              <w:left w:val="nil"/>
              <w:bottom w:val="single" w:sz="4" w:space="0" w:color="auto"/>
              <w:right w:val="single" w:sz="4" w:space="0" w:color="auto"/>
            </w:tcBorders>
            <w:shd w:val="clear" w:color="auto" w:fill="auto"/>
            <w:noWrap/>
            <w:hideMark/>
          </w:tcPr>
          <w:p w14:paraId="13A2481B"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3B4F37F"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5FEE381C"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50EB765E"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428D913" w14:textId="77777777" w:rsidR="008C2F02" w:rsidRPr="00071529" w:rsidRDefault="008C2F02" w:rsidP="001E39EE">
            <w:pPr>
              <w:jc w:val="right"/>
              <w:rPr>
                <w:sz w:val="20"/>
                <w:szCs w:val="20"/>
                <w:lang w:val="fr-CA" w:eastAsia="en-CA"/>
              </w:rPr>
            </w:pPr>
            <w:r w:rsidRPr="00071529">
              <w:rPr>
                <w:sz w:val="20"/>
                <w:szCs w:val="20"/>
                <w:lang w:val="fr-CA" w:eastAsia="en-CA"/>
              </w:rPr>
              <w:t>1</w:t>
            </w:r>
            <w:r>
              <w:rPr>
                <w:sz w:val="20"/>
                <w:szCs w:val="20"/>
                <w:lang w:val="fr-CA" w:eastAsia="en-CA"/>
              </w:rPr>
              <w:t xml:space="preserve"> </w:t>
            </w:r>
            <w:r w:rsidRPr="00071529">
              <w:rPr>
                <w:sz w:val="20"/>
                <w:szCs w:val="20"/>
                <w:lang w:val="fr-CA" w:eastAsia="en-CA"/>
              </w:rPr>
              <w:t>053</w:t>
            </w:r>
            <w:r>
              <w:rPr>
                <w:sz w:val="20"/>
                <w:szCs w:val="20"/>
                <w:lang w:val="fr-CA" w:eastAsia="en-CA"/>
              </w:rPr>
              <w:t xml:space="preserve"> </w:t>
            </w:r>
            <w:r w:rsidRPr="00071529">
              <w:rPr>
                <w:sz w:val="20"/>
                <w:szCs w:val="20"/>
                <w:lang w:val="fr-CA" w:eastAsia="en-CA"/>
              </w:rPr>
              <w:t>858</w:t>
            </w:r>
          </w:p>
        </w:tc>
        <w:tc>
          <w:tcPr>
            <w:tcW w:w="1260" w:type="dxa"/>
            <w:tcBorders>
              <w:top w:val="nil"/>
              <w:left w:val="nil"/>
              <w:bottom w:val="single" w:sz="4" w:space="0" w:color="auto"/>
              <w:right w:val="single" w:sz="4" w:space="0" w:color="auto"/>
            </w:tcBorders>
            <w:shd w:val="clear" w:color="auto" w:fill="auto"/>
            <w:noWrap/>
            <w:hideMark/>
          </w:tcPr>
          <w:p w14:paraId="5E1CA171" w14:textId="77777777" w:rsidR="008C2F02" w:rsidRPr="00071529" w:rsidRDefault="008C2F02" w:rsidP="001E39EE">
            <w:pPr>
              <w:jc w:val="right"/>
              <w:rPr>
                <w:sz w:val="20"/>
                <w:szCs w:val="20"/>
                <w:lang w:val="fr-CA" w:eastAsia="en-CA"/>
              </w:rPr>
            </w:pPr>
            <w:r w:rsidRPr="00071529">
              <w:rPr>
                <w:sz w:val="20"/>
                <w:szCs w:val="20"/>
                <w:lang w:val="fr-CA" w:eastAsia="en-CA"/>
              </w:rPr>
              <w:t>30</w:t>
            </w:r>
            <w:r>
              <w:rPr>
                <w:sz w:val="20"/>
                <w:szCs w:val="20"/>
                <w:lang w:val="fr-CA" w:eastAsia="en-CA"/>
              </w:rPr>
              <w:t xml:space="preserve"> </w:t>
            </w:r>
            <w:r w:rsidRPr="00071529">
              <w:rPr>
                <w:sz w:val="20"/>
                <w:szCs w:val="20"/>
                <w:lang w:val="fr-CA" w:eastAsia="en-CA"/>
              </w:rPr>
              <w:t>000</w:t>
            </w:r>
          </w:p>
        </w:tc>
      </w:tr>
      <w:tr w:rsidR="008C2F02" w:rsidRPr="00071529" w14:paraId="458F2B66"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792074C" w14:textId="77777777" w:rsidR="008C2F02" w:rsidRPr="00F029E2" w:rsidRDefault="008C2F02" w:rsidP="001E39EE">
            <w:pPr>
              <w:jc w:val="left"/>
              <w:rPr>
                <w:sz w:val="20"/>
                <w:szCs w:val="20"/>
                <w:lang w:val="fr-CA" w:eastAsia="en-CA"/>
              </w:rPr>
            </w:pPr>
            <w:r w:rsidRPr="00F029E2">
              <w:rPr>
                <w:sz w:val="20"/>
                <w:szCs w:val="20"/>
                <w:lang w:val="fr-CA" w:eastAsia="en-CA"/>
              </w:rPr>
              <w:t>Libéria</w:t>
            </w:r>
          </w:p>
        </w:tc>
        <w:tc>
          <w:tcPr>
            <w:tcW w:w="854" w:type="dxa"/>
            <w:tcBorders>
              <w:top w:val="nil"/>
              <w:left w:val="nil"/>
              <w:bottom w:val="single" w:sz="4" w:space="0" w:color="auto"/>
              <w:right w:val="single" w:sz="4" w:space="0" w:color="auto"/>
            </w:tcBorders>
            <w:shd w:val="clear" w:color="auto" w:fill="auto"/>
            <w:noWrap/>
            <w:hideMark/>
          </w:tcPr>
          <w:p w14:paraId="082E9BA5"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F15C2C8"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0DE7B8E"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7236A4AA"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355802CC"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C7026DA"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867BA09"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080B65B" w14:textId="77777777" w:rsidR="008C2F02" w:rsidRPr="00F029E2" w:rsidRDefault="008C2F02" w:rsidP="00A7143C">
            <w:pPr>
              <w:jc w:val="left"/>
              <w:rPr>
                <w:sz w:val="20"/>
                <w:szCs w:val="20"/>
                <w:lang w:val="fr-CA" w:eastAsia="en-CA"/>
              </w:rPr>
            </w:pPr>
            <w:r w:rsidRPr="00F029E2">
              <w:rPr>
                <w:sz w:val="20"/>
                <w:szCs w:val="20"/>
                <w:lang w:val="fr-CA" w:eastAsia="en-CA"/>
              </w:rPr>
              <w:t>Libye</w:t>
            </w:r>
          </w:p>
        </w:tc>
        <w:tc>
          <w:tcPr>
            <w:tcW w:w="854" w:type="dxa"/>
            <w:tcBorders>
              <w:top w:val="nil"/>
              <w:left w:val="nil"/>
              <w:bottom w:val="single" w:sz="4" w:space="0" w:color="auto"/>
              <w:right w:val="single" w:sz="4" w:space="0" w:color="auto"/>
            </w:tcBorders>
            <w:shd w:val="clear" w:color="auto" w:fill="auto"/>
            <w:noWrap/>
            <w:hideMark/>
          </w:tcPr>
          <w:p w14:paraId="04E093C9"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6922783"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2002ADD9"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21D42ED5"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415626A"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36D6FD3"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4F44E7C6"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E58B093" w14:textId="77777777" w:rsidR="008C2F02" w:rsidRPr="00071529" w:rsidRDefault="008C2F02" w:rsidP="001E39EE">
            <w:pPr>
              <w:jc w:val="left"/>
              <w:rPr>
                <w:sz w:val="20"/>
                <w:szCs w:val="20"/>
                <w:lang w:val="fr-CA" w:eastAsia="en-CA"/>
              </w:rPr>
            </w:pPr>
            <w:r>
              <w:rPr>
                <w:sz w:val="20"/>
                <w:szCs w:val="20"/>
                <w:lang w:val="fr-CA" w:eastAsia="en-CA"/>
              </w:rPr>
              <w:t>Macédoine du Nord</w:t>
            </w:r>
          </w:p>
        </w:tc>
        <w:tc>
          <w:tcPr>
            <w:tcW w:w="854" w:type="dxa"/>
            <w:tcBorders>
              <w:top w:val="nil"/>
              <w:left w:val="nil"/>
              <w:bottom w:val="single" w:sz="4" w:space="0" w:color="auto"/>
              <w:right w:val="single" w:sz="4" w:space="0" w:color="auto"/>
            </w:tcBorders>
            <w:shd w:val="clear" w:color="auto" w:fill="auto"/>
            <w:noWrap/>
            <w:hideMark/>
          </w:tcPr>
          <w:p w14:paraId="2B7AF848"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793A5D1"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64D1D96"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3774FB74"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DDF6390"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DFB5DA9"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8FF012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17C666E" w14:textId="77777777" w:rsidR="008C2F02" w:rsidRPr="00F029E2" w:rsidRDefault="008C2F02" w:rsidP="001E39EE">
            <w:pPr>
              <w:jc w:val="left"/>
              <w:rPr>
                <w:sz w:val="20"/>
                <w:szCs w:val="20"/>
                <w:lang w:val="fr-CA" w:eastAsia="en-CA"/>
              </w:rPr>
            </w:pPr>
            <w:r w:rsidRPr="00F029E2">
              <w:rPr>
                <w:sz w:val="20"/>
                <w:szCs w:val="20"/>
                <w:lang w:val="fr-CA" w:eastAsia="en-CA"/>
              </w:rPr>
              <w:t>Madagascar</w:t>
            </w:r>
          </w:p>
        </w:tc>
        <w:tc>
          <w:tcPr>
            <w:tcW w:w="854" w:type="dxa"/>
            <w:tcBorders>
              <w:top w:val="nil"/>
              <w:left w:val="nil"/>
              <w:bottom w:val="single" w:sz="4" w:space="0" w:color="auto"/>
              <w:right w:val="single" w:sz="4" w:space="0" w:color="auto"/>
            </w:tcBorders>
            <w:shd w:val="clear" w:color="auto" w:fill="auto"/>
            <w:noWrap/>
            <w:hideMark/>
          </w:tcPr>
          <w:p w14:paraId="3C725916"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9D073A4"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1CF11B78"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68B7899B"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426F64B"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5C3862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55C6CF7"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9DD0837" w14:textId="77777777" w:rsidR="008C2F02" w:rsidRPr="00071529" w:rsidRDefault="008C2F02" w:rsidP="00F029E2">
            <w:pPr>
              <w:jc w:val="left"/>
              <w:rPr>
                <w:sz w:val="20"/>
                <w:szCs w:val="20"/>
                <w:lang w:val="fr-CA" w:eastAsia="en-CA"/>
              </w:rPr>
            </w:pPr>
            <w:r w:rsidRPr="00071529">
              <w:rPr>
                <w:sz w:val="20"/>
                <w:szCs w:val="20"/>
                <w:lang w:val="fr-CA" w:eastAsia="en-CA"/>
              </w:rPr>
              <w:t>Mala</w:t>
            </w:r>
            <w:r>
              <w:rPr>
                <w:sz w:val="20"/>
                <w:szCs w:val="20"/>
                <w:lang w:val="fr-CA" w:eastAsia="en-CA"/>
              </w:rPr>
              <w:t>isie</w:t>
            </w:r>
          </w:p>
        </w:tc>
        <w:tc>
          <w:tcPr>
            <w:tcW w:w="854" w:type="dxa"/>
            <w:tcBorders>
              <w:top w:val="nil"/>
              <w:left w:val="nil"/>
              <w:bottom w:val="single" w:sz="4" w:space="0" w:color="auto"/>
              <w:right w:val="single" w:sz="4" w:space="0" w:color="auto"/>
            </w:tcBorders>
            <w:shd w:val="clear" w:color="auto" w:fill="auto"/>
            <w:noWrap/>
            <w:hideMark/>
          </w:tcPr>
          <w:p w14:paraId="5F912355"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E056FA9"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119982EF"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4940CAD0"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5B16C0C"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28AE413"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1532AD4"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5CD252E" w14:textId="77777777" w:rsidR="008C2F02" w:rsidRPr="00F029E2" w:rsidRDefault="008C2F02" w:rsidP="001E39EE">
            <w:pPr>
              <w:jc w:val="left"/>
              <w:rPr>
                <w:sz w:val="20"/>
                <w:szCs w:val="20"/>
                <w:lang w:val="fr-CA" w:eastAsia="en-CA"/>
              </w:rPr>
            </w:pPr>
            <w:r w:rsidRPr="00F029E2">
              <w:rPr>
                <w:sz w:val="20"/>
                <w:szCs w:val="20"/>
                <w:lang w:val="fr-CA" w:eastAsia="en-CA"/>
              </w:rPr>
              <w:t>Malawi</w:t>
            </w:r>
          </w:p>
        </w:tc>
        <w:tc>
          <w:tcPr>
            <w:tcW w:w="854" w:type="dxa"/>
            <w:tcBorders>
              <w:top w:val="nil"/>
              <w:left w:val="nil"/>
              <w:bottom w:val="single" w:sz="4" w:space="0" w:color="auto"/>
              <w:right w:val="single" w:sz="4" w:space="0" w:color="auto"/>
            </w:tcBorders>
            <w:shd w:val="clear" w:color="auto" w:fill="auto"/>
            <w:noWrap/>
            <w:hideMark/>
          </w:tcPr>
          <w:p w14:paraId="5A1853D0"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254475F"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26430E89"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75915D88"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4BE1A59"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C05B08E"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50B191A"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E9EC894" w14:textId="77777777" w:rsidR="008C2F02" w:rsidRPr="00071529" w:rsidRDefault="008C2F02" w:rsidP="001E39EE">
            <w:pPr>
              <w:jc w:val="left"/>
              <w:rPr>
                <w:sz w:val="20"/>
                <w:szCs w:val="20"/>
                <w:lang w:val="fr-CA" w:eastAsia="en-CA"/>
              </w:rPr>
            </w:pPr>
            <w:r w:rsidRPr="00071529">
              <w:rPr>
                <w:sz w:val="20"/>
                <w:szCs w:val="20"/>
                <w:lang w:val="fr-CA" w:eastAsia="en-CA"/>
              </w:rPr>
              <w:t>Maldives</w:t>
            </w:r>
          </w:p>
        </w:tc>
        <w:tc>
          <w:tcPr>
            <w:tcW w:w="854" w:type="dxa"/>
            <w:tcBorders>
              <w:top w:val="nil"/>
              <w:left w:val="nil"/>
              <w:bottom w:val="single" w:sz="4" w:space="0" w:color="auto"/>
              <w:right w:val="single" w:sz="4" w:space="0" w:color="auto"/>
            </w:tcBorders>
            <w:shd w:val="clear" w:color="auto" w:fill="auto"/>
            <w:noWrap/>
            <w:hideMark/>
          </w:tcPr>
          <w:p w14:paraId="0C81AD23"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5DBC33F"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3ADE362F"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79D16AEF"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2004610"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F8CBBBE"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0706657"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5CED350" w14:textId="77777777" w:rsidR="008C2F02" w:rsidRPr="00071529" w:rsidRDefault="008C2F02" w:rsidP="001E39EE">
            <w:pPr>
              <w:jc w:val="left"/>
              <w:rPr>
                <w:sz w:val="20"/>
                <w:szCs w:val="20"/>
                <w:lang w:val="fr-CA" w:eastAsia="en-CA"/>
              </w:rPr>
            </w:pPr>
            <w:r w:rsidRPr="00071529">
              <w:rPr>
                <w:sz w:val="20"/>
                <w:szCs w:val="20"/>
                <w:lang w:val="fr-CA" w:eastAsia="en-CA"/>
              </w:rPr>
              <w:t>Mali</w:t>
            </w:r>
          </w:p>
        </w:tc>
        <w:tc>
          <w:tcPr>
            <w:tcW w:w="854" w:type="dxa"/>
            <w:tcBorders>
              <w:top w:val="nil"/>
              <w:left w:val="nil"/>
              <w:bottom w:val="single" w:sz="4" w:space="0" w:color="auto"/>
              <w:right w:val="single" w:sz="4" w:space="0" w:color="auto"/>
            </w:tcBorders>
            <w:shd w:val="clear" w:color="auto" w:fill="auto"/>
            <w:noWrap/>
            <w:hideMark/>
          </w:tcPr>
          <w:p w14:paraId="5A8D67DF"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DD6BE9C"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325B5664"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750E0D92"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372B92AD"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DA6BB69"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833E399"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312DE1E" w14:textId="77777777" w:rsidR="008C2F02" w:rsidRPr="00071529" w:rsidRDefault="008C2F02" w:rsidP="001E39EE">
            <w:pPr>
              <w:jc w:val="left"/>
              <w:rPr>
                <w:sz w:val="20"/>
                <w:szCs w:val="20"/>
                <w:lang w:val="fr-CA" w:eastAsia="en-CA"/>
              </w:rPr>
            </w:pPr>
            <w:r>
              <w:rPr>
                <w:sz w:val="20"/>
                <w:szCs w:val="20"/>
                <w:lang w:val="fr-CA" w:eastAsia="en-CA"/>
              </w:rPr>
              <w:t>Maroc</w:t>
            </w:r>
          </w:p>
        </w:tc>
        <w:tc>
          <w:tcPr>
            <w:tcW w:w="854" w:type="dxa"/>
            <w:tcBorders>
              <w:top w:val="nil"/>
              <w:left w:val="nil"/>
              <w:bottom w:val="single" w:sz="4" w:space="0" w:color="auto"/>
              <w:right w:val="single" w:sz="4" w:space="0" w:color="auto"/>
            </w:tcBorders>
            <w:shd w:val="clear" w:color="auto" w:fill="auto"/>
            <w:noWrap/>
            <w:hideMark/>
          </w:tcPr>
          <w:p w14:paraId="55DFD573"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70C9198"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083A2E84"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3B173D91"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5A1C5B0"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A299488"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B2D0B74"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9AF3548" w14:textId="77777777" w:rsidR="008C2F02" w:rsidRPr="00071529" w:rsidRDefault="008C2F02" w:rsidP="001E39EE">
            <w:pPr>
              <w:jc w:val="left"/>
              <w:rPr>
                <w:sz w:val="20"/>
                <w:szCs w:val="20"/>
                <w:lang w:val="fr-CA" w:eastAsia="en-CA"/>
              </w:rPr>
            </w:pPr>
            <w:r>
              <w:rPr>
                <w:sz w:val="20"/>
                <w:szCs w:val="20"/>
                <w:lang w:val="fr-CA" w:eastAsia="en-CA"/>
              </w:rPr>
              <w:t>Maurice</w:t>
            </w:r>
          </w:p>
        </w:tc>
        <w:tc>
          <w:tcPr>
            <w:tcW w:w="854" w:type="dxa"/>
            <w:tcBorders>
              <w:top w:val="nil"/>
              <w:left w:val="nil"/>
              <w:bottom w:val="single" w:sz="4" w:space="0" w:color="auto"/>
              <w:right w:val="single" w:sz="4" w:space="0" w:color="auto"/>
            </w:tcBorders>
            <w:shd w:val="clear" w:color="auto" w:fill="auto"/>
            <w:noWrap/>
            <w:hideMark/>
          </w:tcPr>
          <w:p w14:paraId="719BD6AE"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287D504"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30039B0C"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155FF5BA"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D62AD4D"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D9F1672"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876AC6B"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A1D1451" w14:textId="77777777" w:rsidR="008C2F02" w:rsidRPr="00071529" w:rsidRDefault="008C2F02" w:rsidP="001E39EE">
            <w:pPr>
              <w:jc w:val="left"/>
              <w:rPr>
                <w:sz w:val="20"/>
                <w:szCs w:val="20"/>
                <w:lang w:val="fr-CA" w:eastAsia="en-CA"/>
              </w:rPr>
            </w:pPr>
            <w:r>
              <w:rPr>
                <w:sz w:val="20"/>
                <w:szCs w:val="20"/>
                <w:lang w:val="fr-CA" w:eastAsia="en-CA"/>
              </w:rPr>
              <w:t>Mauritanie</w:t>
            </w:r>
          </w:p>
        </w:tc>
        <w:tc>
          <w:tcPr>
            <w:tcW w:w="854" w:type="dxa"/>
            <w:tcBorders>
              <w:top w:val="nil"/>
              <w:left w:val="nil"/>
              <w:bottom w:val="single" w:sz="4" w:space="0" w:color="auto"/>
              <w:right w:val="single" w:sz="4" w:space="0" w:color="auto"/>
            </w:tcBorders>
            <w:shd w:val="clear" w:color="auto" w:fill="auto"/>
            <w:noWrap/>
            <w:hideMark/>
          </w:tcPr>
          <w:p w14:paraId="28A14397"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DAABB5E"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29E2D1E0"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7D9A5836"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253707A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B2D6B35"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46B887F"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BC14861" w14:textId="77777777" w:rsidR="008C2F02" w:rsidRPr="00071529" w:rsidRDefault="008C2F02" w:rsidP="001E39EE">
            <w:pPr>
              <w:jc w:val="left"/>
              <w:rPr>
                <w:sz w:val="20"/>
                <w:szCs w:val="20"/>
                <w:lang w:val="fr-CA" w:eastAsia="en-CA"/>
              </w:rPr>
            </w:pPr>
            <w:r>
              <w:rPr>
                <w:sz w:val="20"/>
                <w:szCs w:val="20"/>
                <w:lang w:val="fr-CA" w:eastAsia="en-CA"/>
              </w:rPr>
              <w:t>Mexique</w:t>
            </w:r>
          </w:p>
        </w:tc>
        <w:tc>
          <w:tcPr>
            <w:tcW w:w="854" w:type="dxa"/>
            <w:tcBorders>
              <w:top w:val="nil"/>
              <w:left w:val="nil"/>
              <w:bottom w:val="single" w:sz="4" w:space="0" w:color="auto"/>
              <w:right w:val="single" w:sz="4" w:space="0" w:color="auto"/>
            </w:tcBorders>
            <w:shd w:val="clear" w:color="auto" w:fill="auto"/>
            <w:noWrap/>
            <w:hideMark/>
          </w:tcPr>
          <w:p w14:paraId="7102A453"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D67045C"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441EE8CE"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70D60731"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DDED344" w14:textId="77777777" w:rsidR="008C2F02" w:rsidRPr="00071529" w:rsidRDefault="008C2F02" w:rsidP="001E39EE">
            <w:pPr>
              <w:jc w:val="right"/>
              <w:rPr>
                <w:sz w:val="20"/>
                <w:szCs w:val="20"/>
                <w:lang w:val="fr-CA" w:eastAsia="en-CA"/>
              </w:rPr>
            </w:pPr>
            <w:r w:rsidRPr="00071529">
              <w:rPr>
                <w:sz w:val="20"/>
                <w:szCs w:val="20"/>
                <w:lang w:val="fr-CA" w:eastAsia="en-CA"/>
              </w:rPr>
              <w:t>4</w:t>
            </w:r>
            <w:r>
              <w:rPr>
                <w:sz w:val="20"/>
                <w:szCs w:val="20"/>
                <w:lang w:val="fr-CA" w:eastAsia="en-CA"/>
              </w:rPr>
              <w:t xml:space="preserve"> </w:t>
            </w:r>
            <w:r w:rsidRPr="00071529">
              <w:rPr>
                <w:sz w:val="20"/>
                <w:szCs w:val="20"/>
                <w:lang w:val="fr-CA" w:eastAsia="en-CA"/>
              </w:rPr>
              <w:t>201</w:t>
            </w:r>
            <w:r>
              <w:rPr>
                <w:sz w:val="20"/>
                <w:szCs w:val="20"/>
                <w:lang w:val="fr-CA" w:eastAsia="en-CA"/>
              </w:rPr>
              <w:t xml:space="preserve"> </w:t>
            </w:r>
            <w:r w:rsidRPr="00071529">
              <w:rPr>
                <w:sz w:val="20"/>
                <w:szCs w:val="20"/>
                <w:lang w:val="fr-CA" w:eastAsia="en-CA"/>
              </w:rPr>
              <w:t>181</w:t>
            </w:r>
          </w:p>
        </w:tc>
        <w:tc>
          <w:tcPr>
            <w:tcW w:w="1260" w:type="dxa"/>
            <w:tcBorders>
              <w:top w:val="nil"/>
              <w:left w:val="nil"/>
              <w:bottom w:val="single" w:sz="4" w:space="0" w:color="auto"/>
              <w:right w:val="single" w:sz="4" w:space="0" w:color="auto"/>
            </w:tcBorders>
            <w:shd w:val="clear" w:color="auto" w:fill="auto"/>
            <w:noWrap/>
            <w:hideMark/>
          </w:tcPr>
          <w:p w14:paraId="485BCA45" w14:textId="77777777" w:rsidR="008C2F02" w:rsidRPr="00071529" w:rsidRDefault="008C2F02" w:rsidP="001E39EE">
            <w:pPr>
              <w:jc w:val="right"/>
              <w:rPr>
                <w:sz w:val="20"/>
                <w:szCs w:val="20"/>
                <w:lang w:val="fr-CA" w:eastAsia="en-CA"/>
              </w:rPr>
            </w:pPr>
            <w:r w:rsidRPr="00071529">
              <w:rPr>
                <w:sz w:val="20"/>
                <w:szCs w:val="20"/>
                <w:lang w:val="fr-CA" w:eastAsia="en-CA"/>
              </w:rPr>
              <w:t>84</w:t>
            </w:r>
            <w:r>
              <w:rPr>
                <w:sz w:val="20"/>
                <w:szCs w:val="20"/>
                <w:lang w:val="fr-CA" w:eastAsia="en-CA"/>
              </w:rPr>
              <w:t xml:space="preserve"> </w:t>
            </w:r>
            <w:r w:rsidRPr="00071529">
              <w:rPr>
                <w:sz w:val="20"/>
                <w:szCs w:val="20"/>
                <w:lang w:val="fr-CA" w:eastAsia="en-CA"/>
              </w:rPr>
              <w:t>818</w:t>
            </w:r>
          </w:p>
        </w:tc>
      </w:tr>
      <w:tr w:rsidR="008C2F02" w:rsidRPr="00071529" w14:paraId="707DF9CC"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C6011EE" w14:textId="77777777" w:rsidR="008C2F02" w:rsidRPr="00071529" w:rsidRDefault="008C2F02" w:rsidP="001E39EE">
            <w:pPr>
              <w:jc w:val="left"/>
              <w:rPr>
                <w:sz w:val="20"/>
                <w:szCs w:val="20"/>
                <w:lang w:val="fr-CA" w:eastAsia="en-CA"/>
              </w:rPr>
            </w:pPr>
            <w:r>
              <w:rPr>
                <w:sz w:val="20"/>
                <w:szCs w:val="20"/>
                <w:lang w:val="fr-CA" w:eastAsia="en-CA"/>
              </w:rPr>
              <w:lastRenderedPageBreak/>
              <w:t>Micronésie (États fédérés de)</w:t>
            </w:r>
          </w:p>
        </w:tc>
        <w:tc>
          <w:tcPr>
            <w:tcW w:w="854" w:type="dxa"/>
            <w:tcBorders>
              <w:top w:val="nil"/>
              <w:left w:val="nil"/>
              <w:bottom w:val="single" w:sz="4" w:space="0" w:color="auto"/>
              <w:right w:val="single" w:sz="4" w:space="0" w:color="auto"/>
            </w:tcBorders>
            <w:shd w:val="clear" w:color="auto" w:fill="auto"/>
            <w:noWrap/>
            <w:hideMark/>
          </w:tcPr>
          <w:p w14:paraId="7C9CAE39"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1D4CDF3"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7BEDA5E3"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6701E1A9"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E3AF553"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6E23E54"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073C65C"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BE50CC8" w14:textId="77777777" w:rsidR="008C2F02" w:rsidRPr="00071529" w:rsidRDefault="008C2F02" w:rsidP="00F029E2">
            <w:pPr>
              <w:jc w:val="left"/>
              <w:rPr>
                <w:sz w:val="20"/>
                <w:szCs w:val="20"/>
                <w:lang w:val="fr-CA" w:eastAsia="en-CA"/>
              </w:rPr>
            </w:pPr>
            <w:r w:rsidRPr="00071529">
              <w:rPr>
                <w:sz w:val="20"/>
                <w:szCs w:val="20"/>
                <w:lang w:val="fr-CA" w:eastAsia="en-CA"/>
              </w:rPr>
              <w:t>Mongoli</w:t>
            </w:r>
            <w:r>
              <w:rPr>
                <w:sz w:val="20"/>
                <w:szCs w:val="20"/>
                <w:lang w:val="fr-CA" w:eastAsia="en-CA"/>
              </w:rPr>
              <w:t>e</w:t>
            </w:r>
          </w:p>
        </w:tc>
        <w:tc>
          <w:tcPr>
            <w:tcW w:w="854" w:type="dxa"/>
            <w:tcBorders>
              <w:top w:val="nil"/>
              <w:left w:val="nil"/>
              <w:bottom w:val="single" w:sz="4" w:space="0" w:color="auto"/>
              <w:right w:val="single" w:sz="4" w:space="0" w:color="auto"/>
            </w:tcBorders>
            <w:shd w:val="clear" w:color="auto" w:fill="auto"/>
            <w:noWrap/>
            <w:hideMark/>
          </w:tcPr>
          <w:p w14:paraId="0D28304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9D18CB4"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570FBEF7"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121DE0F3"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F4B8E3D"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09C8A56"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ACEA34E"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48D64FA" w14:textId="77777777" w:rsidR="008C2F02" w:rsidRPr="00071529" w:rsidRDefault="008C2F02" w:rsidP="001E39EE">
            <w:pPr>
              <w:jc w:val="left"/>
              <w:rPr>
                <w:sz w:val="20"/>
                <w:szCs w:val="20"/>
                <w:lang w:val="fr-CA" w:eastAsia="en-CA"/>
              </w:rPr>
            </w:pPr>
            <w:r>
              <w:rPr>
                <w:sz w:val="20"/>
                <w:szCs w:val="20"/>
                <w:lang w:val="fr-CA" w:eastAsia="en-CA"/>
              </w:rPr>
              <w:t>Monténég</w:t>
            </w:r>
            <w:r w:rsidRPr="00071529">
              <w:rPr>
                <w:sz w:val="20"/>
                <w:szCs w:val="20"/>
                <w:lang w:val="fr-CA" w:eastAsia="en-CA"/>
              </w:rPr>
              <w:t>ro</w:t>
            </w:r>
          </w:p>
        </w:tc>
        <w:tc>
          <w:tcPr>
            <w:tcW w:w="854" w:type="dxa"/>
            <w:tcBorders>
              <w:top w:val="nil"/>
              <w:left w:val="nil"/>
              <w:bottom w:val="single" w:sz="4" w:space="0" w:color="auto"/>
              <w:right w:val="single" w:sz="4" w:space="0" w:color="auto"/>
            </w:tcBorders>
            <w:shd w:val="clear" w:color="auto" w:fill="auto"/>
            <w:noWrap/>
            <w:hideMark/>
          </w:tcPr>
          <w:p w14:paraId="6F67B571"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8A8A7B5"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7936CE1A"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468DA552" w14:textId="77777777" w:rsidR="008C2F02" w:rsidRPr="00071529" w:rsidRDefault="008C2F02" w:rsidP="001E39EE">
            <w:pPr>
              <w:jc w:val="right"/>
              <w:rPr>
                <w:sz w:val="20"/>
                <w:szCs w:val="20"/>
                <w:lang w:val="fr-CA" w:eastAsia="en-CA"/>
              </w:rPr>
            </w:pPr>
            <w:r w:rsidRPr="00071529">
              <w:rPr>
                <w:sz w:val="20"/>
                <w:szCs w:val="20"/>
                <w:lang w:val="fr-CA" w:eastAsia="en-CA"/>
              </w:rPr>
              <w:t>49</w:t>
            </w:r>
            <w:r>
              <w:rPr>
                <w:sz w:val="20"/>
                <w:szCs w:val="20"/>
                <w:lang w:val="fr-CA" w:eastAsia="en-CA"/>
              </w:rPr>
              <w:t xml:space="preserve"> </w:t>
            </w:r>
            <w:r w:rsidRPr="00071529">
              <w:rPr>
                <w:sz w:val="20"/>
                <w:szCs w:val="20"/>
                <w:lang w:val="fr-CA" w:eastAsia="en-CA"/>
              </w:rPr>
              <w:t>973</w:t>
            </w:r>
          </w:p>
        </w:tc>
        <w:tc>
          <w:tcPr>
            <w:tcW w:w="1189" w:type="dxa"/>
            <w:tcBorders>
              <w:top w:val="nil"/>
              <w:left w:val="nil"/>
              <w:bottom w:val="single" w:sz="4" w:space="0" w:color="auto"/>
              <w:right w:val="single" w:sz="4" w:space="0" w:color="auto"/>
            </w:tcBorders>
            <w:shd w:val="clear" w:color="auto" w:fill="auto"/>
            <w:noWrap/>
            <w:hideMark/>
          </w:tcPr>
          <w:p w14:paraId="430C079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F8C0CAA"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F53E563"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45BE776" w14:textId="77777777" w:rsidR="008C2F02" w:rsidRPr="00071529" w:rsidRDefault="008C2F02" w:rsidP="001E39EE">
            <w:pPr>
              <w:jc w:val="left"/>
              <w:rPr>
                <w:sz w:val="20"/>
                <w:szCs w:val="20"/>
                <w:lang w:val="fr-CA" w:eastAsia="en-CA"/>
              </w:rPr>
            </w:pPr>
            <w:r w:rsidRPr="00071529">
              <w:rPr>
                <w:sz w:val="20"/>
                <w:szCs w:val="20"/>
                <w:lang w:val="fr-CA" w:eastAsia="en-CA"/>
              </w:rPr>
              <w:t>Mozambique</w:t>
            </w:r>
          </w:p>
        </w:tc>
        <w:tc>
          <w:tcPr>
            <w:tcW w:w="854" w:type="dxa"/>
            <w:tcBorders>
              <w:top w:val="nil"/>
              <w:left w:val="nil"/>
              <w:bottom w:val="single" w:sz="4" w:space="0" w:color="auto"/>
              <w:right w:val="single" w:sz="4" w:space="0" w:color="auto"/>
            </w:tcBorders>
            <w:shd w:val="clear" w:color="auto" w:fill="auto"/>
            <w:noWrap/>
            <w:hideMark/>
          </w:tcPr>
          <w:p w14:paraId="34CB8B16"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FA39013"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40DB14E0"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2FBCA57A"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324F376"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B9CF445"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355A323"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93FD93" w14:textId="77777777" w:rsidR="008C2F02" w:rsidRPr="00071529" w:rsidRDefault="008C2F02" w:rsidP="001E39EE">
            <w:pPr>
              <w:jc w:val="left"/>
              <w:rPr>
                <w:sz w:val="20"/>
                <w:szCs w:val="20"/>
                <w:lang w:val="fr-CA" w:eastAsia="en-CA"/>
              </w:rPr>
            </w:pPr>
            <w:r w:rsidRPr="00071529">
              <w:rPr>
                <w:sz w:val="20"/>
                <w:szCs w:val="20"/>
                <w:lang w:val="fr-CA" w:eastAsia="en-CA"/>
              </w:rPr>
              <w:t>Myanmar</w:t>
            </w:r>
          </w:p>
        </w:tc>
        <w:tc>
          <w:tcPr>
            <w:tcW w:w="854" w:type="dxa"/>
            <w:tcBorders>
              <w:top w:val="nil"/>
              <w:left w:val="nil"/>
              <w:bottom w:val="single" w:sz="4" w:space="0" w:color="auto"/>
              <w:right w:val="single" w:sz="4" w:space="0" w:color="auto"/>
            </w:tcBorders>
            <w:shd w:val="clear" w:color="auto" w:fill="auto"/>
            <w:noWrap/>
            <w:hideMark/>
          </w:tcPr>
          <w:p w14:paraId="5873DEE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03BDA80"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433A4760"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2DD116DA"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9666F0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9BE4478"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5FA19BC"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7602CC9" w14:textId="77777777" w:rsidR="008C2F02" w:rsidRPr="00071529" w:rsidRDefault="008C2F02" w:rsidP="00F029E2">
            <w:pPr>
              <w:jc w:val="left"/>
              <w:rPr>
                <w:sz w:val="20"/>
                <w:szCs w:val="20"/>
                <w:lang w:val="fr-CA" w:eastAsia="en-CA"/>
              </w:rPr>
            </w:pPr>
            <w:r w:rsidRPr="00071529">
              <w:rPr>
                <w:sz w:val="20"/>
                <w:szCs w:val="20"/>
                <w:lang w:val="fr-CA" w:eastAsia="en-CA"/>
              </w:rPr>
              <w:t>Namibi</w:t>
            </w:r>
            <w:r>
              <w:rPr>
                <w:sz w:val="20"/>
                <w:szCs w:val="20"/>
                <w:lang w:val="fr-CA" w:eastAsia="en-CA"/>
              </w:rPr>
              <w:t>e</w:t>
            </w:r>
          </w:p>
        </w:tc>
        <w:tc>
          <w:tcPr>
            <w:tcW w:w="854" w:type="dxa"/>
            <w:tcBorders>
              <w:top w:val="nil"/>
              <w:left w:val="nil"/>
              <w:bottom w:val="single" w:sz="4" w:space="0" w:color="auto"/>
              <w:right w:val="single" w:sz="4" w:space="0" w:color="auto"/>
            </w:tcBorders>
            <w:shd w:val="clear" w:color="auto" w:fill="auto"/>
            <w:noWrap/>
            <w:hideMark/>
          </w:tcPr>
          <w:p w14:paraId="1FA30844"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C80EC19"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8EE5B4B"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3B31086A"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31C9EE0"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C07E571"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996CCE5"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6BA1A89" w14:textId="77777777" w:rsidR="008C2F02" w:rsidRPr="00071529" w:rsidRDefault="008C2F02" w:rsidP="001E39EE">
            <w:pPr>
              <w:jc w:val="left"/>
              <w:rPr>
                <w:sz w:val="20"/>
                <w:szCs w:val="20"/>
                <w:lang w:val="fr-CA" w:eastAsia="en-CA"/>
              </w:rPr>
            </w:pPr>
            <w:r w:rsidRPr="00071529">
              <w:rPr>
                <w:sz w:val="20"/>
                <w:szCs w:val="20"/>
                <w:lang w:val="fr-CA" w:eastAsia="en-CA"/>
              </w:rPr>
              <w:t>Nauru</w:t>
            </w:r>
          </w:p>
        </w:tc>
        <w:tc>
          <w:tcPr>
            <w:tcW w:w="854" w:type="dxa"/>
            <w:tcBorders>
              <w:top w:val="nil"/>
              <w:left w:val="nil"/>
              <w:bottom w:val="single" w:sz="4" w:space="0" w:color="auto"/>
              <w:right w:val="single" w:sz="4" w:space="0" w:color="auto"/>
            </w:tcBorders>
            <w:shd w:val="clear" w:color="auto" w:fill="auto"/>
            <w:noWrap/>
            <w:hideMark/>
          </w:tcPr>
          <w:p w14:paraId="3C98E06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FE6633A"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547999A9"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5808D052"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52CB12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E951D6D"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B7451AA"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93F2F0D" w14:textId="77777777" w:rsidR="008C2F02" w:rsidRPr="00071529" w:rsidRDefault="008C2F02" w:rsidP="001E39EE">
            <w:pPr>
              <w:jc w:val="left"/>
              <w:rPr>
                <w:sz w:val="20"/>
                <w:szCs w:val="20"/>
                <w:lang w:val="fr-CA" w:eastAsia="en-CA"/>
              </w:rPr>
            </w:pPr>
            <w:r>
              <w:rPr>
                <w:sz w:val="20"/>
                <w:szCs w:val="20"/>
                <w:lang w:val="fr-CA" w:eastAsia="en-CA"/>
              </w:rPr>
              <w:t>Né</w:t>
            </w:r>
            <w:r w:rsidRPr="00071529">
              <w:rPr>
                <w:sz w:val="20"/>
                <w:szCs w:val="20"/>
                <w:lang w:val="fr-CA" w:eastAsia="en-CA"/>
              </w:rPr>
              <w:t>pal</w:t>
            </w:r>
          </w:p>
        </w:tc>
        <w:tc>
          <w:tcPr>
            <w:tcW w:w="854" w:type="dxa"/>
            <w:tcBorders>
              <w:top w:val="nil"/>
              <w:left w:val="nil"/>
              <w:bottom w:val="single" w:sz="4" w:space="0" w:color="auto"/>
              <w:right w:val="single" w:sz="4" w:space="0" w:color="auto"/>
            </w:tcBorders>
            <w:shd w:val="clear" w:color="auto" w:fill="auto"/>
            <w:noWrap/>
            <w:hideMark/>
          </w:tcPr>
          <w:p w14:paraId="37FCF8F7"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EE7DD24"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201B9DE0"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5E844E26"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4B6F55A"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9EF469A"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230A639"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86DF127" w14:textId="77777777" w:rsidR="008C2F02" w:rsidRPr="00071529" w:rsidRDefault="008C2F02" w:rsidP="001E39EE">
            <w:pPr>
              <w:jc w:val="left"/>
              <w:rPr>
                <w:sz w:val="20"/>
                <w:szCs w:val="20"/>
                <w:lang w:val="fr-CA" w:eastAsia="en-CA"/>
              </w:rPr>
            </w:pPr>
            <w:r w:rsidRPr="00071529">
              <w:rPr>
                <w:sz w:val="20"/>
                <w:szCs w:val="20"/>
                <w:lang w:val="fr-CA" w:eastAsia="en-CA"/>
              </w:rPr>
              <w:t>Nicaragua</w:t>
            </w:r>
          </w:p>
        </w:tc>
        <w:tc>
          <w:tcPr>
            <w:tcW w:w="854" w:type="dxa"/>
            <w:tcBorders>
              <w:top w:val="nil"/>
              <w:left w:val="nil"/>
              <w:bottom w:val="single" w:sz="4" w:space="0" w:color="auto"/>
              <w:right w:val="single" w:sz="4" w:space="0" w:color="auto"/>
            </w:tcBorders>
            <w:shd w:val="clear" w:color="auto" w:fill="auto"/>
            <w:noWrap/>
            <w:hideMark/>
          </w:tcPr>
          <w:p w14:paraId="6CC92B86"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C97A305"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055F405"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5C7F51BC"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B6F850C"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04FD87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25BD5A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F65B3C0" w14:textId="77777777" w:rsidR="008C2F02" w:rsidRPr="00071529" w:rsidRDefault="008C2F02" w:rsidP="00F029E2">
            <w:pPr>
              <w:jc w:val="left"/>
              <w:rPr>
                <w:sz w:val="20"/>
                <w:szCs w:val="20"/>
                <w:lang w:val="fr-CA" w:eastAsia="en-CA"/>
              </w:rPr>
            </w:pPr>
            <w:r w:rsidRPr="00071529">
              <w:rPr>
                <w:sz w:val="20"/>
                <w:szCs w:val="20"/>
                <w:lang w:val="fr-CA" w:eastAsia="en-CA"/>
              </w:rPr>
              <w:t xml:space="preserve">Niger </w:t>
            </w:r>
          </w:p>
        </w:tc>
        <w:tc>
          <w:tcPr>
            <w:tcW w:w="854" w:type="dxa"/>
            <w:tcBorders>
              <w:top w:val="nil"/>
              <w:left w:val="nil"/>
              <w:bottom w:val="single" w:sz="4" w:space="0" w:color="auto"/>
              <w:right w:val="single" w:sz="4" w:space="0" w:color="auto"/>
            </w:tcBorders>
            <w:shd w:val="clear" w:color="auto" w:fill="auto"/>
            <w:noWrap/>
            <w:hideMark/>
          </w:tcPr>
          <w:p w14:paraId="4BAD7476"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859B70C"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4D01B95"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3EBEDCE6"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3B2D3F1E"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1DB3A63"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0D9DD37"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8208B3C" w14:textId="77777777" w:rsidR="008C2F02" w:rsidRPr="00071529" w:rsidRDefault="008C2F02" w:rsidP="001E39EE">
            <w:pPr>
              <w:jc w:val="left"/>
              <w:rPr>
                <w:sz w:val="20"/>
                <w:szCs w:val="20"/>
                <w:lang w:val="fr-CA" w:eastAsia="en-CA"/>
              </w:rPr>
            </w:pPr>
            <w:r w:rsidRPr="00071529">
              <w:rPr>
                <w:sz w:val="20"/>
                <w:szCs w:val="20"/>
                <w:lang w:val="fr-CA" w:eastAsia="en-CA"/>
              </w:rPr>
              <w:t>Nigeria</w:t>
            </w:r>
          </w:p>
        </w:tc>
        <w:tc>
          <w:tcPr>
            <w:tcW w:w="854" w:type="dxa"/>
            <w:tcBorders>
              <w:top w:val="nil"/>
              <w:left w:val="nil"/>
              <w:bottom w:val="single" w:sz="4" w:space="0" w:color="auto"/>
              <w:right w:val="single" w:sz="4" w:space="0" w:color="auto"/>
            </w:tcBorders>
            <w:shd w:val="clear" w:color="auto" w:fill="auto"/>
            <w:noWrap/>
            <w:hideMark/>
          </w:tcPr>
          <w:p w14:paraId="138A6AA5"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029FA82"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257C1A68"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250DBEB5"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B59DEB4"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1C154AA"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9F566E4"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108708E" w14:textId="77777777" w:rsidR="008C2F02" w:rsidRPr="00071529" w:rsidRDefault="008C2F02" w:rsidP="001E39EE">
            <w:pPr>
              <w:jc w:val="left"/>
              <w:rPr>
                <w:sz w:val="20"/>
                <w:szCs w:val="20"/>
                <w:lang w:val="fr-CA" w:eastAsia="en-CA"/>
              </w:rPr>
            </w:pPr>
            <w:r>
              <w:rPr>
                <w:sz w:val="20"/>
                <w:szCs w:val="20"/>
                <w:lang w:val="fr-CA" w:eastAsia="en-CA"/>
              </w:rPr>
              <w:t>Nioué</w:t>
            </w:r>
          </w:p>
        </w:tc>
        <w:tc>
          <w:tcPr>
            <w:tcW w:w="854" w:type="dxa"/>
            <w:tcBorders>
              <w:top w:val="nil"/>
              <w:left w:val="nil"/>
              <w:bottom w:val="single" w:sz="4" w:space="0" w:color="auto"/>
              <w:right w:val="single" w:sz="4" w:space="0" w:color="auto"/>
            </w:tcBorders>
            <w:shd w:val="clear" w:color="auto" w:fill="auto"/>
            <w:noWrap/>
            <w:hideMark/>
          </w:tcPr>
          <w:p w14:paraId="4BD2CECD"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15478CB"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50AAFA48"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4A5083C8"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DDC7184"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CFB90F8"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3121054"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67908C8" w14:textId="77777777" w:rsidR="008C2F02" w:rsidRPr="00071529" w:rsidRDefault="008C2F02" w:rsidP="001E39EE">
            <w:pPr>
              <w:jc w:val="left"/>
              <w:rPr>
                <w:sz w:val="20"/>
                <w:szCs w:val="20"/>
                <w:lang w:val="fr-CA" w:eastAsia="en-CA"/>
              </w:rPr>
            </w:pPr>
            <w:r w:rsidRPr="00071529">
              <w:rPr>
                <w:sz w:val="20"/>
                <w:szCs w:val="20"/>
                <w:lang w:val="fr-CA" w:eastAsia="en-CA"/>
              </w:rPr>
              <w:t>Oman</w:t>
            </w:r>
          </w:p>
        </w:tc>
        <w:tc>
          <w:tcPr>
            <w:tcW w:w="854" w:type="dxa"/>
            <w:tcBorders>
              <w:top w:val="nil"/>
              <w:left w:val="nil"/>
              <w:bottom w:val="single" w:sz="4" w:space="0" w:color="auto"/>
              <w:right w:val="single" w:sz="4" w:space="0" w:color="auto"/>
            </w:tcBorders>
            <w:shd w:val="clear" w:color="auto" w:fill="auto"/>
            <w:noWrap/>
            <w:hideMark/>
          </w:tcPr>
          <w:p w14:paraId="3C528CDD" w14:textId="77777777" w:rsidR="008C2F02" w:rsidRPr="00071529" w:rsidRDefault="008C2F02" w:rsidP="001E39EE">
            <w:pPr>
              <w:jc w:val="center"/>
              <w:rPr>
                <w:sz w:val="20"/>
                <w:szCs w:val="20"/>
                <w:lang w:val="fr-CA" w:eastAsia="en-CA"/>
              </w:rPr>
            </w:pPr>
            <w:r w:rsidRPr="00071529">
              <w:rPr>
                <w:sz w:val="20"/>
                <w:szCs w:val="20"/>
                <w:lang w:val="fr-CA" w:eastAsia="en-CA"/>
              </w:rPr>
              <w:t>2</w:t>
            </w:r>
          </w:p>
        </w:tc>
        <w:tc>
          <w:tcPr>
            <w:tcW w:w="1396" w:type="dxa"/>
            <w:tcBorders>
              <w:top w:val="nil"/>
              <w:left w:val="nil"/>
              <w:bottom w:val="single" w:sz="4" w:space="0" w:color="auto"/>
              <w:right w:val="single" w:sz="4" w:space="0" w:color="auto"/>
            </w:tcBorders>
            <w:shd w:val="clear" w:color="auto" w:fill="auto"/>
            <w:noWrap/>
            <w:hideMark/>
          </w:tcPr>
          <w:p w14:paraId="45F2DA91"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10B7D62E"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77A04C98"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BA751A9"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CF4B6B5"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4267F3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7092070" w14:textId="77777777" w:rsidR="008C2F02" w:rsidRPr="00071529" w:rsidRDefault="008C2F02" w:rsidP="001E39EE">
            <w:pPr>
              <w:jc w:val="left"/>
              <w:rPr>
                <w:sz w:val="20"/>
                <w:szCs w:val="20"/>
                <w:lang w:val="fr-CA" w:eastAsia="en-CA"/>
              </w:rPr>
            </w:pPr>
            <w:r>
              <w:rPr>
                <w:sz w:val="20"/>
                <w:szCs w:val="20"/>
                <w:lang w:val="fr-CA" w:eastAsia="en-CA"/>
              </w:rPr>
              <w:t>Ou</w:t>
            </w:r>
            <w:r w:rsidRPr="00071529">
              <w:rPr>
                <w:sz w:val="20"/>
                <w:szCs w:val="20"/>
                <w:lang w:val="fr-CA" w:eastAsia="en-CA"/>
              </w:rPr>
              <w:t>ganda</w:t>
            </w:r>
          </w:p>
        </w:tc>
        <w:tc>
          <w:tcPr>
            <w:tcW w:w="854" w:type="dxa"/>
            <w:tcBorders>
              <w:top w:val="nil"/>
              <w:left w:val="nil"/>
              <w:bottom w:val="single" w:sz="4" w:space="0" w:color="auto"/>
              <w:right w:val="single" w:sz="4" w:space="0" w:color="auto"/>
            </w:tcBorders>
            <w:shd w:val="clear" w:color="auto" w:fill="auto"/>
            <w:noWrap/>
            <w:hideMark/>
          </w:tcPr>
          <w:p w14:paraId="742E2BD2"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A540DE7"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75A61F12"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0102F2AC"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9247125"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6158F48"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5F9C8B1"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3EC4F4F" w14:textId="77777777" w:rsidR="008C2F02" w:rsidRPr="00071529" w:rsidRDefault="008C2F02" w:rsidP="001E39EE">
            <w:pPr>
              <w:jc w:val="left"/>
              <w:rPr>
                <w:sz w:val="20"/>
                <w:szCs w:val="20"/>
                <w:lang w:val="fr-CA" w:eastAsia="en-CA"/>
              </w:rPr>
            </w:pPr>
            <w:r w:rsidRPr="00071529">
              <w:rPr>
                <w:sz w:val="20"/>
                <w:szCs w:val="20"/>
                <w:lang w:val="fr-CA" w:eastAsia="en-CA"/>
              </w:rPr>
              <w:t>Pakistan</w:t>
            </w:r>
          </w:p>
        </w:tc>
        <w:tc>
          <w:tcPr>
            <w:tcW w:w="854" w:type="dxa"/>
            <w:tcBorders>
              <w:top w:val="nil"/>
              <w:left w:val="nil"/>
              <w:bottom w:val="single" w:sz="4" w:space="0" w:color="auto"/>
              <w:right w:val="single" w:sz="4" w:space="0" w:color="auto"/>
            </w:tcBorders>
            <w:shd w:val="clear" w:color="auto" w:fill="auto"/>
            <w:noWrap/>
            <w:hideMark/>
          </w:tcPr>
          <w:p w14:paraId="1BAB3ED3" w14:textId="77777777" w:rsidR="008C2F02" w:rsidRPr="00071529" w:rsidRDefault="008C2F02" w:rsidP="001E39EE">
            <w:pPr>
              <w:jc w:val="center"/>
              <w:rPr>
                <w:sz w:val="20"/>
                <w:szCs w:val="20"/>
                <w:lang w:val="fr-CA" w:eastAsia="en-CA"/>
              </w:rPr>
            </w:pPr>
            <w:r w:rsidRPr="00071529">
              <w:rPr>
                <w:sz w:val="20"/>
                <w:szCs w:val="20"/>
                <w:lang w:val="fr-CA" w:eastAsia="en-CA"/>
              </w:rPr>
              <w:t>2</w:t>
            </w:r>
          </w:p>
        </w:tc>
        <w:tc>
          <w:tcPr>
            <w:tcW w:w="1396" w:type="dxa"/>
            <w:tcBorders>
              <w:top w:val="nil"/>
              <w:left w:val="nil"/>
              <w:bottom w:val="single" w:sz="4" w:space="0" w:color="auto"/>
              <w:right w:val="single" w:sz="4" w:space="0" w:color="auto"/>
            </w:tcBorders>
            <w:shd w:val="clear" w:color="auto" w:fill="auto"/>
            <w:noWrap/>
            <w:hideMark/>
          </w:tcPr>
          <w:p w14:paraId="1395F62D"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7B11E7CC"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78F679F0"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22B0DDB5"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636236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5A22CF9"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A94FBDA" w14:textId="77777777" w:rsidR="008C2F02" w:rsidRPr="00071529" w:rsidRDefault="008C2F02" w:rsidP="001E39EE">
            <w:pPr>
              <w:jc w:val="left"/>
              <w:rPr>
                <w:sz w:val="20"/>
                <w:szCs w:val="20"/>
                <w:lang w:val="fr-CA" w:eastAsia="en-CA"/>
              </w:rPr>
            </w:pPr>
            <w:r w:rsidRPr="00071529">
              <w:rPr>
                <w:sz w:val="20"/>
                <w:szCs w:val="20"/>
                <w:lang w:val="fr-CA" w:eastAsia="en-CA"/>
              </w:rPr>
              <w:t>Palau</w:t>
            </w:r>
          </w:p>
        </w:tc>
        <w:tc>
          <w:tcPr>
            <w:tcW w:w="854" w:type="dxa"/>
            <w:tcBorders>
              <w:top w:val="nil"/>
              <w:left w:val="nil"/>
              <w:bottom w:val="single" w:sz="4" w:space="0" w:color="auto"/>
              <w:right w:val="single" w:sz="4" w:space="0" w:color="auto"/>
            </w:tcBorders>
            <w:shd w:val="clear" w:color="auto" w:fill="auto"/>
            <w:noWrap/>
            <w:hideMark/>
          </w:tcPr>
          <w:p w14:paraId="308EB3F6"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D9AAF11"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23B230C"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11BC7794"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64411AE"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C66FA6D"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B8A8BC6"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9A40C3A" w14:textId="77777777" w:rsidR="008C2F02" w:rsidRPr="00071529" w:rsidRDefault="008C2F02" w:rsidP="001E39EE">
            <w:pPr>
              <w:jc w:val="left"/>
              <w:rPr>
                <w:sz w:val="20"/>
                <w:szCs w:val="20"/>
                <w:lang w:val="fr-CA" w:eastAsia="en-CA"/>
              </w:rPr>
            </w:pPr>
            <w:r w:rsidRPr="00071529">
              <w:rPr>
                <w:sz w:val="20"/>
                <w:szCs w:val="20"/>
                <w:lang w:val="fr-CA" w:eastAsia="en-CA"/>
              </w:rPr>
              <w:t>Panama</w:t>
            </w:r>
          </w:p>
        </w:tc>
        <w:tc>
          <w:tcPr>
            <w:tcW w:w="854" w:type="dxa"/>
            <w:tcBorders>
              <w:top w:val="nil"/>
              <w:left w:val="nil"/>
              <w:bottom w:val="single" w:sz="4" w:space="0" w:color="auto"/>
              <w:right w:val="single" w:sz="4" w:space="0" w:color="auto"/>
            </w:tcBorders>
            <w:shd w:val="clear" w:color="auto" w:fill="auto"/>
            <w:noWrap/>
            <w:hideMark/>
          </w:tcPr>
          <w:p w14:paraId="7575B049"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EF8C898"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9345498"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179E4235"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2D5EAFD1"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48BA01F"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EE40BCF"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D20DB7C" w14:textId="77777777" w:rsidR="008C2F02" w:rsidRPr="00071529" w:rsidRDefault="008C2F02" w:rsidP="00F029E2">
            <w:pPr>
              <w:jc w:val="left"/>
              <w:rPr>
                <w:sz w:val="20"/>
                <w:szCs w:val="20"/>
                <w:lang w:val="fr-CA" w:eastAsia="en-CA"/>
              </w:rPr>
            </w:pPr>
            <w:r w:rsidRPr="00071529">
              <w:rPr>
                <w:sz w:val="20"/>
                <w:szCs w:val="20"/>
                <w:lang w:val="fr-CA" w:eastAsia="en-CA"/>
              </w:rPr>
              <w:t>Pap</w:t>
            </w:r>
            <w:r>
              <w:rPr>
                <w:sz w:val="20"/>
                <w:szCs w:val="20"/>
                <w:lang w:val="fr-CA" w:eastAsia="en-CA"/>
              </w:rPr>
              <w:t>o</w:t>
            </w:r>
            <w:r w:rsidRPr="00071529">
              <w:rPr>
                <w:sz w:val="20"/>
                <w:szCs w:val="20"/>
                <w:lang w:val="fr-CA" w:eastAsia="en-CA"/>
              </w:rPr>
              <w:t>ua</w:t>
            </w:r>
            <w:r>
              <w:rPr>
                <w:sz w:val="20"/>
                <w:szCs w:val="20"/>
                <w:lang w:val="fr-CA" w:eastAsia="en-CA"/>
              </w:rPr>
              <w:t>sie-Nouvelle-Guinée</w:t>
            </w:r>
          </w:p>
        </w:tc>
        <w:tc>
          <w:tcPr>
            <w:tcW w:w="854" w:type="dxa"/>
            <w:tcBorders>
              <w:top w:val="nil"/>
              <w:left w:val="nil"/>
              <w:bottom w:val="single" w:sz="4" w:space="0" w:color="auto"/>
              <w:right w:val="single" w:sz="4" w:space="0" w:color="auto"/>
            </w:tcBorders>
            <w:shd w:val="clear" w:color="auto" w:fill="auto"/>
            <w:noWrap/>
            <w:hideMark/>
          </w:tcPr>
          <w:p w14:paraId="6090F27F"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3B3D2CC"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14AA9BBA"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7024EA36"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33A09E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49BFA73"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C1FA8F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DA5CBC2" w14:textId="77777777" w:rsidR="008C2F02" w:rsidRPr="00071529" w:rsidRDefault="008C2F02" w:rsidP="001E39EE">
            <w:pPr>
              <w:jc w:val="left"/>
              <w:rPr>
                <w:sz w:val="20"/>
                <w:szCs w:val="20"/>
                <w:lang w:val="fr-CA" w:eastAsia="en-CA"/>
              </w:rPr>
            </w:pPr>
            <w:r w:rsidRPr="00071529">
              <w:rPr>
                <w:sz w:val="20"/>
                <w:szCs w:val="20"/>
                <w:lang w:val="fr-CA" w:eastAsia="en-CA"/>
              </w:rPr>
              <w:t>Paraguay</w:t>
            </w:r>
          </w:p>
        </w:tc>
        <w:tc>
          <w:tcPr>
            <w:tcW w:w="854" w:type="dxa"/>
            <w:tcBorders>
              <w:top w:val="nil"/>
              <w:left w:val="nil"/>
              <w:bottom w:val="single" w:sz="4" w:space="0" w:color="auto"/>
              <w:right w:val="single" w:sz="4" w:space="0" w:color="auto"/>
            </w:tcBorders>
            <w:shd w:val="clear" w:color="auto" w:fill="auto"/>
            <w:noWrap/>
            <w:hideMark/>
          </w:tcPr>
          <w:p w14:paraId="4C8696D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2565767"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2563F053"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060754D5"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24E171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8D8B188"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E55A171"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5A2D20B" w14:textId="77777777" w:rsidR="008C2F02" w:rsidRPr="00071529" w:rsidRDefault="008C2F02" w:rsidP="001E39EE">
            <w:pPr>
              <w:jc w:val="left"/>
              <w:rPr>
                <w:sz w:val="20"/>
                <w:szCs w:val="20"/>
                <w:lang w:val="fr-CA" w:eastAsia="en-CA"/>
              </w:rPr>
            </w:pPr>
            <w:r w:rsidRPr="00071529">
              <w:rPr>
                <w:sz w:val="20"/>
                <w:szCs w:val="20"/>
                <w:lang w:val="fr-CA" w:eastAsia="en-CA"/>
              </w:rPr>
              <w:t>P</w:t>
            </w:r>
            <w:r>
              <w:rPr>
                <w:sz w:val="20"/>
                <w:szCs w:val="20"/>
                <w:lang w:val="fr-CA" w:eastAsia="en-CA"/>
              </w:rPr>
              <w:t>érou</w:t>
            </w:r>
          </w:p>
        </w:tc>
        <w:tc>
          <w:tcPr>
            <w:tcW w:w="854" w:type="dxa"/>
            <w:tcBorders>
              <w:top w:val="nil"/>
              <w:left w:val="nil"/>
              <w:bottom w:val="single" w:sz="4" w:space="0" w:color="auto"/>
              <w:right w:val="single" w:sz="4" w:space="0" w:color="auto"/>
            </w:tcBorders>
            <w:shd w:val="clear" w:color="auto" w:fill="auto"/>
            <w:noWrap/>
            <w:hideMark/>
          </w:tcPr>
          <w:p w14:paraId="1260CB90"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66E0571"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5D38761"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7EFD9171" w14:textId="77777777" w:rsidR="008C2F02" w:rsidRPr="00071529" w:rsidRDefault="008C2F02" w:rsidP="001E39EE">
            <w:pPr>
              <w:jc w:val="right"/>
              <w:rPr>
                <w:sz w:val="20"/>
                <w:szCs w:val="20"/>
                <w:lang w:val="fr-CA" w:eastAsia="en-CA"/>
              </w:rPr>
            </w:pPr>
            <w:r w:rsidRPr="00071529">
              <w:rPr>
                <w:sz w:val="20"/>
                <w:szCs w:val="20"/>
                <w:lang w:val="fr-CA" w:eastAsia="en-CA"/>
              </w:rPr>
              <w:t>147</w:t>
            </w:r>
            <w:r>
              <w:rPr>
                <w:sz w:val="20"/>
                <w:szCs w:val="20"/>
                <w:lang w:val="fr-CA" w:eastAsia="en-CA"/>
              </w:rPr>
              <w:t xml:space="preserve"> </w:t>
            </w:r>
            <w:r w:rsidRPr="00071529">
              <w:rPr>
                <w:sz w:val="20"/>
                <w:szCs w:val="20"/>
                <w:lang w:val="fr-CA" w:eastAsia="en-CA"/>
              </w:rPr>
              <w:t>582</w:t>
            </w:r>
          </w:p>
        </w:tc>
        <w:tc>
          <w:tcPr>
            <w:tcW w:w="1189" w:type="dxa"/>
            <w:tcBorders>
              <w:top w:val="nil"/>
              <w:left w:val="nil"/>
              <w:bottom w:val="single" w:sz="4" w:space="0" w:color="auto"/>
              <w:right w:val="single" w:sz="4" w:space="0" w:color="auto"/>
            </w:tcBorders>
            <w:shd w:val="clear" w:color="auto" w:fill="auto"/>
            <w:noWrap/>
            <w:hideMark/>
          </w:tcPr>
          <w:p w14:paraId="60C189E5"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BD3FB1E"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496005C"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61F2320" w14:textId="77777777" w:rsidR="008C2F02" w:rsidRPr="00071529" w:rsidRDefault="008C2F02" w:rsidP="00F029E2">
            <w:pPr>
              <w:jc w:val="left"/>
              <w:rPr>
                <w:sz w:val="20"/>
                <w:szCs w:val="20"/>
                <w:lang w:val="fr-CA" w:eastAsia="en-CA"/>
              </w:rPr>
            </w:pPr>
            <w:r>
              <w:rPr>
                <w:sz w:val="20"/>
                <w:szCs w:val="20"/>
                <w:lang w:val="fr-CA" w:eastAsia="en-CA"/>
              </w:rPr>
              <w:t xml:space="preserve">Philippines </w:t>
            </w:r>
          </w:p>
        </w:tc>
        <w:tc>
          <w:tcPr>
            <w:tcW w:w="854" w:type="dxa"/>
            <w:tcBorders>
              <w:top w:val="nil"/>
              <w:left w:val="nil"/>
              <w:bottom w:val="single" w:sz="4" w:space="0" w:color="auto"/>
              <w:right w:val="single" w:sz="4" w:space="0" w:color="auto"/>
            </w:tcBorders>
            <w:shd w:val="clear" w:color="auto" w:fill="auto"/>
            <w:noWrap/>
            <w:hideMark/>
          </w:tcPr>
          <w:p w14:paraId="73934981"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477D39E"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33FE5B0C"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3FF79E92" w14:textId="77777777" w:rsidR="008C2F02" w:rsidRPr="00071529" w:rsidRDefault="008C2F02" w:rsidP="001E39EE">
            <w:pPr>
              <w:jc w:val="right"/>
              <w:rPr>
                <w:sz w:val="20"/>
                <w:szCs w:val="20"/>
                <w:lang w:val="fr-CA" w:eastAsia="en-CA"/>
              </w:rPr>
            </w:pPr>
            <w:r w:rsidRPr="00071529">
              <w:rPr>
                <w:sz w:val="20"/>
                <w:szCs w:val="20"/>
                <w:lang w:val="fr-CA" w:eastAsia="en-CA"/>
              </w:rPr>
              <w:t>225</w:t>
            </w:r>
            <w:r>
              <w:rPr>
                <w:sz w:val="20"/>
                <w:szCs w:val="20"/>
                <w:lang w:val="fr-CA" w:eastAsia="en-CA"/>
              </w:rPr>
              <w:t xml:space="preserve"> </w:t>
            </w:r>
            <w:r w:rsidRPr="00071529">
              <w:rPr>
                <w:sz w:val="20"/>
                <w:szCs w:val="20"/>
                <w:lang w:val="fr-CA" w:eastAsia="en-CA"/>
              </w:rPr>
              <w:t>992</w:t>
            </w:r>
          </w:p>
        </w:tc>
        <w:tc>
          <w:tcPr>
            <w:tcW w:w="1189" w:type="dxa"/>
            <w:tcBorders>
              <w:top w:val="nil"/>
              <w:left w:val="nil"/>
              <w:bottom w:val="single" w:sz="4" w:space="0" w:color="auto"/>
              <w:right w:val="single" w:sz="4" w:space="0" w:color="auto"/>
            </w:tcBorders>
            <w:shd w:val="clear" w:color="auto" w:fill="auto"/>
            <w:noWrap/>
            <w:hideMark/>
          </w:tcPr>
          <w:p w14:paraId="198B1E42"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9148DF1"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290EF0F"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998B0E6" w14:textId="77777777" w:rsidR="008C2F02" w:rsidRPr="00071529" w:rsidRDefault="008C2F02" w:rsidP="001E39EE">
            <w:pPr>
              <w:jc w:val="left"/>
              <w:rPr>
                <w:sz w:val="20"/>
                <w:szCs w:val="20"/>
                <w:lang w:val="fr-CA" w:eastAsia="en-CA"/>
              </w:rPr>
            </w:pPr>
            <w:r w:rsidRPr="00071529">
              <w:rPr>
                <w:sz w:val="20"/>
                <w:szCs w:val="20"/>
                <w:lang w:val="fr-CA" w:eastAsia="en-CA"/>
              </w:rPr>
              <w:t>Qatar</w:t>
            </w:r>
          </w:p>
        </w:tc>
        <w:tc>
          <w:tcPr>
            <w:tcW w:w="854" w:type="dxa"/>
            <w:tcBorders>
              <w:top w:val="nil"/>
              <w:left w:val="nil"/>
              <w:bottom w:val="single" w:sz="4" w:space="0" w:color="auto"/>
              <w:right w:val="single" w:sz="4" w:space="0" w:color="auto"/>
            </w:tcBorders>
            <w:shd w:val="clear" w:color="auto" w:fill="auto"/>
            <w:noWrap/>
            <w:hideMark/>
          </w:tcPr>
          <w:p w14:paraId="31C73B8D" w14:textId="77777777" w:rsidR="008C2F02" w:rsidRPr="00071529" w:rsidRDefault="008C2F02" w:rsidP="001E39EE">
            <w:pPr>
              <w:jc w:val="center"/>
              <w:rPr>
                <w:sz w:val="20"/>
                <w:szCs w:val="20"/>
                <w:lang w:val="fr-CA" w:eastAsia="en-CA"/>
              </w:rPr>
            </w:pPr>
            <w:r w:rsidRPr="00071529">
              <w:rPr>
                <w:sz w:val="20"/>
                <w:szCs w:val="20"/>
                <w:lang w:val="fr-CA" w:eastAsia="en-CA"/>
              </w:rPr>
              <w:t>2</w:t>
            </w:r>
          </w:p>
        </w:tc>
        <w:tc>
          <w:tcPr>
            <w:tcW w:w="1396" w:type="dxa"/>
            <w:tcBorders>
              <w:top w:val="nil"/>
              <w:left w:val="nil"/>
              <w:bottom w:val="single" w:sz="4" w:space="0" w:color="auto"/>
              <w:right w:val="single" w:sz="4" w:space="0" w:color="auto"/>
            </w:tcBorders>
            <w:shd w:val="clear" w:color="auto" w:fill="auto"/>
            <w:noWrap/>
            <w:hideMark/>
          </w:tcPr>
          <w:p w14:paraId="43445B73"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307532B4"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1B26FAC2"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16EB660"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F5748CE"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4380F5B"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D3005B0" w14:textId="77777777" w:rsidR="008C2F02" w:rsidRPr="00071529" w:rsidRDefault="008C2F02" w:rsidP="001E39EE">
            <w:pPr>
              <w:jc w:val="left"/>
              <w:rPr>
                <w:sz w:val="20"/>
                <w:szCs w:val="20"/>
                <w:lang w:val="fr-CA" w:eastAsia="en-CA"/>
              </w:rPr>
            </w:pPr>
            <w:r>
              <w:rPr>
                <w:sz w:val="20"/>
                <w:szCs w:val="20"/>
                <w:lang w:val="fr-CA" w:eastAsia="en-CA"/>
              </w:rPr>
              <w:t>République arabe syrienne</w:t>
            </w:r>
          </w:p>
        </w:tc>
        <w:tc>
          <w:tcPr>
            <w:tcW w:w="854" w:type="dxa"/>
            <w:tcBorders>
              <w:top w:val="nil"/>
              <w:left w:val="nil"/>
              <w:bottom w:val="single" w:sz="4" w:space="0" w:color="auto"/>
              <w:right w:val="single" w:sz="4" w:space="0" w:color="auto"/>
            </w:tcBorders>
            <w:shd w:val="clear" w:color="auto" w:fill="auto"/>
            <w:noWrap/>
            <w:hideMark/>
          </w:tcPr>
          <w:p w14:paraId="665718B6"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65BEDFC"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7FC5BDA6"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60099917"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B42F712"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30D6714"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5C4D2CE"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B1EC87" w14:textId="77777777" w:rsidR="008C2F02" w:rsidRPr="00071529" w:rsidRDefault="008C2F02" w:rsidP="001E39EE">
            <w:pPr>
              <w:jc w:val="left"/>
              <w:rPr>
                <w:sz w:val="20"/>
                <w:szCs w:val="20"/>
                <w:lang w:val="fr-CA" w:eastAsia="en-CA"/>
              </w:rPr>
            </w:pPr>
            <w:r>
              <w:rPr>
                <w:sz w:val="20"/>
                <w:szCs w:val="20"/>
                <w:lang w:val="fr-CA" w:eastAsia="en-CA"/>
              </w:rPr>
              <w:t>République centrafricaine</w:t>
            </w:r>
          </w:p>
        </w:tc>
        <w:tc>
          <w:tcPr>
            <w:tcW w:w="854" w:type="dxa"/>
            <w:tcBorders>
              <w:top w:val="nil"/>
              <w:left w:val="nil"/>
              <w:bottom w:val="single" w:sz="4" w:space="0" w:color="auto"/>
              <w:right w:val="single" w:sz="4" w:space="0" w:color="auto"/>
            </w:tcBorders>
            <w:shd w:val="clear" w:color="auto" w:fill="auto"/>
            <w:noWrap/>
            <w:hideMark/>
          </w:tcPr>
          <w:p w14:paraId="75CBD90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85291AE"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02AB7E7B"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081FE5FD"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189" w:type="dxa"/>
            <w:tcBorders>
              <w:top w:val="nil"/>
              <w:left w:val="nil"/>
              <w:bottom w:val="single" w:sz="4" w:space="0" w:color="auto"/>
              <w:right w:val="single" w:sz="4" w:space="0" w:color="auto"/>
            </w:tcBorders>
            <w:shd w:val="clear" w:color="auto" w:fill="auto"/>
            <w:noWrap/>
            <w:hideMark/>
          </w:tcPr>
          <w:p w14:paraId="4AC6E252"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AE5323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C304C4A"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AD80CB6" w14:textId="77777777" w:rsidR="008C2F02" w:rsidRPr="00071529" w:rsidRDefault="008C2F02" w:rsidP="00F029E2">
            <w:pPr>
              <w:ind w:right="-108"/>
              <w:jc w:val="left"/>
              <w:rPr>
                <w:sz w:val="20"/>
                <w:szCs w:val="20"/>
                <w:lang w:val="fr-CA" w:eastAsia="en-CA"/>
              </w:rPr>
            </w:pPr>
            <w:r>
              <w:rPr>
                <w:sz w:val="20"/>
                <w:szCs w:val="20"/>
                <w:lang w:val="fr-CA" w:eastAsia="en-CA"/>
              </w:rPr>
              <w:t>République de Moldova</w:t>
            </w:r>
          </w:p>
        </w:tc>
        <w:tc>
          <w:tcPr>
            <w:tcW w:w="854" w:type="dxa"/>
            <w:tcBorders>
              <w:top w:val="nil"/>
              <w:left w:val="nil"/>
              <w:bottom w:val="single" w:sz="4" w:space="0" w:color="auto"/>
              <w:right w:val="single" w:sz="4" w:space="0" w:color="auto"/>
            </w:tcBorders>
            <w:shd w:val="clear" w:color="auto" w:fill="auto"/>
            <w:noWrap/>
            <w:hideMark/>
          </w:tcPr>
          <w:p w14:paraId="4D6CA730"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C56CD0E"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09056C27"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3012D462"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D6A80A0"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9D56FD6"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12B335A"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3EBB423" w14:textId="77777777" w:rsidR="008C2F02" w:rsidRPr="00733B47" w:rsidRDefault="008C2F02" w:rsidP="001E39EE">
            <w:pPr>
              <w:jc w:val="left"/>
              <w:rPr>
                <w:sz w:val="20"/>
                <w:szCs w:val="20"/>
                <w:lang w:val="fr-CA" w:eastAsia="en-CA"/>
              </w:rPr>
            </w:pPr>
            <w:r w:rsidRPr="00733B47">
              <w:rPr>
                <w:sz w:val="20"/>
                <w:szCs w:val="20"/>
                <w:lang w:val="fr-CA" w:eastAsia="en-CA"/>
              </w:rPr>
              <w:t>République démocratique</w:t>
            </w:r>
          </w:p>
          <w:p w14:paraId="546A62ED" w14:textId="77777777" w:rsidR="008C2F02" w:rsidRPr="00733B47" w:rsidRDefault="008C2F02" w:rsidP="001E39EE">
            <w:pPr>
              <w:jc w:val="left"/>
              <w:rPr>
                <w:sz w:val="20"/>
                <w:szCs w:val="20"/>
                <w:lang w:val="fr-CA" w:eastAsia="en-CA"/>
              </w:rPr>
            </w:pPr>
            <w:r w:rsidRPr="00733B47">
              <w:rPr>
                <w:sz w:val="20"/>
                <w:szCs w:val="20"/>
                <w:lang w:val="fr-CA" w:eastAsia="en-CA"/>
              </w:rPr>
              <w:t>populaire lao</w:t>
            </w:r>
          </w:p>
        </w:tc>
        <w:tc>
          <w:tcPr>
            <w:tcW w:w="854" w:type="dxa"/>
            <w:tcBorders>
              <w:top w:val="nil"/>
              <w:left w:val="nil"/>
              <w:bottom w:val="single" w:sz="4" w:space="0" w:color="auto"/>
              <w:right w:val="single" w:sz="4" w:space="0" w:color="auto"/>
            </w:tcBorders>
            <w:shd w:val="clear" w:color="auto" w:fill="auto"/>
            <w:noWrap/>
            <w:hideMark/>
          </w:tcPr>
          <w:p w14:paraId="1062117E"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1D45B7C3"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16A77508"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3141686F"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35502A7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F79DD49"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466DCF4"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15DEADF" w14:textId="77777777" w:rsidR="008C2F02" w:rsidRPr="00733B47" w:rsidRDefault="008C2F02" w:rsidP="001E39EE">
            <w:pPr>
              <w:jc w:val="left"/>
              <w:rPr>
                <w:sz w:val="20"/>
                <w:szCs w:val="20"/>
                <w:lang w:val="fr-CA" w:eastAsia="en-CA"/>
              </w:rPr>
            </w:pPr>
            <w:r w:rsidRPr="00733B47">
              <w:rPr>
                <w:sz w:val="20"/>
                <w:szCs w:val="20"/>
                <w:lang w:val="fr-CA" w:eastAsia="en-CA"/>
              </w:rPr>
              <w:t>République démocratique du Congo</w:t>
            </w:r>
          </w:p>
        </w:tc>
        <w:tc>
          <w:tcPr>
            <w:tcW w:w="854" w:type="dxa"/>
            <w:tcBorders>
              <w:top w:val="nil"/>
              <w:left w:val="nil"/>
              <w:bottom w:val="single" w:sz="4" w:space="0" w:color="auto"/>
              <w:right w:val="single" w:sz="4" w:space="0" w:color="auto"/>
            </w:tcBorders>
            <w:shd w:val="clear" w:color="auto" w:fill="auto"/>
            <w:noWrap/>
            <w:hideMark/>
          </w:tcPr>
          <w:p w14:paraId="1B084B6D"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84242FB"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11105B5F"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3B8E0A3A"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32B2E2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A97961E"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48BACA82"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9377799" w14:textId="77777777" w:rsidR="008C2F02" w:rsidRPr="00733B47" w:rsidRDefault="008C2F02" w:rsidP="00A7143C">
            <w:pPr>
              <w:jc w:val="left"/>
              <w:rPr>
                <w:sz w:val="20"/>
                <w:szCs w:val="20"/>
                <w:lang w:val="fr-CA" w:eastAsia="en-CA"/>
              </w:rPr>
            </w:pPr>
            <w:r w:rsidRPr="00733B47">
              <w:rPr>
                <w:sz w:val="20"/>
                <w:szCs w:val="20"/>
                <w:lang w:val="fr-CA" w:eastAsia="en-CA"/>
              </w:rPr>
              <w:t>République dominicaine</w:t>
            </w:r>
          </w:p>
        </w:tc>
        <w:tc>
          <w:tcPr>
            <w:tcW w:w="854" w:type="dxa"/>
            <w:tcBorders>
              <w:top w:val="nil"/>
              <w:left w:val="nil"/>
              <w:bottom w:val="single" w:sz="4" w:space="0" w:color="auto"/>
              <w:right w:val="single" w:sz="4" w:space="0" w:color="auto"/>
            </w:tcBorders>
            <w:shd w:val="clear" w:color="auto" w:fill="auto"/>
            <w:noWrap/>
            <w:hideMark/>
          </w:tcPr>
          <w:p w14:paraId="3FF40532"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F781620"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CF57DA1"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40E13F36"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C42DD86" w14:textId="77777777" w:rsidR="008C2F02" w:rsidRPr="00071529" w:rsidRDefault="008C2F02" w:rsidP="001E39EE">
            <w:pPr>
              <w:jc w:val="right"/>
              <w:rPr>
                <w:sz w:val="20"/>
                <w:szCs w:val="20"/>
                <w:lang w:val="fr-CA" w:eastAsia="en-CA"/>
              </w:rPr>
            </w:pPr>
            <w:r w:rsidRPr="00071529">
              <w:rPr>
                <w:sz w:val="20"/>
                <w:szCs w:val="20"/>
                <w:lang w:val="fr-CA" w:eastAsia="en-CA"/>
              </w:rPr>
              <w:t>129</w:t>
            </w:r>
            <w:r>
              <w:rPr>
                <w:sz w:val="20"/>
                <w:szCs w:val="20"/>
                <w:lang w:val="fr-CA" w:eastAsia="en-CA"/>
              </w:rPr>
              <w:t xml:space="preserve"> </w:t>
            </w:r>
            <w:r w:rsidRPr="00071529">
              <w:rPr>
                <w:sz w:val="20"/>
                <w:szCs w:val="20"/>
                <w:lang w:val="fr-CA" w:eastAsia="en-CA"/>
              </w:rPr>
              <w:t>825</w:t>
            </w:r>
          </w:p>
        </w:tc>
        <w:tc>
          <w:tcPr>
            <w:tcW w:w="1260" w:type="dxa"/>
            <w:tcBorders>
              <w:top w:val="nil"/>
              <w:left w:val="nil"/>
              <w:bottom w:val="single" w:sz="4" w:space="0" w:color="auto"/>
              <w:right w:val="single" w:sz="4" w:space="0" w:color="auto"/>
            </w:tcBorders>
            <w:shd w:val="clear" w:color="auto" w:fill="auto"/>
            <w:noWrap/>
            <w:hideMark/>
          </w:tcPr>
          <w:p w14:paraId="4C392E87" w14:textId="77777777" w:rsidR="008C2F02" w:rsidRPr="00071529" w:rsidRDefault="008C2F02" w:rsidP="001E39EE">
            <w:pPr>
              <w:jc w:val="right"/>
              <w:rPr>
                <w:sz w:val="20"/>
                <w:szCs w:val="20"/>
                <w:lang w:val="fr-CA" w:eastAsia="en-CA"/>
              </w:rPr>
            </w:pPr>
            <w:r w:rsidRPr="00071529">
              <w:rPr>
                <w:sz w:val="20"/>
                <w:szCs w:val="20"/>
                <w:lang w:val="fr-CA" w:eastAsia="en-CA"/>
              </w:rPr>
              <w:t>30</w:t>
            </w:r>
            <w:r>
              <w:rPr>
                <w:sz w:val="20"/>
                <w:szCs w:val="20"/>
                <w:lang w:val="fr-CA" w:eastAsia="en-CA"/>
              </w:rPr>
              <w:t xml:space="preserve"> </w:t>
            </w:r>
            <w:r w:rsidRPr="00071529">
              <w:rPr>
                <w:sz w:val="20"/>
                <w:szCs w:val="20"/>
                <w:lang w:val="fr-CA" w:eastAsia="en-CA"/>
              </w:rPr>
              <w:t>000</w:t>
            </w:r>
          </w:p>
        </w:tc>
      </w:tr>
      <w:tr w:rsidR="008C2F02" w:rsidRPr="00071529" w14:paraId="3D61B724"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0F7B26C" w14:textId="77777777" w:rsidR="008C2F02" w:rsidRPr="00890793" w:rsidRDefault="008C2F02" w:rsidP="00890793">
            <w:pPr>
              <w:jc w:val="left"/>
              <w:rPr>
                <w:sz w:val="20"/>
                <w:szCs w:val="20"/>
                <w:lang w:val="fr-CA" w:eastAsia="en-CA"/>
              </w:rPr>
            </w:pPr>
            <w:r w:rsidRPr="00890793">
              <w:rPr>
                <w:sz w:val="20"/>
                <w:szCs w:val="20"/>
                <w:lang w:val="fr-CA" w:eastAsia="en-CA"/>
              </w:rPr>
              <w:t>République p</w:t>
            </w:r>
            <w:r>
              <w:rPr>
                <w:sz w:val="20"/>
                <w:szCs w:val="20"/>
                <w:lang w:val="fr-CA" w:eastAsia="en-CA"/>
              </w:rPr>
              <w:t>o</w:t>
            </w:r>
            <w:r w:rsidRPr="00890793">
              <w:rPr>
                <w:sz w:val="20"/>
                <w:szCs w:val="20"/>
                <w:lang w:val="fr-CA" w:eastAsia="en-CA"/>
              </w:rPr>
              <w:t>pulaire démocratique de Corée</w:t>
            </w:r>
          </w:p>
        </w:tc>
        <w:tc>
          <w:tcPr>
            <w:tcW w:w="854" w:type="dxa"/>
            <w:tcBorders>
              <w:top w:val="nil"/>
              <w:left w:val="nil"/>
              <w:bottom w:val="single" w:sz="4" w:space="0" w:color="auto"/>
              <w:right w:val="single" w:sz="4" w:space="0" w:color="auto"/>
            </w:tcBorders>
            <w:shd w:val="clear" w:color="auto" w:fill="auto"/>
            <w:noWrap/>
            <w:hideMark/>
          </w:tcPr>
          <w:p w14:paraId="7984A0DD"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01C30FF"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490AA71"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3CE751A5"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189" w:type="dxa"/>
            <w:tcBorders>
              <w:top w:val="nil"/>
              <w:left w:val="nil"/>
              <w:bottom w:val="single" w:sz="4" w:space="0" w:color="auto"/>
              <w:right w:val="single" w:sz="4" w:space="0" w:color="auto"/>
            </w:tcBorders>
            <w:shd w:val="clear" w:color="auto" w:fill="auto"/>
            <w:noWrap/>
            <w:hideMark/>
          </w:tcPr>
          <w:p w14:paraId="1134014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322E96D"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48DCE3E9"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8BBB0EC" w14:textId="77777777" w:rsidR="008C2F02" w:rsidRPr="00071529" w:rsidRDefault="008C2F02" w:rsidP="001E39EE">
            <w:pPr>
              <w:jc w:val="left"/>
              <w:rPr>
                <w:sz w:val="20"/>
                <w:szCs w:val="20"/>
                <w:lang w:val="fr-CA" w:eastAsia="en-CA"/>
              </w:rPr>
            </w:pPr>
            <w:r>
              <w:rPr>
                <w:sz w:val="20"/>
                <w:szCs w:val="20"/>
                <w:lang w:val="fr-CA" w:eastAsia="en-CA"/>
              </w:rPr>
              <w:t>République unie de Tanzanie</w:t>
            </w:r>
          </w:p>
        </w:tc>
        <w:tc>
          <w:tcPr>
            <w:tcW w:w="854" w:type="dxa"/>
            <w:tcBorders>
              <w:top w:val="nil"/>
              <w:left w:val="nil"/>
              <w:bottom w:val="single" w:sz="4" w:space="0" w:color="auto"/>
              <w:right w:val="single" w:sz="4" w:space="0" w:color="auto"/>
            </w:tcBorders>
            <w:shd w:val="clear" w:color="auto" w:fill="auto"/>
            <w:noWrap/>
            <w:hideMark/>
          </w:tcPr>
          <w:p w14:paraId="037F4D91"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5CF6282"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4002DCDC"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48DFB046"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87A4ACA"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6940DAA"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EDC1C2A"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D20417A" w14:textId="77777777" w:rsidR="008C2F02" w:rsidRPr="00071529" w:rsidRDefault="008C2F02" w:rsidP="001E39EE">
            <w:pPr>
              <w:jc w:val="left"/>
              <w:rPr>
                <w:sz w:val="20"/>
                <w:szCs w:val="20"/>
                <w:lang w:val="fr-CA" w:eastAsia="en-CA"/>
              </w:rPr>
            </w:pPr>
            <w:r w:rsidRPr="00071529">
              <w:rPr>
                <w:sz w:val="20"/>
                <w:szCs w:val="20"/>
                <w:lang w:val="fr-CA" w:eastAsia="en-CA"/>
              </w:rPr>
              <w:t>Rwanda</w:t>
            </w:r>
          </w:p>
        </w:tc>
        <w:tc>
          <w:tcPr>
            <w:tcW w:w="854" w:type="dxa"/>
            <w:tcBorders>
              <w:top w:val="nil"/>
              <w:left w:val="nil"/>
              <w:bottom w:val="single" w:sz="4" w:space="0" w:color="auto"/>
              <w:right w:val="single" w:sz="4" w:space="0" w:color="auto"/>
            </w:tcBorders>
            <w:shd w:val="clear" w:color="auto" w:fill="auto"/>
            <w:noWrap/>
            <w:hideMark/>
          </w:tcPr>
          <w:p w14:paraId="397CCB60"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392E47E"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3554553F"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7F571073"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A1EFF51"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235A3DD"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7AD0CDB"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D317104" w14:textId="77777777" w:rsidR="008C2F02" w:rsidRPr="00071529" w:rsidRDefault="008C2F02" w:rsidP="001E39EE">
            <w:pPr>
              <w:jc w:val="left"/>
              <w:rPr>
                <w:sz w:val="20"/>
                <w:szCs w:val="20"/>
                <w:lang w:val="fr-CA" w:eastAsia="en-CA"/>
              </w:rPr>
            </w:pPr>
            <w:r>
              <w:rPr>
                <w:sz w:val="20"/>
                <w:szCs w:val="20"/>
                <w:lang w:val="fr-CA" w:eastAsia="en-CA"/>
              </w:rPr>
              <w:t>Sainte-Lucie</w:t>
            </w:r>
          </w:p>
        </w:tc>
        <w:tc>
          <w:tcPr>
            <w:tcW w:w="854" w:type="dxa"/>
            <w:tcBorders>
              <w:top w:val="nil"/>
              <w:left w:val="nil"/>
              <w:bottom w:val="single" w:sz="4" w:space="0" w:color="auto"/>
              <w:right w:val="single" w:sz="4" w:space="0" w:color="auto"/>
            </w:tcBorders>
            <w:shd w:val="clear" w:color="auto" w:fill="auto"/>
            <w:noWrap/>
            <w:hideMark/>
          </w:tcPr>
          <w:p w14:paraId="4CC986B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A42C3CB"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1E5E395C"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1FCB4681"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45C92A9"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E734863"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C6D82D7"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4D2F005" w14:textId="77777777" w:rsidR="008C2F02" w:rsidRPr="00071529" w:rsidRDefault="008C2F02" w:rsidP="001E39EE">
            <w:pPr>
              <w:jc w:val="left"/>
              <w:rPr>
                <w:sz w:val="20"/>
                <w:szCs w:val="20"/>
                <w:lang w:val="fr-CA" w:eastAsia="en-CA"/>
              </w:rPr>
            </w:pPr>
            <w:r>
              <w:rPr>
                <w:sz w:val="20"/>
                <w:szCs w:val="20"/>
                <w:lang w:val="fr-CA" w:eastAsia="en-CA"/>
              </w:rPr>
              <w:t>Saint-Kitts-et-</w:t>
            </w:r>
            <w:r w:rsidRPr="00071529">
              <w:rPr>
                <w:sz w:val="20"/>
                <w:szCs w:val="20"/>
                <w:lang w:val="fr-CA" w:eastAsia="en-CA"/>
              </w:rPr>
              <w:t>Nevis</w:t>
            </w:r>
          </w:p>
        </w:tc>
        <w:tc>
          <w:tcPr>
            <w:tcW w:w="854" w:type="dxa"/>
            <w:tcBorders>
              <w:top w:val="nil"/>
              <w:left w:val="nil"/>
              <w:bottom w:val="single" w:sz="4" w:space="0" w:color="auto"/>
              <w:right w:val="single" w:sz="4" w:space="0" w:color="auto"/>
            </w:tcBorders>
            <w:shd w:val="clear" w:color="auto" w:fill="auto"/>
            <w:noWrap/>
            <w:hideMark/>
          </w:tcPr>
          <w:p w14:paraId="1B4ECE14"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9449C13"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18245155"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4450E7D8"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6EDB2B9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9257104"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6F783B4"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0414A85" w14:textId="77777777" w:rsidR="008C2F02" w:rsidRPr="00F029E2" w:rsidRDefault="008C2F02" w:rsidP="00F029E2">
            <w:pPr>
              <w:jc w:val="left"/>
              <w:rPr>
                <w:sz w:val="20"/>
                <w:szCs w:val="20"/>
                <w:lang w:val="fr-CA" w:eastAsia="en-CA"/>
              </w:rPr>
            </w:pPr>
            <w:r w:rsidRPr="00F029E2">
              <w:rPr>
                <w:sz w:val="20"/>
                <w:szCs w:val="20"/>
                <w:lang w:val="fr-CA" w:eastAsia="en-CA"/>
              </w:rPr>
              <w:t>Saint-Vincent-et-les-Grenadines</w:t>
            </w:r>
          </w:p>
        </w:tc>
        <w:tc>
          <w:tcPr>
            <w:tcW w:w="854" w:type="dxa"/>
            <w:tcBorders>
              <w:top w:val="nil"/>
              <w:left w:val="nil"/>
              <w:bottom w:val="single" w:sz="4" w:space="0" w:color="auto"/>
              <w:right w:val="single" w:sz="4" w:space="0" w:color="auto"/>
            </w:tcBorders>
            <w:shd w:val="clear" w:color="auto" w:fill="auto"/>
            <w:noWrap/>
            <w:hideMark/>
          </w:tcPr>
          <w:p w14:paraId="13D4B70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27EFC08"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3C97B358"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22C81B26"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1C65505"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0B8A750"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D17588C"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084497D" w14:textId="77777777" w:rsidR="008C2F02" w:rsidRPr="00071529" w:rsidRDefault="008C2F02" w:rsidP="001E39EE">
            <w:pPr>
              <w:jc w:val="left"/>
              <w:rPr>
                <w:sz w:val="20"/>
                <w:szCs w:val="20"/>
                <w:lang w:val="fr-CA" w:eastAsia="en-CA"/>
              </w:rPr>
            </w:pPr>
            <w:r w:rsidRPr="00071529">
              <w:rPr>
                <w:sz w:val="20"/>
                <w:szCs w:val="20"/>
                <w:lang w:val="fr-CA" w:eastAsia="en-CA"/>
              </w:rPr>
              <w:t>Samoa</w:t>
            </w:r>
          </w:p>
        </w:tc>
        <w:tc>
          <w:tcPr>
            <w:tcW w:w="854" w:type="dxa"/>
            <w:tcBorders>
              <w:top w:val="nil"/>
              <w:left w:val="nil"/>
              <w:bottom w:val="single" w:sz="4" w:space="0" w:color="auto"/>
              <w:right w:val="single" w:sz="4" w:space="0" w:color="auto"/>
            </w:tcBorders>
            <w:shd w:val="clear" w:color="auto" w:fill="auto"/>
            <w:noWrap/>
            <w:hideMark/>
          </w:tcPr>
          <w:p w14:paraId="6E04039E"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B0BC1FB"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7D1D89AE"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7137CDB2"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4DB1EAD"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53493CF"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DE1F8C6"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3ACBF5C" w14:textId="77777777" w:rsidR="008C2F02" w:rsidRPr="00071529" w:rsidRDefault="008C2F02" w:rsidP="00F029E2">
            <w:pPr>
              <w:jc w:val="left"/>
              <w:rPr>
                <w:sz w:val="20"/>
                <w:szCs w:val="20"/>
                <w:lang w:val="fr-CA" w:eastAsia="en-CA"/>
              </w:rPr>
            </w:pPr>
            <w:r w:rsidRPr="00071529">
              <w:rPr>
                <w:sz w:val="20"/>
                <w:szCs w:val="20"/>
                <w:lang w:val="fr-CA" w:eastAsia="en-CA"/>
              </w:rPr>
              <w:t>Sao Tom</w:t>
            </w:r>
            <w:r>
              <w:rPr>
                <w:sz w:val="20"/>
                <w:szCs w:val="20"/>
                <w:lang w:val="fr-CA" w:eastAsia="en-CA"/>
              </w:rPr>
              <w:t>é-et-</w:t>
            </w:r>
            <w:r w:rsidRPr="00071529">
              <w:rPr>
                <w:sz w:val="20"/>
                <w:szCs w:val="20"/>
                <w:lang w:val="fr-CA" w:eastAsia="en-CA"/>
              </w:rPr>
              <w:t>Principe</w:t>
            </w:r>
          </w:p>
        </w:tc>
        <w:tc>
          <w:tcPr>
            <w:tcW w:w="854" w:type="dxa"/>
            <w:tcBorders>
              <w:top w:val="nil"/>
              <w:left w:val="nil"/>
              <w:bottom w:val="single" w:sz="4" w:space="0" w:color="auto"/>
              <w:right w:val="single" w:sz="4" w:space="0" w:color="auto"/>
            </w:tcBorders>
            <w:shd w:val="clear" w:color="auto" w:fill="auto"/>
            <w:noWrap/>
            <w:hideMark/>
          </w:tcPr>
          <w:p w14:paraId="453617B8"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738CBE1"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8F24F00"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32CDB228"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8386560"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695DA3C"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C8D05C1"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111C0FC" w14:textId="77777777" w:rsidR="008C2F02" w:rsidRPr="00071529" w:rsidRDefault="008C2F02" w:rsidP="001E39EE">
            <w:pPr>
              <w:jc w:val="left"/>
              <w:rPr>
                <w:sz w:val="20"/>
                <w:szCs w:val="20"/>
                <w:lang w:val="fr-CA" w:eastAsia="en-CA"/>
              </w:rPr>
            </w:pPr>
            <w:r>
              <w:rPr>
                <w:sz w:val="20"/>
                <w:szCs w:val="20"/>
                <w:lang w:val="fr-CA" w:eastAsia="en-CA"/>
              </w:rPr>
              <w:t>Sénégal</w:t>
            </w:r>
          </w:p>
        </w:tc>
        <w:tc>
          <w:tcPr>
            <w:tcW w:w="854" w:type="dxa"/>
            <w:tcBorders>
              <w:top w:val="nil"/>
              <w:left w:val="nil"/>
              <w:bottom w:val="single" w:sz="4" w:space="0" w:color="auto"/>
              <w:right w:val="single" w:sz="4" w:space="0" w:color="auto"/>
            </w:tcBorders>
            <w:shd w:val="clear" w:color="auto" w:fill="auto"/>
            <w:noWrap/>
            <w:hideMark/>
          </w:tcPr>
          <w:p w14:paraId="01256389"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12682609"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4087E1A4"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37E822AA"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F8699E4"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9CA9A44"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8D7E901"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922C243" w14:textId="77777777" w:rsidR="008C2F02" w:rsidRPr="00071529" w:rsidRDefault="008C2F02" w:rsidP="001E39EE">
            <w:pPr>
              <w:jc w:val="left"/>
              <w:rPr>
                <w:sz w:val="20"/>
                <w:szCs w:val="20"/>
                <w:lang w:val="fr-CA" w:eastAsia="en-CA"/>
              </w:rPr>
            </w:pPr>
            <w:r>
              <w:rPr>
                <w:sz w:val="20"/>
                <w:szCs w:val="20"/>
                <w:lang w:val="fr-CA" w:eastAsia="en-CA"/>
              </w:rPr>
              <w:t>Serbie</w:t>
            </w:r>
          </w:p>
        </w:tc>
        <w:tc>
          <w:tcPr>
            <w:tcW w:w="854" w:type="dxa"/>
            <w:tcBorders>
              <w:top w:val="nil"/>
              <w:left w:val="nil"/>
              <w:bottom w:val="single" w:sz="4" w:space="0" w:color="auto"/>
              <w:right w:val="single" w:sz="4" w:space="0" w:color="auto"/>
            </w:tcBorders>
            <w:shd w:val="clear" w:color="auto" w:fill="auto"/>
            <w:noWrap/>
            <w:hideMark/>
          </w:tcPr>
          <w:p w14:paraId="558355A3"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A792B21"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05784D76"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73404B61"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498CC31"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4DE2254"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B8BF2F7"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E1281D6" w14:textId="77777777" w:rsidR="008C2F02" w:rsidRPr="00071529" w:rsidRDefault="008C2F02" w:rsidP="001E39EE">
            <w:pPr>
              <w:jc w:val="left"/>
              <w:rPr>
                <w:sz w:val="20"/>
                <w:szCs w:val="20"/>
                <w:lang w:val="fr-CA" w:eastAsia="en-CA"/>
              </w:rPr>
            </w:pPr>
            <w:r w:rsidRPr="00071529">
              <w:rPr>
                <w:sz w:val="20"/>
                <w:szCs w:val="20"/>
                <w:lang w:val="fr-CA" w:eastAsia="en-CA"/>
              </w:rPr>
              <w:t>Seychelles</w:t>
            </w:r>
          </w:p>
        </w:tc>
        <w:tc>
          <w:tcPr>
            <w:tcW w:w="854" w:type="dxa"/>
            <w:tcBorders>
              <w:top w:val="nil"/>
              <w:left w:val="nil"/>
              <w:bottom w:val="single" w:sz="4" w:space="0" w:color="auto"/>
              <w:right w:val="single" w:sz="4" w:space="0" w:color="auto"/>
            </w:tcBorders>
            <w:shd w:val="clear" w:color="auto" w:fill="auto"/>
            <w:noWrap/>
            <w:hideMark/>
          </w:tcPr>
          <w:p w14:paraId="070BCA9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A686A4F"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42C335E9"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55F803FC"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26BDBA4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7A1216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4B4CB7E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2F4D98E" w14:textId="77777777" w:rsidR="008C2F02" w:rsidRPr="00071529" w:rsidRDefault="008C2F02" w:rsidP="001E39EE">
            <w:pPr>
              <w:jc w:val="left"/>
              <w:rPr>
                <w:sz w:val="20"/>
                <w:szCs w:val="20"/>
                <w:lang w:val="fr-CA" w:eastAsia="en-CA"/>
              </w:rPr>
            </w:pPr>
            <w:r w:rsidRPr="00071529">
              <w:rPr>
                <w:sz w:val="20"/>
                <w:szCs w:val="20"/>
                <w:lang w:val="fr-CA" w:eastAsia="en-CA"/>
              </w:rPr>
              <w:t>Sierra Leone</w:t>
            </w:r>
          </w:p>
        </w:tc>
        <w:tc>
          <w:tcPr>
            <w:tcW w:w="854" w:type="dxa"/>
            <w:tcBorders>
              <w:top w:val="nil"/>
              <w:left w:val="nil"/>
              <w:bottom w:val="single" w:sz="4" w:space="0" w:color="auto"/>
              <w:right w:val="single" w:sz="4" w:space="0" w:color="auto"/>
            </w:tcBorders>
            <w:shd w:val="clear" w:color="auto" w:fill="auto"/>
            <w:noWrap/>
            <w:hideMark/>
          </w:tcPr>
          <w:p w14:paraId="264ADEAD"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14D4E45"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2DC0621E"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4880E374"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3A2A8B8"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22F4A92"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8712A51"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938E6B9" w14:textId="77777777" w:rsidR="008C2F02" w:rsidRPr="00071529" w:rsidRDefault="008C2F02" w:rsidP="001E39EE">
            <w:pPr>
              <w:jc w:val="left"/>
              <w:rPr>
                <w:sz w:val="20"/>
                <w:szCs w:val="20"/>
                <w:lang w:val="fr-CA" w:eastAsia="en-CA"/>
              </w:rPr>
            </w:pPr>
            <w:r>
              <w:rPr>
                <w:sz w:val="20"/>
                <w:szCs w:val="20"/>
                <w:lang w:val="fr-CA" w:eastAsia="en-CA"/>
              </w:rPr>
              <w:t>Somalie</w:t>
            </w:r>
          </w:p>
        </w:tc>
        <w:tc>
          <w:tcPr>
            <w:tcW w:w="854" w:type="dxa"/>
            <w:tcBorders>
              <w:top w:val="nil"/>
              <w:left w:val="nil"/>
              <w:bottom w:val="single" w:sz="4" w:space="0" w:color="auto"/>
              <w:right w:val="single" w:sz="4" w:space="0" w:color="auto"/>
            </w:tcBorders>
            <w:shd w:val="clear" w:color="auto" w:fill="auto"/>
            <w:noWrap/>
            <w:hideMark/>
          </w:tcPr>
          <w:p w14:paraId="76F8290F"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94C2D32"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6A6E9DAB"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30A3A667"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1338BD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189A44F"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B377B24"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712112" w14:textId="77777777" w:rsidR="008C2F02" w:rsidRPr="00071529" w:rsidRDefault="008C2F02" w:rsidP="00F029E2">
            <w:pPr>
              <w:jc w:val="left"/>
              <w:rPr>
                <w:sz w:val="20"/>
                <w:szCs w:val="20"/>
                <w:lang w:val="fr-CA" w:eastAsia="en-CA"/>
              </w:rPr>
            </w:pPr>
            <w:r>
              <w:rPr>
                <w:sz w:val="20"/>
                <w:szCs w:val="20"/>
                <w:lang w:val="fr-CA" w:eastAsia="en-CA"/>
              </w:rPr>
              <w:lastRenderedPageBreak/>
              <w:t>Soudan</w:t>
            </w:r>
          </w:p>
        </w:tc>
        <w:tc>
          <w:tcPr>
            <w:tcW w:w="854" w:type="dxa"/>
            <w:tcBorders>
              <w:top w:val="nil"/>
              <w:left w:val="nil"/>
              <w:bottom w:val="single" w:sz="4" w:space="0" w:color="auto"/>
              <w:right w:val="single" w:sz="4" w:space="0" w:color="auto"/>
            </w:tcBorders>
            <w:shd w:val="clear" w:color="auto" w:fill="auto"/>
            <w:noWrap/>
            <w:hideMark/>
          </w:tcPr>
          <w:p w14:paraId="370E84FF"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310F783"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7CF4445D"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41EF9394"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EFD6EE8"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B948176" w14:textId="77777777" w:rsidR="008C2F02" w:rsidRPr="00071529" w:rsidRDefault="008C2F02" w:rsidP="001E39EE">
            <w:pPr>
              <w:jc w:val="right"/>
              <w:rPr>
                <w:sz w:val="20"/>
                <w:szCs w:val="20"/>
                <w:lang w:val="fr-CA" w:eastAsia="en-CA"/>
              </w:rPr>
            </w:pPr>
            <w:r w:rsidRPr="00071529">
              <w:rPr>
                <w:sz w:val="20"/>
                <w:szCs w:val="20"/>
                <w:lang w:val="fr-CA" w:eastAsia="en-CA"/>
              </w:rPr>
              <w:t>30</w:t>
            </w:r>
            <w:r>
              <w:rPr>
                <w:sz w:val="20"/>
                <w:szCs w:val="20"/>
                <w:lang w:val="fr-CA" w:eastAsia="en-CA"/>
              </w:rPr>
              <w:t xml:space="preserve"> </w:t>
            </w:r>
            <w:r w:rsidRPr="00071529">
              <w:rPr>
                <w:sz w:val="20"/>
                <w:szCs w:val="20"/>
                <w:lang w:val="fr-CA" w:eastAsia="en-CA"/>
              </w:rPr>
              <w:t>000</w:t>
            </w:r>
          </w:p>
        </w:tc>
      </w:tr>
      <w:tr w:rsidR="008C2F02" w:rsidRPr="00071529" w14:paraId="0377DA5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A7BBD83" w14:textId="77777777" w:rsidR="008C2F02" w:rsidRPr="00071529" w:rsidRDefault="008C2F02" w:rsidP="001E39EE">
            <w:pPr>
              <w:jc w:val="left"/>
              <w:rPr>
                <w:sz w:val="20"/>
                <w:szCs w:val="20"/>
                <w:lang w:val="fr-CA" w:eastAsia="en-CA"/>
              </w:rPr>
            </w:pPr>
            <w:r>
              <w:rPr>
                <w:sz w:val="20"/>
                <w:szCs w:val="20"/>
                <w:lang w:val="fr-CA" w:eastAsia="en-CA"/>
              </w:rPr>
              <w:t>Soudan du Sud</w:t>
            </w:r>
          </w:p>
        </w:tc>
        <w:tc>
          <w:tcPr>
            <w:tcW w:w="854" w:type="dxa"/>
            <w:tcBorders>
              <w:top w:val="nil"/>
              <w:left w:val="nil"/>
              <w:bottom w:val="single" w:sz="4" w:space="0" w:color="auto"/>
              <w:right w:val="single" w:sz="4" w:space="0" w:color="auto"/>
            </w:tcBorders>
            <w:shd w:val="clear" w:color="auto" w:fill="auto"/>
            <w:noWrap/>
            <w:hideMark/>
          </w:tcPr>
          <w:p w14:paraId="28223597"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36EA404"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06971635"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6D3BA02E"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237CF601"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BF6506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DD42ABE"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800CBD2" w14:textId="77777777" w:rsidR="008C2F02" w:rsidRPr="00071529" w:rsidRDefault="008C2F02" w:rsidP="001E39EE">
            <w:pPr>
              <w:jc w:val="left"/>
              <w:rPr>
                <w:sz w:val="20"/>
                <w:szCs w:val="20"/>
                <w:lang w:val="fr-CA" w:eastAsia="en-CA"/>
              </w:rPr>
            </w:pPr>
            <w:r w:rsidRPr="00071529">
              <w:rPr>
                <w:sz w:val="20"/>
                <w:szCs w:val="20"/>
                <w:lang w:val="fr-CA" w:eastAsia="en-CA"/>
              </w:rPr>
              <w:t>Sri Lanka</w:t>
            </w:r>
          </w:p>
        </w:tc>
        <w:tc>
          <w:tcPr>
            <w:tcW w:w="854" w:type="dxa"/>
            <w:tcBorders>
              <w:top w:val="nil"/>
              <w:left w:val="nil"/>
              <w:bottom w:val="single" w:sz="4" w:space="0" w:color="auto"/>
              <w:right w:val="single" w:sz="4" w:space="0" w:color="auto"/>
            </w:tcBorders>
            <w:shd w:val="clear" w:color="auto" w:fill="auto"/>
            <w:noWrap/>
            <w:hideMark/>
          </w:tcPr>
          <w:p w14:paraId="41980D4F"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1435743"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F77445D"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6D865EE7"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6F3B552"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E7FF483"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4AC25107"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F789D1A" w14:textId="77777777" w:rsidR="008C2F02" w:rsidRPr="00071529" w:rsidRDefault="008C2F02" w:rsidP="001E39EE">
            <w:pPr>
              <w:jc w:val="left"/>
              <w:rPr>
                <w:sz w:val="20"/>
                <w:szCs w:val="20"/>
                <w:lang w:val="fr-CA" w:eastAsia="en-CA"/>
              </w:rPr>
            </w:pPr>
            <w:r w:rsidRPr="00071529">
              <w:rPr>
                <w:sz w:val="20"/>
                <w:szCs w:val="20"/>
                <w:lang w:val="fr-CA" w:eastAsia="en-CA"/>
              </w:rPr>
              <w:t>Suriname</w:t>
            </w:r>
          </w:p>
        </w:tc>
        <w:tc>
          <w:tcPr>
            <w:tcW w:w="854" w:type="dxa"/>
            <w:tcBorders>
              <w:top w:val="nil"/>
              <w:left w:val="nil"/>
              <w:bottom w:val="single" w:sz="4" w:space="0" w:color="auto"/>
              <w:right w:val="single" w:sz="4" w:space="0" w:color="auto"/>
            </w:tcBorders>
            <w:shd w:val="clear" w:color="auto" w:fill="auto"/>
            <w:noWrap/>
            <w:hideMark/>
          </w:tcPr>
          <w:p w14:paraId="512FE5CE"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58FF750"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6F0F8BFB"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427A06CF"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E63F8F5"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C52ACF7"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63C0B5E"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AB5675" w14:textId="77777777" w:rsidR="008C2F02" w:rsidRPr="00071529" w:rsidRDefault="008C2F02" w:rsidP="001E39EE">
            <w:pPr>
              <w:jc w:val="left"/>
              <w:rPr>
                <w:sz w:val="20"/>
                <w:szCs w:val="20"/>
                <w:lang w:val="fr-CA" w:eastAsia="en-CA"/>
              </w:rPr>
            </w:pPr>
            <w:r>
              <w:rPr>
                <w:sz w:val="20"/>
                <w:szCs w:val="20"/>
                <w:lang w:val="fr-CA" w:eastAsia="en-CA"/>
              </w:rPr>
              <w:t>Tchad</w:t>
            </w:r>
          </w:p>
        </w:tc>
        <w:tc>
          <w:tcPr>
            <w:tcW w:w="854" w:type="dxa"/>
            <w:tcBorders>
              <w:top w:val="nil"/>
              <w:left w:val="nil"/>
              <w:bottom w:val="single" w:sz="4" w:space="0" w:color="auto"/>
              <w:right w:val="single" w:sz="4" w:space="0" w:color="auto"/>
            </w:tcBorders>
            <w:shd w:val="clear" w:color="auto" w:fill="auto"/>
            <w:noWrap/>
            <w:hideMark/>
          </w:tcPr>
          <w:p w14:paraId="172082F9"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54D5456"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12A944D5"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02C24DD7"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330D5E4"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38A9327"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C96CF7B"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88D0AF0" w14:textId="77777777" w:rsidR="008C2F02" w:rsidRPr="00071529" w:rsidRDefault="008C2F02" w:rsidP="001E39EE">
            <w:pPr>
              <w:jc w:val="left"/>
              <w:rPr>
                <w:sz w:val="20"/>
                <w:szCs w:val="20"/>
                <w:lang w:val="fr-CA" w:eastAsia="en-CA"/>
              </w:rPr>
            </w:pPr>
            <w:r>
              <w:rPr>
                <w:sz w:val="20"/>
                <w:szCs w:val="20"/>
                <w:lang w:val="fr-CA" w:eastAsia="en-CA"/>
              </w:rPr>
              <w:t>Thaïlande</w:t>
            </w:r>
          </w:p>
        </w:tc>
        <w:tc>
          <w:tcPr>
            <w:tcW w:w="854" w:type="dxa"/>
            <w:tcBorders>
              <w:top w:val="nil"/>
              <w:left w:val="nil"/>
              <w:bottom w:val="single" w:sz="4" w:space="0" w:color="auto"/>
              <w:right w:val="single" w:sz="4" w:space="0" w:color="auto"/>
            </w:tcBorders>
            <w:shd w:val="clear" w:color="auto" w:fill="auto"/>
            <w:noWrap/>
            <w:hideMark/>
          </w:tcPr>
          <w:p w14:paraId="45E96158"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54843BD"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605B6A2C"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2E0502E3"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14C7D55" w14:textId="77777777" w:rsidR="008C2F02" w:rsidRPr="00071529" w:rsidRDefault="008C2F02" w:rsidP="001E39EE">
            <w:pPr>
              <w:jc w:val="right"/>
              <w:rPr>
                <w:sz w:val="20"/>
                <w:szCs w:val="20"/>
                <w:lang w:val="fr-CA" w:eastAsia="en-CA"/>
              </w:rPr>
            </w:pPr>
            <w:r w:rsidRPr="00071529">
              <w:rPr>
                <w:sz w:val="20"/>
                <w:szCs w:val="20"/>
                <w:lang w:val="fr-CA" w:eastAsia="en-CA"/>
              </w:rPr>
              <w:t>183</w:t>
            </w:r>
            <w:r>
              <w:rPr>
                <w:sz w:val="20"/>
                <w:szCs w:val="20"/>
                <w:lang w:val="fr-CA" w:eastAsia="en-CA"/>
              </w:rPr>
              <w:t xml:space="preserve"> </w:t>
            </w:r>
            <w:r w:rsidRPr="00071529">
              <w:rPr>
                <w:sz w:val="20"/>
                <w:szCs w:val="20"/>
                <w:lang w:val="fr-CA" w:eastAsia="en-CA"/>
              </w:rPr>
              <w:t>514</w:t>
            </w:r>
          </w:p>
        </w:tc>
        <w:tc>
          <w:tcPr>
            <w:tcW w:w="1260" w:type="dxa"/>
            <w:tcBorders>
              <w:top w:val="nil"/>
              <w:left w:val="nil"/>
              <w:bottom w:val="single" w:sz="4" w:space="0" w:color="auto"/>
              <w:right w:val="single" w:sz="4" w:space="0" w:color="auto"/>
            </w:tcBorders>
            <w:shd w:val="clear" w:color="auto" w:fill="auto"/>
            <w:noWrap/>
            <w:hideMark/>
          </w:tcPr>
          <w:p w14:paraId="3E70E891" w14:textId="77777777" w:rsidR="008C2F02" w:rsidRPr="00071529" w:rsidRDefault="008C2F02" w:rsidP="001E39EE">
            <w:pPr>
              <w:jc w:val="right"/>
              <w:rPr>
                <w:sz w:val="20"/>
                <w:szCs w:val="20"/>
                <w:lang w:val="fr-CA" w:eastAsia="en-CA"/>
              </w:rPr>
            </w:pPr>
            <w:r w:rsidRPr="00071529">
              <w:rPr>
                <w:sz w:val="20"/>
                <w:szCs w:val="20"/>
                <w:lang w:val="fr-CA" w:eastAsia="en-CA"/>
              </w:rPr>
              <w:t>30</w:t>
            </w:r>
            <w:r>
              <w:rPr>
                <w:sz w:val="20"/>
                <w:szCs w:val="20"/>
                <w:lang w:val="fr-CA" w:eastAsia="en-CA"/>
              </w:rPr>
              <w:t xml:space="preserve"> </w:t>
            </w:r>
            <w:r w:rsidRPr="00071529">
              <w:rPr>
                <w:sz w:val="20"/>
                <w:szCs w:val="20"/>
                <w:lang w:val="fr-CA" w:eastAsia="en-CA"/>
              </w:rPr>
              <w:t>000</w:t>
            </w:r>
          </w:p>
        </w:tc>
      </w:tr>
      <w:tr w:rsidR="008C2F02" w:rsidRPr="00071529" w14:paraId="39BD827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0A25C22" w14:textId="77777777" w:rsidR="008C2F02" w:rsidRPr="00071529" w:rsidRDefault="008C2F02" w:rsidP="001E39EE">
            <w:pPr>
              <w:jc w:val="left"/>
              <w:rPr>
                <w:sz w:val="20"/>
                <w:szCs w:val="20"/>
                <w:lang w:val="fr-CA" w:eastAsia="en-CA"/>
              </w:rPr>
            </w:pPr>
            <w:r w:rsidRPr="00071529">
              <w:rPr>
                <w:sz w:val="20"/>
                <w:szCs w:val="20"/>
                <w:lang w:val="fr-CA" w:eastAsia="en-CA"/>
              </w:rPr>
              <w:t>Timor-Leste</w:t>
            </w:r>
          </w:p>
        </w:tc>
        <w:tc>
          <w:tcPr>
            <w:tcW w:w="854" w:type="dxa"/>
            <w:tcBorders>
              <w:top w:val="nil"/>
              <w:left w:val="nil"/>
              <w:bottom w:val="single" w:sz="4" w:space="0" w:color="auto"/>
              <w:right w:val="single" w:sz="4" w:space="0" w:color="auto"/>
            </w:tcBorders>
            <w:shd w:val="clear" w:color="auto" w:fill="auto"/>
            <w:noWrap/>
            <w:hideMark/>
          </w:tcPr>
          <w:p w14:paraId="3FB52B8A"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45426E6"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4B651042"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7F2D917C"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2333644"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1B577B0"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55062A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643D04D" w14:textId="77777777" w:rsidR="008C2F02" w:rsidRPr="00071529" w:rsidRDefault="008C2F02" w:rsidP="001E39EE">
            <w:pPr>
              <w:jc w:val="left"/>
              <w:rPr>
                <w:sz w:val="20"/>
                <w:szCs w:val="20"/>
                <w:lang w:val="fr-CA" w:eastAsia="en-CA"/>
              </w:rPr>
            </w:pPr>
            <w:r w:rsidRPr="00071529">
              <w:rPr>
                <w:sz w:val="20"/>
                <w:szCs w:val="20"/>
                <w:lang w:val="fr-CA" w:eastAsia="en-CA"/>
              </w:rPr>
              <w:t>Togo</w:t>
            </w:r>
          </w:p>
        </w:tc>
        <w:tc>
          <w:tcPr>
            <w:tcW w:w="854" w:type="dxa"/>
            <w:tcBorders>
              <w:top w:val="nil"/>
              <w:left w:val="nil"/>
              <w:bottom w:val="single" w:sz="4" w:space="0" w:color="auto"/>
              <w:right w:val="single" w:sz="4" w:space="0" w:color="auto"/>
            </w:tcBorders>
            <w:shd w:val="clear" w:color="auto" w:fill="auto"/>
            <w:noWrap/>
            <w:hideMark/>
          </w:tcPr>
          <w:p w14:paraId="629ADA1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9AE5097"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5F56AAB0"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1ADF091E"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96D7BF1"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838C7A8"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52300A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7E58CCA" w14:textId="77777777" w:rsidR="008C2F02" w:rsidRPr="00071529" w:rsidRDefault="008C2F02" w:rsidP="001E39EE">
            <w:pPr>
              <w:jc w:val="left"/>
              <w:rPr>
                <w:sz w:val="20"/>
                <w:szCs w:val="20"/>
                <w:lang w:val="fr-CA" w:eastAsia="en-CA"/>
              </w:rPr>
            </w:pPr>
            <w:r w:rsidRPr="00071529">
              <w:rPr>
                <w:sz w:val="20"/>
                <w:szCs w:val="20"/>
                <w:lang w:val="fr-CA" w:eastAsia="en-CA"/>
              </w:rPr>
              <w:t>Tonga</w:t>
            </w:r>
          </w:p>
        </w:tc>
        <w:tc>
          <w:tcPr>
            <w:tcW w:w="854" w:type="dxa"/>
            <w:tcBorders>
              <w:top w:val="nil"/>
              <w:left w:val="nil"/>
              <w:bottom w:val="single" w:sz="4" w:space="0" w:color="auto"/>
              <w:right w:val="single" w:sz="4" w:space="0" w:color="auto"/>
            </w:tcBorders>
            <w:shd w:val="clear" w:color="auto" w:fill="auto"/>
            <w:noWrap/>
            <w:hideMark/>
          </w:tcPr>
          <w:p w14:paraId="6C56FF57"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08EA444"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5B40A1B0"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5987C6BC"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8E0066B"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556314D5"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4938CE5"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D3A06D2" w14:textId="77777777" w:rsidR="008C2F02" w:rsidRPr="00071529" w:rsidRDefault="008C2F02" w:rsidP="001E39EE">
            <w:pPr>
              <w:jc w:val="left"/>
              <w:rPr>
                <w:sz w:val="20"/>
                <w:szCs w:val="20"/>
                <w:lang w:val="fr-CA" w:eastAsia="en-CA"/>
              </w:rPr>
            </w:pPr>
            <w:r>
              <w:rPr>
                <w:sz w:val="20"/>
                <w:szCs w:val="20"/>
                <w:lang w:val="fr-CA" w:eastAsia="en-CA"/>
              </w:rPr>
              <w:t>Trinité-et-Tobago</w:t>
            </w:r>
          </w:p>
        </w:tc>
        <w:tc>
          <w:tcPr>
            <w:tcW w:w="854" w:type="dxa"/>
            <w:tcBorders>
              <w:top w:val="nil"/>
              <w:left w:val="nil"/>
              <w:bottom w:val="single" w:sz="4" w:space="0" w:color="auto"/>
              <w:right w:val="single" w:sz="4" w:space="0" w:color="auto"/>
            </w:tcBorders>
            <w:shd w:val="clear" w:color="auto" w:fill="auto"/>
            <w:noWrap/>
            <w:hideMark/>
          </w:tcPr>
          <w:p w14:paraId="1624981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14EC1A47"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40B8E0CC"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0F94C522"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95B66B7"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2280719E"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1FDFCECE"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910682" w14:textId="77777777" w:rsidR="008C2F02" w:rsidRPr="00071529" w:rsidRDefault="008C2F02" w:rsidP="001E39EE">
            <w:pPr>
              <w:jc w:val="left"/>
              <w:rPr>
                <w:sz w:val="20"/>
                <w:szCs w:val="20"/>
                <w:lang w:val="fr-CA" w:eastAsia="en-CA"/>
              </w:rPr>
            </w:pPr>
            <w:r>
              <w:rPr>
                <w:sz w:val="20"/>
                <w:szCs w:val="20"/>
                <w:lang w:val="fr-CA" w:eastAsia="en-CA"/>
              </w:rPr>
              <w:t>Tunisie</w:t>
            </w:r>
          </w:p>
        </w:tc>
        <w:tc>
          <w:tcPr>
            <w:tcW w:w="854" w:type="dxa"/>
            <w:tcBorders>
              <w:top w:val="nil"/>
              <w:left w:val="nil"/>
              <w:bottom w:val="single" w:sz="4" w:space="0" w:color="auto"/>
              <w:right w:val="single" w:sz="4" w:space="0" w:color="auto"/>
            </w:tcBorders>
            <w:shd w:val="clear" w:color="auto" w:fill="auto"/>
            <w:noWrap/>
            <w:hideMark/>
          </w:tcPr>
          <w:p w14:paraId="25B3707C"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6FEF14EB"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42026D56"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722960B8"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387062F0"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A9060D6"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3A6996BC"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80D7F3D" w14:textId="77777777" w:rsidR="008C2F02" w:rsidRPr="00071529" w:rsidRDefault="008C2F02" w:rsidP="00F029E2">
            <w:pPr>
              <w:jc w:val="left"/>
              <w:rPr>
                <w:sz w:val="20"/>
                <w:szCs w:val="20"/>
                <w:lang w:val="fr-CA" w:eastAsia="en-CA"/>
              </w:rPr>
            </w:pPr>
            <w:r w:rsidRPr="00071529">
              <w:rPr>
                <w:sz w:val="20"/>
                <w:szCs w:val="20"/>
                <w:lang w:val="fr-CA" w:eastAsia="en-CA"/>
              </w:rPr>
              <w:t>Turkm</w:t>
            </w:r>
            <w:r>
              <w:rPr>
                <w:sz w:val="20"/>
                <w:szCs w:val="20"/>
                <w:lang w:val="fr-CA" w:eastAsia="en-CA"/>
              </w:rPr>
              <w:t>é</w:t>
            </w:r>
            <w:r w:rsidRPr="00071529">
              <w:rPr>
                <w:sz w:val="20"/>
                <w:szCs w:val="20"/>
                <w:lang w:val="fr-CA" w:eastAsia="en-CA"/>
              </w:rPr>
              <w:t>nistan</w:t>
            </w:r>
          </w:p>
        </w:tc>
        <w:tc>
          <w:tcPr>
            <w:tcW w:w="854" w:type="dxa"/>
            <w:tcBorders>
              <w:top w:val="nil"/>
              <w:left w:val="nil"/>
              <w:bottom w:val="single" w:sz="4" w:space="0" w:color="auto"/>
              <w:right w:val="single" w:sz="4" w:space="0" w:color="auto"/>
            </w:tcBorders>
            <w:shd w:val="clear" w:color="auto" w:fill="auto"/>
            <w:noWrap/>
            <w:hideMark/>
          </w:tcPr>
          <w:p w14:paraId="68D72F29"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239163B"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0316A337"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168016ED"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4AFC4071"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A40FE53"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549019C4"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FC8894D" w14:textId="77777777" w:rsidR="008C2F02" w:rsidRPr="00071529" w:rsidRDefault="008C2F02" w:rsidP="001E39EE">
            <w:pPr>
              <w:jc w:val="left"/>
              <w:rPr>
                <w:sz w:val="20"/>
                <w:szCs w:val="20"/>
                <w:lang w:val="fr-CA" w:eastAsia="en-CA"/>
              </w:rPr>
            </w:pPr>
            <w:r>
              <w:rPr>
                <w:sz w:val="20"/>
                <w:szCs w:val="20"/>
                <w:lang w:val="fr-CA" w:eastAsia="en-CA"/>
              </w:rPr>
              <w:t>Turquie</w:t>
            </w:r>
          </w:p>
        </w:tc>
        <w:tc>
          <w:tcPr>
            <w:tcW w:w="854" w:type="dxa"/>
            <w:tcBorders>
              <w:top w:val="nil"/>
              <w:left w:val="nil"/>
              <w:bottom w:val="single" w:sz="4" w:space="0" w:color="auto"/>
              <w:right w:val="single" w:sz="4" w:space="0" w:color="auto"/>
            </w:tcBorders>
            <w:shd w:val="clear" w:color="auto" w:fill="auto"/>
            <w:noWrap/>
            <w:hideMark/>
          </w:tcPr>
          <w:p w14:paraId="4B485B76"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31E9ADE3"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6CC0A625"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35B2BAA0"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24AE563B"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4F2EE18F"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67D8EDA"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73966D8" w14:textId="77777777" w:rsidR="008C2F02" w:rsidRPr="00071529" w:rsidRDefault="008C2F02" w:rsidP="001E39EE">
            <w:pPr>
              <w:jc w:val="left"/>
              <w:rPr>
                <w:sz w:val="20"/>
                <w:szCs w:val="20"/>
                <w:lang w:val="fr-CA" w:eastAsia="en-CA"/>
              </w:rPr>
            </w:pPr>
            <w:r w:rsidRPr="00071529">
              <w:rPr>
                <w:sz w:val="20"/>
                <w:szCs w:val="20"/>
                <w:lang w:val="fr-CA" w:eastAsia="en-CA"/>
              </w:rPr>
              <w:t>Tuvalu</w:t>
            </w:r>
          </w:p>
        </w:tc>
        <w:tc>
          <w:tcPr>
            <w:tcW w:w="854" w:type="dxa"/>
            <w:tcBorders>
              <w:top w:val="nil"/>
              <w:left w:val="nil"/>
              <w:bottom w:val="single" w:sz="4" w:space="0" w:color="auto"/>
              <w:right w:val="single" w:sz="4" w:space="0" w:color="auto"/>
            </w:tcBorders>
            <w:shd w:val="clear" w:color="auto" w:fill="auto"/>
            <w:noWrap/>
            <w:hideMark/>
          </w:tcPr>
          <w:p w14:paraId="302B42DD"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06B0DC53"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4A010CEE"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2559E9D1"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056BCB39"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3600A73"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70F47FAD"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9DE406C" w14:textId="77777777" w:rsidR="008C2F02" w:rsidRPr="00071529" w:rsidRDefault="008C2F02" w:rsidP="001E39EE">
            <w:pPr>
              <w:jc w:val="left"/>
              <w:rPr>
                <w:sz w:val="20"/>
                <w:szCs w:val="20"/>
                <w:lang w:val="fr-CA" w:eastAsia="en-CA"/>
              </w:rPr>
            </w:pPr>
            <w:r w:rsidRPr="00071529">
              <w:rPr>
                <w:sz w:val="20"/>
                <w:szCs w:val="20"/>
                <w:lang w:val="fr-CA" w:eastAsia="en-CA"/>
              </w:rPr>
              <w:t>Uruguay</w:t>
            </w:r>
          </w:p>
        </w:tc>
        <w:tc>
          <w:tcPr>
            <w:tcW w:w="854" w:type="dxa"/>
            <w:tcBorders>
              <w:top w:val="nil"/>
              <w:left w:val="nil"/>
              <w:bottom w:val="single" w:sz="4" w:space="0" w:color="auto"/>
              <w:right w:val="single" w:sz="4" w:space="0" w:color="auto"/>
            </w:tcBorders>
            <w:shd w:val="clear" w:color="auto" w:fill="auto"/>
            <w:noWrap/>
            <w:hideMark/>
          </w:tcPr>
          <w:p w14:paraId="5E5A5968"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4B24D375"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5ED0FFD3"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12F33711"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79452DB"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303B6092"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9882E61"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ED30A5A" w14:textId="77777777" w:rsidR="008C2F02" w:rsidRPr="00071529" w:rsidRDefault="008C2F02" w:rsidP="001E39EE">
            <w:pPr>
              <w:jc w:val="left"/>
              <w:rPr>
                <w:sz w:val="20"/>
                <w:szCs w:val="20"/>
                <w:lang w:val="fr-CA" w:eastAsia="en-CA"/>
              </w:rPr>
            </w:pPr>
            <w:r w:rsidRPr="00071529">
              <w:rPr>
                <w:sz w:val="20"/>
                <w:szCs w:val="20"/>
                <w:lang w:val="fr-CA" w:eastAsia="en-CA"/>
              </w:rPr>
              <w:t>Vanuatu</w:t>
            </w:r>
          </w:p>
        </w:tc>
        <w:tc>
          <w:tcPr>
            <w:tcW w:w="854" w:type="dxa"/>
            <w:tcBorders>
              <w:top w:val="nil"/>
              <w:left w:val="nil"/>
              <w:bottom w:val="single" w:sz="4" w:space="0" w:color="auto"/>
              <w:right w:val="single" w:sz="4" w:space="0" w:color="auto"/>
            </w:tcBorders>
            <w:shd w:val="clear" w:color="auto" w:fill="auto"/>
            <w:noWrap/>
            <w:hideMark/>
          </w:tcPr>
          <w:p w14:paraId="31411E4D"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2A343056"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2F2F2E35"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400C6E5C" w14:textId="77777777" w:rsidR="008C2F02" w:rsidRPr="00071529" w:rsidRDefault="008C2F02" w:rsidP="001E39EE">
            <w:pPr>
              <w:jc w:val="right"/>
              <w:rPr>
                <w:sz w:val="20"/>
                <w:szCs w:val="20"/>
                <w:lang w:val="fr-CA" w:eastAsia="en-CA"/>
              </w:rPr>
            </w:pPr>
            <w:r w:rsidRPr="00071529">
              <w:rPr>
                <w:sz w:val="20"/>
                <w:szCs w:val="20"/>
                <w:lang w:val="fr-CA" w:eastAsia="en-CA"/>
              </w:rPr>
              <w:t>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37F2A7B9"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7319380D"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9295BEC"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8680931" w14:textId="77777777" w:rsidR="008C2F02" w:rsidRPr="00071529" w:rsidRDefault="008C2F02" w:rsidP="001E39EE">
            <w:pPr>
              <w:jc w:val="left"/>
              <w:rPr>
                <w:sz w:val="20"/>
                <w:szCs w:val="20"/>
                <w:lang w:val="fr-CA" w:eastAsia="en-CA"/>
              </w:rPr>
            </w:pPr>
            <w:r>
              <w:rPr>
                <w:sz w:val="20"/>
                <w:szCs w:val="20"/>
                <w:lang w:val="fr-CA" w:eastAsia="en-CA"/>
              </w:rPr>
              <w:t>Venezuela (République bolivarienne du)</w:t>
            </w:r>
          </w:p>
        </w:tc>
        <w:tc>
          <w:tcPr>
            <w:tcW w:w="854" w:type="dxa"/>
            <w:tcBorders>
              <w:top w:val="nil"/>
              <w:left w:val="nil"/>
              <w:bottom w:val="single" w:sz="4" w:space="0" w:color="auto"/>
              <w:right w:val="single" w:sz="4" w:space="0" w:color="auto"/>
            </w:tcBorders>
            <w:shd w:val="clear" w:color="auto" w:fill="auto"/>
            <w:noWrap/>
            <w:hideMark/>
          </w:tcPr>
          <w:p w14:paraId="7A35815A"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1B050C1"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1416EE15"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4EB859BE" w14:textId="77777777" w:rsidR="008C2F02" w:rsidRPr="00071529" w:rsidRDefault="008C2F02" w:rsidP="001E39EE">
            <w:pPr>
              <w:jc w:val="right"/>
              <w:rPr>
                <w:sz w:val="20"/>
                <w:szCs w:val="20"/>
                <w:lang w:val="fr-CA" w:eastAsia="en-CA"/>
              </w:rPr>
            </w:pPr>
            <w:r w:rsidRPr="00071529">
              <w:rPr>
                <w:sz w:val="20"/>
                <w:szCs w:val="20"/>
                <w:lang w:val="fr-CA" w:eastAsia="en-CA"/>
              </w:rPr>
              <w:t>250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1157BE1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E25548B"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64D78826"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2B8374A" w14:textId="77777777" w:rsidR="008C2F02" w:rsidRPr="00071529" w:rsidRDefault="008C2F02" w:rsidP="001E39EE">
            <w:pPr>
              <w:jc w:val="left"/>
              <w:rPr>
                <w:sz w:val="20"/>
                <w:szCs w:val="20"/>
                <w:lang w:val="fr-CA" w:eastAsia="en-CA"/>
              </w:rPr>
            </w:pPr>
            <w:r w:rsidRPr="00071529">
              <w:rPr>
                <w:sz w:val="20"/>
                <w:szCs w:val="20"/>
                <w:lang w:val="fr-CA" w:eastAsia="en-CA"/>
              </w:rPr>
              <w:t>Viet Nam</w:t>
            </w:r>
          </w:p>
        </w:tc>
        <w:tc>
          <w:tcPr>
            <w:tcW w:w="854" w:type="dxa"/>
            <w:tcBorders>
              <w:top w:val="nil"/>
              <w:left w:val="nil"/>
              <w:bottom w:val="single" w:sz="4" w:space="0" w:color="auto"/>
              <w:right w:val="single" w:sz="4" w:space="0" w:color="auto"/>
            </w:tcBorders>
            <w:shd w:val="clear" w:color="auto" w:fill="auto"/>
            <w:noWrap/>
            <w:hideMark/>
          </w:tcPr>
          <w:p w14:paraId="602DE174"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B2F1B98"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39428B1C" w14:textId="77777777" w:rsidR="008C2F02" w:rsidRPr="00071529" w:rsidRDefault="008C2F02" w:rsidP="001E39EE">
            <w:pPr>
              <w:jc w:val="center"/>
              <w:rPr>
                <w:sz w:val="20"/>
                <w:szCs w:val="20"/>
                <w:lang w:val="fr-CA" w:eastAsia="en-CA"/>
              </w:rPr>
            </w:pPr>
            <w:r w:rsidRPr="00071529">
              <w:rPr>
                <w:sz w:val="20"/>
                <w:szCs w:val="20"/>
                <w:lang w:val="fr-CA" w:eastAsia="en-CA"/>
              </w:rPr>
              <w:t>√</w:t>
            </w:r>
          </w:p>
        </w:tc>
        <w:tc>
          <w:tcPr>
            <w:tcW w:w="1331" w:type="dxa"/>
            <w:tcBorders>
              <w:top w:val="nil"/>
              <w:left w:val="nil"/>
              <w:bottom w:val="single" w:sz="4" w:space="0" w:color="auto"/>
              <w:right w:val="single" w:sz="4" w:space="0" w:color="auto"/>
            </w:tcBorders>
            <w:shd w:val="clear" w:color="auto" w:fill="auto"/>
            <w:noWrap/>
            <w:hideMark/>
          </w:tcPr>
          <w:p w14:paraId="48DF726F" w14:textId="77777777" w:rsidR="008C2F02" w:rsidRPr="00071529" w:rsidRDefault="008C2F02" w:rsidP="001E39EE">
            <w:pPr>
              <w:jc w:val="right"/>
              <w:rPr>
                <w:sz w:val="20"/>
                <w:szCs w:val="20"/>
                <w:lang w:val="fr-CA" w:eastAsia="en-CA"/>
              </w:rPr>
            </w:pPr>
            <w:r w:rsidRPr="00071529">
              <w:rPr>
                <w:sz w:val="20"/>
                <w:szCs w:val="20"/>
                <w:lang w:val="fr-CA" w:eastAsia="en-CA"/>
              </w:rPr>
              <w:t>249</w:t>
            </w:r>
            <w:r>
              <w:rPr>
                <w:sz w:val="20"/>
                <w:szCs w:val="20"/>
                <w:lang w:val="fr-CA" w:eastAsia="en-CA"/>
              </w:rPr>
              <w:t xml:space="preserve"> </w:t>
            </w:r>
            <w:r w:rsidRPr="00071529">
              <w:rPr>
                <w:sz w:val="20"/>
                <w:szCs w:val="20"/>
                <w:lang w:val="fr-CA" w:eastAsia="en-CA"/>
              </w:rPr>
              <w:t>238</w:t>
            </w:r>
          </w:p>
        </w:tc>
        <w:tc>
          <w:tcPr>
            <w:tcW w:w="1189" w:type="dxa"/>
            <w:tcBorders>
              <w:top w:val="nil"/>
              <w:left w:val="nil"/>
              <w:bottom w:val="single" w:sz="4" w:space="0" w:color="auto"/>
              <w:right w:val="single" w:sz="4" w:space="0" w:color="auto"/>
            </w:tcBorders>
            <w:shd w:val="clear" w:color="auto" w:fill="auto"/>
            <w:noWrap/>
            <w:hideMark/>
          </w:tcPr>
          <w:p w14:paraId="3F35EE2E"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12FF3D18"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0B3F9B18"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B8F101E" w14:textId="77777777" w:rsidR="008C2F02" w:rsidRPr="00071529" w:rsidRDefault="008C2F02" w:rsidP="001E39EE">
            <w:pPr>
              <w:jc w:val="left"/>
              <w:rPr>
                <w:sz w:val="20"/>
                <w:szCs w:val="20"/>
                <w:lang w:val="fr-CA" w:eastAsia="en-CA"/>
              </w:rPr>
            </w:pPr>
            <w:r>
              <w:rPr>
                <w:sz w:val="20"/>
                <w:szCs w:val="20"/>
                <w:lang w:val="fr-CA" w:eastAsia="en-CA"/>
              </w:rPr>
              <w:t>Yé</w:t>
            </w:r>
            <w:r w:rsidRPr="00071529">
              <w:rPr>
                <w:sz w:val="20"/>
                <w:szCs w:val="20"/>
                <w:lang w:val="fr-CA" w:eastAsia="en-CA"/>
              </w:rPr>
              <w:t>men</w:t>
            </w:r>
          </w:p>
        </w:tc>
        <w:tc>
          <w:tcPr>
            <w:tcW w:w="854" w:type="dxa"/>
            <w:tcBorders>
              <w:top w:val="nil"/>
              <w:left w:val="nil"/>
              <w:bottom w:val="single" w:sz="4" w:space="0" w:color="auto"/>
              <w:right w:val="single" w:sz="4" w:space="0" w:color="auto"/>
            </w:tcBorders>
            <w:shd w:val="clear" w:color="auto" w:fill="auto"/>
            <w:noWrap/>
            <w:hideMark/>
          </w:tcPr>
          <w:p w14:paraId="7A6A2177"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5492D8E0"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2096F2F4"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59F32B7E"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189" w:type="dxa"/>
            <w:tcBorders>
              <w:top w:val="nil"/>
              <w:left w:val="nil"/>
              <w:bottom w:val="single" w:sz="4" w:space="0" w:color="auto"/>
              <w:right w:val="single" w:sz="4" w:space="0" w:color="auto"/>
            </w:tcBorders>
            <w:shd w:val="clear" w:color="auto" w:fill="auto"/>
            <w:noWrap/>
            <w:hideMark/>
          </w:tcPr>
          <w:p w14:paraId="60D86B18"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69916E41"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BBBF995"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22D9547" w14:textId="629574CE" w:rsidR="008C2F02" w:rsidRPr="00071529" w:rsidRDefault="005B55FD" w:rsidP="001E39EE">
            <w:pPr>
              <w:jc w:val="left"/>
              <w:rPr>
                <w:sz w:val="20"/>
                <w:szCs w:val="20"/>
                <w:lang w:val="fr-CA" w:eastAsia="en-CA"/>
              </w:rPr>
            </w:pPr>
            <w:r>
              <w:rPr>
                <w:sz w:val="20"/>
                <w:szCs w:val="20"/>
                <w:lang w:val="fr-CA" w:eastAsia="en-CA"/>
              </w:rPr>
              <w:t>Zambi</w:t>
            </w:r>
            <w:r w:rsidR="008C2F02">
              <w:rPr>
                <w:sz w:val="20"/>
                <w:szCs w:val="20"/>
                <w:lang w:val="fr-CA" w:eastAsia="en-CA"/>
              </w:rPr>
              <w:t>e</w:t>
            </w:r>
          </w:p>
        </w:tc>
        <w:tc>
          <w:tcPr>
            <w:tcW w:w="854" w:type="dxa"/>
            <w:tcBorders>
              <w:top w:val="nil"/>
              <w:left w:val="nil"/>
              <w:bottom w:val="single" w:sz="4" w:space="0" w:color="auto"/>
              <w:right w:val="single" w:sz="4" w:space="0" w:color="auto"/>
            </w:tcBorders>
            <w:shd w:val="clear" w:color="auto" w:fill="auto"/>
            <w:noWrap/>
            <w:hideMark/>
          </w:tcPr>
          <w:p w14:paraId="49C4890D"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13CAA3C6" w14:textId="77777777" w:rsidR="008C2F02" w:rsidRPr="00071529" w:rsidRDefault="008C2F02" w:rsidP="001E39EE">
            <w:pPr>
              <w:jc w:val="center"/>
              <w:rPr>
                <w:sz w:val="20"/>
                <w:szCs w:val="20"/>
                <w:lang w:val="fr-CA" w:eastAsia="en-CA"/>
              </w:rPr>
            </w:pPr>
            <w:r>
              <w:rPr>
                <w:sz w:val="20"/>
                <w:szCs w:val="20"/>
                <w:lang w:val="fr-CA" w:eastAsia="en-CA"/>
              </w:rPr>
              <w:t>Oui</w:t>
            </w:r>
          </w:p>
        </w:tc>
        <w:tc>
          <w:tcPr>
            <w:tcW w:w="1530" w:type="dxa"/>
            <w:tcBorders>
              <w:top w:val="nil"/>
              <w:left w:val="nil"/>
              <w:bottom w:val="single" w:sz="4" w:space="0" w:color="auto"/>
              <w:right w:val="single" w:sz="4" w:space="0" w:color="auto"/>
            </w:tcBorders>
            <w:shd w:val="clear" w:color="auto" w:fill="auto"/>
            <w:noWrap/>
            <w:hideMark/>
          </w:tcPr>
          <w:p w14:paraId="5FF9938E" w14:textId="77777777" w:rsidR="008C2F02" w:rsidRPr="00071529" w:rsidRDefault="008C2F02" w:rsidP="001E39EE">
            <w:pPr>
              <w:jc w:val="center"/>
              <w:rPr>
                <w:sz w:val="20"/>
                <w:szCs w:val="20"/>
                <w:lang w:val="fr-CA" w:eastAsia="en-CA"/>
              </w:rPr>
            </w:pPr>
            <w:r>
              <w:rPr>
                <w:sz w:val="20"/>
                <w:szCs w:val="20"/>
                <w:lang w:val="fr-CA" w:eastAsia="en-CA"/>
              </w:rPr>
              <w:t>En instance</w:t>
            </w:r>
          </w:p>
        </w:tc>
        <w:tc>
          <w:tcPr>
            <w:tcW w:w="1331" w:type="dxa"/>
            <w:tcBorders>
              <w:top w:val="nil"/>
              <w:left w:val="nil"/>
              <w:bottom w:val="single" w:sz="4" w:space="0" w:color="auto"/>
              <w:right w:val="single" w:sz="4" w:space="0" w:color="auto"/>
            </w:tcBorders>
            <w:shd w:val="clear" w:color="auto" w:fill="auto"/>
            <w:noWrap/>
            <w:hideMark/>
          </w:tcPr>
          <w:p w14:paraId="049EAA5F" w14:textId="77777777" w:rsidR="008C2F02" w:rsidRPr="00071529" w:rsidRDefault="008C2F02" w:rsidP="001E39EE">
            <w:pPr>
              <w:jc w:val="right"/>
              <w:rPr>
                <w:sz w:val="20"/>
                <w:szCs w:val="20"/>
                <w:lang w:val="fr-CA" w:eastAsia="en-CA"/>
              </w:rPr>
            </w:pPr>
            <w:r w:rsidRPr="00071529">
              <w:rPr>
                <w:sz w:val="20"/>
                <w:szCs w:val="20"/>
                <w:lang w:val="fr-CA" w:eastAsia="en-CA"/>
              </w:rPr>
              <w:t>95</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55FAB4AF" w14:textId="77777777" w:rsidR="008C2F02" w:rsidRPr="00071529" w:rsidRDefault="008C2F02" w:rsidP="001E39EE">
            <w:pPr>
              <w:jc w:val="right"/>
              <w:rPr>
                <w:sz w:val="20"/>
                <w:szCs w:val="20"/>
                <w:lang w:val="fr-CA" w:eastAsia="en-CA"/>
              </w:rPr>
            </w:pPr>
            <w:r w:rsidRPr="00071529">
              <w:rPr>
                <w:sz w:val="20"/>
                <w:szCs w:val="20"/>
                <w:lang w:val="fr-CA" w:eastAsia="en-CA"/>
              </w:rPr>
              <w:t> </w:t>
            </w:r>
          </w:p>
        </w:tc>
        <w:tc>
          <w:tcPr>
            <w:tcW w:w="1260" w:type="dxa"/>
            <w:tcBorders>
              <w:top w:val="nil"/>
              <w:left w:val="nil"/>
              <w:bottom w:val="single" w:sz="4" w:space="0" w:color="auto"/>
              <w:right w:val="single" w:sz="4" w:space="0" w:color="auto"/>
            </w:tcBorders>
            <w:shd w:val="clear" w:color="auto" w:fill="auto"/>
            <w:noWrap/>
            <w:hideMark/>
          </w:tcPr>
          <w:p w14:paraId="0DF283EE" w14:textId="77777777" w:rsidR="008C2F02" w:rsidRPr="00071529" w:rsidRDefault="008C2F02" w:rsidP="001E39EE">
            <w:pPr>
              <w:jc w:val="right"/>
              <w:rPr>
                <w:sz w:val="20"/>
                <w:szCs w:val="20"/>
                <w:lang w:val="fr-CA" w:eastAsia="en-CA"/>
              </w:rPr>
            </w:pPr>
            <w:r w:rsidRPr="00071529">
              <w:rPr>
                <w:sz w:val="20"/>
                <w:szCs w:val="20"/>
                <w:lang w:val="fr-CA" w:eastAsia="en-CA"/>
              </w:rPr>
              <w:t> </w:t>
            </w:r>
          </w:p>
        </w:tc>
      </w:tr>
      <w:tr w:rsidR="008C2F02" w:rsidRPr="00071529" w14:paraId="2726471B" w14:textId="77777777" w:rsidTr="005B55FD">
        <w:tc>
          <w:tcPr>
            <w:tcW w:w="198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62A4D7" w14:textId="77777777" w:rsidR="008C2F02" w:rsidRPr="00071529" w:rsidRDefault="008C2F02" w:rsidP="001E39EE">
            <w:pPr>
              <w:jc w:val="left"/>
              <w:rPr>
                <w:sz w:val="20"/>
                <w:szCs w:val="20"/>
                <w:lang w:val="fr-CA" w:eastAsia="en-CA"/>
              </w:rPr>
            </w:pPr>
            <w:r w:rsidRPr="00071529">
              <w:rPr>
                <w:sz w:val="20"/>
                <w:szCs w:val="20"/>
                <w:lang w:val="fr-CA" w:eastAsia="en-CA"/>
              </w:rPr>
              <w:t>Zimbabwe</w:t>
            </w:r>
          </w:p>
        </w:tc>
        <w:tc>
          <w:tcPr>
            <w:tcW w:w="854" w:type="dxa"/>
            <w:tcBorders>
              <w:top w:val="nil"/>
              <w:left w:val="nil"/>
              <w:bottom w:val="single" w:sz="4" w:space="0" w:color="auto"/>
              <w:right w:val="single" w:sz="4" w:space="0" w:color="auto"/>
            </w:tcBorders>
            <w:shd w:val="clear" w:color="auto" w:fill="auto"/>
            <w:noWrap/>
            <w:hideMark/>
          </w:tcPr>
          <w:p w14:paraId="145AB289" w14:textId="77777777" w:rsidR="008C2F02" w:rsidRPr="00071529" w:rsidRDefault="008C2F02" w:rsidP="001E39EE">
            <w:pPr>
              <w:jc w:val="center"/>
              <w:rPr>
                <w:sz w:val="20"/>
                <w:szCs w:val="20"/>
                <w:lang w:val="fr-CA" w:eastAsia="en-CA"/>
              </w:rPr>
            </w:pPr>
            <w:r w:rsidRPr="00071529">
              <w:rPr>
                <w:sz w:val="20"/>
                <w:szCs w:val="20"/>
                <w:lang w:val="fr-CA" w:eastAsia="en-CA"/>
              </w:rPr>
              <w:t>1</w:t>
            </w:r>
          </w:p>
        </w:tc>
        <w:tc>
          <w:tcPr>
            <w:tcW w:w="1396" w:type="dxa"/>
            <w:tcBorders>
              <w:top w:val="nil"/>
              <w:left w:val="nil"/>
              <w:bottom w:val="single" w:sz="4" w:space="0" w:color="auto"/>
              <w:right w:val="single" w:sz="4" w:space="0" w:color="auto"/>
            </w:tcBorders>
            <w:shd w:val="clear" w:color="auto" w:fill="auto"/>
            <w:noWrap/>
            <w:hideMark/>
          </w:tcPr>
          <w:p w14:paraId="767FF0DB"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530" w:type="dxa"/>
            <w:tcBorders>
              <w:top w:val="nil"/>
              <w:left w:val="nil"/>
              <w:bottom w:val="single" w:sz="4" w:space="0" w:color="auto"/>
              <w:right w:val="single" w:sz="4" w:space="0" w:color="auto"/>
            </w:tcBorders>
            <w:shd w:val="clear" w:color="auto" w:fill="auto"/>
            <w:noWrap/>
            <w:hideMark/>
          </w:tcPr>
          <w:p w14:paraId="2547FF84" w14:textId="77777777" w:rsidR="008C2F02" w:rsidRPr="00071529" w:rsidRDefault="008C2F02" w:rsidP="001E39EE">
            <w:pPr>
              <w:jc w:val="center"/>
              <w:rPr>
                <w:sz w:val="20"/>
                <w:szCs w:val="20"/>
                <w:lang w:val="fr-CA" w:eastAsia="en-CA"/>
              </w:rPr>
            </w:pPr>
            <w:r w:rsidRPr="00071529">
              <w:rPr>
                <w:sz w:val="20"/>
                <w:szCs w:val="20"/>
                <w:lang w:val="fr-CA" w:eastAsia="en-CA"/>
              </w:rPr>
              <w:t> </w:t>
            </w:r>
          </w:p>
        </w:tc>
        <w:tc>
          <w:tcPr>
            <w:tcW w:w="1331" w:type="dxa"/>
            <w:tcBorders>
              <w:top w:val="nil"/>
              <w:left w:val="nil"/>
              <w:bottom w:val="single" w:sz="4" w:space="0" w:color="auto"/>
              <w:right w:val="single" w:sz="4" w:space="0" w:color="auto"/>
            </w:tcBorders>
            <w:shd w:val="clear" w:color="auto" w:fill="auto"/>
            <w:noWrap/>
            <w:hideMark/>
          </w:tcPr>
          <w:p w14:paraId="56222B77" w14:textId="77777777" w:rsidR="008C2F02" w:rsidRPr="00071529" w:rsidRDefault="008C2F02" w:rsidP="001E39EE">
            <w:pPr>
              <w:jc w:val="right"/>
              <w:rPr>
                <w:sz w:val="20"/>
                <w:szCs w:val="20"/>
                <w:lang w:val="fr-CA" w:eastAsia="en-CA"/>
              </w:rPr>
            </w:pPr>
            <w:r w:rsidRPr="00071529">
              <w:rPr>
                <w:sz w:val="20"/>
                <w:szCs w:val="20"/>
                <w:lang w:val="fr-CA" w:eastAsia="en-CA"/>
              </w:rPr>
              <w:t>150</w:t>
            </w:r>
            <w:r>
              <w:rPr>
                <w:sz w:val="20"/>
                <w:szCs w:val="20"/>
                <w:lang w:val="fr-CA" w:eastAsia="en-CA"/>
              </w:rPr>
              <w:t xml:space="preserve"> </w:t>
            </w:r>
            <w:r w:rsidRPr="00071529">
              <w:rPr>
                <w:sz w:val="20"/>
                <w:szCs w:val="20"/>
                <w:lang w:val="fr-CA" w:eastAsia="en-CA"/>
              </w:rPr>
              <w:t>000</w:t>
            </w:r>
          </w:p>
        </w:tc>
        <w:tc>
          <w:tcPr>
            <w:tcW w:w="1189" w:type="dxa"/>
            <w:tcBorders>
              <w:top w:val="nil"/>
              <w:left w:val="nil"/>
              <w:bottom w:val="single" w:sz="4" w:space="0" w:color="auto"/>
              <w:right w:val="single" w:sz="4" w:space="0" w:color="auto"/>
            </w:tcBorders>
            <w:shd w:val="clear" w:color="auto" w:fill="auto"/>
            <w:noWrap/>
            <w:hideMark/>
          </w:tcPr>
          <w:p w14:paraId="77EA5D21" w14:textId="77777777" w:rsidR="008C2F02" w:rsidRPr="00071529" w:rsidRDefault="008C2F02" w:rsidP="001E39EE">
            <w:pPr>
              <w:jc w:val="right"/>
              <w:rPr>
                <w:sz w:val="20"/>
                <w:szCs w:val="20"/>
                <w:lang w:val="fr-CA" w:eastAsia="en-CA"/>
              </w:rPr>
            </w:pPr>
            <w:r w:rsidRPr="00071529">
              <w:rPr>
                <w:sz w:val="20"/>
                <w:szCs w:val="20"/>
                <w:lang w:val="fr-CA" w:eastAsia="en-CA"/>
              </w:rPr>
              <w:t>426</w:t>
            </w:r>
            <w:r>
              <w:rPr>
                <w:sz w:val="20"/>
                <w:szCs w:val="20"/>
                <w:lang w:val="fr-CA" w:eastAsia="en-CA"/>
              </w:rPr>
              <w:t xml:space="preserve"> </w:t>
            </w:r>
            <w:r w:rsidRPr="00071529">
              <w:rPr>
                <w:sz w:val="20"/>
                <w:szCs w:val="20"/>
                <w:lang w:val="fr-CA" w:eastAsia="en-CA"/>
              </w:rPr>
              <w:t>954</w:t>
            </w:r>
          </w:p>
        </w:tc>
        <w:tc>
          <w:tcPr>
            <w:tcW w:w="1260" w:type="dxa"/>
            <w:tcBorders>
              <w:top w:val="nil"/>
              <w:left w:val="nil"/>
              <w:bottom w:val="single" w:sz="4" w:space="0" w:color="auto"/>
              <w:right w:val="single" w:sz="4" w:space="0" w:color="auto"/>
            </w:tcBorders>
            <w:shd w:val="clear" w:color="auto" w:fill="auto"/>
            <w:noWrap/>
            <w:hideMark/>
          </w:tcPr>
          <w:p w14:paraId="7503A037" w14:textId="77777777" w:rsidR="008C2F02" w:rsidRPr="00071529" w:rsidRDefault="008C2F02" w:rsidP="001E39EE">
            <w:pPr>
              <w:jc w:val="right"/>
              <w:rPr>
                <w:sz w:val="20"/>
                <w:szCs w:val="20"/>
                <w:lang w:val="fr-CA" w:eastAsia="en-CA"/>
              </w:rPr>
            </w:pPr>
            <w:r w:rsidRPr="00071529">
              <w:rPr>
                <w:sz w:val="20"/>
                <w:szCs w:val="20"/>
                <w:lang w:val="fr-CA" w:eastAsia="en-CA"/>
              </w:rPr>
              <w:t>30</w:t>
            </w:r>
            <w:r>
              <w:rPr>
                <w:sz w:val="20"/>
                <w:szCs w:val="20"/>
                <w:lang w:val="fr-CA" w:eastAsia="en-CA"/>
              </w:rPr>
              <w:t xml:space="preserve"> </w:t>
            </w:r>
            <w:r w:rsidRPr="00071529">
              <w:rPr>
                <w:sz w:val="20"/>
                <w:szCs w:val="20"/>
                <w:lang w:val="fr-CA" w:eastAsia="en-CA"/>
              </w:rPr>
              <w:t>000</w:t>
            </w:r>
          </w:p>
        </w:tc>
      </w:tr>
      <w:tr w:rsidR="005B55FD" w:rsidRPr="00071529" w14:paraId="4D334B1B" w14:textId="77777777" w:rsidTr="005B55FD">
        <w:tc>
          <w:tcPr>
            <w:tcW w:w="1980"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tcPr>
          <w:p w14:paraId="0E3E3F1E" w14:textId="195652D5" w:rsidR="005B55FD" w:rsidRPr="00071529" w:rsidRDefault="005B55FD" w:rsidP="005B55FD">
            <w:pPr>
              <w:jc w:val="left"/>
              <w:rPr>
                <w:sz w:val="20"/>
                <w:szCs w:val="20"/>
                <w:lang w:val="fr-CA" w:eastAsia="en-CA"/>
              </w:rPr>
            </w:pPr>
            <w:r w:rsidRPr="00071529">
              <w:rPr>
                <w:b/>
                <w:bCs/>
                <w:sz w:val="20"/>
                <w:szCs w:val="20"/>
                <w:lang w:val="fr-CA" w:eastAsia="en-CA"/>
              </w:rPr>
              <w:t>Total</w:t>
            </w:r>
          </w:p>
        </w:tc>
        <w:tc>
          <w:tcPr>
            <w:tcW w:w="854" w:type="dxa"/>
            <w:tcBorders>
              <w:top w:val="single" w:sz="4" w:space="0" w:color="auto"/>
              <w:left w:val="nil"/>
              <w:bottom w:val="single" w:sz="4" w:space="0" w:color="auto"/>
              <w:right w:val="single" w:sz="4" w:space="0" w:color="auto"/>
            </w:tcBorders>
            <w:shd w:val="clear" w:color="auto" w:fill="auto"/>
            <w:noWrap/>
          </w:tcPr>
          <w:p w14:paraId="05082AF5" w14:textId="1FB47C30" w:rsidR="005B55FD" w:rsidRPr="00071529" w:rsidRDefault="005B55FD" w:rsidP="005B55FD">
            <w:pPr>
              <w:jc w:val="center"/>
              <w:rPr>
                <w:sz w:val="20"/>
                <w:szCs w:val="20"/>
                <w:lang w:val="fr-CA" w:eastAsia="en-CA"/>
              </w:rPr>
            </w:pPr>
            <w:r w:rsidRPr="00071529">
              <w:rPr>
                <w:b/>
                <w:bCs/>
                <w:sz w:val="20"/>
                <w:szCs w:val="20"/>
                <w:lang w:val="fr-CA" w:eastAsia="en-CA"/>
              </w:rPr>
              <w:t> </w:t>
            </w:r>
          </w:p>
        </w:tc>
        <w:tc>
          <w:tcPr>
            <w:tcW w:w="1396" w:type="dxa"/>
            <w:tcBorders>
              <w:top w:val="single" w:sz="4" w:space="0" w:color="auto"/>
              <w:left w:val="nil"/>
              <w:bottom w:val="single" w:sz="4" w:space="0" w:color="auto"/>
              <w:right w:val="single" w:sz="4" w:space="0" w:color="auto"/>
            </w:tcBorders>
            <w:shd w:val="clear" w:color="auto" w:fill="auto"/>
            <w:noWrap/>
          </w:tcPr>
          <w:p w14:paraId="2564B04E" w14:textId="6A0D09DD" w:rsidR="005B55FD" w:rsidRPr="00071529" w:rsidRDefault="005B55FD" w:rsidP="005B55FD">
            <w:pPr>
              <w:jc w:val="center"/>
              <w:rPr>
                <w:sz w:val="20"/>
                <w:szCs w:val="20"/>
                <w:lang w:val="fr-CA" w:eastAsia="en-CA"/>
              </w:rPr>
            </w:pPr>
            <w:r w:rsidRPr="00071529">
              <w:rPr>
                <w:b/>
                <w:bCs/>
                <w:sz w:val="20"/>
                <w:szCs w:val="20"/>
                <w:lang w:val="fr-CA" w:eastAsia="en-CA"/>
              </w:rPr>
              <w:t> </w:t>
            </w:r>
          </w:p>
        </w:tc>
        <w:tc>
          <w:tcPr>
            <w:tcW w:w="1530" w:type="dxa"/>
            <w:tcBorders>
              <w:top w:val="single" w:sz="4" w:space="0" w:color="auto"/>
              <w:left w:val="nil"/>
              <w:bottom w:val="single" w:sz="4" w:space="0" w:color="auto"/>
              <w:right w:val="single" w:sz="4" w:space="0" w:color="auto"/>
            </w:tcBorders>
            <w:shd w:val="clear" w:color="auto" w:fill="auto"/>
            <w:noWrap/>
          </w:tcPr>
          <w:p w14:paraId="22CC55C3" w14:textId="1140479E" w:rsidR="005B55FD" w:rsidRPr="00071529" w:rsidRDefault="005B55FD" w:rsidP="005B55FD">
            <w:pPr>
              <w:jc w:val="center"/>
              <w:rPr>
                <w:sz w:val="20"/>
                <w:szCs w:val="20"/>
                <w:lang w:val="fr-CA" w:eastAsia="en-CA"/>
              </w:rPr>
            </w:pPr>
            <w:r w:rsidRPr="00071529">
              <w:rPr>
                <w:b/>
                <w:bCs/>
                <w:sz w:val="20"/>
                <w:szCs w:val="20"/>
                <w:lang w:val="fr-CA" w:eastAsia="en-CA"/>
              </w:rPr>
              <w:t> </w:t>
            </w:r>
          </w:p>
        </w:tc>
        <w:tc>
          <w:tcPr>
            <w:tcW w:w="1331" w:type="dxa"/>
            <w:tcBorders>
              <w:top w:val="single" w:sz="4" w:space="0" w:color="auto"/>
              <w:left w:val="nil"/>
              <w:bottom w:val="single" w:sz="4" w:space="0" w:color="auto"/>
              <w:right w:val="single" w:sz="4" w:space="0" w:color="auto"/>
            </w:tcBorders>
            <w:shd w:val="clear" w:color="auto" w:fill="auto"/>
            <w:noWrap/>
          </w:tcPr>
          <w:p w14:paraId="1402E0E0" w14:textId="3D8A7660" w:rsidR="005B55FD" w:rsidRPr="00071529" w:rsidRDefault="005B55FD" w:rsidP="005B55FD">
            <w:pPr>
              <w:jc w:val="right"/>
              <w:rPr>
                <w:sz w:val="20"/>
                <w:szCs w:val="20"/>
                <w:lang w:val="fr-CA" w:eastAsia="en-CA"/>
              </w:rPr>
            </w:pPr>
            <w:r>
              <w:rPr>
                <w:b/>
                <w:bCs/>
                <w:sz w:val="20"/>
                <w:szCs w:val="20"/>
                <w:lang w:val="fr-CA" w:eastAsia="en-CA"/>
              </w:rPr>
              <w:t xml:space="preserve">18 494 </w:t>
            </w:r>
            <w:r w:rsidRPr="00071529">
              <w:rPr>
                <w:b/>
                <w:bCs/>
                <w:sz w:val="20"/>
                <w:szCs w:val="20"/>
                <w:lang w:val="fr-CA" w:eastAsia="en-CA"/>
              </w:rPr>
              <w:t>254</w:t>
            </w:r>
          </w:p>
        </w:tc>
        <w:tc>
          <w:tcPr>
            <w:tcW w:w="1189" w:type="dxa"/>
            <w:tcBorders>
              <w:top w:val="single" w:sz="4" w:space="0" w:color="auto"/>
              <w:left w:val="nil"/>
              <w:bottom w:val="single" w:sz="4" w:space="0" w:color="auto"/>
              <w:right w:val="single" w:sz="4" w:space="0" w:color="auto"/>
            </w:tcBorders>
            <w:shd w:val="clear" w:color="auto" w:fill="auto"/>
            <w:noWrap/>
          </w:tcPr>
          <w:p w14:paraId="4D79AC58" w14:textId="4B3F9801" w:rsidR="005B55FD" w:rsidRPr="00071529" w:rsidRDefault="005B55FD" w:rsidP="005B55FD">
            <w:pPr>
              <w:jc w:val="right"/>
              <w:rPr>
                <w:sz w:val="20"/>
                <w:szCs w:val="20"/>
                <w:lang w:val="fr-CA" w:eastAsia="en-CA"/>
              </w:rPr>
            </w:pPr>
            <w:r>
              <w:rPr>
                <w:b/>
                <w:bCs/>
                <w:sz w:val="20"/>
                <w:szCs w:val="20"/>
                <w:lang w:val="fr-CA" w:eastAsia="en-CA"/>
              </w:rPr>
              <w:t xml:space="preserve">13 880 </w:t>
            </w:r>
            <w:r w:rsidRPr="00071529">
              <w:rPr>
                <w:b/>
                <w:bCs/>
                <w:sz w:val="20"/>
                <w:szCs w:val="20"/>
                <w:lang w:val="fr-CA" w:eastAsia="en-CA"/>
              </w:rPr>
              <w:t>307</w:t>
            </w:r>
          </w:p>
        </w:tc>
        <w:tc>
          <w:tcPr>
            <w:tcW w:w="1260" w:type="dxa"/>
            <w:tcBorders>
              <w:top w:val="single" w:sz="4" w:space="0" w:color="auto"/>
              <w:left w:val="nil"/>
              <w:bottom w:val="single" w:sz="4" w:space="0" w:color="auto"/>
              <w:right w:val="single" w:sz="4" w:space="0" w:color="auto"/>
            </w:tcBorders>
            <w:shd w:val="clear" w:color="auto" w:fill="auto"/>
            <w:noWrap/>
          </w:tcPr>
          <w:p w14:paraId="4FD583EF" w14:textId="4C899959" w:rsidR="005B55FD" w:rsidRPr="00071529" w:rsidRDefault="005B55FD" w:rsidP="005B55FD">
            <w:pPr>
              <w:jc w:val="right"/>
              <w:rPr>
                <w:sz w:val="20"/>
                <w:szCs w:val="20"/>
                <w:lang w:val="fr-CA" w:eastAsia="en-CA"/>
              </w:rPr>
            </w:pPr>
            <w:r>
              <w:rPr>
                <w:b/>
                <w:bCs/>
                <w:sz w:val="20"/>
                <w:szCs w:val="20"/>
                <w:lang w:val="fr-CA" w:eastAsia="en-CA"/>
              </w:rPr>
              <w:t xml:space="preserve">433 </w:t>
            </w:r>
            <w:r w:rsidRPr="00071529">
              <w:rPr>
                <w:b/>
                <w:bCs/>
                <w:sz w:val="20"/>
                <w:szCs w:val="20"/>
                <w:lang w:val="fr-CA" w:eastAsia="en-CA"/>
              </w:rPr>
              <w:t>637</w:t>
            </w:r>
          </w:p>
        </w:tc>
      </w:tr>
    </w:tbl>
    <w:p w14:paraId="0532F8EE" w14:textId="77777777" w:rsidR="00E06C53" w:rsidRPr="00071529" w:rsidRDefault="00E06C53" w:rsidP="001E39EE">
      <w:pPr>
        <w:jc w:val="left"/>
        <w:rPr>
          <w:b/>
          <w:lang w:val="fr-CA"/>
        </w:rPr>
      </w:pPr>
    </w:p>
    <w:p w14:paraId="0F847783" w14:textId="77777777" w:rsidR="00E06C53" w:rsidRPr="00071529" w:rsidRDefault="00E06C53" w:rsidP="001E39EE">
      <w:pPr>
        <w:jc w:val="left"/>
        <w:rPr>
          <w:b/>
          <w:lang w:val="fr-CA"/>
        </w:rPr>
      </w:pPr>
    </w:p>
    <w:p w14:paraId="67E9A724" w14:textId="77777777" w:rsidR="00D631A9" w:rsidRPr="001A0303" w:rsidRDefault="00D631A9" w:rsidP="001E39EE">
      <w:pPr>
        <w:jc w:val="left"/>
        <w:rPr>
          <w:b/>
        </w:rPr>
      </w:pPr>
      <w:r w:rsidRPr="001A0303">
        <w:rPr>
          <w:b/>
        </w:rPr>
        <w:t xml:space="preserve"> </w:t>
      </w:r>
    </w:p>
    <w:p w14:paraId="09BE0605" w14:textId="77777777" w:rsidR="00D631A9" w:rsidRPr="001A0303" w:rsidRDefault="00D631A9" w:rsidP="001E39EE">
      <w:pPr>
        <w:jc w:val="left"/>
        <w:rPr>
          <w:b/>
        </w:rPr>
        <w:sectPr w:rsidR="00D631A9" w:rsidRPr="001A0303" w:rsidSect="00A37590">
          <w:headerReference w:type="even" r:id="rId17"/>
          <w:headerReference w:type="default" r:id="rId18"/>
          <w:headerReference w:type="first" r:id="rId19"/>
          <w:footerReference w:type="first" r:id="rId20"/>
          <w:footnotePr>
            <w:numRestart w:val="eachSect"/>
          </w:footnotePr>
          <w:pgSz w:w="12240" w:h="15840" w:code="1"/>
          <w:pgMar w:top="720" w:right="1440" w:bottom="864" w:left="1440" w:header="720" w:footer="475" w:gutter="0"/>
          <w:pgNumType w:start="1"/>
          <w:cols w:space="720"/>
          <w:titlePg/>
        </w:sectPr>
      </w:pPr>
    </w:p>
    <w:p w14:paraId="59F99D8B" w14:textId="55CCC3BF" w:rsidR="00D631A9" w:rsidRPr="005B55FD" w:rsidRDefault="00D631A9" w:rsidP="001E39EE">
      <w:pPr>
        <w:jc w:val="center"/>
        <w:rPr>
          <w:b/>
          <w:lang w:val="fr-CA"/>
        </w:rPr>
      </w:pPr>
      <w:r w:rsidRPr="005B55FD">
        <w:rPr>
          <w:b/>
          <w:lang w:val="fr-CA"/>
        </w:rPr>
        <w:lastRenderedPageBreak/>
        <w:t>Annex</w:t>
      </w:r>
      <w:r w:rsidR="005B55FD" w:rsidRPr="005B55FD">
        <w:rPr>
          <w:b/>
          <w:lang w:val="fr-CA"/>
        </w:rPr>
        <w:t>e</w:t>
      </w:r>
      <w:r w:rsidRPr="005B55FD">
        <w:rPr>
          <w:b/>
          <w:lang w:val="fr-CA"/>
        </w:rPr>
        <w:t xml:space="preserve"> II</w:t>
      </w:r>
    </w:p>
    <w:p w14:paraId="581DD262" w14:textId="77777777" w:rsidR="00D631A9" w:rsidRPr="005B55FD" w:rsidRDefault="00D631A9" w:rsidP="001E39EE">
      <w:pPr>
        <w:jc w:val="center"/>
        <w:rPr>
          <w:b/>
          <w:lang w:val="fr-CA"/>
        </w:rPr>
      </w:pPr>
    </w:p>
    <w:p w14:paraId="6DF94FED" w14:textId="41A3E2B3" w:rsidR="00D631A9" w:rsidRPr="005B55FD" w:rsidRDefault="00B932B1" w:rsidP="001E39EE">
      <w:pPr>
        <w:jc w:val="center"/>
        <w:rPr>
          <w:b/>
          <w:lang w:val="fr-CA"/>
        </w:rPr>
      </w:pPr>
      <w:r>
        <w:rPr>
          <w:b/>
          <w:lang w:val="fr-CA"/>
        </w:rPr>
        <w:t xml:space="preserve">ANALYSE DU RAPPORT PÉRIODIQUE GLOBAL DU FONDS MULTILATÉRAL </w:t>
      </w:r>
      <w:r>
        <w:rPr>
          <w:b/>
          <w:lang w:val="fr-CA"/>
        </w:rPr>
        <w:br/>
        <w:t>AU 31 DÉCEMBRE 2020</w:t>
      </w:r>
    </w:p>
    <w:p w14:paraId="107C197B" w14:textId="77777777" w:rsidR="00D631A9" w:rsidRPr="005B55FD" w:rsidRDefault="00D631A9" w:rsidP="001E39EE">
      <w:pPr>
        <w:jc w:val="center"/>
        <w:rPr>
          <w:b/>
          <w:lang w:val="fr-CA"/>
        </w:rPr>
      </w:pPr>
    </w:p>
    <w:p w14:paraId="03EA4A32" w14:textId="13AD4484" w:rsidR="00D631A9" w:rsidRPr="005B55FD" w:rsidRDefault="00B932B1" w:rsidP="001E39EE">
      <w:pPr>
        <w:pStyle w:val="Heading1"/>
        <w:numPr>
          <w:ilvl w:val="0"/>
          <w:numId w:val="37"/>
        </w:numPr>
        <w:rPr>
          <w:lang w:val="fr-CA"/>
        </w:rPr>
      </w:pPr>
      <w:r>
        <w:rPr>
          <w:lang w:val="fr-CA"/>
        </w:rPr>
        <w:t xml:space="preserve">Cette annexe comprend les deux parties suivantes </w:t>
      </w:r>
      <w:r w:rsidR="00D631A9" w:rsidRPr="005B55FD">
        <w:rPr>
          <w:lang w:val="fr-CA"/>
        </w:rPr>
        <w:t>:</w:t>
      </w:r>
    </w:p>
    <w:p w14:paraId="4E2D10B8" w14:textId="3C944390" w:rsidR="00D631A9" w:rsidRPr="005B55FD" w:rsidRDefault="00D631A9" w:rsidP="001E39EE">
      <w:pPr>
        <w:pStyle w:val="Heading2"/>
        <w:keepNext/>
        <w:widowControl/>
        <w:numPr>
          <w:ilvl w:val="0"/>
          <w:numId w:val="0"/>
        </w:numPr>
        <w:adjustRightInd w:val="0"/>
        <w:ind w:left="2160" w:hanging="1440"/>
        <w:textAlignment w:val="baseline"/>
        <w:rPr>
          <w:lang w:val="fr-CA"/>
        </w:rPr>
      </w:pPr>
      <w:r w:rsidRPr="005B55FD">
        <w:rPr>
          <w:lang w:val="fr-CA"/>
        </w:rPr>
        <w:t>Part</w:t>
      </w:r>
      <w:r w:rsidR="00B932B1">
        <w:rPr>
          <w:lang w:val="fr-CA"/>
        </w:rPr>
        <w:t>ie</w:t>
      </w:r>
      <w:r w:rsidRPr="005B55FD">
        <w:rPr>
          <w:lang w:val="fr-CA"/>
        </w:rPr>
        <w:t xml:space="preserve"> I</w:t>
      </w:r>
      <w:r w:rsidR="00B932B1">
        <w:rPr>
          <w:lang w:val="fr-CA"/>
        </w:rPr>
        <w:t xml:space="preserve"> </w:t>
      </w:r>
      <w:r w:rsidRPr="005B55FD">
        <w:rPr>
          <w:lang w:val="fr-CA"/>
        </w:rPr>
        <w:t>:</w:t>
      </w:r>
      <w:r w:rsidRPr="005B55FD">
        <w:rPr>
          <w:lang w:val="fr-CA"/>
        </w:rPr>
        <w:tab/>
      </w:r>
      <w:r w:rsidR="00B932B1">
        <w:rPr>
          <w:lang w:val="fr-CA"/>
        </w:rPr>
        <w:t>Projets approuvés au titre des contributions régulières au Fonds multilatéral</w:t>
      </w:r>
      <w:r w:rsidRPr="005B55FD">
        <w:rPr>
          <w:lang w:val="fr-CA"/>
        </w:rPr>
        <w:t>.</w:t>
      </w:r>
    </w:p>
    <w:p w14:paraId="31E7314B" w14:textId="154F8046" w:rsidR="00D631A9" w:rsidRPr="005B55FD" w:rsidRDefault="00D631A9" w:rsidP="001E39EE">
      <w:pPr>
        <w:pStyle w:val="Heading2"/>
        <w:widowControl/>
        <w:numPr>
          <w:ilvl w:val="0"/>
          <w:numId w:val="0"/>
        </w:numPr>
        <w:adjustRightInd w:val="0"/>
        <w:ind w:left="2160" w:hanging="1440"/>
        <w:textAlignment w:val="baseline"/>
        <w:rPr>
          <w:lang w:val="fr-CA"/>
        </w:rPr>
      </w:pPr>
      <w:r w:rsidRPr="005B55FD">
        <w:rPr>
          <w:lang w:val="fr-CA"/>
        </w:rPr>
        <w:t>Part</w:t>
      </w:r>
      <w:r w:rsidR="00B932B1">
        <w:rPr>
          <w:lang w:val="fr-CA"/>
        </w:rPr>
        <w:t>ie</w:t>
      </w:r>
      <w:r w:rsidRPr="005B55FD">
        <w:rPr>
          <w:lang w:val="fr-CA"/>
        </w:rPr>
        <w:t xml:space="preserve"> II</w:t>
      </w:r>
      <w:r w:rsidR="00B932B1">
        <w:rPr>
          <w:lang w:val="fr-CA"/>
        </w:rPr>
        <w:t xml:space="preserve"> </w:t>
      </w:r>
      <w:r w:rsidRPr="005B55FD">
        <w:rPr>
          <w:lang w:val="fr-CA"/>
        </w:rPr>
        <w:t>:</w:t>
      </w:r>
      <w:r w:rsidRPr="005B55FD">
        <w:rPr>
          <w:lang w:val="fr-CA"/>
        </w:rPr>
        <w:tab/>
      </w:r>
      <w:r w:rsidR="00B932B1">
        <w:rPr>
          <w:lang w:val="fr-CA"/>
        </w:rPr>
        <w:t>Projets approuvés au titre des contributions supplémentaires volontaires en soutien au démarrage rapide de la réduction progressive des HFC</w:t>
      </w:r>
      <w:r w:rsidRPr="005B55FD">
        <w:rPr>
          <w:lang w:val="fr-CA"/>
        </w:rPr>
        <w:t>.</w:t>
      </w:r>
    </w:p>
    <w:p w14:paraId="0D5AEAE8" w14:textId="2D5AEFAA" w:rsidR="00D631A9" w:rsidRPr="005B55FD" w:rsidRDefault="00D631A9" w:rsidP="001E39EE">
      <w:pPr>
        <w:pStyle w:val="sub-title"/>
        <w:keepNext/>
        <w:keepLines/>
        <w:ind w:left="1418" w:hanging="1418"/>
        <w:rPr>
          <w:caps/>
          <w:noProof w:val="0"/>
          <w:lang w:val="fr-CA"/>
        </w:rPr>
      </w:pPr>
      <w:r w:rsidRPr="005B55FD">
        <w:rPr>
          <w:caps/>
          <w:noProof w:val="0"/>
          <w:lang w:val="fr-CA"/>
        </w:rPr>
        <w:t>Part</w:t>
      </w:r>
      <w:r w:rsidR="00B932B1">
        <w:rPr>
          <w:caps/>
          <w:noProof w:val="0"/>
          <w:lang w:val="fr-CA"/>
        </w:rPr>
        <w:t>IE</w:t>
      </w:r>
      <w:r w:rsidRPr="005B55FD">
        <w:rPr>
          <w:caps/>
          <w:noProof w:val="0"/>
          <w:lang w:val="fr-CA"/>
        </w:rPr>
        <w:t xml:space="preserve"> I</w:t>
      </w:r>
      <w:r w:rsidR="00B932B1">
        <w:rPr>
          <w:caps/>
          <w:noProof w:val="0"/>
          <w:lang w:val="fr-CA"/>
        </w:rPr>
        <w:t xml:space="preserve"> </w:t>
      </w:r>
      <w:r w:rsidRPr="005B55FD">
        <w:rPr>
          <w:caps/>
          <w:noProof w:val="0"/>
          <w:lang w:val="fr-CA"/>
        </w:rPr>
        <w:t xml:space="preserve">: </w:t>
      </w:r>
      <w:r w:rsidRPr="005B55FD">
        <w:rPr>
          <w:caps/>
          <w:noProof w:val="0"/>
          <w:lang w:val="fr-CA"/>
        </w:rPr>
        <w:tab/>
      </w:r>
      <w:r w:rsidR="00B932B1">
        <w:rPr>
          <w:lang w:val="fr-CA"/>
        </w:rPr>
        <w:t>PROJETS APPROUVÉS AU TITRE DES CONTRIBUTIONS RÉGULIÈRES AU FONDS MULTILATÉRAL</w:t>
      </w:r>
    </w:p>
    <w:p w14:paraId="73F285E4" w14:textId="77777777" w:rsidR="00D631A9" w:rsidRPr="005B55FD" w:rsidRDefault="00D631A9" w:rsidP="001E39EE">
      <w:pPr>
        <w:jc w:val="center"/>
        <w:rPr>
          <w:b/>
          <w:lang w:val="fr-CA"/>
        </w:rPr>
      </w:pPr>
    </w:p>
    <w:p w14:paraId="3A078433" w14:textId="47F8F7D5" w:rsidR="00D631A9" w:rsidRPr="005B55FD" w:rsidRDefault="00B932B1" w:rsidP="001E39EE">
      <w:pPr>
        <w:pStyle w:val="Heading1"/>
        <w:rPr>
          <w:lang w:val="fr-CA"/>
        </w:rPr>
      </w:pPr>
      <w:r>
        <w:rPr>
          <w:lang w:val="fr-CA"/>
        </w:rPr>
        <w:t>Le Comité exécutif a approuvé la somme de 3,78 milliards $US</w:t>
      </w:r>
      <w:r w:rsidRPr="00EF62E4">
        <w:rPr>
          <w:rStyle w:val="FootnoteReference"/>
          <w:lang w:val="fr-CA"/>
        </w:rPr>
        <w:footnoteReference w:id="14"/>
      </w:r>
      <w:r w:rsidRPr="00EF62E4">
        <w:rPr>
          <w:lang w:val="fr-CA"/>
        </w:rPr>
        <w:t xml:space="preserve"> </w:t>
      </w:r>
      <w:r>
        <w:rPr>
          <w:lang w:val="fr-CA"/>
        </w:rPr>
        <w:t>pour les agences bilatérales et d’exécution, comme indiqué dans le tableau 1. Deux cent vingt-</w:t>
      </w:r>
      <w:r w:rsidR="0022563A">
        <w:rPr>
          <w:lang w:val="fr-CA"/>
        </w:rPr>
        <w:t>neuf</w:t>
      </w:r>
      <w:r>
        <w:rPr>
          <w:lang w:val="fr-CA"/>
        </w:rPr>
        <w:t xml:space="preserve"> nouveaux projets et act</w:t>
      </w:r>
      <w:r w:rsidR="0022563A">
        <w:rPr>
          <w:lang w:val="fr-CA"/>
        </w:rPr>
        <w:t>ivités ont été approuvés en 2020</w:t>
      </w:r>
      <w:r>
        <w:rPr>
          <w:lang w:val="fr-CA"/>
        </w:rPr>
        <w:t xml:space="preserve">. Ce niveau de financement devrait mener à l’élimination de </w:t>
      </w:r>
      <w:r w:rsidR="0022563A">
        <w:rPr>
          <w:lang w:val="fr-CA"/>
        </w:rPr>
        <w:t>469 653</w:t>
      </w:r>
      <w:r>
        <w:rPr>
          <w:lang w:val="fr-CA"/>
        </w:rPr>
        <w:t xml:space="preserve"> tonnes PAO de consommation et de production de SAO</w:t>
      </w:r>
      <w:r w:rsidR="00D631A9" w:rsidRPr="005B55FD">
        <w:rPr>
          <w:lang w:val="fr-CA"/>
        </w:rPr>
        <w:t>.</w:t>
      </w:r>
    </w:p>
    <w:p w14:paraId="4D67627B" w14:textId="60639EC6" w:rsidR="00D631A9" w:rsidRPr="005B55FD" w:rsidRDefault="00D631A9" w:rsidP="001E39EE">
      <w:pPr>
        <w:keepNext/>
        <w:suppressAutoHyphens/>
        <w:rPr>
          <w:b/>
          <w:lang w:val="fr-CA"/>
        </w:rPr>
      </w:pPr>
      <w:r w:rsidRPr="005B55FD">
        <w:rPr>
          <w:b/>
          <w:spacing w:val="-3"/>
          <w:lang w:val="fr-CA"/>
        </w:rPr>
        <w:t>Table</w:t>
      </w:r>
      <w:r w:rsidR="0022563A">
        <w:rPr>
          <w:b/>
          <w:spacing w:val="-3"/>
          <w:lang w:val="fr-CA"/>
        </w:rPr>
        <w:t>au</w:t>
      </w:r>
      <w:r w:rsidRPr="005B55FD">
        <w:rPr>
          <w:b/>
          <w:spacing w:val="-3"/>
          <w:lang w:val="fr-CA"/>
        </w:rPr>
        <w:t xml:space="preserve"> 1. </w:t>
      </w:r>
      <w:r w:rsidR="0022563A">
        <w:rPr>
          <w:b/>
          <w:spacing w:val="-3"/>
          <w:lang w:val="fr-CA"/>
        </w:rPr>
        <w:t>Financement approuvé par secteur et par agence au 31 décembre 2020 ($US)</w:t>
      </w:r>
    </w:p>
    <w:tbl>
      <w:tblPr>
        <w:tblW w:w="9396" w:type="dxa"/>
        <w:tblInd w:w="-5" w:type="dxa"/>
        <w:tblLook w:val="04A0" w:firstRow="1" w:lastRow="0" w:firstColumn="1" w:lastColumn="0" w:noHBand="0" w:noVBand="1"/>
      </w:tblPr>
      <w:tblGrid>
        <w:gridCol w:w="1800"/>
        <w:gridCol w:w="1216"/>
        <w:gridCol w:w="1216"/>
        <w:gridCol w:w="1216"/>
        <w:gridCol w:w="1366"/>
        <w:gridCol w:w="1216"/>
        <w:gridCol w:w="1366"/>
      </w:tblGrid>
      <w:tr w:rsidR="0022563A" w:rsidRPr="005B55FD" w14:paraId="5C58B467" w14:textId="77777777" w:rsidTr="00EB283F">
        <w:trPr>
          <w:trHeight w:val="58"/>
        </w:trPr>
        <w:tc>
          <w:tcPr>
            <w:tcW w:w="1800"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1239ED3E" w14:textId="6B65DB1E" w:rsidR="0022563A" w:rsidRPr="005B55FD" w:rsidRDefault="0022563A" w:rsidP="0022563A">
            <w:pPr>
              <w:jc w:val="left"/>
              <w:rPr>
                <w:b/>
                <w:bCs/>
                <w:sz w:val="20"/>
                <w:szCs w:val="20"/>
                <w:lang w:val="fr-CA" w:eastAsia="en-CA"/>
              </w:rPr>
            </w:pPr>
            <w:r>
              <w:rPr>
                <w:b/>
                <w:bCs/>
                <w:sz w:val="20"/>
                <w:szCs w:val="20"/>
                <w:lang w:val="fr-CA" w:eastAsia="en-CA"/>
              </w:rPr>
              <w:t>Secteur</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534F0DDB" w14:textId="6EC9486C" w:rsidR="0022563A" w:rsidRPr="005B55FD" w:rsidRDefault="0022563A" w:rsidP="0022563A">
            <w:pPr>
              <w:jc w:val="center"/>
              <w:rPr>
                <w:b/>
                <w:bCs/>
                <w:sz w:val="20"/>
                <w:szCs w:val="20"/>
                <w:lang w:val="fr-CA" w:eastAsia="en-CA"/>
              </w:rPr>
            </w:pPr>
            <w:r>
              <w:rPr>
                <w:b/>
                <w:bCs/>
                <w:sz w:val="20"/>
                <w:szCs w:val="20"/>
                <w:lang w:val="fr-CA" w:eastAsia="en-CA"/>
              </w:rPr>
              <w:t>PNUD</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1AD37C74" w14:textId="1442BF22" w:rsidR="0022563A" w:rsidRPr="005B55FD" w:rsidRDefault="0022563A" w:rsidP="0022563A">
            <w:pPr>
              <w:jc w:val="center"/>
              <w:rPr>
                <w:b/>
                <w:bCs/>
                <w:sz w:val="20"/>
                <w:szCs w:val="20"/>
                <w:lang w:val="fr-CA" w:eastAsia="en-CA"/>
              </w:rPr>
            </w:pPr>
            <w:r>
              <w:rPr>
                <w:b/>
                <w:bCs/>
                <w:sz w:val="20"/>
                <w:szCs w:val="20"/>
                <w:lang w:val="fr-CA" w:eastAsia="en-CA"/>
              </w:rPr>
              <w:t>PNUE</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3E5A2537" w14:textId="49213F4B" w:rsidR="0022563A" w:rsidRPr="005B55FD" w:rsidRDefault="0022563A" w:rsidP="0022563A">
            <w:pPr>
              <w:jc w:val="center"/>
              <w:rPr>
                <w:b/>
                <w:bCs/>
                <w:sz w:val="20"/>
                <w:szCs w:val="20"/>
                <w:lang w:val="fr-CA" w:eastAsia="en-CA"/>
              </w:rPr>
            </w:pPr>
            <w:r>
              <w:rPr>
                <w:b/>
                <w:bCs/>
                <w:sz w:val="20"/>
                <w:szCs w:val="20"/>
                <w:lang w:val="fr-CA" w:eastAsia="en-CA"/>
              </w:rPr>
              <w:t>ONUDI</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35275DD" w14:textId="7F78BCE9" w:rsidR="0022563A" w:rsidRPr="005B55FD" w:rsidRDefault="0022563A" w:rsidP="0022563A">
            <w:pPr>
              <w:jc w:val="center"/>
              <w:rPr>
                <w:b/>
                <w:bCs/>
                <w:sz w:val="20"/>
                <w:szCs w:val="20"/>
                <w:lang w:val="fr-CA" w:eastAsia="en-CA"/>
              </w:rPr>
            </w:pPr>
            <w:r>
              <w:rPr>
                <w:b/>
                <w:bCs/>
                <w:sz w:val="20"/>
                <w:szCs w:val="20"/>
                <w:lang w:val="fr-CA" w:eastAsia="en-CA"/>
              </w:rPr>
              <w:t>Banque mondiale</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2D8072AF" w14:textId="1187BB95" w:rsidR="0022563A" w:rsidRPr="005B55FD" w:rsidRDefault="0022563A" w:rsidP="0022563A">
            <w:pPr>
              <w:jc w:val="center"/>
              <w:rPr>
                <w:b/>
                <w:bCs/>
                <w:sz w:val="20"/>
                <w:szCs w:val="20"/>
                <w:lang w:val="fr-CA" w:eastAsia="en-CA"/>
              </w:rPr>
            </w:pPr>
            <w:r>
              <w:rPr>
                <w:b/>
                <w:bCs/>
                <w:sz w:val="20"/>
                <w:szCs w:val="20"/>
                <w:lang w:val="fr-CA" w:eastAsia="en-CA"/>
              </w:rPr>
              <w:t>Bilatérales</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3BC5D6C" w14:textId="2B795C97" w:rsidR="0022563A" w:rsidRPr="005B55FD" w:rsidRDefault="0022563A" w:rsidP="0022563A">
            <w:pPr>
              <w:jc w:val="center"/>
              <w:rPr>
                <w:b/>
                <w:bCs/>
                <w:sz w:val="20"/>
                <w:szCs w:val="20"/>
                <w:lang w:val="fr-CA" w:eastAsia="en-CA"/>
              </w:rPr>
            </w:pPr>
            <w:r w:rsidRPr="00EF62E4">
              <w:rPr>
                <w:b/>
                <w:bCs/>
                <w:sz w:val="20"/>
                <w:szCs w:val="20"/>
                <w:lang w:val="fr-CA" w:eastAsia="en-CA"/>
              </w:rPr>
              <w:t>Total</w:t>
            </w:r>
          </w:p>
        </w:tc>
      </w:tr>
      <w:tr w:rsidR="00903916" w:rsidRPr="005B55FD" w14:paraId="1C5AC2A3" w14:textId="77777777" w:rsidTr="00EB283F">
        <w:trPr>
          <w:trHeight w:val="100"/>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20DA7C9" w14:textId="41604AC2" w:rsidR="00903916" w:rsidRPr="005B55FD" w:rsidRDefault="0022563A" w:rsidP="001E39EE">
            <w:pPr>
              <w:jc w:val="left"/>
              <w:rPr>
                <w:sz w:val="20"/>
                <w:szCs w:val="20"/>
                <w:lang w:val="fr-CA" w:eastAsia="en-CA"/>
              </w:rPr>
            </w:pPr>
            <w:r>
              <w:rPr>
                <w:sz w:val="20"/>
                <w:szCs w:val="20"/>
                <w:lang w:val="fr-CA" w:eastAsia="en-CA"/>
              </w:rPr>
              <w:t>Aérosols</w:t>
            </w:r>
          </w:p>
        </w:tc>
        <w:tc>
          <w:tcPr>
            <w:tcW w:w="1216" w:type="dxa"/>
            <w:tcBorders>
              <w:top w:val="nil"/>
              <w:left w:val="nil"/>
              <w:bottom w:val="single" w:sz="4" w:space="0" w:color="auto"/>
              <w:right w:val="single" w:sz="4" w:space="0" w:color="auto"/>
            </w:tcBorders>
            <w:shd w:val="clear" w:color="auto" w:fill="auto"/>
            <w:noWrap/>
            <w:vAlign w:val="bottom"/>
            <w:hideMark/>
          </w:tcPr>
          <w:p w14:paraId="70EAB816" w14:textId="4B006D23" w:rsidR="00903916" w:rsidRPr="005B55FD" w:rsidRDefault="00903916" w:rsidP="001E39EE">
            <w:pPr>
              <w:jc w:val="right"/>
              <w:rPr>
                <w:sz w:val="20"/>
                <w:szCs w:val="20"/>
                <w:lang w:val="fr-CA" w:eastAsia="en-CA"/>
              </w:rPr>
            </w:pPr>
            <w:r w:rsidRPr="005B55FD">
              <w:rPr>
                <w:sz w:val="20"/>
                <w:szCs w:val="20"/>
                <w:lang w:val="fr-CA" w:eastAsia="en-CA"/>
              </w:rPr>
              <w:t>26</w:t>
            </w:r>
            <w:r w:rsidR="0022563A">
              <w:rPr>
                <w:sz w:val="20"/>
                <w:szCs w:val="20"/>
                <w:lang w:val="fr-CA" w:eastAsia="en-CA"/>
              </w:rPr>
              <w:t xml:space="preserve"> </w:t>
            </w:r>
            <w:r w:rsidRPr="005B55FD">
              <w:rPr>
                <w:sz w:val="20"/>
                <w:szCs w:val="20"/>
                <w:lang w:val="fr-CA" w:eastAsia="en-CA"/>
              </w:rPr>
              <w:t>054</w:t>
            </w:r>
            <w:r w:rsidR="0022563A">
              <w:rPr>
                <w:sz w:val="20"/>
                <w:szCs w:val="20"/>
                <w:lang w:val="fr-CA" w:eastAsia="en-CA"/>
              </w:rPr>
              <w:t xml:space="preserve"> </w:t>
            </w:r>
            <w:r w:rsidRPr="005B55FD">
              <w:rPr>
                <w:sz w:val="20"/>
                <w:szCs w:val="20"/>
                <w:lang w:val="fr-CA" w:eastAsia="en-CA"/>
              </w:rPr>
              <w:t>837</w:t>
            </w:r>
          </w:p>
        </w:tc>
        <w:tc>
          <w:tcPr>
            <w:tcW w:w="1216" w:type="dxa"/>
            <w:tcBorders>
              <w:top w:val="nil"/>
              <w:left w:val="nil"/>
              <w:bottom w:val="single" w:sz="4" w:space="0" w:color="auto"/>
              <w:right w:val="single" w:sz="4" w:space="0" w:color="auto"/>
            </w:tcBorders>
            <w:shd w:val="clear" w:color="auto" w:fill="auto"/>
            <w:noWrap/>
            <w:vAlign w:val="bottom"/>
            <w:hideMark/>
          </w:tcPr>
          <w:p w14:paraId="77A51DAC" w14:textId="26446F92" w:rsidR="00903916" w:rsidRPr="005B55FD" w:rsidRDefault="00903916" w:rsidP="001E39EE">
            <w:pPr>
              <w:jc w:val="right"/>
              <w:rPr>
                <w:sz w:val="20"/>
                <w:szCs w:val="20"/>
                <w:lang w:val="fr-CA" w:eastAsia="en-CA"/>
              </w:rPr>
            </w:pPr>
            <w:r w:rsidRPr="005B55FD">
              <w:rPr>
                <w:sz w:val="20"/>
                <w:szCs w:val="20"/>
                <w:lang w:val="fr-CA" w:eastAsia="en-CA"/>
              </w:rPr>
              <w:t>882</w:t>
            </w:r>
            <w:r w:rsidR="0022563A">
              <w:rPr>
                <w:sz w:val="20"/>
                <w:szCs w:val="20"/>
                <w:lang w:val="fr-CA" w:eastAsia="en-CA"/>
              </w:rPr>
              <w:t xml:space="preserve"> </w:t>
            </w:r>
            <w:r w:rsidRPr="005B55FD">
              <w:rPr>
                <w:sz w:val="20"/>
                <w:szCs w:val="20"/>
                <w:lang w:val="fr-CA" w:eastAsia="en-CA"/>
              </w:rPr>
              <w:t>689</w:t>
            </w:r>
          </w:p>
        </w:tc>
        <w:tc>
          <w:tcPr>
            <w:tcW w:w="1216" w:type="dxa"/>
            <w:tcBorders>
              <w:top w:val="nil"/>
              <w:left w:val="nil"/>
              <w:bottom w:val="single" w:sz="4" w:space="0" w:color="auto"/>
              <w:right w:val="single" w:sz="4" w:space="0" w:color="auto"/>
            </w:tcBorders>
            <w:shd w:val="clear" w:color="auto" w:fill="auto"/>
            <w:noWrap/>
            <w:vAlign w:val="bottom"/>
            <w:hideMark/>
          </w:tcPr>
          <w:p w14:paraId="14704F17" w14:textId="6580CC46" w:rsidR="00903916" w:rsidRPr="005B55FD" w:rsidRDefault="00903916" w:rsidP="001E39EE">
            <w:pPr>
              <w:jc w:val="right"/>
              <w:rPr>
                <w:sz w:val="20"/>
                <w:szCs w:val="20"/>
                <w:lang w:val="fr-CA" w:eastAsia="en-CA"/>
              </w:rPr>
            </w:pPr>
            <w:r w:rsidRPr="005B55FD">
              <w:rPr>
                <w:sz w:val="20"/>
                <w:szCs w:val="20"/>
                <w:lang w:val="fr-CA" w:eastAsia="en-CA"/>
              </w:rPr>
              <w:t>34</w:t>
            </w:r>
            <w:r w:rsidR="0022563A">
              <w:rPr>
                <w:sz w:val="20"/>
                <w:szCs w:val="20"/>
                <w:lang w:val="fr-CA" w:eastAsia="en-CA"/>
              </w:rPr>
              <w:t xml:space="preserve"> </w:t>
            </w:r>
            <w:r w:rsidRPr="005B55FD">
              <w:rPr>
                <w:sz w:val="20"/>
                <w:szCs w:val="20"/>
                <w:lang w:val="fr-CA" w:eastAsia="en-CA"/>
              </w:rPr>
              <w:t>413</w:t>
            </w:r>
            <w:r w:rsidR="0022563A">
              <w:rPr>
                <w:sz w:val="20"/>
                <w:szCs w:val="20"/>
                <w:lang w:val="fr-CA" w:eastAsia="en-CA"/>
              </w:rPr>
              <w:t xml:space="preserve"> </w:t>
            </w:r>
            <w:r w:rsidRPr="005B55FD">
              <w:rPr>
                <w:sz w:val="20"/>
                <w:szCs w:val="20"/>
                <w:lang w:val="fr-CA" w:eastAsia="en-CA"/>
              </w:rPr>
              <w:t>701</w:t>
            </w:r>
          </w:p>
        </w:tc>
        <w:tc>
          <w:tcPr>
            <w:tcW w:w="1366" w:type="dxa"/>
            <w:tcBorders>
              <w:top w:val="nil"/>
              <w:left w:val="nil"/>
              <w:bottom w:val="single" w:sz="4" w:space="0" w:color="auto"/>
              <w:right w:val="single" w:sz="4" w:space="0" w:color="auto"/>
            </w:tcBorders>
            <w:shd w:val="clear" w:color="auto" w:fill="auto"/>
            <w:noWrap/>
            <w:vAlign w:val="bottom"/>
            <w:hideMark/>
          </w:tcPr>
          <w:p w14:paraId="3396E5B8" w14:textId="0E95AC28" w:rsidR="00903916" w:rsidRPr="005B55FD" w:rsidRDefault="00903916" w:rsidP="001E39EE">
            <w:pPr>
              <w:jc w:val="right"/>
              <w:rPr>
                <w:sz w:val="20"/>
                <w:szCs w:val="20"/>
                <w:lang w:val="fr-CA" w:eastAsia="en-CA"/>
              </w:rPr>
            </w:pPr>
            <w:r w:rsidRPr="005B55FD">
              <w:rPr>
                <w:sz w:val="20"/>
                <w:szCs w:val="20"/>
                <w:lang w:val="fr-CA" w:eastAsia="en-CA"/>
              </w:rPr>
              <w:t>22</w:t>
            </w:r>
            <w:r w:rsidR="0022563A">
              <w:rPr>
                <w:sz w:val="20"/>
                <w:szCs w:val="20"/>
                <w:lang w:val="fr-CA" w:eastAsia="en-CA"/>
              </w:rPr>
              <w:t xml:space="preserve"> </w:t>
            </w:r>
            <w:r w:rsidRPr="005B55FD">
              <w:rPr>
                <w:sz w:val="20"/>
                <w:szCs w:val="20"/>
                <w:lang w:val="fr-CA" w:eastAsia="en-CA"/>
              </w:rPr>
              <w:t>984</w:t>
            </w:r>
            <w:r w:rsidR="0022563A">
              <w:rPr>
                <w:sz w:val="20"/>
                <w:szCs w:val="20"/>
                <w:lang w:val="fr-CA" w:eastAsia="en-CA"/>
              </w:rPr>
              <w:t xml:space="preserve"> </w:t>
            </w:r>
            <w:r w:rsidRPr="005B55FD">
              <w:rPr>
                <w:sz w:val="20"/>
                <w:szCs w:val="20"/>
                <w:lang w:val="fr-CA" w:eastAsia="en-CA"/>
              </w:rPr>
              <w:t>030</w:t>
            </w:r>
          </w:p>
        </w:tc>
        <w:tc>
          <w:tcPr>
            <w:tcW w:w="1216" w:type="dxa"/>
            <w:tcBorders>
              <w:top w:val="nil"/>
              <w:left w:val="nil"/>
              <w:bottom w:val="single" w:sz="4" w:space="0" w:color="auto"/>
              <w:right w:val="single" w:sz="4" w:space="0" w:color="auto"/>
            </w:tcBorders>
            <w:shd w:val="clear" w:color="auto" w:fill="auto"/>
            <w:noWrap/>
            <w:vAlign w:val="bottom"/>
            <w:hideMark/>
          </w:tcPr>
          <w:p w14:paraId="3EF79ECF" w14:textId="735812E4" w:rsidR="00903916" w:rsidRPr="005B55FD" w:rsidRDefault="00903916" w:rsidP="001E39EE">
            <w:pPr>
              <w:jc w:val="right"/>
              <w:rPr>
                <w:sz w:val="20"/>
                <w:szCs w:val="20"/>
                <w:lang w:val="fr-CA" w:eastAsia="en-CA"/>
              </w:rPr>
            </w:pPr>
            <w:r w:rsidRPr="005B55FD">
              <w:rPr>
                <w:sz w:val="20"/>
                <w:szCs w:val="20"/>
                <w:lang w:val="fr-CA" w:eastAsia="en-CA"/>
              </w:rPr>
              <w:t>2</w:t>
            </w:r>
            <w:r w:rsidR="0022563A">
              <w:rPr>
                <w:sz w:val="20"/>
                <w:szCs w:val="20"/>
                <w:lang w:val="fr-CA" w:eastAsia="en-CA"/>
              </w:rPr>
              <w:t xml:space="preserve"> </w:t>
            </w:r>
            <w:r w:rsidRPr="005B55FD">
              <w:rPr>
                <w:sz w:val="20"/>
                <w:szCs w:val="20"/>
                <w:lang w:val="fr-CA" w:eastAsia="en-CA"/>
              </w:rPr>
              <w:t>051</w:t>
            </w:r>
            <w:r w:rsidR="0022563A">
              <w:rPr>
                <w:sz w:val="20"/>
                <w:szCs w:val="20"/>
                <w:lang w:val="fr-CA" w:eastAsia="en-CA"/>
              </w:rPr>
              <w:t xml:space="preserve"> </w:t>
            </w:r>
            <w:r w:rsidRPr="005B55FD">
              <w:rPr>
                <w:sz w:val="20"/>
                <w:szCs w:val="20"/>
                <w:lang w:val="fr-CA" w:eastAsia="en-CA"/>
              </w:rPr>
              <w:t>914</w:t>
            </w:r>
          </w:p>
        </w:tc>
        <w:tc>
          <w:tcPr>
            <w:tcW w:w="1366" w:type="dxa"/>
            <w:tcBorders>
              <w:top w:val="nil"/>
              <w:left w:val="nil"/>
              <w:bottom w:val="single" w:sz="4" w:space="0" w:color="auto"/>
              <w:right w:val="single" w:sz="4" w:space="0" w:color="auto"/>
            </w:tcBorders>
            <w:shd w:val="clear" w:color="auto" w:fill="auto"/>
            <w:noWrap/>
            <w:vAlign w:val="bottom"/>
            <w:hideMark/>
          </w:tcPr>
          <w:p w14:paraId="3C94324F" w14:textId="60FABCC6" w:rsidR="00903916" w:rsidRPr="005B55FD" w:rsidRDefault="00903916" w:rsidP="001E39EE">
            <w:pPr>
              <w:jc w:val="right"/>
              <w:rPr>
                <w:sz w:val="20"/>
                <w:szCs w:val="20"/>
                <w:lang w:val="fr-CA" w:eastAsia="en-CA"/>
              </w:rPr>
            </w:pPr>
            <w:r w:rsidRPr="005B55FD">
              <w:rPr>
                <w:sz w:val="20"/>
                <w:szCs w:val="20"/>
                <w:lang w:val="fr-CA" w:eastAsia="en-CA"/>
              </w:rPr>
              <w:t>86</w:t>
            </w:r>
            <w:r w:rsidR="0022563A">
              <w:rPr>
                <w:sz w:val="20"/>
                <w:szCs w:val="20"/>
                <w:lang w:val="fr-CA" w:eastAsia="en-CA"/>
              </w:rPr>
              <w:t xml:space="preserve"> </w:t>
            </w:r>
            <w:r w:rsidRPr="005B55FD">
              <w:rPr>
                <w:sz w:val="20"/>
                <w:szCs w:val="20"/>
                <w:lang w:val="fr-CA" w:eastAsia="en-CA"/>
              </w:rPr>
              <w:t>387</w:t>
            </w:r>
            <w:r w:rsidR="0022563A">
              <w:rPr>
                <w:sz w:val="20"/>
                <w:szCs w:val="20"/>
                <w:lang w:val="fr-CA" w:eastAsia="en-CA"/>
              </w:rPr>
              <w:t xml:space="preserve"> </w:t>
            </w:r>
            <w:r w:rsidRPr="005B55FD">
              <w:rPr>
                <w:sz w:val="20"/>
                <w:szCs w:val="20"/>
                <w:lang w:val="fr-CA" w:eastAsia="en-CA"/>
              </w:rPr>
              <w:t>171</w:t>
            </w:r>
          </w:p>
        </w:tc>
      </w:tr>
      <w:tr w:rsidR="00903916" w:rsidRPr="005B55FD" w14:paraId="344E79F5"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0E9BB0F" w14:textId="77777777" w:rsidR="00903916" w:rsidRPr="005B55FD" w:rsidRDefault="00903916" w:rsidP="001E39EE">
            <w:pPr>
              <w:jc w:val="left"/>
              <w:rPr>
                <w:sz w:val="20"/>
                <w:szCs w:val="20"/>
                <w:lang w:val="fr-CA" w:eastAsia="en-CA"/>
              </w:rPr>
            </w:pPr>
            <w:r w:rsidRPr="005B55FD">
              <w:rPr>
                <w:sz w:val="20"/>
                <w:szCs w:val="20"/>
                <w:lang w:val="fr-CA" w:eastAsia="en-CA"/>
              </w:rPr>
              <w:t>Destruction</w:t>
            </w:r>
          </w:p>
        </w:tc>
        <w:tc>
          <w:tcPr>
            <w:tcW w:w="1216" w:type="dxa"/>
            <w:tcBorders>
              <w:top w:val="nil"/>
              <w:left w:val="nil"/>
              <w:bottom w:val="single" w:sz="4" w:space="0" w:color="auto"/>
              <w:right w:val="single" w:sz="4" w:space="0" w:color="auto"/>
            </w:tcBorders>
            <w:shd w:val="clear" w:color="auto" w:fill="auto"/>
            <w:noWrap/>
            <w:vAlign w:val="bottom"/>
            <w:hideMark/>
          </w:tcPr>
          <w:p w14:paraId="01BA121C" w14:textId="33A1CBF4" w:rsidR="00903916" w:rsidRPr="005B55FD" w:rsidRDefault="00903916" w:rsidP="001E39EE">
            <w:pPr>
              <w:jc w:val="right"/>
              <w:rPr>
                <w:sz w:val="20"/>
                <w:szCs w:val="20"/>
                <w:lang w:val="fr-CA" w:eastAsia="en-CA"/>
              </w:rPr>
            </w:pPr>
            <w:r w:rsidRPr="005B55FD">
              <w:rPr>
                <w:sz w:val="20"/>
                <w:szCs w:val="20"/>
                <w:lang w:val="fr-CA" w:eastAsia="en-CA"/>
              </w:rPr>
              <w:t>3</w:t>
            </w:r>
            <w:r w:rsidR="0022563A">
              <w:rPr>
                <w:sz w:val="20"/>
                <w:szCs w:val="20"/>
                <w:lang w:val="fr-CA" w:eastAsia="en-CA"/>
              </w:rPr>
              <w:t xml:space="preserve"> </w:t>
            </w:r>
            <w:r w:rsidRPr="005B55FD">
              <w:rPr>
                <w:sz w:val="20"/>
                <w:szCs w:val="20"/>
                <w:lang w:val="fr-CA" w:eastAsia="en-CA"/>
              </w:rPr>
              <w:t>606</w:t>
            </w:r>
            <w:r w:rsidR="0022563A">
              <w:rPr>
                <w:sz w:val="20"/>
                <w:szCs w:val="20"/>
                <w:lang w:val="fr-CA" w:eastAsia="en-CA"/>
              </w:rPr>
              <w:t xml:space="preserve"> </w:t>
            </w:r>
            <w:r w:rsidRPr="005B55FD">
              <w:rPr>
                <w:sz w:val="20"/>
                <w:szCs w:val="20"/>
                <w:lang w:val="fr-CA" w:eastAsia="en-CA"/>
              </w:rPr>
              <w:t>279</w:t>
            </w:r>
          </w:p>
        </w:tc>
        <w:tc>
          <w:tcPr>
            <w:tcW w:w="1216" w:type="dxa"/>
            <w:tcBorders>
              <w:top w:val="nil"/>
              <w:left w:val="nil"/>
              <w:bottom w:val="single" w:sz="4" w:space="0" w:color="auto"/>
              <w:right w:val="single" w:sz="4" w:space="0" w:color="auto"/>
            </w:tcBorders>
            <w:shd w:val="clear" w:color="auto" w:fill="auto"/>
            <w:noWrap/>
            <w:vAlign w:val="bottom"/>
            <w:hideMark/>
          </w:tcPr>
          <w:p w14:paraId="5A555F9D" w14:textId="403DED51" w:rsidR="00903916" w:rsidRPr="005B55FD" w:rsidRDefault="00903916" w:rsidP="001E39EE">
            <w:pPr>
              <w:jc w:val="right"/>
              <w:rPr>
                <w:sz w:val="20"/>
                <w:szCs w:val="20"/>
                <w:lang w:val="fr-CA" w:eastAsia="en-CA"/>
              </w:rPr>
            </w:pPr>
            <w:r w:rsidRPr="005B55FD">
              <w:rPr>
                <w:sz w:val="20"/>
                <w:szCs w:val="20"/>
                <w:lang w:val="fr-CA" w:eastAsia="en-CA"/>
              </w:rPr>
              <w:t>190</w:t>
            </w:r>
            <w:r w:rsidR="0022563A">
              <w:rPr>
                <w:sz w:val="20"/>
                <w:szCs w:val="20"/>
                <w:lang w:val="fr-CA" w:eastAsia="en-CA"/>
              </w:rPr>
              <w:t xml:space="preserve"> </w:t>
            </w:r>
            <w:r w:rsidRPr="005B55FD">
              <w:rPr>
                <w:sz w:val="20"/>
                <w:szCs w:val="20"/>
                <w:lang w:val="fr-CA" w:eastAsia="en-CA"/>
              </w:rPr>
              <w:t>040</w:t>
            </w:r>
          </w:p>
        </w:tc>
        <w:tc>
          <w:tcPr>
            <w:tcW w:w="1216" w:type="dxa"/>
            <w:tcBorders>
              <w:top w:val="nil"/>
              <w:left w:val="nil"/>
              <w:bottom w:val="single" w:sz="4" w:space="0" w:color="auto"/>
              <w:right w:val="single" w:sz="4" w:space="0" w:color="auto"/>
            </w:tcBorders>
            <w:shd w:val="clear" w:color="auto" w:fill="auto"/>
            <w:noWrap/>
            <w:vAlign w:val="bottom"/>
            <w:hideMark/>
          </w:tcPr>
          <w:p w14:paraId="1841E0A8" w14:textId="0235EDCA" w:rsidR="00903916" w:rsidRPr="005B55FD" w:rsidRDefault="00903916" w:rsidP="001E39EE">
            <w:pPr>
              <w:jc w:val="right"/>
              <w:rPr>
                <w:sz w:val="20"/>
                <w:szCs w:val="20"/>
                <w:lang w:val="fr-CA" w:eastAsia="en-CA"/>
              </w:rPr>
            </w:pPr>
            <w:r w:rsidRPr="005B55FD">
              <w:rPr>
                <w:sz w:val="20"/>
                <w:szCs w:val="20"/>
                <w:lang w:val="fr-CA" w:eastAsia="en-CA"/>
              </w:rPr>
              <w:t>3</w:t>
            </w:r>
            <w:r w:rsidR="0022563A">
              <w:rPr>
                <w:sz w:val="20"/>
                <w:szCs w:val="20"/>
                <w:lang w:val="fr-CA" w:eastAsia="en-CA"/>
              </w:rPr>
              <w:t xml:space="preserve"> </w:t>
            </w:r>
            <w:r w:rsidRPr="005B55FD">
              <w:rPr>
                <w:sz w:val="20"/>
                <w:szCs w:val="20"/>
                <w:lang w:val="fr-CA" w:eastAsia="en-CA"/>
              </w:rPr>
              <w:t>805</w:t>
            </w:r>
            <w:r w:rsidR="0022563A">
              <w:rPr>
                <w:sz w:val="20"/>
                <w:szCs w:val="20"/>
                <w:lang w:val="fr-CA" w:eastAsia="en-CA"/>
              </w:rPr>
              <w:t xml:space="preserve"> </w:t>
            </w:r>
            <w:r w:rsidRPr="005B55FD">
              <w:rPr>
                <w:sz w:val="20"/>
                <w:szCs w:val="20"/>
                <w:lang w:val="fr-CA" w:eastAsia="en-CA"/>
              </w:rPr>
              <w:t>540</w:t>
            </w:r>
          </w:p>
        </w:tc>
        <w:tc>
          <w:tcPr>
            <w:tcW w:w="1366" w:type="dxa"/>
            <w:tcBorders>
              <w:top w:val="nil"/>
              <w:left w:val="nil"/>
              <w:bottom w:val="single" w:sz="4" w:space="0" w:color="auto"/>
              <w:right w:val="single" w:sz="4" w:space="0" w:color="auto"/>
            </w:tcBorders>
            <w:shd w:val="clear" w:color="auto" w:fill="auto"/>
            <w:noWrap/>
            <w:vAlign w:val="bottom"/>
            <w:hideMark/>
          </w:tcPr>
          <w:p w14:paraId="3254569D" w14:textId="3A76D042" w:rsidR="00903916" w:rsidRPr="005B55FD" w:rsidRDefault="00903916" w:rsidP="001E39EE">
            <w:pPr>
              <w:jc w:val="right"/>
              <w:rPr>
                <w:sz w:val="20"/>
                <w:szCs w:val="20"/>
                <w:lang w:val="fr-CA" w:eastAsia="en-CA"/>
              </w:rPr>
            </w:pPr>
            <w:r w:rsidRPr="005B55FD">
              <w:rPr>
                <w:sz w:val="20"/>
                <w:szCs w:val="20"/>
                <w:lang w:val="fr-CA" w:eastAsia="en-CA"/>
              </w:rPr>
              <w:t>400</w:t>
            </w:r>
            <w:r w:rsidR="0022563A">
              <w:rPr>
                <w:sz w:val="20"/>
                <w:szCs w:val="20"/>
                <w:lang w:val="fr-CA" w:eastAsia="en-CA"/>
              </w:rPr>
              <w:t xml:space="preserve"> </w:t>
            </w:r>
            <w:r w:rsidRPr="005B55FD">
              <w:rPr>
                <w:sz w:val="20"/>
                <w:szCs w:val="20"/>
                <w:lang w:val="fr-CA" w:eastAsia="en-CA"/>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688B86BF" w14:textId="0D590A58" w:rsidR="00903916" w:rsidRPr="005B55FD" w:rsidRDefault="00903916" w:rsidP="001E39EE">
            <w:pPr>
              <w:jc w:val="right"/>
              <w:rPr>
                <w:sz w:val="20"/>
                <w:szCs w:val="20"/>
                <w:lang w:val="fr-CA" w:eastAsia="en-CA"/>
              </w:rPr>
            </w:pPr>
            <w:r w:rsidRPr="005B55FD">
              <w:rPr>
                <w:sz w:val="20"/>
                <w:szCs w:val="20"/>
                <w:lang w:val="fr-CA" w:eastAsia="en-CA"/>
              </w:rPr>
              <w:t>1</w:t>
            </w:r>
            <w:r w:rsidR="0022563A">
              <w:rPr>
                <w:sz w:val="20"/>
                <w:szCs w:val="20"/>
                <w:lang w:val="fr-CA" w:eastAsia="en-CA"/>
              </w:rPr>
              <w:t xml:space="preserve"> </w:t>
            </w:r>
            <w:r w:rsidRPr="005B55FD">
              <w:rPr>
                <w:sz w:val="20"/>
                <w:szCs w:val="20"/>
                <w:lang w:val="fr-CA" w:eastAsia="en-CA"/>
              </w:rPr>
              <w:t>526</w:t>
            </w:r>
            <w:r w:rsidR="0022563A">
              <w:rPr>
                <w:sz w:val="20"/>
                <w:szCs w:val="20"/>
                <w:lang w:val="fr-CA" w:eastAsia="en-CA"/>
              </w:rPr>
              <w:t xml:space="preserve"> </w:t>
            </w:r>
            <w:r w:rsidRPr="005B55FD">
              <w:rPr>
                <w:sz w:val="20"/>
                <w:szCs w:val="20"/>
                <w:lang w:val="fr-CA" w:eastAsia="en-CA"/>
              </w:rPr>
              <w:t>282</w:t>
            </w:r>
          </w:p>
        </w:tc>
        <w:tc>
          <w:tcPr>
            <w:tcW w:w="1366" w:type="dxa"/>
            <w:tcBorders>
              <w:top w:val="nil"/>
              <w:left w:val="nil"/>
              <w:bottom w:val="single" w:sz="4" w:space="0" w:color="auto"/>
              <w:right w:val="single" w:sz="4" w:space="0" w:color="auto"/>
            </w:tcBorders>
            <w:shd w:val="clear" w:color="auto" w:fill="auto"/>
            <w:noWrap/>
            <w:vAlign w:val="bottom"/>
            <w:hideMark/>
          </w:tcPr>
          <w:p w14:paraId="4BBD32B0" w14:textId="187CAE1E" w:rsidR="00903916" w:rsidRPr="005B55FD" w:rsidRDefault="00903916" w:rsidP="001E39EE">
            <w:pPr>
              <w:jc w:val="right"/>
              <w:rPr>
                <w:sz w:val="20"/>
                <w:szCs w:val="20"/>
                <w:lang w:val="fr-CA" w:eastAsia="en-CA"/>
              </w:rPr>
            </w:pPr>
            <w:r w:rsidRPr="005B55FD">
              <w:rPr>
                <w:sz w:val="20"/>
                <w:szCs w:val="20"/>
                <w:lang w:val="fr-CA" w:eastAsia="en-CA"/>
              </w:rPr>
              <w:t>9</w:t>
            </w:r>
            <w:r w:rsidR="0022563A">
              <w:rPr>
                <w:sz w:val="20"/>
                <w:szCs w:val="20"/>
                <w:lang w:val="fr-CA" w:eastAsia="en-CA"/>
              </w:rPr>
              <w:t xml:space="preserve"> </w:t>
            </w:r>
            <w:r w:rsidRPr="005B55FD">
              <w:rPr>
                <w:sz w:val="20"/>
                <w:szCs w:val="20"/>
                <w:lang w:val="fr-CA" w:eastAsia="en-CA"/>
              </w:rPr>
              <w:t>528</w:t>
            </w:r>
            <w:r w:rsidR="0022563A">
              <w:rPr>
                <w:sz w:val="20"/>
                <w:szCs w:val="20"/>
                <w:lang w:val="fr-CA" w:eastAsia="en-CA"/>
              </w:rPr>
              <w:t xml:space="preserve"> </w:t>
            </w:r>
            <w:r w:rsidRPr="005B55FD">
              <w:rPr>
                <w:sz w:val="20"/>
                <w:szCs w:val="20"/>
                <w:lang w:val="fr-CA" w:eastAsia="en-CA"/>
              </w:rPr>
              <w:t>141</w:t>
            </w:r>
          </w:p>
        </w:tc>
      </w:tr>
      <w:tr w:rsidR="00903916" w:rsidRPr="005B55FD" w14:paraId="6F6C70EF"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1A974AF" w14:textId="543E8399" w:rsidR="00903916" w:rsidRPr="005B55FD" w:rsidRDefault="0022563A" w:rsidP="001E39EE">
            <w:pPr>
              <w:jc w:val="left"/>
              <w:rPr>
                <w:sz w:val="20"/>
                <w:szCs w:val="20"/>
                <w:lang w:val="fr-CA" w:eastAsia="en-CA"/>
              </w:rPr>
            </w:pPr>
            <w:r>
              <w:rPr>
                <w:sz w:val="20"/>
                <w:szCs w:val="20"/>
                <w:lang w:val="fr-CA" w:eastAsia="en-CA"/>
              </w:rPr>
              <w:t>Mousses</w:t>
            </w:r>
          </w:p>
        </w:tc>
        <w:tc>
          <w:tcPr>
            <w:tcW w:w="1216" w:type="dxa"/>
            <w:tcBorders>
              <w:top w:val="nil"/>
              <w:left w:val="nil"/>
              <w:bottom w:val="single" w:sz="4" w:space="0" w:color="auto"/>
              <w:right w:val="single" w:sz="4" w:space="0" w:color="auto"/>
            </w:tcBorders>
            <w:shd w:val="clear" w:color="auto" w:fill="auto"/>
            <w:noWrap/>
            <w:vAlign w:val="bottom"/>
            <w:hideMark/>
          </w:tcPr>
          <w:p w14:paraId="1CEE3EC2" w14:textId="1BF051FE" w:rsidR="00903916" w:rsidRPr="005B55FD" w:rsidRDefault="00903916" w:rsidP="001E39EE">
            <w:pPr>
              <w:jc w:val="right"/>
              <w:rPr>
                <w:sz w:val="20"/>
                <w:szCs w:val="20"/>
                <w:lang w:val="fr-CA" w:eastAsia="en-CA"/>
              </w:rPr>
            </w:pPr>
            <w:r w:rsidRPr="005B55FD">
              <w:rPr>
                <w:sz w:val="20"/>
                <w:szCs w:val="20"/>
                <w:lang w:val="fr-CA" w:eastAsia="en-CA"/>
              </w:rPr>
              <w:t>173</w:t>
            </w:r>
            <w:r w:rsidR="0022563A">
              <w:rPr>
                <w:sz w:val="20"/>
                <w:szCs w:val="20"/>
                <w:lang w:val="fr-CA" w:eastAsia="en-CA"/>
              </w:rPr>
              <w:t xml:space="preserve"> </w:t>
            </w:r>
            <w:r w:rsidRPr="005B55FD">
              <w:rPr>
                <w:sz w:val="20"/>
                <w:szCs w:val="20"/>
                <w:lang w:val="fr-CA" w:eastAsia="en-CA"/>
              </w:rPr>
              <w:t>331</w:t>
            </w:r>
            <w:r w:rsidR="0022563A">
              <w:rPr>
                <w:sz w:val="20"/>
                <w:szCs w:val="20"/>
                <w:lang w:val="fr-CA" w:eastAsia="en-CA"/>
              </w:rPr>
              <w:t xml:space="preserve"> </w:t>
            </w:r>
            <w:r w:rsidRPr="005B55FD">
              <w:rPr>
                <w:sz w:val="20"/>
                <w:szCs w:val="20"/>
                <w:lang w:val="fr-CA" w:eastAsia="en-CA"/>
              </w:rPr>
              <w:t>512</w:t>
            </w:r>
          </w:p>
        </w:tc>
        <w:tc>
          <w:tcPr>
            <w:tcW w:w="1216" w:type="dxa"/>
            <w:tcBorders>
              <w:top w:val="nil"/>
              <w:left w:val="nil"/>
              <w:bottom w:val="single" w:sz="4" w:space="0" w:color="auto"/>
              <w:right w:val="single" w:sz="4" w:space="0" w:color="auto"/>
            </w:tcBorders>
            <w:shd w:val="clear" w:color="auto" w:fill="auto"/>
            <w:noWrap/>
            <w:vAlign w:val="bottom"/>
            <w:hideMark/>
          </w:tcPr>
          <w:p w14:paraId="7AEA6281"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0CD1DA64" w14:textId="395A5A14" w:rsidR="00903916" w:rsidRPr="005B55FD" w:rsidRDefault="00903916" w:rsidP="001E39EE">
            <w:pPr>
              <w:jc w:val="right"/>
              <w:rPr>
                <w:sz w:val="20"/>
                <w:szCs w:val="20"/>
                <w:lang w:val="fr-CA" w:eastAsia="en-CA"/>
              </w:rPr>
            </w:pPr>
            <w:r w:rsidRPr="005B55FD">
              <w:rPr>
                <w:sz w:val="20"/>
                <w:szCs w:val="20"/>
                <w:lang w:val="fr-CA" w:eastAsia="en-CA"/>
              </w:rPr>
              <w:t>89</w:t>
            </w:r>
            <w:r w:rsidR="0022563A">
              <w:rPr>
                <w:sz w:val="20"/>
                <w:szCs w:val="20"/>
                <w:lang w:val="fr-CA" w:eastAsia="en-CA"/>
              </w:rPr>
              <w:t xml:space="preserve"> </w:t>
            </w:r>
            <w:r w:rsidRPr="005B55FD">
              <w:rPr>
                <w:sz w:val="20"/>
                <w:szCs w:val="20"/>
                <w:lang w:val="fr-CA" w:eastAsia="en-CA"/>
              </w:rPr>
              <w:t>105</w:t>
            </w:r>
            <w:r w:rsidR="0022563A">
              <w:rPr>
                <w:sz w:val="20"/>
                <w:szCs w:val="20"/>
                <w:lang w:val="fr-CA" w:eastAsia="en-CA"/>
              </w:rPr>
              <w:t xml:space="preserve"> </w:t>
            </w:r>
            <w:r w:rsidRPr="005B55FD">
              <w:rPr>
                <w:sz w:val="20"/>
                <w:szCs w:val="20"/>
                <w:lang w:val="fr-CA" w:eastAsia="en-CA"/>
              </w:rPr>
              <w:t>490</w:t>
            </w:r>
          </w:p>
        </w:tc>
        <w:tc>
          <w:tcPr>
            <w:tcW w:w="1366" w:type="dxa"/>
            <w:tcBorders>
              <w:top w:val="nil"/>
              <w:left w:val="nil"/>
              <w:bottom w:val="single" w:sz="4" w:space="0" w:color="auto"/>
              <w:right w:val="single" w:sz="4" w:space="0" w:color="auto"/>
            </w:tcBorders>
            <w:shd w:val="clear" w:color="auto" w:fill="auto"/>
            <w:noWrap/>
            <w:vAlign w:val="bottom"/>
            <w:hideMark/>
          </w:tcPr>
          <w:p w14:paraId="69B3D49D" w14:textId="18C526AB" w:rsidR="00903916" w:rsidRPr="005B55FD" w:rsidRDefault="00903916" w:rsidP="001E39EE">
            <w:pPr>
              <w:jc w:val="right"/>
              <w:rPr>
                <w:sz w:val="20"/>
                <w:szCs w:val="20"/>
                <w:lang w:val="fr-CA" w:eastAsia="en-CA"/>
              </w:rPr>
            </w:pPr>
            <w:r w:rsidRPr="005B55FD">
              <w:rPr>
                <w:sz w:val="20"/>
                <w:szCs w:val="20"/>
                <w:lang w:val="fr-CA" w:eastAsia="en-CA"/>
              </w:rPr>
              <w:t>136</w:t>
            </w:r>
            <w:r w:rsidR="0022563A">
              <w:rPr>
                <w:sz w:val="20"/>
                <w:szCs w:val="20"/>
                <w:lang w:val="fr-CA" w:eastAsia="en-CA"/>
              </w:rPr>
              <w:t xml:space="preserve"> </w:t>
            </w:r>
            <w:r w:rsidRPr="005B55FD">
              <w:rPr>
                <w:sz w:val="20"/>
                <w:szCs w:val="20"/>
                <w:lang w:val="fr-CA" w:eastAsia="en-CA"/>
              </w:rPr>
              <w:t>339</w:t>
            </w:r>
            <w:r w:rsidR="0022563A">
              <w:rPr>
                <w:sz w:val="20"/>
                <w:szCs w:val="20"/>
                <w:lang w:val="fr-CA" w:eastAsia="en-CA"/>
              </w:rPr>
              <w:t xml:space="preserve"> </w:t>
            </w:r>
            <w:r w:rsidRPr="005B55FD">
              <w:rPr>
                <w:sz w:val="20"/>
                <w:szCs w:val="20"/>
                <w:lang w:val="fr-CA" w:eastAsia="en-CA"/>
              </w:rPr>
              <w:t>172</w:t>
            </w:r>
          </w:p>
        </w:tc>
        <w:tc>
          <w:tcPr>
            <w:tcW w:w="1216" w:type="dxa"/>
            <w:tcBorders>
              <w:top w:val="nil"/>
              <w:left w:val="nil"/>
              <w:bottom w:val="single" w:sz="4" w:space="0" w:color="auto"/>
              <w:right w:val="single" w:sz="4" w:space="0" w:color="auto"/>
            </w:tcBorders>
            <w:shd w:val="clear" w:color="auto" w:fill="auto"/>
            <w:noWrap/>
            <w:vAlign w:val="bottom"/>
            <w:hideMark/>
          </w:tcPr>
          <w:p w14:paraId="32F08445" w14:textId="7B260F4F" w:rsidR="00903916" w:rsidRPr="005B55FD" w:rsidRDefault="00903916" w:rsidP="001E39EE">
            <w:pPr>
              <w:jc w:val="right"/>
              <w:rPr>
                <w:sz w:val="20"/>
                <w:szCs w:val="20"/>
                <w:lang w:val="fr-CA" w:eastAsia="en-CA"/>
              </w:rPr>
            </w:pPr>
            <w:r w:rsidRPr="005B55FD">
              <w:rPr>
                <w:sz w:val="20"/>
                <w:szCs w:val="20"/>
                <w:lang w:val="fr-CA" w:eastAsia="en-CA"/>
              </w:rPr>
              <w:t>8</w:t>
            </w:r>
            <w:r w:rsidR="0022563A">
              <w:rPr>
                <w:sz w:val="20"/>
                <w:szCs w:val="20"/>
                <w:lang w:val="fr-CA" w:eastAsia="en-CA"/>
              </w:rPr>
              <w:t xml:space="preserve"> </w:t>
            </w:r>
            <w:r w:rsidRPr="005B55FD">
              <w:rPr>
                <w:sz w:val="20"/>
                <w:szCs w:val="20"/>
                <w:lang w:val="fr-CA" w:eastAsia="en-CA"/>
              </w:rPr>
              <w:t>093</w:t>
            </w:r>
            <w:r w:rsidR="0022563A">
              <w:rPr>
                <w:sz w:val="20"/>
                <w:szCs w:val="20"/>
                <w:lang w:val="fr-CA" w:eastAsia="en-CA"/>
              </w:rPr>
              <w:t xml:space="preserve"> </w:t>
            </w:r>
            <w:r w:rsidRPr="005B55FD">
              <w:rPr>
                <w:sz w:val="20"/>
                <w:szCs w:val="20"/>
                <w:lang w:val="fr-CA" w:eastAsia="en-CA"/>
              </w:rPr>
              <w:t>731</w:t>
            </w:r>
          </w:p>
        </w:tc>
        <w:tc>
          <w:tcPr>
            <w:tcW w:w="1366" w:type="dxa"/>
            <w:tcBorders>
              <w:top w:val="nil"/>
              <w:left w:val="nil"/>
              <w:bottom w:val="single" w:sz="4" w:space="0" w:color="auto"/>
              <w:right w:val="single" w:sz="4" w:space="0" w:color="auto"/>
            </w:tcBorders>
            <w:shd w:val="clear" w:color="auto" w:fill="auto"/>
            <w:noWrap/>
            <w:vAlign w:val="bottom"/>
            <w:hideMark/>
          </w:tcPr>
          <w:p w14:paraId="500F20DC" w14:textId="04559E95" w:rsidR="00903916" w:rsidRPr="005B55FD" w:rsidRDefault="00903916" w:rsidP="001E39EE">
            <w:pPr>
              <w:jc w:val="right"/>
              <w:rPr>
                <w:sz w:val="20"/>
                <w:szCs w:val="20"/>
                <w:lang w:val="fr-CA" w:eastAsia="en-CA"/>
              </w:rPr>
            </w:pPr>
            <w:r w:rsidRPr="005B55FD">
              <w:rPr>
                <w:sz w:val="20"/>
                <w:szCs w:val="20"/>
                <w:lang w:val="fr-CA" w:eastAsia="en-CA"/>
              </w:rPr>
              <w:t>406</w:t>
            </w:r>
            <w:r w:rsidR="0022563A">
              <w:rPr>
                <w:sz w:val="20"/>
                <w:szCs w:val="20"/>
                <w:lang w:val="fr-CA" w:eastAsia="en-CA"/>
              </w:rPr>
              <w:t xml:space="preserve"> </w:t>
            </w:r>
            <w:r w:rsidRPr="005B55FD">
              <w:rPr>
                <w:sz w:val="20"/>
                <w:szCs w:val="20"/>
                <w:lang w:val="fr-CA" w:eastAsia="en-CA"/>
              </w:rPr>
              <w:t>869</w:t>
            </w:r>
            <w:r w:rsidR="0022563A">
              <w:rPr>
                <w:sz w:val="20"/>
                <w:szCs w:val="20"/>
                <w:lang w:val="fr-CA" w:eastAsia="en-CA"/>
              </w:rPr>
              <w:t xml:space="preserve"> </w:t>
            </w:r>
            <w:r w:rsidRPr="005B55FD">
              <w:rPr>
                <w:sz w:val="20"/>
                <w:szCs w:val="20"/>
                <w:lang w:val="fr-CA" w:eastAsia="en-CA"/>
              </w:rPr>
              <w:t>904</w:t>
            </w:r>
          </w:p>
        </w:tc>
      </w:tr>
      <w:tr w:rsidR="00903916" w:rsidRPr="005B55FD" w14:paraId="1D6908A5" w14:textId="77777777" w:rsidTr="00EB283F">
        <w:trPr>
          <w:trHeight w:val="97"/>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E3578F0" w14:textId="7D4B5520" w:rsidR="00903916" w:rsidRPr="005B55FD" w:rsidRDefault="00903916" w:rsidP="001E39EE">
            <w:pPr>
              <w:jc w:val="left"/>
              <w:rPr>
                <w:sz w:val="20"/>
                <w:szCs w:val="20"/>
                <w:lang w:val="fr-CA" w:eastAsia="en-CA"/>
              </w:rPr>
            </w:pPr>
            <w:r w:rsidRPr="005B55FD">
              <w:rPr>
                <w:sz w:val="20"/>
                <w:szCs w:val="20"/>
                <w:lang w:val="fr-CA" w:eastAsia="en-CA"/>
              </w:rPr>
              <w:t>Halon</w:t>
            </w:r>
            <w:r w:rsidR="0022563A">
              <w:rPr>
                <w:sz w:val="20"/>
                <w:szCs w:val="20"/>
                <w:lang w:val="fr-CA" w:eastAsia="en-CA"/>
              </w:rPr>
              <w:t>s</w:t>
            </w:r>
          </w:p>
        </w:tc>
        <w:tc>
          <w:tcPr>
            <w:tcW w:w="1216" w:type="dxa"/>
            <w:tcBorders>
              <w:top w:val="nil"/>
              <w:left w:val="nil"/>
              <w:bottom w:val="single" w:sz="4" w:space="0" w:color="auto"/>
              <w:right w:val="single" w:sz="4" w:space="0" w:color="auto"/>
            </w:tcBorders>
            <w:shd w:val="clear" w:color="auto" w:fill="auto"/>
            <w:noWrap/>
            <w:vAlign w:val="bottom"/>
            <w:hideMark/>
          </w:tcPr>
          <w:p w14:paraId="546D4942" w14:textId="3DCFC3C2" w:rsidR="00903916" w:rsidRPr="005B55FD" w:rsidRDefault="00903916" w:rsidP="001E39EE">
            <w:pPr>
              <w:jc w:val="right"/>
              <w:rPr>
                <w:sz w:val="20"/>
                <w:szCs w:val="20"/>
                <w:lang w:val="fr-CA" w:eastAsia="en-CA"/>
              </w:rPr>
            </w:pPr>
            <w:r w:rsidRPr="005B55FD">
              <w:rPr>
                <w:sz w:val="20"/>
                <w:szCs w:val="20"/>
                <w:lang w:val="fr-CA" w:eastAsia="en-CA"/>
              </w:rPr>
              <w:t>4</w:t>
            </w:r>
            <w:r w:rsidR="0022563A">
              <w:rPr>
                <w:sz w:val="20"/>
                <w:szCs w:val="20"/>
                <w:lang w:val="fr-CA" w:eastAsia="en-CA"/>
              </w:rPr>
              <w:t xml:space="preserve"> </w:t>
            </w:r>
            <w:r w:rsidRPr="005B55FD">
              <w:rPr>
                <w:sz w:val="20"/>
                <w:szCs w:val="20"/>
                <w:lang w:val="fr-CA" w:eastAsia="en-CA"/>
              </w:rPr>
              <w:t>996</w:t>
            </w:r>
            <w:r w:rsidR="0022563A">
              <w:rPr>
                <w:sz w:val="20"/>
                <w:szCs w:val="20"/>
                <w:lang w:val="fr-CA" w:eastAsia="en-CA"/>
              </w:rPr>
              <w:t xml:space="preserve"> </w:t>
            </w:r>
            <w:r w:rsidRPr="005B55FD">
              <w:rPr>
                <w:sz w:val="20"/>
                <w:szCs w:val="20"/>
                <w:lang w:val="fr-CA" w:eastAsia="en-CA"/>
              </w:rPr>
              <w:t>973</w:t>
            </w:r>
          </w:p>
        </w:tc>
        <w:tc>
          <w:tcPr>
            <w:tcW w:w="1216" w:type="dxa"/>
            <w:tcBorders>
              <w:top w:val="nil"/>
              <w:left w:val="nil"/>
              <w:bottom w:val="single" w:sz="4" w:space="0" w:color="auto"/>
              <w:right w:val="single" w:sz="4" w:space="0" w:color="auto"/>
            </w:tcBorders>
            <w:shd w:val="clear" w:color="auto" w:fill="auto"/>
            <w:noWrap/>
            <w:vAlign w:val="bottom"/>
            <w:hideMark/>
          </w:tcPr>
          <w:p w14:paraId="7FA03A0C" w14:textId="1850A4AC" w:rsidR="00903916" w:rsidRPr="005B55FD" w:rsidRDefault="00903916" w:rsidP="001E39EE">
            <w:pPr>
              <w:jc w:val="right"/>
              <w:rPr>
                <w:sz w:val="20"/>
                <w:szCs w:val="20"/>
                <w:lang w:val="fr-CA" w:eastAsia="en-CA"/>
              </w:rPr>
            </w:pPr>
            <w:r w:rsidRPr="005B55FD">
              <w:rPr>
                <w:sz w:val="20"/>
                <w:szCs w:val="20"/>
                <w:lang w:val="fr-CA" w:eastAsia="en-CA"/>
              </w:rPr>
              <w:t>767</w:t>
            </w:r>
            <w:r w:rsidR="0022563A">
              <w:rPr>
                <w:sz w:val="20"/>
                <w:szCs w:val="20"/>
                <w:lang w:val="fr-CA" w:eastAsia="en-CA"/>
              </w:rPr>
              <w:t xml:space="preserve"> </w:t>
            </w:r>
            <w:r w:rsidRPr="005B55FD">
              <w:rPr>
                <w:sz w:val="20"/>
                <w:szCs w:val="20"/>
                <w:lang w:val="fr-CA" w:eastAsia="en-CA"/>
              </w:rPr>
              <w:t>640</w:t>
            </w:r>
          </w:p>
        </w:tc>
        <w:tc>
          <w:tcPr>
            <w:tcW w:w="1216" w:type="dxa"/>
            <w:tcBorders>
              <w:top w:val="nil"/>
              <w:left w:val="nil"/>
              <w:bottom w:val="single" w:sz="4" w:space="0" w:color="auto"/>
              <w:right w:val="single" w:sz="4" w:space="0" w:color="auto"/>
            </w:tcBorders>
            <w:shd w:val="clear" w:color="auto" w:fill="auto"/>
            <w:noWrap/>
            <w:vAlign w:val="bottom"/>
            <w:hideMark/>
          </w:tcPr>
          <w:p w14:paraId="40DFCCBB" w14:textId="67999AC4" w:rsidR="00903916" w:rsidRPr="005B55FD" w:rsidRDefault="00903916" w:rsidP="001E39EE">
            <w:pPr>
              <w:jc w:val="right"/>
              <w:rPr>
                <w:sz w:val="20"/>
                <w:szCs w:val="20"/>
                <w:lang w:val="fr-CA" w:eastAsia="en-CA"/>
              </w:rPr>
            </w:pPr>
            <w:r w:rsidRPr="005B55FD">
              <w:rPr>
                <w:sz w:val="20"/>
                <w:szCs w:val="20"/>
                <w:lang w:val="fr-CA" w:eastAsia="en-CA"/>
              </w:rPr>
              <w:t>1</w:t>
            </w:r>
            <w:r w:rsidR="0022563A">
              <w:rPr>
                <w:sz w:val="20"/>
                <w:szCs w:val="20"/>
                <w:lang w:val="fr-CA" w:eastAsia="en-CA"/>
              </w:rPr>
              <w:t xml:space="preserve"> </w:t>
            </w:r>
            <w:r w:rsidRPr="005B55FD">
              <w:rPr>
                <w:sz w:val="20"/>
                <w:szCs w:val="20"/>
                <w:lang w:val="fr-CA" w:eastAsia="en-CA"/>
              </w:rPr>
              <w:t>780</w:t>
            </w:r>
            <w:r w:rsidR="0022563A">
              <w:rPr>
                <w:sz w:val="20"/>
                <w:szCs w:val="20"/>
                <w:lang w:val="fr-CA" w:eastAsia="en-CA"/>
              </w:rPr>
              <w:t xml:space="preserve"> </w:t>
            </w:r>
            <w:r w:rsidRPr="005B55FD">
              <w:rPr>
                <w:sz w:val="20"/>
                <w:szCs w:val="20"/>
                <w:lang w:val="fr-CA" w:eastAsia="en-CA"/>
              </w:rPr>
              <w:t>369</w:t>
            </w:r>
          </w:p>
        </w:tc>
        <w:tc>
          <w:tcPr>
            <w:tcW w:w="1366" w:type="dxa"/>
            <w:tcBorders>
              <w:top w:val="nil"/>
              <w:left w:val="nil"/>
              <w:bottom w:val="single" w:sz="4" w:space="0" w:color="auto"/>
              <w:right w:val="single" w:sz="4" w:space="0" w:color="auto"/>
            </w:tcBorders>
            <w:shd w:val="clear" w:color="auto" w:fill="auto"/>
            <w:noWrap/>
            <w:vAlign w:val="bottom"/>
            <w:hideMark/>
          </w:tcPr>
          <w:p w14:paraId="64BDEAD6" w14:textId="7E5008E5" w:rsidR="00903916" w:rsidRPr="005B55FD" w:rsidRDefault="00903916" w:rsidP="001E39EE">
            <w:pPr>
              <w:jc w:val="right"/>
              <w:rPr>
                <w:sz w:val="20"/>
                <w:szCs w:val="20"/>
                <w:lang w:val="fr-CA" w:eastAsia="en-CA"/>
              </w:rPr>
            </w:pPr>
            <w:r w:rsidRPr="005B55FD">
              <w:rPr>
                <w:sz w:val="20"/>
                <w:szCs w:val="20"/>
                <w:lang w:val="fr-CA" w:eastAsia="en-CA"/>
              </w:rPr>
              <w:t>70</w:t>
            </w:r>
            <w:r w:rsidR="0022563A">
              <w:rPr>
                <w:sz w:val="20"/>
                <w:szCs w:val="20"/>
                <w:lang w:val="fr-CA" w:eastAsia="en-CA"/>
              </w:rPr>
              <w:t xml:space="preserve"> </w:t>
            </w:r>
            <w:r w:rsidRPr="005B55FD">
              <w:rPr>
                <w:sz w:val="20"/>
                <w:szCs w:val="20"/>
                <w:lang w:val="fr-CA" w:eastAsia="en-CA"/>
              </w:rPr>
              <w:t>221</w:t>
            </w:r>
            <w:r w:rsidR="0022563A">
              <w:rPr>
                <w:sz w:val="20"/>
                <w:szCs w:val="20"/>
                <w:lang w:val="fr-CA" w:eastAsia="en-CA"/>
              </w:rPr>
              <w:t xml:space="preserve"> </w:t>
            </w:r>
            <w:r w:rsidRPr="005B55FD">
              <w:rPr>
                <w:sz w:val="20"/>
                <w:szCs w:val="20"/>
                <w:lang w:val="fr-CA" w:eastAsia="en-CA"/>
              </w:rPr>
              <w:t>038</w:t>
            </w:r>
          </w:p>
        </w:tc>
        <w:tc>
          <w:tcPr>
            <w:tcW w:w="1216" w:type="dxa"/>
            <w:tcBorders>
              <w:top w:val="nil"/>
              <w:left w:val="nil"/>
              <w:bottom w:val="single" w:sz="4" w:space="0" w:color="auto"/>
              <w:right w:val="single" w:sz="4" w:space="0" w:color="auto"/>
            </w:tcBorders>
            <w:shd w:val="clear" w:color="auto" w:fill="auto"/>
            <w:noWrap/>
            <w:vAlign w:val="bottom"/>
            <w:hideMark/>
          </w:tcPr>
          <w:p w14:paraId="64E709D4" w14:textId="2ABAF085" w:rsidR="00903916" w:rsidRPr="005B55FD" w:rsidRDefault="00903916" w:rsidP="001E39EE">
            <w:pPr>
              <w:jc w:val="right"/>
              <w:rPr>
                <w:sz w:val="20"/>
                <w:szCs w:val="20"/>
                <w:lang w:val="fr-CA" w:eastAsia="en-CA"/>
              </w:rPr>
            </w:pPr>
            <w:r w:rsidRPr="005B55FD">
              <w:rPr>
                <w:sz w:val="20"/>
                <w:szCs w:val="20"/>
                <w:lang w:val="fr-CA" w:eastAsia="en-CA"/>
              </w:rPr>
              <w:t>6</w:t>
            </w:r>
            <w:r w:rsidR="0022563A">
              <w:rPr>
                <w:sz w:val="20"/>
                <w:szCs w:val="20"/>
                <w:lang w:val="fr-CA" w:eastAsia="en-CA"/>
              </w:rPr>
              <w:t xml:space="preserve"> </w:t>
            </w:r>
            <w:r w:rsidRPr="005B55FD">
              <w:rPr>
                <w:sz w:val="20"/>
                <w:szCs w:val="20"/>
                <w:lang w:val="fr-CA" w:eastAsia="en-CA"/>
              </w:rPr>
              <w:t>147</w:t>
            </w:r>
            <w:r w:rsidR="0022563A">
              <w:rPr>
                <w:sz w:val="20"/>
                <w:szCs w:val="20"/>
                <w:lang w:val="fr-CA" w:eastAsia="en-CA"/>
              </w:rPr>
              <w:t xml:space="preserve"> </w:t>
            </w:r>
            <w:r w:rsidRPr="005B55FD">
              <w:rPr>
                <w:sz w:val="20"/>
                <w:szCs w:val="20"/>
                <w:lang w:val="fr-CA" w:eastAsia="en-CA"/>
              </w:rPr>
              <w:t>361</w:t>
            </w:r>
          </w:p>
        </w:tc>
        <w:tc>
          <w:tcPr>
            <w:tcW w:w="1366" w:type="dxa"/>
            <w:tcBorders>
              <w:top w:val="nil"/>
              <w:left w:val="nil"/>
              <w:bottom w:val="single" w:sz="4" w:space="0" w:color="auto"/>
              <w:right w:val="single" w:sz="4" w:space="0" w:color="auto"/>
            </w:tcBorders>
            <w:shd w:val="clear" w:color="auto" w:fill="auto"/>
            <w:noWrap/>
            <w:vAlign w:val="bottom"/>
            <w:hideMark/>
          </w:tcPr>
          <w:p w14:paraId="0E70EE0C" w14:textId="25D35076" w:rsidR="00903916" w:rsidRPr="005B55FD" w:rsidRDefault="00903916" w:rsidP="001E39EE">
            <w:pPr>
              <w:jc w:val="right"/>
              <w:rPr>
                <w:sz w:val="20"/>
                <w:szCs w:val="20"/>
                <w:lang w:val="fr-CA" w:eastAsia="en-CA"/>
              </w:rPr>
            </w:pPr>
            <w:r w:rsidRPr="005B55FD">
              <w:rPr>
                <w:sz w:val="20"/>
                <w:szCs w:val="20"/>
                <w:lang w:val="fr-CA" w:eastAsia="en-CA"/>
              </w:rPr>
              <w:t>83</w:t>
            </w:r>
            <w:r w:rsidR="0022563A">
              <w:rPr>
                <w:sz w:val="20"/>
                <w:szCs w:val="20"/>
                <w:lang w:val="fr-CA" w:eastAsia="en-CA"/>
              </w:rPr>
              <w:t xml:space="preserve"> </w:t>
            </w:r>
            <w:r w:rsidRPr="005B55FD">
              <w:rPr>
                <w:sz w:val="20"/>
                <w:szCs w:val="20"/>
                <w:lang w:val="fr-CA" w:eastAsia="en-CA"/>
              </w:rPr>
              <w:t>913</w:t>
            </w:r>
            <w:r w:rsidR="0022563A">
              <w:rPr>
                <w:sz w:val="20"/>
                <w:szCs w:val="20"/>
                <w:lang w:val="fr-CA" w:eastAsia="en-CA"/>
              </w:rPr>
              <w:t xml:space="preserve"> </w:t>
            </w:r>
            <w:r w:rsidRPr="005B55FD">
              <w:rPr>
                <w:sz w:val="20"/>
                <w:szCs w:val="20"/>
                <w:lang w:val="fr-CA" w:eastAsia="en-CA"/>
              </w:rPr>
              <w:t>381</w:t>
            </w:r>
          </w:p>
        </w:tc>
      </w:tr>
      <w:tr w:rsidR="00903916" w:rsidRPr="005B55FD" w14:paraId="40F53F44"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17D63F4" w14:textId="747D5A4E" w:rsidR="00903916" w:rsidRPr="005B55FD" w:rsidRDefault="0022563A" w:rsidP="001E39EE">
            <w:pPr>
              <w:jc w:val="left"/>
              <w:rPr>
                <w:sz w:val="20"/>
                <w:szCs w:val="20"/>
                <w:lang w:val="fr-CA" w:eastAsia="en-CA"/>
              </w:rPr>
            </w:pPr>
            <w:r>
              <w:rPr>
                <w:sz w:val="20"/>
                <w:szCs w:val="20"/>
                <w:lang w:val="fr-CA" w:eastAsia="en-CA"/>
              </w:rPr>
              <w:t>Fumigènes</w:t>
            </w:r>
          </w:p>
        </w:tc>
        <w:tc>
          <w:tcPr>
            <w:tcW w:w="1216" w:type="dxa"/>
            <w:tcBorders>
              <w:top w:val="nil"/>
              <w:left w:val="nil"/>
              <w:bottom w:val="single" w:sz="4" w:space="0" w:color="auto"/>
              <w:right w:val="single" w:sz="4" w:space="0" w:color="auto"/>
            </w:tcBorders>
            <w:shd w:val="clear" w:color="auto" w:fill="auto"/>
            <w:noWrap/>
            <w:vAlign w:val="bottom"/>
            <w:hideMark/>
          </w:tcPr>
          <w:p w14:paraId="22706275" w14:textId="72771B0B" w:rsidR="00903916" w:rsidRPr="005B55FD" w:rsidRDefault="00903916" w:rsidP="001E39EE">
            <w:pPr>
              <w:jc w:val="right"/>
              <w:rPr>
                <w:sz w:val="20"/>
                <w:szCs w:val="20"/>
                <w:lang w:val="fr-CA" w:eastAsia="en-CA"/>
              </w:rPr>
            </w:pPr>
            <w:r w:rsidRPr="005B55FD">
              <w:rPr>
                <w:sz w:val="20"/>
                <w:szCs w:val="20"/>
                <w:lang w:val="fr-CA" w:eastAsia="en-CA"/>
              </w:rPr>
              <w:t>20</w:t>
            </w:r>
            <w:r w:rsidR="0022563A">
              <w:rPr>
                <w:sz w:val="20"/>
                <w:szCs w:val="20"/>
                <w:lang w:val="fr-CA" w:eastAsia="en-CA"/>
              </w:rPr>
              <w:t xml:space="preserve"> </w:t>
            </w:r>
            <w:r w:rsidRPr="005B55FD">
              <w:rPr>
                <w:sz w:val="20"/>
                <w:szCs w:val="20"/>
                <w:lang w:val="fr-CA" w:eastAsia="en-CA"/>
              </w:rPr>
              <w:t>081</w:t>
            </w:r>
            <w:r w:rsidR="0022563A">
              <w:rPr>
                <w:sz w:val="20"/>
                <w:szCs w:val="20"/>
                <w:lang w:val="fr-CA" w:eastAsia="en-CA"/>
              </w:rPr>
              <w:t xml:space="preserve"> </w:t>
            </w:r>
            <w:r w:rsidRPr="005B55FD">
              <w:rPr>
                <w:sz w:val="20"/>
                <w:szCs w:val="20"/>
                <w:lang w:val="fr-CA" w:eastAsia="en-CA"/>
              </w:rPr>
              <w:t>241</w:t>
            </w:r>
          </w:p>
        </w:tc>
        <w:tc>
          <w:tcPr>
            <w:tcW w:w="1216" w:type="dxa"/>
            <w:tcBorders>
              <w:top w:val="nil"/>
              <w:left w:val="nil"/>
              <w:bottom w:val="single" w:sz="4" w:space="0" w:color="auto"/>
              <w:right w:val="single" w:sz="4" w:space="0" w:color="auto"/>
            </w:tcBorders>
            <w:shd w:val="clear" w:color="auto" w:fill="auto"/>
            <w:noWrap/>
            <w:vAlign w:val="bottom"/>
            <w:hideMark/>
          </w:tcPr>
          <w:p w14:paraId="4C7DDBAC" w14:textId="79F19A10" w:rsidR="00903916" w:rsidRPr="005B55FD" w:rsidRDefault="00903916" w:rsidP="001E39EE">
            <w:pPr>
              <w:jc w:val="right"/>
              <w:rPr>
                <w:sz w:val="20"/>
                <w:szCs w:val="20"/>
                <w:lang w:val="fr-CA" w:eastAsia="en-CA"/>
              </w:rPr>
            </w:pPr>
            <w:r w:rsidRPr="005B55FD">
              <w:rPr>
                <w:sz w:val="20"/>
                <w:szCs w:val="20"/>
                <w:lang w:val="fr-CA" w:eastAsia="en-CA"/>
              </w:rPr>
              <w:t>2</w:t>
            </w:r>
            <w:r w:rsidR="0022563A">
              <w:rPr>
                <w:sz w:val="20"/>
                <w:szCs w:val="20"/>
                <w:lang w:val="fr-CA" w:eastAsia="en-CA"/>
              </w:rPr>
              <w:t xml:space="preserve"> </w:t>
            </w:r>
            <w:r w:rsidRPr="005B55FD">
              <w:rPr>
                <w:sz w:val="20"/>
                <w:szCs w:val="20"/>
                <w:lang w:val="fr-CA" w:eastAsia="en-CA"/>
              </w:rPr>
              <w:t>614</w:t>
            </w:r>
            <w:r w:rsidR="0022563A">
              <w:rPr>
                <w:sz w:val="20"/>
                <w:szCs w:val="20"/>
                <w:lang w:val="fr-CA" w:eastAsia="en-CA"/>
              </w:rPr>
              <w:t xml:space="preserve"> </w:t>
            </w:r>
            <w:r w:rsidRPr="005B55FD">
              <w:rPr>
                <w:sz w:val="20"/>
                <w:szCs w:val="20"/>
                <w:lang w:val="fr-CA" w:eastAsia="en-CA"/>
              </w:rPr>
              <w:t>366</w:t>
            </w:r>
          </w:p>
        </w:tc>
        <w:tc>
          <w:tcPr>
            <w:tcW w:w="1216" w:type="dxa"/>
            <w:tcBorders>
              <w:top w:val="nil"/>
              <w:left w:val="nil"/>
              <w:bottom w:val="single" w:sz="4" w:space="0" w:color="auto"/>
              <w:right w:val="single" w:sz="4" w:space="0" w:color="auto"/>
            </w:tcBorders>
            <w:shd w:val="clear" w:color="auto" w:fill="auto"/>
            <w:noWrap/>
            <w:vAlign w:val="bottom"/>
            <w:hideMark/>
          </w:tcPr>
          <w:p w14:paraId="13614608" w14:textId="798DB30F" w:rsidR="00903916" w:rsidRPr="005B55FD" w:rsidRDefault="00903916" w:rsidP="001E39EE">
            <w:pPr>
              <w:jc w:val="right"/>
              <w:rPr>
                <w:sz w:val="20"/>
                <w:szCs w:val="20"/>
                <w:lang w:val="fr-CA" w:eastAsia="en-CA"/>
              </w:rPr>
            </w:pPr>
            <w:r w:rsidRPr="005B55FD">
              <w:rPr>
                <w:sz w:val="20"/>
                <w:szCs w:val="20"/>
                <w:lang w:val="fr-CA" w:eastAsia="en-CA"/>
              </w:rPr>
              <w:t>78</w:t>
            </w:r>
            <w:r w:rsidR="0022563A">
              <w:rPr>
                <w:sz w:val="20"/>
                <w:szCs w:val="20"/>
                <w:lang w:val="fr-CA" w:eastAsia="en-CA"/>
              </w:rPr>
              <w:t xml:space="preserve"> </w:t>
            </w:r>
            <w:r w:rsidRPr="005B55FD">
              <w:rPr>
                <w:sz w:val="20"/>
                <w:szCs w:val="20"/>
                <w:lang w:val="fr-CA" w:eastAsia="en-CA"/>
              </w:rPr>
              <w:t>028</w:t>
            </w:r>
            <w:r w:rsidR="0022563A">
              <w:rPr>
                <w:sz w:val="20"/>
                <w:szCs w:val="20"/>
                <w:lang w:val="fr-CA" w:eastAsia="en-CA"/>
              </w:rPr>
              <w:t xml:space="preserve"> </w:t>
            </w:r>
            <w:r w:rsidRPr="005B55FD">
              <w:rPr>
                <w:sz w:val="20"/>
                <w:szCs w:val="20"/>
                <w:lang w:val="fr-CA" w:eastAsia="en-CA"/>
              </w:rPr>
              <w:t>741</w:t>
            </w:r>
          </w:p>
        </w:tc>
        <w:tc>
          <w:tcPr>
            <w:tcW w:w="1366" w:type="dxa"/>
            <w:tcBorders>
              <w:top w:val="nil"/>
              <w:left w:val="nil"/>
              <w:bottom w:val="single" w:sz="4" w:space="0" w:color="auto"/>
              <w:right w:val="single" w:sz="4" w:space="0" w:color="auto"/>
            </w:tcBorders>
            <w:shd w:val="clear" w:color="auto" w:fill="auto"/>
            <w:noWrap/>
            <w:vAlign w:val="bottom"/>
            <w:hideMark/>
          </w:tcPr>
          <w:p w14:paraId="15C84DA4" w14:textId="79AFCF84" w:rsidR="00903916" w:rsidRPr="005B55FD" w:rsidRDefault="00903916" w:rsidP="001E39EE">
            <w:pPr>
              <w:jc w:val="right"/>
              <w:rPr>
                <w:sz w:val="20"/>
                <w:szCs w:val="20"/>
                <w:lang w:val="fr-CA" w:eastAsia="en-CA"/>
              </w:rPr>
            </w:pPr>
            <w:r w:rsidRPr="005B55FD">
              <w:rPr>
                <w:sz w:val="20"/>
                <w:szCs w:val="20"/>
                <w:lang w:val="fr-CA" w:eastAsia="en-CA"/>
              </w:rPr>
              <w:t>5</w:t>
            </w:r>
            <w:r w:rsidR="0022563A">
              <w:rPr>
                <w:sz w:val="20"/>
                <w:szCs w:val="20"/>
                <w:lang w:val="fr-CA" w:eastAsia="en-CA"/>
              </w:rPr>
              <w:t xml:space="preserve"> </w:t>
            </w:r>
            <w:r w:rsidRPr="005B55FD">
              <w:rPr>
                <w:sz w:val="20"/>
                <w:szCs w:val="20"/>
                <w:lang w:val="fr-CA" w:eastAsia="en-CA"/>
              </w:rPr>
              <w:t>837</w:t>
            </w:r>
            <w:r w:rsidR="0022563A">
              <w:rPr>
                <w:sz w:val="20"/>
                <w:szCs w:val="20"/>
                <w:lang w:val="fr-CA" w:eastAsia="en-CA"/>
              </w:rPr>
              <w:t xml:space="preserve"> </w:t>
            </w:r>
            <w:r w:rsidRPr="005B55FD">
              <w:rPr>
                <w:sz w:val="20"/>
                <w:szCs w:val="20"/>
                <w:lang w:val="fr-CA" w:eastAsia="en-CA"/>
              </w:rPr>
              <w:t>887</w:t>
            </w:r>
          </w:p>
        </w:tc>
        <w:tc>
          <w:tcPr>
            <w:tcW w:w="1216" w:type="dxa"/>
            <w:tcBorders>
              <w:top w:val="nil"/>
              <w:left w:val="nil"/>
              <w:bottom w:val="single" w:sz="4" w:space="0" w:color="auto"/>
              <w:right w:val="single" w:sz="4" w:space="0" w:color="auto"/>
            </w:tcBorders>
            <w:shd w:val="clear" w:color="auto" w:fill="auto"/>
            <w:noWrap/>
            <w:vAlign w:val="bottom"/>
            <w:hideMark/>
          </w:tcPr>
          <w:p w14:paraId="405750EA" w14:textId="59E29CE0" w:rsidR="00903916" w:rsidRPr="005B55FD" w:rsidRDefault="00903916" w:rsidP="001E39EE">
            <w:pPr>
              <w:jc w:val="right"/>
              <w:rPr>
                <w:sz w:val="20"/>
                <w:szCs w:val="20"/>
                <w:lang w:val="fr-CA" w:eastAsia="en-CA"/>
              </w:rPr>
            </w:pPr>
            <w:r w:rsidRPr="005B55FD">
              <w:rPr>
                <w:sz w:val="20"/>
                <w:szCs w:val="20"/>
                <w:lang w:val="fr-CA" w:eastAsia="en-CA"/>
              </w:rPr>
              <w:t>18</w:t>
            </w:r>
            <w:r w:rsidR="0022563A">
              <w:rPr>
                <w:sz w:val="20"/>
                <w:szCs w:val="20"/>
                <w:lang w:val="fr-CA" w:eastAsia="en-CA"/>
              </w:rPr>
              <w:t xml:space="preserve"> </w:t>
            </w:r>
            <w:r w:rsidRPr="005B55FD">
              <w:rPr>
                <w:sz w:val="20"/>
                <w:szCs w:val="20"/>
                <w:lang w:val="fr-CA" w:eastAsia="en-CA"/>
              </w:rPr>
              <w:t>226</w:t>
            </w:r>
            <w:r w:rsidR="0022563A">
              <w:rPr>
                <w:sz w:val="20"/>
                <w:szCs w:val="20"/>
                <w:lang w:val="fr-CA" w:eastAsia="en-CA"/>
              </w:rPr>
              <w:t xml:space="preserve"> </w:t>
            </w:r>
            <w:r w:rsidRPr="005B55FD">
              <w:rPr>
                <w:sz w:val="20"/>
                <w:szCs w:val="20"/>
                <w:lang w:val="fr-CA" w:eastAsia="en-CA"/>
              </w:rPr>
              <w:t>925</w:t>
            </w:r>
          </w:p>
        </w:tc>
        <w:tc>
          <w:tcPr>
            <w:tcW w:w="1366" w:type="dxa"/>
            <w:tcBorders>
              <w:top w:val="nil"/>
              <w:left w:val="nil"/>
              <w:bottom w:val="single" w:sz="4" w:space="0" w:color="auto"/>
              <w:right w:val="single" w:sz="4" w:space="0" w:color="auto"/>
            </w:tcBorders>
            <w:shd w:val="clear" w:color="auto" w:fill="auto"/>
            <w:noWrap/>
            <w:vAlign w:val="bottom"/>
            <w:hideMark/>
          </w:tcPr>
          <w:p w14:paraId="70C7EDA8" w14:textId="7A1E756C" w:rsidR="00903916" w:rsidRPr="005B55FD" w:rsidRDefault="00903916" w:rsidP="001E39EE">
            <w:pPr>
              <w:jc w:val="right"/>
              <w:rPr>
                <w:sz w:val="20"/>
                <w:szCs w:val="20"/>
                <w:lang w:val="fr-CA" w:eastAsia="en-CA"/>
              </w:rPr>
            </w:pPr>
            <w:r w:rsidRPr="005B55FD">
              <w:rPr>
                <w:sz w:val="20"/>
                <w:szCs w:val="20"/>
                <w:lang w:val="fr-CA" w:eastAsia="en-CA"/>
              </w:rPr>
              <w:t>124</w:t>
            </w:r>
            <w:r w:rsidR="0022563A">
              <w:rPr>
                <w:sz w:val="20"/>
                <w:szCs w:val="20"/>
                <w:lang w:val="fr-CA" w:eastAsia="en-CA"/>
              </w:rPr>
              <w:t xml:space="preserve"> </w:t>
            </w:r>
            <w:r w:rsidRPr="005B55FD">
              <w:rPr>
                <w:sz w:val="20"/>
                <w:szCs w:val="20"/>
                <w:lang w:val="fr-CA" w:eastAsia="en-CA"/>
              </w:rPr>
              <w:t>789</w:t>
            </w:r>
            <w:r w:rsidR="0022563A">
              <w:rPr>
                <w:sz w:val="20"/>
                <w:szCs w:val="20"/>
                <w:lang w:val="fr-CA" w:eastAsia="en-CA"/>
              </w:rPr>
              <w:t xml:space="preserve"> </w:t>
            </w:r>
            <w:r w:rsidRPr="005B55FD">
              <w:rPr>
                <w:sz w:val="20"/>
                <w:szCs w:val="20"/>
                <w:lang w:val="fr-CA" w:eastAsia="en-CA"/>
              </w:rPr>
              <w:t>159</w:t>
            </w:r>
          </w:p>
        </w:tc>
      </w:tr>
      <w:tr w:rsidR="00903916" w:rsidRPr="005B55FD" w14:paraId="2D6B462D" w14:textId="77777777" w:rsidTr="00EB283F">
        <w:trPr>
          <w:trHeight w:val="174"/>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B88E9A6" w14:textId="736076AA" w:rsidR="00903916" w:rsidRPr="005B55FD" w:rsidRDefault="0022563A" w:rsidP="001E39EE">
            <w:pPr>
              <w:jc w:val="left"/>
              <w:rPr>
                <w:sz w:val="20"/>
                <w:szCs w:val="20"/>
                <w:lang w:val="fr-CA" w:eastAsia="en-CA"/>
              </w:rPr>
            </w:pPr>
            <w:r>
              <w:rPr>
                <w:sz w:val="20"/>
                <w:szCs w:val="20"/>
                <w:lang w:val="fr-CA" w:eastAsia="en-CA"/>
              </w:rPr>
              <w:t>Multiples secteurs</w:t>
            </w:r>
          </w:p>
        </w:tc>
        <w:tc>
          <w:tcPr>
            <w:tcW w:w="1216" w:type="dxa"/>
            <w:tcBorders>
              <w:top w:val="nil"/>
              <w:left w:val="nil"/>
              <w:bottom w:val="single" w:sz="4" w:space="0" w:color="auto"/>
              <w:right w:val="single" w:sz="4" w:space="0" w:color="auto"/>
            </w:tcBorders>
            <w:shd w:val="clear" w:color="auto" w:fill="auto"/>
            <w:noWrap/>
            <w:vAlign w:val="bottom"/>
            <w:hideMark/>
          </w:tcPr>
          <w:p w14:paraId="6E7845E4"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171E2BB3"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7B7F2CD8" w14:textId="7261516A" w:rsidR="00903916" w:rsidRPr="005B55FD" w:rsidRDefault="00903916" w:rsidP="001E39EE">
            <w:pPr>
              <w:jc w:val="right"/>
              <w:rPr>
                <w:sz w:val="20"/>
                <w:szCs w:val="20"/>
                <w:lang w:val="fr-CA" w:eastAsia="en-CA"/>
              </w:rPr>
            </w:pPr>
            <w:r w:rsidRPr="005B55FD">
              <w:rPr>
                <w:sz w:val="20"/>
                <w:szCs w:val="20"/>
                <w:lang w:val="fr-CA" w:eastAsia="en-CA"/>
              </w:rPr>
              <w:t>139</w:t>
            </w:r>
            <w:r w:rsidR="0022563A">
              <w:rPr>
                <w:sz w:val="20"/>
                <w:szCs w:val="20"/>
                <w:lang w:val="fr-CA" w:eastAsia="en-CA"/>
              </w:rPr>
              <w:t xml:space="preserve"> </w:t>
            </w:r>
            <w:r w:rsidRPr="005B55FD">
              <w:rPr>
                <w:sz w:val="20"/>
                <w:szCs w:val="20"/>
                <w:lang w:val="fr-CA" w:eastAsia="en-CA"/>
              </w:rPr>
              <w:t>440</w:t>
            </w:r>
          </w:p>
        </w:tc>
        <w:tc>
          <w:tcPr>
            <w:tcW w:w="1366" w:type="dxa"/>
            <w:tcBorders>
              <w:top w:val="nil"/>
              <w:left w:val="nil"/>
              <w:bottom w:val="single" w:sz="4" w:space="0" w:color="auto"/>
              <w:right w:val="single" w:sz="4" w:space="0" w:color="auto"/>
            </w:tcBorders>
            <w:shd w:val="clear" w:color="auto" w:fill="auto"/>
            <w:noWrap/>
            <w:vAlign w:val="bottom"/>
            <w:hideMark/>
          </w:tcPr>
          <w:p w14:paraId="58E84ADC" w14:textId="3C020135" w:rsidR="00903916" w:rsidRPr="005B55FD" w:rsidRDefault="00903916" w:rsidP="001E39EE">
            <w:pPr>
              <w:jc w:val="right"/>
              <w:rPr>
                <w:sz w:val="20"/>
                <w:szCs w:val="20"/>
                <w:lang w:val="fr-CA" w:eastAsia="en-CA"/>
              </w:rPr>
            </w:pPr>
            <w:r w:rsidRPr="005B55FD">
              <w:rPr>
                <w:sz w:val="20"/>
                <w:szCs w:val="20"/>
                <w:lang w:val="fr-CA" w:eastAsia="en-CA"/>
              </w:rPr>
              <w:t>2</w:t>
            </w:r>
            <w:r w:rsidR="0022563A">
              <w:rPr>
                <w:sz w:val="20"/>
                <w:szCs w:val="20"/>
                <w:lang w:val="fr-CA" w:eastAsia="en-CA"/>
              </w:rPr>
              <w:t xml:space="preserve"> </w:t>
            </w:r>
            <w:r w:rsidRPr="005B55FD">
              <w:rPr>
                <w:sz w:val="20"/>
                <w:szCs w:val="20"/>
                <w:lang w:val="fr-CA" w:eastAsia="en-CA"/>
              </w:rPr>
              <w:t>341</w:t>
            </w:r>
            <w:r w:rsidR="0022563A">
              <w:rPr>
                <w:sz w:val="20"/>
                <w:szCs w:val="20"/>
                <w:lang w:val="fr-CA" w:eastAsia="en-CA"/>
              </w:rPr>
              <w:t xml:space="preserve"> </w:t>
            </w:r>
            <w:r w:rsidRPr="005B55FD">
              <w:rPr>
                <w:sz w:val="20"/>
                <w:szCs w:val="20"/>
                <w:lang w:val="fr-CA" w:eastAsia="en-CA"/>
              </w:rPr>
              <w:t>168</w:t>
            </w:r>
          </w:p>
        </w:tc>
        <w:tc>
          <w:tcPr>
            <w:tcW w:w="1216" w:type="dxa"/>
            <w:tcBorders>
              <w:top w:val="nil"/>
              <w:left w:val="nil"/>
              <w:bottom w:val="single" w:sz="4" w:space="0" w:color="auto"/>
              <w:right w:val="single" w:sz="4" w:space="0" w:color="auto"/>
            </w:tcBorders>
            <w:shd w:val="clear" w:color="auto" w:fill="auto"/>
            <w:noWrap/>
            <w:vAlign w:val="bottom"/>
            <w:hideMark/>
          </w:tcPr>
          <w:p w14:paraId="628CC571"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4D7F72FE" w14:textId="130A2C92" w:rsidR="00903916" w:rsidRPr="005B55FD" w:rsidRDefault="00903916" w:rsidP="001E39EE">
            <w:pPr>
              <w:jc w:val="right"/>
              <w:rPr>
                <w:sz w:val="20"/>
                <w:szCs w:val="20"/>
                <w:lang w:val="fr-CA" w:eastAsia="en-CA"/>
              </w:rPr>
            </w:pPr>
            <w:r w:rsidRPr="005B55FD">
              <w:rPr>
                <w:sz w:val="20"/>
                <w:szCs w:val="20"/>
                <w:lang w:val="fr-CA" w:eastAsia="en-CA"/>
              </w:rPr>
              <w:t>2</w:t>
            </w:r>
            <w:r w:rsidR="0022563A">
              <w:rPr>
                <w:sz w:val="20"/>
                <w:szCs w:val="20"/>
                <w:lang w:val="fr-CA" w:eastAsia="en-CA"/>
              </w:rPr>
              <w:t xml:space="preserve"> </w:t>
            </w:r>
            <w:r w:rsidRPr="005B55FD">
              <w:rPr>
                <w:sz w:val="20"/>
                <w:szCs w:val="20"/>
                <w:lang w:val="fr-CA" w:eastAsia="en-CA"/>
              </w:rPr>
              <w:t>480</w:t>
            </w:r>
            <w:r w:rsidR="0022563A">
              <w:rPr>
                <w:sz w:val="20"/>
                <w:szCs w:val="20"/>
                <w:lang w:val="fr-CA" w:eastAsia="en-CA"/>
              </w:rPr>
              <w:t xml:space="preserve"> </w:t>
            </w:r>
            <w:r w:rsidRPr="005B55FD">
              <w:rPr>
                <w:sz w:val="20"/>
                <w:szCs w:val="20"/>
                <w:lang w:val="fr-CA" w:eastAsia="en-CA"/>
              </w:rPr>
              <w:t>608</w:t>
            </w:r>
          </w:p>
        </w:tc>
      </w:tr>
      <w:tr w:rsidR="00903916" w:rsidRPr="005B55FD" w14:paraId="285ADB02" w14:textId="77777777" w:rsidTr="00EB283F">
        <w:trPr>
          <w:trHeight w:val="79"/>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7700644" w14:textId="01B7FB43" w:rsidR="00903916" w:rsidRPr="005B55FD" w:rsidRDefault="0022563A" w:rsidP="001E39EE">
            <w:pPr>
              <w:jc w:val="left"/>
              <w:rPr>
                <w:sz w:val="20"/>
                <w:szCs w:val="20"/>
                <w:lang w:val="fr-CA" w:eastAsia="en-CA"/>
              </w:rPr>
            </w:pPr>
            <w:r>
              <w:rPr>
                <w:sz w:val="20"/>
                <w:szCs w:val="20"/>
                <w:lang w:val="fr-CA" w:eastAsia="en-CA"/>
              </w:rPr>
              <w:t>Autre</w:t>
            </w:r>
          </w:p>
        </w:tc>
        <w:tc>
          <w:tcPr>
            <w:tcW w:w="1216" w:type="dxa"/>
            <w:tcBorders>
              <w:top w:val="nil"/>
              <w:left w:val="nil"/>
              <w:bottom w:val="single" w:sz="4" w:space="0" w:color="auto"/>
              <w:right w:val="single" w:sz="4" w:space="0" w:color="auto"/>
            </w:tcBorders>
            <w:shd w:val="clear" w:color="auto" w:fill="auto"/>
            <w:noWrap/>
            <w:vAlign w:val="bottom"/>
            <w:hideMark/>
          </w:tcPr>
          <w:p w14:paraId="6FAD10FA"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5D714273"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5D0F2AE4" w14:textId="4F27E138" w:rsidR="00903916" w:rsidRPr="005B55FD" w:rsidRDefault="00903916" w:rsidP="001E39EE">
            <w:pPr>
              <w:jc w:val="right"/>
              <w:rPr>
                <w:sz w:val="20"/>
                <w:szCs w:val="20"/>
                <w:lang w:val="fr-CA" w:eastAsia="en-CA"/>
              </w:rPr>
            </w:pPr>
            <w:r w:rsidRPr="005B55FD">
              <w:rPr>
                <w:sz w:val="20"/>
                <w:szCs w:val="20"/>
                <w:lang w:val="fr-CA" w:eastAsia="en-CA"/>
              </w:rPr>
              <w:t>11</w:t>
            </w:r>
            <w:r w:rsidR="0022563A">
              <w:rPr>
                <w:sz w:val="20"/>
                <w:szCs w:val="20"/>
                <w:lang w:val="fr-CA" w:eastAsia="en-CA"/>
              </w:rPr>
              <w:t xml:space="preserve"> </w:t>
            </w:r>
            <w:r w:rsidRPr="005B55FD">
              <w:rPr>
                <w:sz w:val="20"/>
                <w:szCs w:val="20"/>
                <w:lang w:val="fr-CA" w:eastAsia="en-CA"/>
              </w:rPr>
              <w:t>317</w:t>
            </w:r>
            <w:r w:rsidR="0022563A">
              <w:rPr>
                <w:sz w:val="20"/>
                <w:szCs w:val="20"/>
                <w:lang w:val="fr-CA" w:eastAsia="en-CA"/>
              </w:rPr>
              <w:t xml:space="preserve"> </w:t>
            </w:r>
            <w:r w:rsidRPr="005B55FD">
              <w:rPr>
                <w:sz w:val="20"/>
                <w:szCs w:val="20"/>
                <w:lang w:val="fr-CA" w:eastAsia="en-CA"/>
              </w:rPr>
              <w:t>246</w:t>
            </w:r>
          </w:p>
        </w:tc>
        <w:tc>
          <w:tcPr>
            <w:tcW w:w="1366" w:type="dxa"/>
            <w:tcBorders>
              <w:top w:val="nil"/>
              <w:left w:val="nil"/>
              <w:bottom w:val="single" w:sz="4" w:space="0" w:color="auto"/>
              <w:right w:val="single" w:sz="4" w:space="0" w:color="auto"/>
            </w:tcBorders>
            <w:shd w:val="clear" w:color="auto" w:fill="auto"/>
            <w:noWrap/>
            <w:vAlign w:val="bottom"/>
            <w:hideMark/>
          </w:tcPr>
          <w:p w14:paraId="29ED42FF" w14:textId="660BE614" w:rsidR="00903916" w:rsidRPr="005B55FD" w:rsidRDefault="00903916" w:rsidP="001E39EE">
            <w:pPr>
              <w:jc w:val="right"/>
              <w:rPr>
                <w:sz w:val="20"/>
                <w:szCs w:val="20"/>
                <w:lang w:val="fr-CA" w:eastAsia="en-CA"/>
              </w:rPr>
            </w:pPr>
            <w:r w:rsidRPr="005B55FD">
              <w:rPr>
                <w:sz w:val="20"/>
                <w:szCs w:val="20"/>
                <w:lang w:val="fr-CA" w:eastAsia="en-CA"/>
              </w:rPr>
              <w:t>5</w:t>
            </w:r>
            <w:r w:rsidR="0022563A">
              <w:rPr>
                <w:sz w:val="20"/>
                <w:szCs w:val="20"/>
                <w:lang w:val="fr-CA" w:eastAsia="en-CA"/>
              </w:rPr>
              <w:t xml:space="preserve"> </w:t>
            </w:r>
            <w:r w:rsidRPr="005B55FD">
              <w:rPr>
                <w:sz w:val="20"/>
                <w:szCs w:val="20"/>
                <w:lang w:val="fr-CA" w:eastAsia="en-CA"/>
              </w:rPr>
              <w:t>059</w:t>
            </w:r>
            <w:r w:rsidR="0022563A">
              <w:rPr>
                <w:sz w:val="20"/>
                <w:szCs w:val="20"/>
                <w:lang w:val="fr-CA" w:eastAsia="en-CA"/>
              </w:rPr>
              <w:t xml:space="preserve"> </w:t>
            </w:r>
            <w:r w:rsidRPr="005B55FD">
              <w:rPr>
                <w:sz w:val="20"/>
                <w:szCs w:val="20"/>
                <w:lang w:val="fr-CA" w:eastAsia="en-CA"/>
              </w:rPr>
              <w:t>360</w:t>
            </w:r>
          </w:p>
        </w:tc>
        <w:tc>
          <w:tcPr>
            <w:tcW w:w="1216" w:type="dxa"/>
            <w:tcBorders>
              <w:top w:val="nil"/>
              <w:left w:val="nil"/>
              <w:bottom w:val="single" w:sz="4" w:space="0" w:color="auto"/>
              <w:right w:val="single" w:sz="4" w:space="0" w:color="auto"/>
            </w:tcBorders>
            <w:shd w:val="clear" w:color="auto" w:fill="auto"/>
            <w:noWrap/>
            <w:vAlign w:val="bottom"/>
            <w:hideMark/>
          </w:tcPr>
          <w:p w14:paraId="0E300622"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6368037E" w14:textId="4F53A60F" w:rsidR="00903916" w:rsidRPr="005B55FD" w:rsidRDefault="00903916" w:rsidP="001E39EE">
            <w:pPr>
              <w:jc w:val="right"/>
              <w:rPr>
                <w:sz w:val="20"/>
                <w:szCs w:val="20"/>
                <w:lang w:val="fr-CA" w:eastAsia="en-CA"/>
              </w:rPr>
            </w:pPr>
            <w:r w:rsidRPr="005B55FD">
              <w:rPr>
                <w:sz w:val="20"/>
                <w:szCs w:val="20"/>
                <w:lang w:val="fr-CA" w:eastAsia="en-CA"/>
              </w:rPr>
              <w:t>16</w:t>
            </w:r>
            <w:r w:rsidR="0022563A">
              <w:rPr>
                <w:sz w:val="20"/>
                <w:szCs w:val="20"/>
                <w:lang w:val="fr-CA" w:eastAsia="en-CA"/>
              </w:rPr>
              <w:t xml:space="preserve"> </w:t>
            </w:r>
            <w:r w:rsidRPr="005B55FD">
              <w:rPr>
                <w:sz w:val="20"/>
                <w:szCs w:val="20"/>
                <w:lang w:val="fr-CA" w:eastAsia="en-CA"/>
              </w:rPr>
              <w:t>376</w:t>
            </w:r>
            <w:r w:rsidR="0022563A">
              <w:rPr>
                <w:sz w:val="20"/>
                <w:szCs w:val="20"/>
                <w:lang w:val="fr-CA" w:eastAsia="en-CA"/>
              </w:rPr>
              <w:t xml:space="preserve"> </w:t>
            </w:r>
            <w:r w:rsidRPr="005B55FD">
              <w:rPr>
                <w:sz w:val="20"/>
                <w:szCs w:val="20"/>
                <w:lang w:val="fr-CA" w:eastAsia="en-CA"/>
              </w:rPr>
              <w:t>606</w:t>
            </w:r>
          </w:p>
        </w:tc>
      </w:tr>
      <w:tr w:rsidR="00903916" w:rsidRPr="005B55FD" w14:paraId="58638AB9" w14:textId="77777777" w:rsidTr="00EB283F">
        <w:trPr>
          <w:trHeight w:val="124"/>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0909439" w14:textId="7C0EA2B9" w:rsidR="00903916" w:rsidRPr="005B55FD" w:rsidRDefault="0022563A" w:rsidP="001E39EE">
            <w:pPr>
              <w:jc w:val="left"/>
              <w:rPr>
                <w:sz w:val="20"/>
                <w:szCs w:val="20"/>
                <w:lang w:val="fr-CA" w:eastAsia="en-CA"/>
              </w:rPr>
            </w:pPr>
            <w:r>
              <w:rPr>
                <w:sz w:val="20"/>
                <w:szCs w:val="20"/>
                <w:lang w:val="fr-CA" w:eastAsia="en-CA"/>
              </w:rPr>
              <w:t>Plan d’élimination</w:t>
            </w:r>
          </w:p>
        </w:tc>
        <w:tc>
          <w:tcPr>
            <w:tcW w:w="1216" w:type="dxa"/>
            <w:tcBorders>
              <w:top w:val="nil"/>
              <w:left w:val="nil"/>
              <w:bottom w:val="single" w:sz="4" w:space="0" w:color="auto"/>
              <w:right w:val="single" w:sz="4" w:space="0" w:color="auto"/>
            </w:tcBorders>
            <w:shd w:val="clear" w:color="auto" w:fill="auto"/>
            <w:noWrap/>
            <w:vAlign w:val="bottom"/>
            <w:hideMark/>
          </w:tcPr>
          <w:p w14:paraId="059326E7" w14:textId="7CB94D9C" w:rsidR="00903916" w:rsidRPr="005B55FD" w:rsidRDefault="00903916" w:rsidP="001E39EE">
            <w:pPr>
              <w:jc w:val="right"/>
              <w:rPr>
                <w:sz w:val="20"/>
                <w:szCs w:val="20"/>
                <w:lang w:val="fr-CA" w:eastAsia="en-CA"/>
              </w:rPr>
            </w:pPr>
            <w:r w:rsidRPr="005B55FD">
              <w:rPr>
                <w:sz w:val="20"/>
                <w:szCs w:val="20"/>
                <w:lang w:val="fr-CA" w:eastAsia="en-CA"/>
              </w:rPr>
              <w:t>361</w:t>
            </w:r>
            <w:r w:rsidR="0022563A">
              <w:rPr>
                <w:sz w:val="20"/>
                <w:szCs w:val="20"/>
                <w:lang w:val="fr-CA" w:eastAsia="en-CA"/>
              </w:rPr>
              <w:t xml:space="preserve"> </w:t>
            </w:r>
            <w:r w:rsidRPr="005B55FD">
              <w:rPr>
                <w:sz w:val="20"/>
                <w:szCs w:val="20"/>
                <w:lang w:val="fr-CA" w:eastAsia="en-CA"/>
              </w:rPr>
              <w:t>740</w:t>
            </w:r>
            <w:r w:rsidR="0022563A">
              <w:rPr>
                <w:sz w:val="20"/>
                <w:szCs w:val="20"/>
                <w:lang w:val="fr-CA" w:eastAsia="en-CA"/>
              </w:rPr>
              <w:t xml:space="preserve"> </w:t>
            </w:r>
            <w:r w:rsidRPr="005B55FD">
              <w:rPr>
                <w:sz w:val="20"/>
                <w:szCs w:val="20"/>
                <w:lang w:val="fr-CA" w:eastAsia="en-CA"/>
              </w:rPr>
              <w:t>925</w:t>
            </w:r>
          </w:p>
        </w:tc>
        <w:tc>
          <w:tcPr>
            <w:tcW w:w="1216" w:type="dxa"/>
            <w:tcBorders>
              <w:top w:val="nil"/>
              <w:left w:val="nil"/>
              <w:bottom w:val="single" w:sz="4" w:space="0" w:color="auto"/>
              <w:right w:val="single" w:sz="4" w:space="0" w:color="auto"/>
            </w:tcBorders>
            <w:shd w:val="clear" w:color="auto" w:fill="auto"/>
            <w:noWrap/>
            <w:vAlign w:val="bottom"/>
            <w:hideMark/>
          </w:tcPr>
          <w:p w14:paraId="79481760" w14:textId="5133AB29" w:rsidR="00903916" w:rsidRPr="005B55FD" w:rsidRDefault="00903916" w:rsidP="001E39EE">
            <w:pPr>
              <w:jc w:val="right"/>
              <w:rPr>
                <w:sz w:val="20"/>
                <w:szCs w:val="20"/>
                <w:lang w:val="fr-CA" w:eastAsia="en-CA"/>
              </w:rPr>
            </w:pPr>
            <w:r w:rsidRPr="005B55FD">
              <w:rPr>
                <w:sz w:val="20"/>
                <w:szCs w:val="20"/>
                <w:lang w:val="fr-CA" w:eastAsia="en-CA"/>
              </w:rPr>
              <w:t>64</w:t>
            </w:r>
            <w:r w:rsidR="0022563A">
              <w:rPr>
                <w:sz w:val="20"/>
                <w:szCs w:val="20"/>
                <w:lang w:val="fr-CA" w:eastAsia="en-CA"/>
              </w:rPr>
              <w:t xml:space="preserve"> </w:t>
            </w:r>
            <w:r w:rsidRPr="005B55FD">
              <w:rPr>
                <w:sz w:val="20"/>
                <w:szCs w:val="20"/>
                <w:lang w:val="fr-CA" w:eastAsia="en-CA"/>
              </w:rPr>
              <w:t>903</w:t>
            </w:r>
            <w:r w:rsidR="0022563A">
              <w:rPr>
                <w:sz w:val="20"/>
                <w:szCs w:val="20"/>
                <w:lang w:val="fr-CA" w:eastAsia="en-CA"/>
              </w:rPr>
              <w:t xml:space="preserve"> </w:t>
            </w:r>
            <w:r w:rsidRPr="005B55FD">
              <w:rPr>
                <w:sz w:val="20"/>
                <w:szCs w:val="20"/>
                <w:lang w:val="fr-CA" w:eastAsia="en-CA"/>
              </w:rPr>
              <w:t>487</w:t>
            </w:r>
          </w:p>
        </w:tc>
        <w:tc>
          <w:tcPr>
            <w:tcW w:w="1216" w:type="dxa"/>
            <w:tcBorders>
              <w:top w:val="nil"/>
              <w:left w:val="nil"/>
              <w:bottom w:val="single" w:sz="4" w:space="0" w:color="auto"/>
              <w:right w:val="single" w:sz="4" w:space="0" w:color="auto"/>
            </w:tcBorders>
            <w:shd w:val="clear" w:color="auto" w:fill="auto"/>
            <w:noWrap/>
            <w:vAlign w:val="bottom"/>
            <w:hideMark/>
          </w:tcPr>
          <w:p w14:paraId="5DB5A533" w14:textId="0F79D24E" w:rsidR="00903916" w:rsidRPr="005B55FD" w:rsidRDefault="00903916" w:rsidP="001E39EE">
            <w:pPr>
              <w:jc w:val="right"/>
              <w:rPr>
                <w:sz w:val="20"/>
                <w:szCs w:val="20"/>
                <w:lang w:val="fr-CA" w:eastAsia="en-CA"/>
              </w:rPr>
            </w:pPr>
            <w:r w:rsidRPr="005B55FD">
              <w:rPr>
                <w:sz w:val="20"/>
                <w:szCs w:val="20"/>
                <w:lang w:val="fr-CA" w:eastAsia="en-CA"/>
              </w:rPr>
              <w:t>353</w:t>
            </w:r>
            <w:r w:rsidR="0022563A">
              <w:rPr>
                <w:sz w:val="20"/>
                <w:szCs w:val="20"/>
                <w:lang w:val="fr-CA" w:eastAsia="en-CA"/>
              </w:rPr>
              <w:t xml:space="preserve"> </w:t>
            </w:r>
            <w:r w:rsidRPr="005B55FD">
              <w:rPr>
                <w:sz w:val="20"/>
                <w:szCs w:val="20"/>
                <w:lang w:val="fr-CA" w:eastAsia="en-CA"/>
              </w:rPr>
              <w:t>091</w:t>
            </w:r>
            <w:r w:rsidR="0022563A">
              <w:rPr>
                <w:sz w:val="20"/>
                <w:szCs w:val="20"/>
                <w:lang w:val="fr-CA" w:eastAsia="en-CA"/>
              </w:rPr>
              <w:t xml:space="preserve"> </w:t>
            </w:r>
            <w:r w:rsidRPr="005B55FD">
              <w:rPr>
                <w:sz w:val="20"/>
                <w:szCs w:val="20"/>
                <w:lang w:val="fr-CA" w:eastAsia="en-CA"/>
              </w:rPr>
              <w:t>265</w:t>
            </w:r>
          </w:p>
        </w:tc>
        <w:tc>
          <w:tcPr>
            <w:tcW w:w="1366" w:type="dxa"/>
            <w:tcBorders>
              <w:top w:val="nil"/>
              <w:left w:val="nil"/>
              <w:bottom w:val="single" w:sz="4" w:space="0" w:color="auto"/>
              <w:right w:val="single" w:sz="4" w:space="0" w:color="auto"/>
            </w:tcBorders>
            <w:shd w:val="clear" w:color="auto" w:fill="auto"/>
            <w:noWrap/>
            <w:vAlign w:val="bottom"/>
            <w:hideMark/>
          </w:tcPr>
          <w:p w14:paraId="1C8F81F3" w14:textId="747E630E" w:rsidR="00903916" w:rsidRPr="005B55FD" w:rsidRDefault="00903916" w:rsidP="001E39EE">
            <w:pPr>
              <w:jc w:val="right"/>
              <w:rPr>
                <w:sz w:val="20"/>
                <w:szCs w:val="20"/>
                <w:lang w:val="fr-CA" w:eastAsia="en-CA"/>
              </w:rPr>
            </w:pPr>
            <w:r w:rsidRPr="005B55FD">
              <w:rPr>
                <w:sz w:val="20"/>
                <w:szCs w:val="20"/>
                <w:lang w:val="fr-CA" w:eastAsia="en-CA"/>
              </w:rPr>
              <w:t>202</w:t>
            </w:r>
            <w:r w:rsidR="0022563A">
              <w:rPr>
                <w:sz w:val="20"/>
                <w:szCs w:val="20"/>
                <w:lang w:val="fr-CA" w:eastAsia="en-CA"/>
              </w:rPr>
              <w:t xml:space="preserve"> </w:t>
            </w:r>
            <w:r w:rsidRPr="005B55FD">
              <w:rPr>
                <w:sz w:val="20"/>
                <w:szCs w:val="20"/>
                <w:lang w:val="fr-CA" w:eastAsia="en-CA"/>
              </w:rPr>
              <w:t>645</w:t>
            </w:r>
            <w:r w:rsidR="0022563A">
              <w:rPr>
                <w:sz w:val="20"/>
                <w:szCs w:val="20"/>
                <w:lang w:val="fr-CA" w:eastAsia="en-CA"/>
              </w:rPr>
              <w:t xml:space="preserve"> </w:t>
            </w:r>
            <w:r w:rsidRPr="005B55FD">
              <w:rPr>
                <w:sz w:val="20"/>
                <w:szCs w:val="20"/>
                <w:lang w:val="fr-CA" w:eastAsia="en-CA"/>
              </w:rPr>
              <w:t>157</w:t>
            </w:r>
          </w:p>
        </w:tc>
        <w:tc>
          <w:tcPr>
            <w:tcW w:w="1216" w:type="dxa"/>
            <w:tcBorders>
              <w:top w:val="nil"/>
              <w:left w:val="nil"/>
              <w:bottom w:val="single" w:sz="4" w:space="0" w:color="auto"/>
              <w:right w:val="single" w:sz="4" w:space="0" w:color="auto"/>
            </w:tcBorders>
            <w:shd w:val="clear" w:color="auto" w:fill="auto"/>
            <w:noWrap/>
            <w:vAlign w:val="bottom"/>
            <w:hideMark/>
          </w:tcPr>
          <w:p w14:paraId="48791ABF" w14:textId="77E06A95" w:rsidR="00903916" w:rsidRPr="005B55FD" w:rsidRDefault="00903916" w:rsidP="001E39EE">
            <w:pPr>
              <w:jc w:val="right"/>
              <w:rPr>
                <w:sz w:val="20"/>
                <w:szCs w:val="20"/>
                <w:lang w:val="fr-CA" w:eastAsia="en-CA"/>
              </w:rPr>
            </w:pPr>
            <w:r w:rsidRPr="005B55FD">
              <w:rPr>
                <w:sz w:val="20"/>
                <w:szCs w:val="20"/>
                <w:lang w:val="fr-CA" w:eastAsia="en-CA"/>
              </w:rPr>
              <w:t>68</w:t>
            </w:r>
            <w:r w:rsidR="0022563A">
              <w:rPr>
                <w:sz w:val="20"/>
                <w:szCs w:val="20"/>
                <w:lang w:val="fr-CA" w:eastAsia="en-CA"/>
              </w:rPr>
              <w:t xml:space="preserve"> </w:t>
            </w:r>
            <w:r w:rsidRPr="005B55FD">
              <w:rPr>
                <w:sz w:val="20"/>
                <w:szCs w:val="20"/>
                <w:lang w:val="fr-CA" w:eastAsia="en-CA"/>
              </w:rPr>
              <w:t>211</w:t>
            </w:r>
            <w:r w:rsidR="0022563A">
              <w:rPr>
                <w:sz w:val="20"/>
                <w:szCs w:val="20"/>
                <w:lang w:val="fr-CA" w:eastAsia="en-CA"/>
              </w:rPr>
              <w:t xml:space="preserve"> </w:t>
            </w:r>
            <w:r w:rsidRPr="005B55FD">
              <w:rPr>
                <w:sz w:val="20"/>
                <w:szCs w:val="20"/>
                <w:lang w:val="fr-CA" w:eastAsia="en-CA"/>
              </w:rPr>
              <w:t>986</w:t>
            </w:r>
          </w:p>
        </w:tc>
        <w:tc>
          <w:tcPr>
            <w:tcW w:w="1366" w:type="dxa"/>
            <w:tcBorders>
              <w:top w:val="nil"/>
              <w:left w:val="nil"/>
              <w:bottom w:val="single" w:sz="4" w:space="0" w:color="auto"/>
              <w:right w:val="single" w:sz="4" w:space="0" w:color="auto"/>
            </w:tcBorders>
            <w:shd w:val="clear" w:color="auto" w:fill="auto"/>
            <w:noWrap/>
            <w:vAlign w:val="bottom"/>
            <w:hideMark/>
          </w:tcPr>
          <w:p w14:paraId="6903F890" w14:textId="195E7E1B" w:rsidR="00903916" w:rsidRPr="005B55FD" w:rsidRDefault="00903916" w:rsidP="001E39EE">
            <w:pPr>
              <w:jc w:val="right"/>
              <w:rPr>
                <w:sz w:val="20"/>
                <w:szCs w:val="20"/>
                <w:lang w:val="fr-CA" w:eastAsia="en-CA"/>
              </w:rPr>
            </w:pPr>
            <w:r w:rsidRPr="005B55FD">
              <w:rPr>
                <w:sz w:val="20"/>
                <w:szCs w:val="20"/>
                <w:lang w:val="fr-CA" w:eastAsia="en-CA"/>
              </w:rPr>
              <w:t>1</w:t>
            </w:r>
            <w:r w:rsidR="0022563A">
              <w:rPr>
                <w:sz w:val="20"/>
                <w:szCs w:val="20"/>
                <w:lang w:val="fr-CA" w:eastAsia="en-CA"/>
              </w:rPr>
              <w:t xml:space="preserve"> </w:t>
            </w:r>
            <w:r w:rsidRPr="005B55FD">
              <w:rPr>
                <w:sz w:val="20"/>
                <w:szCs w:val="20"/>
                <w:lang w:val="fr-CA" w:eastAsia="en-CA"/>
              </w:rPr>
              <w:t>050</w:t>
            </w:r>
            <w:r w:rsidR="0022563A">
              <w:rPr>
                <w:sz w:val="20"/>
                <w:szCs w:val="20"/>
                <w:lang w:val="fr-CA" w:eastAsia="en-CA"/>
              </w:rPr>
              <w:t xml:space="preserve"> </w:t>
            </w:r>
            <w:r w:rsidRPr="005B55FD">
              <w:rPr>
                <w:sz w:val="20"/>
                <w:szCs w:val="20"/>
                <w:lang w:val="fr-CA" w:eastAsia="en-CA"/>
              </w:rPr>
              <w:t>592</w:t>
            </w:r>
            <w:r w:rsidR="0022563A">
              <w:rPr>
                <w:sz w:val="20"/>
                <w:szCs w:val="20"/>
                <w:lang w:val="fr-CA" w:eastAsia="en-CA"/>
              </w:rPr>
              <w:t xml:space="preserve"> </w:t>
            </w:r>
            <w:r w:rsidRPr="005B55FD">
              <w:rPr>
                <w:sz w:val="20"/>
                <w:szCs w:val="20"/>
                <w:lang w:val="fr-CA" w:eastAsia="en-CA"/>
              </w:rPr>
              <w:t>821</w:t>
            </w:r>
          </w:p>
        </w:tc>
      </w:tr>
      <w:tr w:rsidR="00903916" w:rsidRPr="005B55FD" w14:paraId="6E20BD70"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DCDAFF3" w14:textId="18D0C52C" w:rsidR="00903916" w:rsidRPr="005B55FD" w:rsidRDefault="0022563A" w:rsidP="001E39EE">
            <w:pPr>
              <w:jc w:val="left"/>
              <w:rPr>
                <w:sz w:val="20"/>
                <w:szCs w:val="20"/>
                <w:lang w:val="fr-CA" w:eastAsia="en-CA"/>
              </w:rPr>
            </w:pPr>
            <w:r>
              <w:rPr>
                <w:sz w:val="20"/>
                <w:szCs w:val="20"/>
                <w:lang w:val="fr-CA" w:eastAsia="en-CA"/>
              </w:rPr>
              <w:t>Agents de transformation</w:t>
            </w:r>
          </w:p>
        </w:tc>
        <w:tc>
          <w:tcPr>
            <w:tcW w:w="1216" w:type="dxa"/>
            <w:tcBorders>
              <w:top w:val="nil"/>
              <w:left w:val="nil"/>
              <w:bottom w:val="single" w:sz="4" w:space="0" w:color="auto"/>
              <w:right w:val="single" w:sz="4" w:space="0" w:color="auto"/>
            </w:tcBorders>
            <w:shd w:val="clear" w:color="auto" w:fill="auto"/>
            <w:noWrap/>
            <w:vAlign w:val="bottom"/>
            <w:hideMark/>
          </w:tcPr>
          <w:p w14:paraId="56E3E7D3" w14:textId="1CFFEE53" w:rsidR="00903916" w:rsidRPr="005B55FD" w:rsidRDefault="00903916" w:rsidP="001E39EE">
            <w:pPr>
              <w:jc w:val="right"/>
              <w:rPr>
                <w:sz w:val="20"/>
                <w:szCs w:val="20"/>
                <w:lang w:val="fr-CA" w:eastAsia="en-CA"/>
              </w:rPr>
            </w:pPr>
            <w:r w:rsidRPr="005B55FD">
              <w:rPr>
                <w:sz w:val="20"/>
                <w:szCs w:val="20"/>
                <w:lang w:val="fr-CA" w:eastAsia="en-CA"/>
              </w:rPr>
              <w:t>1</w:t>
            </w:r>
            <w:r w:rsidR="0022563A">
              <w:rPr>
                <w:sz w:val="20"/>
                <w:szCs w:val="20"/>
                <w:lang w:val="fr-CA" w:eastAsia="en-CA"/>
              </w:rPr>
              <w:t xml:space="preserve"> </w:t>
            </w:r>
            <w:r w:rsidRPr="005B55FD">
              <w:rPr>
                <w:sz w:val="20"/>
                <w:szCs w:val="20"/>
                <w:lang w:val="fr-CA" w:eastAsia="en-CA"/>
              </w:rPr>
              <w:t>286</w:t>
            </w:r>
            <w:r w:rsidR="0022563A">
              <w:rPr>
                <w:sz w:val="20"/>
                <w:szCs w:val="20"/>
                <w:lang w:val="fr-CA" w:eastAsia="en-CA"/>
              </w:rPr>
              <w:t xml:space="preserve"> </w:t>
            </w:r>
            <w:r w:rsidRPr="005B55FD">
              <w:rPr>
                <w:sz w:val="20"/>
                <w:szCs w:val="20"/>
                <w:lang w:val="fr-CA" w:eastAsia="en-CA"/>
              </w:rPr>
              <w:t>923</w:t>
            </w:r>
          </w:p>
        </w:tc>
        <w:tc>
          <w:tcPr>
            <w:tcW w:w="1216" w:type="dxa"/>
            <w:tcBorders>
              <w:top w:val="nil"/>
              <w:left w:val="nil"/>
              <w:bottom w:val="single" w:sz="4" w:space="0" w:color="auto"/>
              <w:right w:val="single" w:sz="4" w:space="0" w:color="auto"/>
            </w:tcBorders>
            <w:shd w:val="clear" w:color="auto" w:fill="auto"/>
            <w:noWrap/>
            <w:vAlign w:val="bottom"/>
            <w:hideMark/>
          </w:tcPr>
          <w:p w14:paraId="00416EE2"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694796C9" w14:textId="2BD42105" w:rsidR="00903916" w:rsidRPr="005B55FD" w:rsidRDefault="00903916" w:rsidP="001E39EE">
            <w:pPr>
              <w:jc w:val="right"/>
              <w:rPr>
                <w:sz w:val="20"/>
                <w:szCs w:val="20"/>
                <w:lang w:val="fr-CA" w:eastAsia="en-CA"/>
              </w:rPr>
            </w:pPr>
            <w:r w:rsidRPr="005B55FD">
              <w:rPr>
                <w:sz w:val="20"/>
                <w:szCs w:val="20"/>
                <w:lang w:val="fr-CA" w:eastAsia="en-CA"/>
              </w:rPr>
              <w:t>6</w:t>
            </w:r>
            <w:r w:rsidR="0022563A">
              <w:rPr>
                <w:sz w:val="20"/>
                <w:szCs w:val="20"/>
                <w:lang w:val="fr-CA" w:eastAsia="en-CA"/>
              </w:rPr>
              <w:t xml:space="preserve"> </w:t>
            </w:r>
            <w:r w:rsidRPr="005B55FD">
              <w:rPr>
                <w:sz w:val="20"/>
                <w:szCs w:val="20"/>
                <w:lang w:val="fr-CA" w:eastAsia="en-CA"/>
              </w:rPr>
              <w:t>337</w:t>
            </w:r>
            <w:r w:rsidR="0022563A">
              <w:rPr>
                <w:sz w:val="20"/>
                <w:szCs w:val="20"/>
                <w:lang w:val="fr-CA" w:eastAsia="en-CA"/>
              </w:rPr>
              <w:t xml:space="preserve"> </w:t>
            </w:r>
            <w:r w:rsidRPr="005B55FD">
              <w:rPr>
                <w:sz w:val="20"/>
                <w:szCs w:val="20"/>
                <w:lang w:val="fr-CA" w:eastAsia="en-CA"/>
              </w:rPr>
              <w:t>359</w:t>
            </w:r>
          </w:p>
        </w:tc>
        <w:tc>
          <w:tcPr>
            <w:tcW w:w="1366" w:type="dxa"/>
            <w:tcBorders>
              <w:top w:val="nil"/>
              <w:left w:val="nil"/>
              <w:bottom w:val="single" w:sz="4" w:space="0" w:color="auto"/>
              <w:right w:val="single" w:sz="4" w:space="0" w:color="auto"/>
            </w:tcBorders>
            <w:shd w:val="clear" w:color="auto" w:fill="auto"/>
            <w:noWrap/>
            <w:vAlign w:val="bottom"/>
            <w:hideMark/>
          </w:tcPr>
          <w:p w14:paraId="7A70902F" w14:textId="19B592E9" w:rsidR="00903916" w:rsidRPr="005B55FD" w:rsidRDefault="00903916" w:rsidP="001E39EE">
            <w:pPr>
              <w:jc w:val="right"/>
              <w:rPr>
                <w:sz w:val="20"/>
                <w:szCs w:val="20"/>
                <w:lang w:val="fr-CA" w:eastAsia="en-CA"/>
              </w:rPr>
            </w:pPr>
            <w:r w:rsidRPr="005B55FD">
              <w:rPr>
                <w:sz w:val="20"/>
                <w:szCs w:val="20"/>
                <w:lang w:val="fr-CA" w:eastAsia="en-CA"/>
              </w:rPr>
              <w:t>114</w:t>
            </w:r>
            <w:r w:rsidR="0022563A">
              <w:rPr>
                <w:sz w:val="20"/>
                <w:szCs w:val="20"/>
                <w:lang w:val="fr-CA" w:eastAsia="en-CA"/>
              </w:rPr>
              <w:t xml:space="preserve"> </w:t>
            </w:r>
            <w:r w:rsidRPr="005B55FD">
              <w:rPr>
                <w:sz w:val="20"/>
                <w:szCs w:val="20"/>
                <w:lang w:val="fr-CA" w:eastAsia="en-CA"/>
              </w:rPr>
              <w:t>342</w:t>
            </w:r>
            <w:r w:rsidR="0022563A">
              <w:rPr>
                <w:sz w:val="20"/>
                <w:szCs w:val="20"/>
                <w:lang w:val="fr-CA" w:eastAsia="en-CA"/>
              </w:rPr>
              <w:t xml:space="preserve"> </w:t>
            </w:r>
            <w:r w:rsidRPr="005B55FD">
              <w:rPr>
                <w:sz w:val="20"/>
                <w:szCs w:val="20"/>
                <w:lang w:val="fr-CA" w:eastAsia="en-CA"/>
              </w:rPr>
              <w:t>497</w:t>
            </w:r>
          </w:p>
        </w:tc>
        <w:tc>
          <w:tcPr>
            <w:tcW w:w="1216" w:type="dxa"/>
            <w:tcBorders>
              <w:top w:val="nil"/>
              <w:left w:val="nil"/>
              <w:bottom w:val="single" w:sz="4" w:space="0" w:color="auto"/>
              <w:right w:val="single" w:sz="4" w:space="0" w:color="auto"/>
            </w:tcBorders>
            <w:shd w:val="clear" w:color="auto" w:fill="auto"/>
            <w:noWrap/>
            <w:vAlign w:val="bottom"/>
            <w:hideMark/>
          </w:tcPr>
          <w:p w14:paraId="4B584A44"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152601D3" w14:textId="540C8E1B" w:rsidR="00903916" w:rsidRPr="005B55FD" w:rsidRDefault="00903916" w:rsidP="001E39EE">
            <w:pPr>
              <w:jc w:val="right"/>
              <w:rPr>
                <w:sz w:val="20"/>
                <w:szCs w:val="20"/>
                <w:lang w:val="fr-CA" w:eastAsia="en-CA"/>
              </w:rPr>
            </w:pPr>
            <w:r w:rsidRPr="005B55FD">
              <w:rPr>
                <w:sz w:val="20"/>
                <w:szCs w:val="20"/>
                <w:lang w:val="fr-CA" w:eastAsia="en-CA"/>
              </w:rPr>
              <w:t>121</w:t>
            </w:r>
            <w:r w:rsidR="0022563A">
              <w:rPr>
                <w:sz w:val="20"/>
                <w:szCs w:val="20"/>
                <w:lang w:val="fr-CA" w:eastAsia="en-CA"/>
              </w:rPr>
              <w:t xml:space="preserve"> </w:t>
            </w:r>
            <w:r w:rsidRPr="005B55FD">
              <w:rPr>
                <w:sz w:val="20"/>
                <w:szCs w:val="20"/>
                <w:lang w:val="fr-CA" w:eastAsia="en-CA"/>
              </w:rPr>
              <w:t>966</w:t>
            </w:r>
            <w:r w:rsidR="0022563A">
              <w:rPr>
                <w:sz w:val="20"/>
                <w:szCs w:val="20"/>
                <w:lang w:val="fr-CA" w:eastAsia="en-CA"/>
              </w:rPr>
              <w:t xml:space="preserve"> </w:t>
            </w:r>
            <w:r w:rsidRPr="005B55FD">
              <w:rPr>
                <w:sz w:val="20"/>
                <w:szCs w:val="20"/>
                <w:lang w:val="fr-CA" w:eastAsia="en-CA"/>
              </w:rPr>
              <w:t>779</w:t>
            </w:r>
          </w:p>
        </w:tc>
      </w:tr>
      <w:tr w:rsidR="00903916" w:rsidRPr="005B55FD" w14:paraId="16A036A1" w14:textId="77777777" w:rsidTr="00EB283F">
        <w:trPr>
          <w:trHeight w:val="74"/>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9105DF5" w14:textId="77777777" w:rsidR="00903916" w:rsidRPr="005B55FD" w:rsidRDefault="00903916" w:rsidP="001E39EE">
            <w:pPr>
              <w:jc w:val="left"/>
              <w:rPr>
                <w:sz w:val="20"/>
                <w:szCs w:val="20"/>
                <w:lang w:val="fr-CA" w:eastAsia="en-CA"/>
              </w:rPr>
            </w:pPr>
            <w:r w:rsidRPr="005B55FD">
              <w:rPr>
                <w:sz w:val="20"/>
                <w:szCs w:val="20"/>
                <w:lang w:val="fr-CA" w:eastAsia="en-CA"/>
              </w:rPr>
              <w:t>Production</w:t>
            </w:r>
          </w:p>
        </w:tc>
        <w:tc>
          <w:tcPr>
            <w:tcW w:w="1216" w:type="dxa"/>
            <w:tcBorders>
              <w:top w:val="nil"/>
              <w:left w:val="nil"/>
              <w:bottom w:val="single" w:sz="4" w:space="0" w:color="auto"/>
              <w:right w:val="single" w:sz="4" w:space="0" w:color="auto"/>
            </w:tcBorders>
            <w:shd w:val="clear" w:color="auto" w:fill="auto"/>
            <w:noWrap/>
            <w:vAlign w:val="bottom"/>
            <w:hideMark/>
          </w:tcPr>
          <w:p w14:paraId="03F16BFB" w14:textId="386B1C76" w:rsidR="00903916" w:rsidRPr="005B55FD" w:rsidRDefault="00903916" w:rsidP="001E39EE">
            <w:pPr>
              <w:jc w:val="right"/>
              <w:rPr>
                <w:sz w:val="20"/>
                <w:szCs w:val="20"/>
                <w:lang w:val="fr-CA" w:eastAsia="en-CA"/>
              </w:rPr>
            </w:pPr>
            <w:r w:rsidRPr="005B55FD">
              <w:rPr>
                <w:sz w:val="20"/>
                <w:szCs w:val="20"/>
                <w:lang w:val="fr-CA" w:eastAsia="en-CA"/>
              </w:rPr>
              <w:t>1</w:t>
            </w:r>
            <w:r w:rsidR="0022563A">
              <w:rPr>
                <w:sz w:val="20"/>
                <w:szCs w:val="20"/>
                <w:lang w:val="fr-CA" w:eastAsia="en-CA"/>
              </w:rPr>
              <w:t xml:space="preserve"> </w:t>
            </w:r>
            <w:r w:rsidRPr="005B55FD">
              <w:rPr>
                <w:sz w:val="20"/>
                <w:szCs w:val="20"/>
                <w:lang w:val="fr-CA" w:eastAsia="en-CA"/>
              </w:rPr>
              <w:t>056</w:t>
            </w:r>
            <w:r w:rsidR="0022563A">
              <w:rPr>
                <w:sz w:val="20"/>
                <w:szCs w:val="20"/>
                <w:lang w:val="fr-CA" w:eastAsia="en-CA"/>
              </w:rPr>
              <w:t xml:space="preserve"> </w:t>
            </w:r>
            <w:r w:rsidRPr="005B55FD">
              <w:rPr>
                <w:sz w:val="20"/>
                <w:szCs w:val="20"/>
                <w:lang w:val="fr-CA" w:eastAsia="en-CA"/>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5FC825EB"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1C6388E2" w14:textId="0BAF5293" w:rsidR="00903916" w:rsidRPr="005B55FD" w:rsidRDefault="00903916" w:rsidP="001E39EE">
            <w:pPr>
              <w:jc w:val="right"/>
              <w:rPr>
                <w:sz w:val="20"/>
                <w:szCs w:val="20"/>
                <w:lang w:val="fr-CA" w:eastAsia="en-CA"/>
              </w:rPr>
            </w:pPr>
            <w:r w:rsidRPr="005B55FD">
              <w:rPr>
                <w:sz w:val="20"/>
                <w:szCs w:val="20"/>
                <w:lang w:val="fr-CA" w:eastAsia="en-CA"/>
              </w:rPr>
              <w:t>51</w:t>
            </w:r>
            <w:r w:rsidR="0022563A">
              <w:rPr>
                <w:sz w:val="20"/>
                <w:szCs w:val="20"/>
                <w:lang w:val="fr-CA" w:eastAsia="en-CA"/>
              </w:rPr>
              <w:t xml:space="preserve"> </w:t>
            </w:r>
            <w:r w:rsidRPr="005B55FD">
              <w:rPr>
                <w:sz w:val="20"/>
                <w:szCs w:val="20"/>
                <w:lang w:val="fr-CA" w:eastAsia="en-CA"/>
              </w:rPr>
              <w:t>128</w:t>
            </w:r>
            <w:r w:rsidR="0022563A">
              <w:rPr>
                <w:sz w:val="20"/>
                <w:szCs w:val="20"/>
                <w:lang w:val="fr-CA" w:eastAsia="en-CA"/>
              </w:rPr>
              <w:t xml:space="preserve"> </w:t>
            </w:r>
            <w:r w:rsidRPr="005B55FD">
              <w:rPr>
                <w:sz w:val="20"/>
                <w:szCs w:val="20"/>
                <w:lang w:val="fr-CA" w:eastAsia="en-CA"/>
              </w:rPr>
              <w:t>201</w:t>
            </w:r>
          </w:p>
        </w:tc>
        <w:tc>
          <w:tcPr>
            <w:tcW w:w="1366" w:type="dxa"/>
            <w:tcBorders>
              <w:top w:val="nil"/>
              <w:left w:val="nil"/>
              <w:bottom w:val="single" w:sz="4" w:space="0" w:color="auto"/>
              <w:right w:val="single" w:sz="4" w:space="0" w:color="auto"/>
            </w:tcBorders>
            <w:shd w:val="clear" w:color="auto" w:fill="auto"/>
            <w:noWrap/>
            <w:vAlign w:val="bottom"/>
            <w:hideMark/>
          </w:tcPr>
          <w:p w14:paraId="3186F7C8" w14:textId="71275416" w:rsidR="00903916" w:rsidRPr="005B55FD" w:rsidRDefault="00903916" w:rsidP="001E39EE">
            <w:pPr>
              <w:jc w:val="right"/>
              <w:rPr>
                <w:sz w:val="20"/>
                <w:szCs w:val="20"/>
                <w:lang w:val="fr-CA" w:eastAsia="en-CA"/>
              </w:rPr>
            </w:pPr>
            <w:r w:rsidRPr="005B55FD">
              <w:rPr>
                <w:sz w:val="20"/>
                <w:szCs w:val="20"/>
                <w:lang w:val="fr-CA" w:eastAsia="en-CA"/>
              </w:rPr>
              <w:t>378</w:t>
            </w:r>
            <w:r w:rsidR="0022563A">
              <w:rPr>
                <w:sz w:val="20"/>
                <w:szCs w:val="20"/>
                <w:lang w:val="fr-CA" w:eastAsia="en-CA"/>
              </w:rPr>
              <w:t xml:space="preserve"> </w:t>
            </w:r>
            <w:r w:rsidRPr="005B55FD">
              <w:rPr>
                <w:sz w:val="20"/>
                <w:szCs w:val="20"/>
                <w:lang w:val="fr-CA" w:eastAsia="en-CA"/>
              </w:rPr>
              <w:t>930</w:t>
            </w:r>
            <w:r w:rsidR="0022563A">
              <w:rPr>
                <w:sz w:val="20"/>
                <w:szCs w:val="20"/>
                <w:lang w:val="fr-CA" w:eastAsia="en-CA"/>
              </w:rPr>
              <w:t xml:space="preserve"> </w:t>
            </w:r>
            <w:r w:rsidRPr="005B55FD">
              <w:rPr>
                <w:sz w:val="20"/>
                <w:szCs w:val="20"/>
                <w:lang w:val="fr-CA" w:eastAsia="en-CA"/>
              </w:rPr>
              <w:t>190</w:t>
            </w:r>
          </w:p>
        </w:tc>
        <w:tc>
          <w:tcPr>
            <w:tcW w:w="1216" w:type="dxa"/>
            <w:tcBorders>
              <w:top w:val="nil"/>
              <w:left w:val="nil"/>
              <w:bottom w:val="single" w:sz="4" w:space="0" w:color="auto"/>
              <w:right w:val="single" w:sz="4" w:space="0" w:color="auto"/>
            </w:tcBorders>
            <w:shd w:val="clear" w:color="auto" w:fill="auto"/>
            <w:noWrap/>
            <w:vAlign w:val="bottom"/>
            <w:hideMark/>
          </w:tcPr>
          <w:p w14:paraId="21DC778B" w14:textId="3A46173C" w:rsidR="00903916" w:rsidRPr="005B55FD" w:rsidRDefault="00903916" w:rsidP="001E39EE">
            <w:pPr>
              <w:jc w:val="right"/>
              <w:rPr>
                <w:sz w:val="20"/>
                <w:szCs w:val="20"/>
                <w:lang w:val="fr-CA" w:eastAsia="en-CA"/>
              </w:rPr>
            </w:pPr>
            <w:r w:rsidRPr="005B55FD">
              <w:rPr>
                <w:sz w:val="20"/>
                <w:szCs w:val="20"/>
                <w:lang w:val="fr-CA" w:eastAsia="en-CA"/>
              </w:rPr>
              <w:t>10</w:t>
            </w:r>
            <w:r w:rsidR="0022563A">
              <w:rPr>
                <w:sz w:val="20"/>
                <w:szCs w:val="20"/>
                <w:lang w:val="fr-CA" w:eastAsia="en-CA"/>
              </w:rPr>
              <w:t xml:space="preserve"> </w:t>
            </w:r>
            <w:r w:rsidRPr="005B55FD">
              <w:rPr>
                <w:sz w:val="20"/>
                <w:szCs w:val="20"/>
                <w:lang w:val="fr-CA" w:eastAsia="en-CA"/>
              </w:rPr>
              <w:t>000</w:t>
            </w:r>
            <w:r w:rsidR="0022563A">
              <w:rPr>
                <w:sz w:val="20"/>
                <w:szCs w:val="20"/>
                <w:lang w:val="fr-CA" w:eastAsia="en-CA"/>
              </w:rPr>
              <w:t xml:space="preserve"> </w:t>
            </w:r>
            <w:r w:rsidRPr="005B55FD">
              <w:rPr>
                <w:sz w:val="20"/>
                <w:szCs w:val="20"/>
                <w:lang w:val="fr-CA" w:eastAsia="en-CA"/>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21E2D8B4" w14:textId="05CDCA48" w:rsidR="00903916" w:rsidRPr="005B55FD" w:rsidRDefault="00903916" w:rsidP="001E39EE">
            <w:pPr>
              <w:jc w:val="right"/>
              <w:rPr>
                <w:sz w:val="20"/>
                <w:szCs w:val="20"/>
                <w:lang w:val="fr-CA" w:eastAsia="en-CA"/>
              </w:rPr>
            </w:pPr>
            <w:r w:rsidRPr="005B55FD">
              <w:rPr>
                <w:sz w:val="20"/>
                <w:szCs w:val="20"/>
                <w:lang w:val="fr-CA" w:eastAsia="en-CA"/>
              </w:rPr>
              <w:t>441</w:t>
            </w:r>
            <w:r w:rsidR="0022563A">
              <w:rPr>
                <w:sz w:val="20"/>
                <w:szCs w:val="20"/>
                <w:lang w:val="fr-CA" w:eastAsia="en-CA"/>
              </w:rPr>
              <w:t xml:space="preserve"> </w:t>
            </w:r>
            <w:r w:rsidRPr="005B55FD">
              <w:rPr>
                <w:sz w:val="20"/>
                <w:szCs w:val="20"/>
                <w:lang w:val="fr-CA" w:eastAsia="en-CA"/>
              </w:rPr>
              <w:t>114</w:t>
            </w:r>
            <w:r w:rsidR="0022563A">
              <w:rPr>
                <w:sz w:val="20"/>
                <w:szCs w:val="20"/>
                <w:lang w:val="fr-CA" w:eastAsia="en-CA"/>
              </w:rPr>
              <w:t xml:space="preserve"> </w:t>
            </w:r>
            <w:r w:rsidRPr="005B55FD">
              <w:rPr>
                <w:sz w:val="20"/>
                <w:szCs w:val="20"/>
                <w:lang w:val="fr-CA" w:eastAsia="en-CA"/>
              </w:rPr>
              <w:t>391</w:t>
            </w:r>
          </w:p>
        </w:tc>
      </w:tr>
      <w:tr w:rsidR="00903916" w:rsidRPr="005B55FD" w14:paraId="090C0222" w14:textId="77777777" w:rsidTr="00EB283F">
        <w:trPr>
          <w:trHeight w:val="121"/>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B5C6BAC" w14:textId="7BFA28E3" w:rsidR="00903916" w:rsidRPr="005B55FD" w:rsidRDefault="0022563A" w:rsidP="001E39EE">
            <w:pPr>
              <w:jc w:val="left"/>
              <w:rPr>
                <w:sz w:val="20"/>
                <w:szCs w:val="20"/>
                <w:lang w:val="fr-CA" w:eastAsia="en-CA"/>
              </w:rPr>
            </w:pPr>
            <w:r>
              <w:rPr>
                <w:sz w:val="20"/>
                <w:szCs w:val="20"/>
                <w:lang w:val="fr-CA" w:eastAsia="en-CA"/>
              </w:rPr>
              <w:t>Réfrigération</w:t>
            </w:r>
          </w:p>
        </w:tc>
        <w:tc>
          <w:tcPr>
            <w:tcW w:w="1216" w:type="dxa"/>
            <w:tcBorders>
              <w:top w:val="nil"/>
              <w:left w:val="nil"/>
              <w:bottom w:val="single" w:sz="4" w:space="0" w:color="auto"/>
              <w:right w:val="single" w:sz="4" w:space="0" w:color="auto"/>
            </w:tcBorders>
            <w:shd w:val="clear" w:color="auto" w:fill="auto"/>
            <w:noWrap/>
            <w:vAlign w:val="bottom"/>
            <w:hideMark/>
          </w:tcPr>
          <w:p w14:paraId="439B6D44" w14:textId="7976A74F" w:rsidR="00903916" w:rsidRPr="005B55FD" w:rsidRDefault="00903916" w:rsidP="001E39EE">
            <w:pPr>
              <w:jc w:val="right"/>
              <w:rPr>
                <w:sz w:val="20"/>
                <w:szCs w:val="20"/>
                <w:lang w:val="fr-CA" w:eastAsia="en-CA"/>
              </w:rPr>
            </w:pPr>
            <w:r w:rsidRPr="005B55FD">
              <w:rPr>
                <w:sz w:val="20"/>
                <w:szCs w:val="20"/>
                <w:lang w:val="fr-CA" w:eastAsia="en-CA"/>
              </w:rPr>
              <w:t>139</w:t>
            </w:r>
            <w:r w:rsidR="0022563A">
              <w:rPr>
                <w:sz w:val="20"/>
                <w:szCs w:val="20"/>
                <w:lang w:val="fr-CA" w:eastAsia="en-CA"/>
              </w:rPr>
              <w:t xml:space="preserve"> </w:t>
            </w:r>
            <w:r w:rsidRPr="005B55FD">
              <w:rPr>
                <w:sz w:val="20"/>
                <w:szCs w:val="20"/>
                <w:lang w:val="fr-CA" w:eastAsia="en-CA"/>
              </w:rPr>
              <w:t>603</w:t>
            </w:r>
            <w:r w:rsidR="0022563A">
              <w:rPr>
                <w:sz w:val="20"/>
                <w:szCs w:val="20"/>
                <w:lang w:val="fr-CA" w:eastAsia="en-CA"/>
              </w:rPr>
              <w:t xml:space="preserve"> </w:t>
            </w:r>
            <w:r w:rsidRPr="005B55FD">
              <w:rPr>
                <w:sz w:val="20"/>
                <w:szCs w:val="20"/>
                <w:lang w:val="fr-CA" w:eastAsia="en-CA"/>
              </w:rPr>
              <w:t>919</w:t>
            </w:r>
          </w:p>
        </w:tc>
        <w:tc>
          <w:tcPr>
            <w:tcW w:w="1216" w:type="dxa"/>
            <w:tcBorders>
              <w:top w:val="nil"/>
              <w:left w:val="nil"/>
              <w:bottom w:val="single" w:sz="4" w:space="0" w:color="auto"/>
              <w:right w:val="single" w:sz="4" w:space="0" w:color="auto"/>
            </w:tcBorders>
            <w:shd w:val="clear" w:color="auto" w:fill="auto"/>
            <w:noWrap/>
            <w:vAlign w:val="bottom"/>
            <w:hideMark/>
          </w:tcPr>
          <w:p w14:paraId="3CBBA3FE" w14:textId="69EC0BB1" w:rsidR="00903916" w:rsidRPr="005B55FD" w:rsidRDefault="00903916" w:rsidP="001E39EE">
            <w:pPr>
              <w:jc w:val="right"/>
              <w:rPr>
                <w:sz w:val="20"/>
                <w:szCs w:val="20"/>
                <w:lang w:val="fr-CA" w:eastAsia="en-CA"/>
              </w:rPr>
            </w:pPr>
            <w:r w:rsidRPr="005B55FD">
              <w:rPr>
                <w:sz w:val="20"/>
                <w:szCs w:val="20"/>
                <w:lang w:val="fr-CA" w:eastAsia="en-CA"/>
              </w:rPr>
              <w:t>13</w:t>
            </w:r>
            <w:r w:rsidR="0022563A">
              <w:rPr>
                <w:sz w:val="20"/>
                <w:szCs w:val="20"/>
                <w:lang w:val="fr-CA" w:eastAsia="en-CA"/>
              </w:rPr>
              <w:t xml:space="preserve"> </w:t>
            </w:r>
            <w:r w:rsidRPr="005B55FD">
              <w:rPr>
                <w:sz w:val="20"/>
                <w:szCs w:val="20"/>
                <w:lang w:val="fr-CA" w:eastAsia="en-CA"/>
              </w:rPr>
              <w:t>872</w:t>
            </w:r>
            <w:r w:rsidR="0022563A">
              <w:rPr>
                <w:sz w:val="20"/>
                <w:szCs w:val="20"/>
                <w:lang w:val="fr-CA" w:eastAsia="en-CA"/>
              </w:rPr>
              <w:t xml:space="preserve"> </w:t>
            </w:r>
            <w:r w:rsidRPr="005B55FD">
              <w:rPr>
                <w:sz w:val="20"/>
                <w:szCs w:val="20"/>
                <w:lang w:val="fr-CA" w:eastAsia="en-CA"/>
              </w:rPr>
              <w:t>913</w:t>
            </w:r>
          </w:p>
        </w:tc>
        <w:tc>
          <w:tcPr>
            <w:tcW w:w="1216" w:type="dxa"/>
            <w:tcBorders>
              <w:top w:val="nil"/>
              <w:left w:val="nil"/>
              <w:bottom w:val="single" w:sz="4" w:space="0" w:color="auto"/>
              <w:right w:val="single" w:sz="4" w:space="0" w:color="auto"/>
            </w:tcBorders>
            <w:shd w:val="clear" w:color="auto" w:fill="auto"/>
            <w:noWrap/>
            <w:vAlign w:val="bottom"/>
            <w:hideMark/>
          </w:tcPr>
          <w:p w14:paraId="058F1C65" w14:textId="3530B42C" w:rsidR="00903916" w:rsidRPr="005B55FD" w:rsidRDefault="00903916" w:rsidP="001E39EE">
            <w:pPr>
              <w:jc w:val="right"/>
              <w:rPr>
                <w:sz w:val="20"/>
                <w:szCs w:val="20"/>
                <w:lang w:val="fr-CA" w:eastAsia="en-CA"/>
              </w:rPr>
            </w:pPr>
            <w:r w:rsidRPr="005B55FD">
              <w:rPr>
                <w:sz w:val="20"/>
                <w:szCs w:val="20"/>
                <w:lang w:val="fr-CA" w:eastAsia="en-CA"/>
              </w:rPr>
              <w:t>182</w:t>
            </w:r>
            <w:r w:rsidR="0022563A">
              <w:rPr>
                <w:sz w:val="20"/>
                <w:szCs w:val="20"/>
                <w:lang w:val="fr-CA" w:eastAsia="en-CA"/>
              </w:rPr>
              <w:t xml:space="preserve"> </w:t>
            </w:r>
            <w:r w:rsidRPr="005B55FD">
              <w:rPr>
                <w:sz w:val="20"/>
                <w:szCs w:val="20"/>
                <w:lang w:val="fr-CA" w:eastAsia="en-CA"/>
              </w:rPr>
              <w:t>191</w:t>
            </w:r>
            <w:r w:rsidR="0022563A">
              <w:rPr>
                <w:sz w:val="20"/>
                <w:szCs w:val="20"/>
                <w:lang w:val="fr-CA" w:eastAsia="en-CA"/>
              </w:rPr>
              <w:t xml:space="preserve"> </w:t>
            </w:r>
            <w:r w:rsidRPr="005B55FD">
              <w:rPr>
                <w:sz w:val="20"/>
                <w:szCs w:val="20"/>
                <w:lang w:val="fr-CA" w:eastAsia="en-CA"/>
              </w:rPr>
              <w:t>775</w:t>
            </w:r>
          </w:p>
        </w:tc>
        <w:tc>
          <w:tcPr>
            <w:tcW w:w="1366" w:type="dxa"/>
            <w:tcBorders>
              <w:top w:val="nil"/>
              <w:left w:val="nil"/>
              <w:bottom w:val="single" w:sz="4" w:space="0" w:color="auto"/>
              <w:right w:val="single" w:sz="4" w:space="0" w:color="auto"/>
            </w:tcBorders>
            <w:shd w:val="clear" w:color="auto" w:fill="auto"/>
            <w:noWrap/>
            <w:vAlign w:val="bottom"/>
            <w:hideMark/>
          </w:tcPr>
          <w:p w14:paraId="5E410F5A" w14:textId="53E3D9CF" w:rsidR="00903916" w:rsidRPr="005B55FD" w:rsidRDefault="00903916" w:rsidP="001E39EE">
            <w:pPr>
              <w:jc w:val="right"/>
              <w:rPr>
                <w:sz w:val="20"/>
                <w:szCs w:val="20"/>
                <w:lang w:val="fr-CA" w:eastAsia="en-CA"/>
              </w:rPr>
            </w:pPr>
            <w:r w:rsidRPr="005B55FD">
              <w:rPr>
                <w:sz w:val="20"/>
                <w:szCs w:val="20"/>
                <w:lang w:val="fr-CA" w:eastAsia="en-CA"/>
              </w:rPr>
              <w:t>180</w:t>
            </w:r>
            <w:r w:rsidR="0022563A">
              <w:rPr>
                <w:sz w:val="20"/>
                <w:szCs w:val="20"/>
                <w:lang w:val="fr-CA" w:eastAsia="en-CA"/>
              </w:rPr>
              <w:t xml:space="preserve"> </w:t>
            </w:r>
            <w:r w:rsidRPr="005B55FD">
              <w:rPr>
                <w:sz w:val="20"/>
                <w:szCs w:val="20"/>
                <w:lang w:val="fr-CA" w:eastAsia="en-CA"/>
              </w:rPr>
              <w:t>259</w:t>
            </w:r>
            <w:r w:rsidR="0022563A">
              <w:rPr>
                <w:sz w:val="20"/>
                <w:szCs w:val="20"/>
                <w:lang w:val="fr-CA" w:eastAsia="en-CA"/>
              </w:rPr>
              <w:t xml:space="preserve"> </w:t>
            </w:r>
            <w:r w:rsidRPr="005B55FD">
              <w:rPr>
                <w:sz w:val="20"/>
                <w:szCs w:val="20"/>
                <w:lang w:val="fr-CA" w:eastAsia="en-CA"/>
              </w:rPr>
              <w:t>970</w:t>
            </w:r>
          </w:p>
        </w:tc>
        <w:tc>
          <w:tcPr>
            <w:tcW w:w="1216" w:type="dxa"/>
            <w:tcBorders>
              <w:top w:val="nil"/>
              <w:left w:val="nil"/>
              <w:bottom w:val="single" w:sz="4" w:space="0" w:color="auto"/>
              <w:right w:val="single" w:sz="4" w:space="0" w:color="auto"/>
            </w:tcBorders>
            <w:shd w:val="clear" w:color="auto" w:fill="auto"/>
            <w:noWrap/>
            <w:vAlign w:val="bottom"/>
            <w:hideMark/>
          </w:tcPr>
          <w:p w14:paraId="00F6E689" w14:textId="44BE8067" w:rsidR="00903916" w:rsidRPr="005B55FD" w:rsidRDefault="00903916" w:rsidP="001E39EE">
            <w:pPr>
              <w:jc w:val="right"/>
              <w:rPr>
                <w:sz w:val="20"/>
                <w:szCs w:val="20"/>
                <w:lang w:val="fr-CA" w:eastAsia="en-CA"/>
              </w:rPr>
            </w:pPr>
            <w:r w:rsidRPr="005B55FD">
              <w:rPr>
                <w:sz w:val="20"/>
                <w:szCs w:val="20"/>
                <w:lang w:val="fr-CA" w:eastAsia="en-CA"/>
              </w:rPr>
              <w:t>40</w:t>
            </w:r>
            <w:r w:rsidR="0022563A">
              <w:rPr>
                <w:sz w:val="20"/>
                <w:szCs w:val="20"/>
                <w:lang w:val="fr-CA" w:eastAsia="en-CA"/>
              </w:rPr>
              <w:t xml:space="preserve"> </w:t>
            </w:r>
            <w:r w:rsidRPr="005B55FD">
              <w:rPr>
                <w:sz w:val="20"/>
                <w:szCs w:val="20"/>
                <w:lang w:val="fr-CA" w:eastAsia="en-CA"/>
              </w:rPr>
              <w:t>910</w:t>
            </w:r>
            <w:r w:rsidR="0022563A">
              <w:rPr>
                <w:sz w:val="20"/>
                <w:szCs w:val="20"/>
                <w:lang w:val="fr-CA" w:eastAsia="en-CA"/>
              </w:rPr>
              <w:t xml:space="preserve"> </w:t>
            </w:r>
            <w:r w:rsidRPr="005B55FD">
              <w:rPr>
                <w:sz w:val="20"/>
                <w:szCs w:val="20"/>
                <w:lang w:val="fr-CA" w:eastAsia="en-CA"/>
              </w:rPr>
              <w:t>116</w:t>
            </w:r>
          </w:p>
        </w:tc>
        <w:tc>
          <w:tcPr>
            <w:tcW w:w="1366" w:type="dxa"/>
            <w:tcBorders>
              <w:top w:val="nil"/>
              <w:left w:val="nil"/>
              <w:bottom w:val="single" w:sz="4" w:space="0" w:color="auto"/>
              <w:right w:val="single" w:sz="4" w:space="0" w:color="auto"/>
            </w:tcBorders>
            <w:shd w:val="clear" w:color="auto" w:fill="auto"/>
            <w:noWrap/>
            <w:vAlign w:val="bottom"/>
            <w:hideMark/>
          </w:tcPr>
          <w:p w14:paraId="1AF6CC65" w14:textId="143C5F34" w:rsidR="00903916" w:rsidRPr="005B55FD" w:rsidRDefault="00903916" w:rsidP="001E39EE">
            <w:pPr>
              <w:jc w:val="right"/>
              <w:rPr>
                <w:sz w:val="20"/>
                <w:szCs w:val="20"/>
                <w:lang w:val="fr-CA" w:eastAsia="en-CA"/>
              </w:rPr>
            </w:pPr>
            <w:r w:rsidRPr="005B55FD">
              <w:rPr>
                <w:sz w:val="20"/>
                <w:szCs w:val="20"/>
                <w:lang w:val="fr-CA" w:eastAsia="en-CA"/>
              </w:rPr>
              <w:t>556</w:t>
            </w:r>
            <w:r w:rsidR="0022563A">
              <w:rPr>
                <w:sz w:val="20"/>
                <w:szCs w:val="20"/>
                <w:lang w:val="fr-CA" w:eastAsia="en-CA"/>
              </w:rPr>
              <w:t xml:space="preserve"> </w:t>
            </w:r>
            <w:r w:rsidRPr="005B55FD">
              <w:rPr>
                <w:sz w:val="20"/>
                <w:szCs w:val="20"/>
                <w:lang w:val="fr-CA" w:eastAsia="en-CA"/>
              </w:rPr>
              <w:t>838</w:t>
            </w:r>
            <w:r w:rsidR="0022563A">
              <w:rPr>
                <w:sz w:val="20"/>
                <w:szCs w:val="20"/>
                <w:lang w:val="fr-CA" w:eastAsia="en-CA"/>
              </w:rPr>
              <w:t xml:space="preserve"> </w:t>
            </w:r>
            <w:r w:rsidRPr="005B55FD">
              <w:rPr>
                <w:sz w:val="20"/>
                <w:szCs w:val="20"/>
                <w:lang w:val="fr-CA" w:eastAsia="en-CA"/>
              </w:rPr>
              <w:t>693</w:t>
            </w:r>
          </w:p>
        </w:tc>
      </w:tr>
      <w:tr w:rsidR="00903916" w:rsidRPr="005B55FD" w14:paraId="5E609400"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CBA7D40" w14:textId="554B67DD" w:rsidR="00903916" w:rsidRPr="005B55FD" w:rsidRDefault="0022563A" w:rsidP="001E39EE">
            <w:pPr>
              <w:jc w:val="left"/>
              <w:rPr>
                <w:sz w:val="20"/>
                <w:szCs w:val="20"/>
                <w:lang w:val="fr-CA" w:eastAsia="en-CA"/>
              </w:rPr>
            </w:pPr>
            <w:r>
              <w:rPr>
                <w:sz w:val="20"/>
                <w:szCs w:val="20"/>
                <w:lang w:val="fr-CA" w:eastAsia="en-CA"/>
              </w:rPr>
              <w:t>Plusieurs</w:t>
            </w:r>
          </w:p>
        </w:tc>
        <w:tc>
          <w:tcPr>
            <w:tcW w:w="1216" w:type="dxa"/>
            <w:tcBorders>
              <w:top w:val="nil"/>
              <w:left w:val="nil"/>
              <w:bottom w:val="single" w:sz="4" w:space="0" w:color="auto"/>
              <w:right w:val="single" w:sz="4" w:space="0" w:color="auto"/>
            </w:tcBorders>
            <w:shd w:val="clear" w:color="auto" w:fill="auto"/>
            <w:noWrap/>
            <w:vAlign w:val="bottom"/>
            <w:hideMark/>
          </w:tcPr>
          <w:p w14:paraId="0963C680" w14:textId="6BF61769" w:rsidR="00903916" w:rsidRPr="005B55FD" w:rsidRDefault="00903916" w:rsidP="001E39EE">
            <w:pPr>
              <w:jc w:val="right"/>
              <w:rPr>
                <w:sz w:val="20"/>
                <w:szCs w:val="20"/>
                <w:lang w:val="fr-CA" w:eastAsia="en-CA"/>
              </w:rPr>
            </w:pPr>
            <w:r w:rsidRPr="005B55FD">
              <w:rPr>
                <w:sz w:val="20"/>
                <w:szCs w:val="20"/>
                <w:lang w:val="fr-CA" w:eastAsia="en-CA"/>
              </w:rPr>
              <w:t>65</w:t>
            </w:r>
            <w:r w:rsidR="0022563A">
              <w:rPr>
                <w:sz w:val="20"/>
                <w:szCs w:val="20"/>
                <w:lang w:val="fr-CA" w:eastAsia="en-CA"/>
              </w:rPr>
              <w:t xml:space="preserve"> </w:t>
            </w:r>
            <w:r w:rsidRPr="005B55FD">
              <w:rPr>
                <w:sz w:val="20"/>
                <w:szCs w:val="20"/>
                <w:lang w:val="fr-CA" w:eastAsia="en-CA"/>
              </w:rPr>
              <w:t>479</w:t>
            </w:r>
            <w:r w:rsidR="0022563A">
              <w:rPr>
                <w:sz w:val="20"/>
                <w:szCs w:val="20"/>
                <w:lang w:val="fr-CA" w:eastAsia="en-CA"/>
              </w:rPr>
              <w:t xml:space="preserve"> </w:t>
            </w:r>
            <w:r w:rsidRPr="005B55FD">
              <w:rPr>
                <w:sz w:val="20"/>
                <w:szCs w:val="20"/>
                <w:lang w:val="fr-CA" w:eastAsia="en-CA"/>
              </w:rPr>
              <w:t>103</w:t>
            </w:r>
          </w:p>
        </w:tc>
        <w:tc>
          <w:tcPr>
            <w:tcW w:w="1216" w:type="dxa"/>
            <w:tcBorders>
              <w:top w:val="nil"/>
              <w:left w:val="nil"/>
              <w:bottom w:val="single" w:sz="4" w:space="0" w:color="auto"/>
              <w:right w:val="single" w:sz="4" w:space="0" w:color="auto"/>
            </w:tcBorders>
            <w:shd w:val="clear" w:color="auto" w:fill="auto"/>
            <w:noWrap/>
            <w:vAlign w:val="bottom"/>
            <w:hideMark/>
          </w:tcPr>
          <w:p w14:paraId="53C2C7D8" w14:textId="1EBB11F9" w:rsidR="00903916" w:rsidRPr="005B55FD" w:rsidRDefault="00903916" w:rsidP="001E39EE">
            <w:pPr>
              <w:jc w:val="right"/>
              <w:rPr>
                <w:sz w:val="20"/>
                <w:szCs w:val="20"/>
                <w:lang w:val="fr-CA" w:eastAsia="en-CA"/>
              </w:rPr>
            </w:pPr>
            <w:r w:rsidRPr="005B55FD">
              <w:rPr>
                <w:sz w:val="20"/>
                <w:szCs w:val="20"/>
                <w:lang w:val="fr-CA" w:eastAsia="en-CA"/>
              </w:rPr>
              <w:t>263</w:t>
            </w:r>
            <w:r w:rsidR="0022563A">
              <w:rPr>
                <w:sz w:val="20"/>
                <w:szCs w:val="20"/>
                <w:lang w:val="fr-CA" w:eastAsia="en-CA"/>
              </w:rPr>
              <w:t xml:space="preserve"> </w:t>
            </w:r>
            <w:r w:rsidRPr="005B55FD">
              <w:rPr>
                <w:sz w:val="20"/>
                <w:szCs w:val="20"/>
                <w:lang w:val="fr-CA" w:eastAsia="en-CA"/>
              </w:rPr>
              <w:t>992</w:t>
            </w:r>
            <w:r w:rsidR="0022563A">
              <w:rPr>
                <w:sz w:val="20"/>
                <w:szCs w:val="20"/>
                <w:lang w:val="fr-CA" w:eastAsia="en-CA"/>
              </w:rPr>
              <w:t xml:space="preserve"> </w:t>
            </w:r>
            <w:r w:rsidRPr="005B55FD">
              <w:rPr>
                <w:sz w:val="20"/>
                <w:szCs w:val="20"/>
                <w:lang w:val="fr-CA" w:eastAsia="en-CA"/>
              </w:rPr>
              <w:t>288</w:t>
            </w:r>
          </w:p>
        </w:tc>
        <w:tc>
          <w:tcPr>
            <w:tcW w:w="1216" w:type="dxa"/>
            <w:tcBorders>
              <w:top w:val="nil"/>
              <w:left w:val="nil"/>
              <w:bottom w:val="single" w:sz="4" w:space="0" w:color="auto"/>
              <w:right w:val="single" w:sz="4" w:space="0" w:color="auto"/>
            </w:tcBorders>
            <w:shd w:val="clear" w:color="auto" w:fill="auto"/>
            <w:noWrap/>
            <w:vAlign w:val="bottom"/>
            <w:hideMark/>
          </w:tcPr>
          <w:p w14:paraId="72799985" w14:textId="19998B2A" w:rsidR="00903916" w:rsidRPr="005B55FD" w:rsidRDefault="00903916" w:rsidP="001E39EE">
            <w:pPr>
              <w:jc w:val="right"/>
              <w:rPr>
                <w:sz w:val="20"/>
                <w:szCs w:val="20"/>
                <w:lang w:val="fr-CA" w:eastAsia="en-CA"/>
              </w:rPr>
            </w:pPr>
            <w:r w:rsidRPr="005B55FD">
              <w:rPr>
                <w:sz w:val="20"/>
                <w:szCs w:val="20"/>
                <w:lang w:val="fr-CA" w:eastAsia="en-CA"/>
              </w:rPr>
              <w:t>19</w:t>
            </w:r>
            <w:r w:rsidR="0022563A">
              <w:rPr>
                <w:sz w:val="20"/>
                <w:szCs w:val="20"/>
                <w:lang w:val="fr-CA" w:eastAsia="en-CA"/>
              </w:rPr>
              <w:t xml:space="preserve"> </w:t>
            </w:r>
            <w:r w:rsidRPr="005B55FD">
              <w:rPr>
                <w:sz w:val="20"/>
                <w:szCs w:val="20"/>
                <w:lang w:val="fr-CA" w:eastAsia="en-CA"/>
              </w:rPr>
              <w:t>287</w:t>
            </w:r>
            <w:r w:rsidR="0022563A">
              <w:rPr>
                <w:sz w:val="20"/>
                <w:szCs w:val="20"/>
                <w:lang w:val="fr-CA" w:eastAsia="en-CA"/>
              </w:rPr>
              <w:t xml:space="preserve"> </w:t>
            </w:r>
            <w:r w:rsidRPr="005B55FD">
              <w:rPr>
                <w:sz w:val="20"/>
                <w:szCs w:val="20"/>
                <w:lang w:val="fr-CA" w:eastAsia="en-CA"/>
              </w:rPr>
              <w:t>372</w:t>
            </w:r>
          </w:p>
        </w:tc>
        <w:tc>
          <w:tcPr>
            <w:tcW w:w="1366" w:type="dxa"/>
            <w:tcBorders>
              <w:top w:val="nil"/>
              <w:left w:val="nil"/>
              <w:bottom w:val="single" w:sz="4" w:space="0" w:color="auto"/>
              <w:right w:val="single" w:sz="4" w:space="0" w:color="auto"/>
            </w:tcBorders>
            <w:shd w:val="clear" w:color="auto" w:fill="auto"/>
            <w:noWrap/>
            <w:vAlign w:val="bottom"/>
            <w:hideMark/>
          </w:tcPr>
          <w:p w14:paraId="3E0388FD" w14:textId="6E1D7DB5" w:rsidR="00903916" w:rsidRPr="005B55FD" w:rsidRDefault="00903916" w:rsidP="001E39EE">
            <w:pPr>
              <w:jc w:val="right"/>
              <w:rPr>
                <w:sz w:val="20"/>
                <w:szCs w:val="20"/>
                <w:lang w:val="fr-CA" w:eastAsia="en-CA"/>
              </w:rPr>
            </w:pPr>
            <w:r w:rsidRPr="005B55FD">
              <w:rPr>
                <w:sz w:val="20"/>
                <w:szCs w:val="20"/>
                <w:lang w:val="fr-CA" w:eastAsia="en-CA"/>
              </w:rPr>
              <w:t>28</w:t>
            </w:r>
            <w:r w:rsidR="0022563A">
              <w:rPr>
                <w:sz w:val="20"/>
                <w:szCs w:val="20"/>
                <w:lang w:val="fr-CA" w:eastAsia="en-CA"/>
              </w:rPr>
              <w:t xml:space="preserve"> </w:t>
            </w:r>
            <w:r w:rsidRPr="005B55FD">
              <w:rPr>
                <w:sz w:val="20"/>
                <w:szCs w:val="20"/>
                <w:lang w:val="fr-CA" w:eastAsia="en-CA"/>
              </w:rPr>
              <w:t>969</w:t>
            </w:r>
            <w:r w:rsidR="0022563A">
              <w:rPr>
                <w:sz w:val="20"/>
                <w:szCs w:val="20"/>
                <w:lang w:val="fr-CA" w:eastAsia="en-CA"/>
              </w:rPr>
              <w:t xml:space="preserve"> </w:t>
            </w:r>
            <w:r w:rsidRPr="005B55FD">
              <w:rPr>
                <w:sz w:val="20"/>
                <w:szCs w:val="20"/>
                <w:lang w:val="fr-CA" w:eastAsia="en-CA"/>
              </w:rPr>
              <w:t>731</w:t>
            </w:r>
          </w:p>
        </w:tc>
        <w:tc>
          <w:tcPr>
            <w:tcW w:w="1216" w:type="dxa"/>
            <w:tcBorders>
              <w:top w:val="nil"/>
              <w:left w:val="nil"/>
              <w:bottom w:val="single" w:sz="4" w:space="0" w:color="auto"/>
              <w:right w:val="single" w:sz="4" w:space="0" w:color="auto"/>
            </w:tcBorders>
            <w:shd w:val="clear" w:color="auto" w:fill="auto"/>
            <w:noWrap/>
            <w:vAlign w:val="bottom"/>
            <w:hideMark/>
          </w:tcPr>
          <w:p w14:paraId="28AB2D8D" w14:textId="1710E12F" w:rsidR="00903916" w:rsidRPr="005B55FD" w:rsidRDefault="00903916" w:rsidP="001E39EE">
            <w:pPr>
              <w:jc w:val="right"/>
              <w:rPr>
                <w:sz w:val="20"/>
                <w:szCs w:val="20"/>
                <w:lang w:val="fr-CA" w:eastAsia="en-CA"/>
              </w:rPr>
            </w:pPr>
            <w:r w:rsidRPr="005B55FD">
              <w:rPr>
                <w:sz w:val="20"/>
                <w:szCs w:val="20"/>
                <w:lang w:val="fr-CA" w:eastAsia="en-CA"/>
              </w:rPr>
              <w:t>4</w:t>
            </w:r>
            <w:r w:rsidR="0022563A">
              <w:rPr>
                <w:sz w:val="20"/>
                <w:szCs w:val="20"/>
                <w:lang w:val="fr-CA" w:eastAsia="en-CA"/>
              </w:rPr>
              <w:t xml:space="preserve"> </w:t>
            </w:r>
            <w:r w:rsidRPr="005B55FD">
              <w:rPr>
                <w:sz w:val="20"/>
                <w:szCs w:val="20"/>
                <w:lang w:val="fr-CA" w:eastAsia="en-CA"/>
              </w:rPr>
              <w:t>759</w:t>
            </w:r>
            <w:r w:rsidR="0022563A">
              <w:rPr>
                <w:sz w:val="20"/>
                <w:szCs w:val="20"/>
                <w:lang w:val="fr-CA" w:eastAsia="en-CA"/>
              </w:rPr>
              <w:t xml:space="preserve"> </w:t>
            </w:r>
            <w:r w:rsidRPr="005B55FD">
              <w:rPr>
                <w:sz w:val="20"/>
                <w:szCs w:val="20"/>
                <w:lang w:val="fr-CA" w:eastAsia="en-CA"/>
              </w:rPr>
              <w:t>718</w:t>
            </w:r>
          </w:p>
        </w:tc>
        <w:tc>
          <w:tcPr>
            <w:tcW w:w="1366" w:type="dxa"/>
            <w:tcBorders>
              <w:top w:val="nil"/>
              <w:left w:val="nil"/>
              <w:bottom w:val="single" w:sz="4" w:space="0" w:color="auto"/>
              <w:right w:val="single" w:sz="4" w:space="0" w:color="auto"/>
            </w:tcBorders>
            <w:shd w:val="clear" w:color="auto" w:fill="auto"/>
            <w:noWrap/>
            <w:vAlign w:val="bottom"/>
            <w:hideMark/>
          </w:tcPr>
          <w:p w14:paraId="49FF3351" w14:textId="3E78F5DF" w:rsidR="00903916" w:rsidRPr="005B55FD" w:rsidRDefault="00903916" w:rsidP="001E39EE">
            <w:pPr>
              <w:jc w:val="right"/>
              <w:rPr>
                <w:sz w:val="20"/>
                <w:szCs w:val="20"/>
                <w:lang w:val="fr-CA" w:eastAsia="en-CA"/>
              </w:rPr>
            </w:pPr>
            <w:r w:rsidRPr="005B55FD">
              <w:rPr>
                <w:sz w:val="20"/>
                <w:szCs w:val="20"/>
                <w:lang w:val="fr-CA" w:eastAsia="en-CA"/>
              </w:rPr>
              <w:t>382</w:t>
            </w:r>
            <w:r w:rsidR="0022563A">
              <w:rPr>
                <w:sz w:val="20"/>
                <w:szCs w:val="20"/>
                <w:lang w:val="fr-CA" w:eastAsia="en-CA"/>
              </w:rPr>
              <w:t xml:space="preserve"> </w:t>
            </w:r>
            <w:r w:rsidRPr="005B55FD">
              <w:rPr>
                <w:sz w:val="20"/>
                <w:szCs w:val="20"/>
                <w:lang w:val="fr-CA" w:eastAsia="en-CA"/>
              </w:rPr>
              <w:t>488</w:t>
            </w:r>
            <w:r w:rsidR="0022563A">
              <w:rPr>
                <w:sz w:val="20"/>
                <w:szCs w:val="20"/>
                <w:lang w:val="fr-CA" w:eastAsia="en-CA"/>
              </w:rPr>
              <w:t xml:space="preserve"> </w:t>
            </w:r>
            <w:r w:rsidRPr="005B55FD">
              <w:rPr>
                <w:sz w:val="20"/>
                <w:szCs w:val="20"/>
                <w:lang w:val="fr-CA" w:eastAsia="en-CA"/>
              </w:rPr>
              <w:t>212</w:t>
            </w:r>
          </w:p>
        </w:tc>
      </w:tr>
      <w:tr w:rsidR="00903916" w:rsidRPr="005B55FD" w14:paraId="5DC28ED3"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A1A9B38" w14:textId="2280BAA8" w:rsidR="00903916" w:rsidRPr="005B55FD" w:rsidRDefault="0022563A" w:rsidP="001E39EE">
            <w:pPr>
              <w:jc w:val="left"/>
              <w:rPr>
                <w:sz w:val="20"/>
                <w:szCs w:val="20"/>
                <w:lang w:val="fr-CA" w:eastAsia="en-CA"/>
              </w:rPr>
            </w:pPr>
            <w:r>
              <w:rPr>
                <w:sz w:val="20"/>
                <w:szCs w:val="20"/>
                <w:lang w:val="fr-CA" w:eastAsia="en-CA"/>
              </w:rPr>
              <w:t>Solvants</w:t>
            </w:r>
          </w:p>
        </w:tc>
        <w:tc>
          <w:tcPr>
            <w:tcW w:w="1216" w:type="dxa"/>
            <w:tcBorders>
              <w:top w:val="nil"/>
              <w:left w:val="nil"/>
              <w:bottom w:val="single" w:sz="4" w:space="0" w:color="auto"/>
              <w:right w:val="single" w:sz="4" w:space="0" w:color="auto"/>
            </w:tcBorders>
            <w:shd w:val="clear" w:color="auto" w:fill="auto"/>
            <w:noWrap/>
            <w:vAlign w:val="bottom"/>
            <w:hideMark/>
          </w:tcPr>
          <w:p w14:paraId="29C1774E" w14:textId="4EE431D1" w:rsidR="00903916" w:rsidRPr="005B55FD" w:rsidRDefault="00903916" w:rsidP="001E39EE">
            <w:pPr>
              <w:jc w:val="right"/>
              <w:rPr>
                <w:sz w:val="20"/>
                <w:szCs w:val="20"/>
                <w:lang w:val="fr-CA" w:eastAsia="en-CA"/>
              </w:rPr>
            </w:pPr>
            <w:r w:rsidRPr="005B55FD">
              <w:rPr>
                <w:sz w:val="20"/>
                <w:szCs w:val="20"/>
                <w:lang w:val="fr-CA" w:eastAsia="en-CA"/>
              </w:rPr>
              <w:t>63</w:t>
            </w:r>
            <w:r w:rsidR="0022563A">
              <w:rPr>
                <w:sz w:val="20"/>
                <w:szCs w:val="20"/>
                <w:lang w:val="fr-CA" w:eastAsia="en-CA"/>
              </w:rPr>
              <w:t xml:space="preserve"> </w:t>
            </w:r>
            <w:r w:rsidRPr="005B55FD">
              <w:rPr>
                <w:sz w:val="20"/>
                <w:szCs w:val="20"/>
                <w:lang w:val="fr-CA" w:eastAsia="en-CA"/>
              </w:rPr>
              <w:t>699</w:t>
            </w:r>
            <w:r w:rsidR="0022563A">
              <w:rPr>
                <w:sz w:val="20"/>
                <w:szCs w:val="20"/>
                <w:lang w:val="fr-CA" w:eastAsia="en-CA"/>
              </w:rPr>
              <w:t xml:space="preserve"> </w:t>
            </w:r>
            <w:r w:rsidRPr="005B55FD">
              <w:rPr>
                <w:sz w:val="20"/>
                <w:szCs w:val="20"/>
                <w:lang w:val="fr-CA" w:eastAsia="en-CA"/>
              </w:rPr>
              <w:t>997</w:t>
            </w:r>
          </w:p>
        </w:tc>
        <w:tc>
          <w:tcPr>
            <w:tcW w:w="1216" w:type="dxa"/>
            <w:tcBorders>
              <w:top w:val="nil"/>
              <w:left w:val="nil"/>
              <w:bottom w:val="single" w:sz="4" w:space="0" w:color="auto"/>
              <w:right w:val="single" w:sz="4" w:space="0" w:color="auto"/>
            </w:tcBorders>
            <w:shd w:val="clear" w:color="auto" w:fill="auto"/>
            <w:noWrap/>
            <w:vAlign w:val="bottom"/>
            <w:hideMark/>
          </w:tcPr>
          <w:p w14:paraId="7E0ABB81" w14:textId="028A6D63" w:rsidR="00903916" w:rsidRPr="005B55FD" w:rsidRDefault="00903916" w:rsidP="001E39EE">
            <w:pPr>
              <w:jc w:val="right"/>
              <w:rPr>
                <w:sz w:val="20"/>
                <w:szCs w:val="20"/>
                <w:lang w:val="fr-CA" w:eastAsia="en-CA"/>
              </w:rPr>
            </w:pPr>
            <w:r w:rsidRPr="005B55FD">
              <w:rPr>
                <w:sz w:val="20"/>
                <w:szCs w:val="20"/>
                <w:lang w:val="fr-CA" w:eastAsia="en-CA"/>
              </w:rPr>
              <w:t>198</w:t>
            </w:r>
            <w:r w:rsidR="0022563A">
              <w:rPr>
                <w:sz w:val="20"/>
                <w:szCs w:val="20"/>
                <w:lang w:val="fr-CA" w:eastAsia="en-CA"/>
              </w:rPr>
              <w:t xml:space="preserve"> </w:t>
            </w:r>
            <w:r w:rsidRPr="005B55FD">
              <w:rPr>
                <w:sz w:val="20"/>
                <w:szCs w:val="20"/>
                <w:lang w:val="fr-CA" w:eastAsia="en-CA"/>
              </w:rPr>
              <w:t>860</w:t>
            </w:r>
          </w:p>
        </w:tc>
        <w:tc>
          <w:tcPr>
            <w:tcW w:w="1216" w:type="dxa"/>
            <w:tcBorders>
              <w:top w:val="nil"/>
              <w:left w:val="nil"/>
              <w:bottom w:val="single" w:sz="4" w:space="0" w:color="auto"/>
              <w:right w:val="single" w:sz="4" w:space="0" w:color="auto"/>
            </w:tcBorders>
            <w:shd w:val="clear" w:color="auto" w:fill="auto"/>
            <w:noWrap/>
            <w:vAlign w:val="bottom"/>
            <w:hideMark/>
          </w:tcPr>
          <w:p w14:paraId="7CC851B3" w14:textId="712950A8" w:rsidR="00903916" w:rsidRPr="005B55FD" w:rsidRDefault="00903916" w:rsidP="001E39EE">
            <w:pPr>
              <w:jc w:val="right"/>
              <w:rPr>
                <w:sz w:val="20"/>
                <w:szCs w:val="20"/>
                <w:lang w:val="fr-CA" w:eastAsia="en-CA"/>
              </w:rPr>
            </w:pPr>
            <w:r w:rsidRPr="005B55FD">
              <w:rPr>
                <w:sz w:val="20"/>
                <w:szCs w:val="20"/>
                <w:lang w:val="fr-CA" w:eastAsia="en-CA"/>
              </w:rPr>
              <w:t>23</w:t>
            </w:r>
            <w:r w:rsidR="0022563A">
              <w:rPr>
                <w:sz w:val="20"/>
                <w:szCs w:val="20"/>
                <w:lang w:val="fr-CA" w:eastAsia="en-CA"/>
              </w:rPr>
              <w:t xml:space="preserve"> </w:t>
            </w:r>
            <w:r w:rsidRPr="005B55FD">
              <w:rPr>
                <w:sz w:val="20"/>
                <w:szCs w:val="20"/>
                <w:lang w:val="fr-CA" w:eastAsia="en-CA"/>
              </w:rPr>
              <w:t>247</w:t>
            </w:r>
            <w:r w:rsidR="0022563A">
              <w:rPr>
                <w:sz w:val="20"/>
                <w:szCs w:val="20"/>
                <w:lang w:val="fr-CA" w:eastAsia="en-CA"/>
              </w:rPr>
              <w:t xml:space="preserve"> </w:t>
            </w:r>
            <w:r w:rsidRPr="005B55FD">
              <w:rPr>
                <w:sz w:val="20"/>
                <w:szCs w:val="20"/>
                <w:lang w:val="fr-CA" w:eastAsia="en-CA"/>
              </w:rPr>
              <w:t>443</w:t>
            </w:r>
          </w:p>
        </w:tc>
        <w:tc>
          <w:tcPr>
            <w:tcW w:w="1366" w:type="dxa"/>
            <w:tcBorders>
              <w:top w:val="nil"/>
              <w:left w:val="nil"/>
              <w:bottom w:val="single" w:sz="4" w:space="0" w:color="auto"/>
              <w:right w:val="single" w:sz="4" w:space="0" w:color="auto"/>
            </w:tcBorders>
            <w:shd w:val="clear" w:color="auto" w:fill="auto"/>
            <w:noWrap/>
            <w:vAlign w:val="bottom"/>
            <w:hideMark/>
          </w:tcPr>
          <w:p w14:paraId="2BF33A63" w14:textId="0191085C" w:rsidR="00903916" w:rsidRPr="005B55FD" w:rsidRDefault="00903916" w:rsidP="001E39EE">
            <w:pPr>
              <w:jc w:val="right"/>
              <w:rPr>
                <w:sz w:val="20"/>
                <w:szCs w:val="20"/>
                <w:lang w:val="fr-CA" w:eastAsia="en-CA"/>
              </w:rPr>
            </w:pPr>
            <w:r w:rsidRPr="005B55FD">
              <w:rPr>
                <w:sz w:val="20"/>
                <w:szCs w:val="20"/>
                <w:lang w:val="fr-CA" w:eastAsia="en-CA"/>
              </w:rPr>
              <w:t>10</w:t>
            </w:r>
            <w:r w:rsidR="0022563A">
              <w:rPr>
                <w:sz w:val="20"/>
                <w:szCs w:val="20"/>
                <w:lang w:val="fr-CA" w:eastAsia="en-CA"/>
              </w:rPr>
              <w:t xml:space="preserve"> </w:t>
            </w:r>
            <w:r w:rsidRPr="005B55FD">
              <w:rPr>
                <w:sz w:val="20"/>
                <w:szCs w:val="20"/>
                <w:lang w:val="fr-CA" w:eastAsia="en-CA"/>
              </w:rPr>
              <w:t>237</w:t>
            </w:r>
            <w:r w:rsidR="0022563A">
              <w:rPr>
                <w:sz w:val="20"/>
                <w:szCs w:val="20"/>
                <w:lang w:val="fr-CA" w:eastAsia="en-CA"/>
              </w:rPr>
              <w:t xml:space="preserve"> </w:t>
            </w:r>
            <w:r w:rsidRPr="005B55FD">
              <w:rPr>
                <w:sz w:val="20"/>
                <w:szCs w:val="20"/>
                <w:lang w:val="fr-CA" w:eastAsia="en-CA"/>
              </w:rPr>
              <w:t>394</w:t>
            </w:r>
          </w:p>
        </w:tc>
        <w:tc>
          <w:tcPr>
            <w:tcW w:w="1216" w:type="dxa"/>
            <w:tcBorders>
              <w:top w:val="nil"/>
              <w:left w:val="nil"/>
              <w:bottom w:val="single" w:sz="4" w:space="0" w:color="auto"/>
              <w:right w:val="single" w:sz="4" w:space="0" w:color="auto"/>
            </w:tcBorders>
            <w:shd w:val="clear" w:color="auto" w:fill="auto"/>
            <w:noWrap/>
            <w:vAlign w:val="bottom"/>
            <w:hideMark/>
          </w:tcPr>
          <w:p w14:paraId="2D13B345" w14:textId="0B4A9A8C" w:rsidR="00903916" w:rsidRPr="005B55FD" w:rsidRDefault="00903916" w:rsidP="001E39EE">
            <w:pPr>
              <w:jc w:val="right"/>
              <w:rPr>
                <w:sz w:val="20"/>
                <w:szCs w:val="20"/>
                <w:lang w:val="fr-CA" w:eastAsia="en-CA"/>
              </w:rPr>
            </w:pPr>
            <w:r w:rsidRPr="005B55FD">
              <w:rPr>
                <w:sz w:val="20"/>
                <w:szCs w:val="20"/>
                <w:lang w:val="fr-CA" w:eastAsia="en-CA"/>
              </w:rPr>
              <w:t>2</w:t>
            </w:r>
            <w:r w:rsidR="0022563A">
              <w:rPr>
                <w:sz w:val="20"/>
                <w:szCs w:val="20"/>
                <w:lang w:val="fr-CA" w:eastAsia="en-CA"/>
              </w:rPr>
              <w:t xml:space="preserve"> </w:t>
            </w:r>
            <w:r w:rsidRPr="005B55FD">
              <w:rPr>
                <w:sz w:val="20"/>
                <w:szCs w:val="20"/>
                <w:lang w:val="fr-CA" w:eastAsia="en-CA"/>
              </w:rPr>
              <w:t>512</w:t>
            </w:r>
            <w:r w:rsidR="0022563A">
              <w:rPr>
                <w:sz w:val="20"/>
                <w:szCs w:val="20"/>
                <w:lang w:val="fr-CA" w:eastAsia="en-CA"/>
              </w:rPr>
              <w:t xml:space="preserve"> </w:t>
            </w:r>
            <w:r w:rsidRPr="005B55FD">
              <w:rPr>
                <w:sz w:val="20"/>
                <w:szCs w:val="20"/>
                <w:lang w:val="fr-CA" w:eastAsia="en-CA"/>
              </w:rPr>
              <w:t>738</w:t>
            </w:r>
          </w:p>
        </w:tc>
        <w:tc>
          <w:tcPr>
            <w:tcW w:w="1366" w:type="dxa"/>
            <w:tcBorders>
              <w:top w:val="nil"/>
              <w:left w:val="nil"/>
              <w:bottom w:val="single" w:sz="4" w:space="0" w:color="auto"/>
              <w:right w:val="single" w:sz="4" w:space="0" w:color="auto"/>
            </w:tcBorders>
            <w:shd w:val="clear" w:color="auto" w:fill="auto"/>
            <w:noWrap/>
            <w:vAlign w:val="bottom"/>
            <w:hideMark/>
          </w:tcPr>
          <w:p w14:paraId="67D12698" w14:textId="3562B593" w:rsidR="00903916" w:rsidRPr="005B55FD" w:rsidRDefault="00903916" w:rsidP="001E39EE">
            <w:pPr>
              <w:jc w:val="right"/>
              <w:rPr>
                <w:sz w:val="20"/>
                <w:szCs w:val="20"/>
                <w:lang w:val="fr-CA" w:eastAsia="en-CA"/>
              </w:rPr>
            </w:pPr>
            <w:r w:rsidRPr="005B55FD">
              <w:rPr>
                <w:sz w:val="20"/>
                <w:szCs w:val="20"/>
                <w:lang w:val="fr-CA" w:eastAsia="en-CA"/>
              </w:rPr>
              <w:t>99</w:t>
            </w:r>
            <w:r w:rsidR="0022563A">
              <w:rPr>
                <w:sz w:val="20"/>
                <w:szCs w:val="20"/>
                <w:lang w:val="fr-CA" w:eastAsia="en-CA"/>
              </w:rPr>
              <w:t xml:space="preserve"> </w:t>
            </w:r>
            <w:r w:rsidRPr="005B55FD">
              <w:rPr>
                <w:sz w:val="20"/>
                <w:szCs w:val="20"/>
                <w:lang w:val="fr-CA" w:eastAsia="en-CA"/>
              </w:rPr>
              <w:t>896</w:t>
            </w:r>
            <w:r w:rsidR="0022563A">
              <w:rPr>
                <w:sz w:val="20"/>
                <w:szCs w:val="20"/>
                <w:lang w:val="fr-CA" w:eastAsia="en-CA"/>
              </w:rPr>
              <w:t xml:space="preserve"> </w:t>
            </w:r>
            <w:r w:rsidRPr="005B55FD">
              <w:rPr>
                <w:sz w:val="20"/>
                <w:szCs w:val="20"/>
                <w:lang w:val="fr-CA" w:eastAsia="en-CA"/>
              </w:rPr>
              <w:t>432</w:t>
            </w:r>
          </w:p>
        </w:tc>
      </w:tr>
      <w:tr w:rsidR="00903916" w:rsidRPr="005B55FD" w14:paraId="3A1ADF23" w14:textId="77777777" w:rsidTr="00EB283F">
        <w:trPr>
          <w:trHeight w:val="103"/>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BEE2D4A" w14:textId="7FD9BC20" w:rsidR="00903916" w:rsidRPr="005B55FD" w:rsidRDefault="0022563A" w:rsidP="001E39EE">
            <w:pPr>
              <w:jc w:val="left"/>
              <w:rPr>
                <w:sz w:val="20"/>
                <w:szCs w:val="20"/>
                <w:lang w:val="fr-CA" w:eastAsia="en-CA"/>
              </w:rPr>
            </w:pPr>
            <w:r>
              <w:rPr>
                <w:sz w:val="20"/>
                <w:szCs w:val="20"/>
                <w:lang w:val="fr-CA" w:eastAsia="en-CA"/>
              </w:rPr>
              <w:t>Stérilisants</w:t>
            </w:r>
          </w:p>
        </w:tc>
        <w:tc>
          <w:tcPr>
            <w:tcW w:w="1216" w:type="dxa"/>
            <w:tcBorders>
              <w:top w:val="nil"/>
              <w:left w:val="nil"/>
              <w:bottom w:val="single" w:sz="4" w:space="0" w:color="auto"/>
              <w:right w:val="single" w:sz="4" w:space="0" w:color="auto"/>
            </w:tcBorders>
            <w:shd w:val="clear" w:color="auto" w:fill="auto"/>
            <w:noWrap/>
            <w:vAlign w:val="bottom"/>
            <w:hideMark/>
          </w:tcPr>
          <w:p w14:paraId="4B4C344B" w14:textId="7A5CE9C7" w:rsidR="00903916" w:rsidRPr="005B55FD" w:rsidRDefault="00903916" w:rsidP="001E39EE">
            <w:pPr>
              <w:jc w:val="right"/>
              <w:rPr>
                <w:sz w:val="20"/>
                <w:szCs w:val="20"/>
                <w:lang w:val="fr-CA" w:eastAsia="en-CA"/>
              </w:rPr>
            </w:pPr>
            <w:r w:rsidRPr="005B55FD">
              <w:rPr>
                <w:sz w:val="20"/>
                <w:szCs w:val="20"/>
                <w:lang w:val="fr-CA" w:eastAsia="en-CA"/>
              </w:rPr>
              <w:t>417</w:t>
            </w:r>
            <w:r w:rsidR="0022563A">
              <w:rPr>
                <w:sz w:val="20"/>
                <w:szCs w:val="20"/>
                <w:lang w:val="fr-CA" w:eastAsia="en-CA"/>
              </w:rPr>
              <w:t xml:space="preserve"> </w:t>
            </w:r>
            <w:r w:rsidRPr="005B55FD">
              <w:rPr>
                <w:sz w:val="20"/>
                <w:szCs w:val="20"/>
                <w:lang w:val="fr-CA" w:eastAsia="en-CA"/>
              </w:rPr>
              <w:t>628</w:t>
            </w:r>
          </w:p>
        </w:tc>
        <w:tc>
          <w:tcPr>
            <w:tcW w:w="1216" w:type="dxa"/>
            <w:tcBorders>
              <w:top w:val="nil"/>
              <w:left w:val="nil"/>
              <w:bottom w:val="single" w:sz="4" w:space="0" w:color="auto"/>
              <w:right w:val="single" w:sz="4" w:space="0" w:color="auto"/>
            </w:tcBorders>
            <w:shd w:val="clear" w:color="auto" w:fill="auto"/>
            <w:noWrap/>
            <w:vAlign w:val="bottom"/>
            <w:hideMark/>
          </w:tcPr>
          <w:p w14:paraId="457EF4DE"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216" w:type="dxa"/>
            <w:tcBorders>
              <w:top w:val="nil"/>
              <w:left w:val="nil"/>
              <w:bottom w:val="single" w:sz="4" w:space="0" w:color="auto"/>
              <w:right w:val="single" w:sz="4" w:space="0" w:color="auto"/>
            </w:tcBorders>
            <w:shd w:val="clear" w:color="auto" w:fill="auto"/>
            <w:noWrap/>
            <w:vAlign w:val="bottom"/>
            <w:hideMark/>
          </w:tcPr>
          <w:p w14:paraId="3284B766"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287C9A39" w14:textId="54F4EA5A" w:rsidR="00903916" w:rsidRPr="005B55FD" w:rsidRDefault="00903916" w:rsidP="001E39EE">
            <w:pPr>
              <w:jc w:val="right"/>
              <w:rPr>
                <w:sz w:val="20"/>
                <w:szCs w:val="20"/>
                <w:lang w:val="fr-CA" w:eastAsia="en-CA"/>
              </w:rPr>
            </w:pPr>
            <w:r w:rsidRPr="005B55FD">
              <w:rPr>
                <w:sz w:val="20"/>
                <w:szCs w:val="20"/>
                <w:lang w:val="fr-CA" w:eastAsia="en-CA"/>
              </w:rPr>
              <w:t>661</w:t>
            </w:r>
            <w:r w:rsidR="0022563A">
              <w:rPr>
                <w:sz w:val="20"/>
                <w:szCs w:val="20"/>
                <w:lang w:val="fr-CA" w:eastAsia="en-CA"/>
              </w:rPr>
              <w:t xml:space="preserve"> </w:t>
            </w:r>
            <w:r w:rsidRPr="005B55FD">
              <w:rPr>
                <w:sz w:val="20"/>
                <w:szCs w:val="20"/>
                <w:lang w:val="fr-CA" w:eastAsia="en-CA"/>
              </w:rPr>
              <w:t>227</w:t>
            </w:r>
          </w:p>
        </w:tc>
        <w:tc>
          <w:tcPr>
            <w:tcW w:w="1216" w:type="dxa"/>
            <w:tcBorders>
              <w:top w:val="nil"/>
              <w:left w:val="nil"/>
              <w:bottom w:val="single" w:sz="4" w:space="0" w:color="auto"/>
              <w:right w:val="single" w:sz="4" w:space="0" w:color="auto"/>
            </w:tcBorders>
            <w:shd w:val="clear" w:color="auto" w:fill="auto"/>
            <w:noWrap/>
            <w:vAlign w:val="bottom"/>
            <w:hideMark/>
          </w:tcPr>
          <w:p w14:paraId="4F355233" w14:textId="77777777" w:rsidR="00903916" w:rsidRPr="005B55FD" w:rsidRDefault="00903916" w:rsidP="001E39EE">
            <w:pPr>
              <w:jc w:val="right"/>
              <w:rPr>
                <w:sz w:val="20"/>
                <w:szCs w:val="20"/>
                <w:lang w:val="fr-CA" w:eastAsia="en-CA"/>
              </w:rPr>
            </w:pPr>
            <w:r w:rsidRPr="005B55FD">
              <w:rPr>
                <w:sz w:val="20"/>
                <w:szCs w:val="20"/>
                <w:lang w:val="fr-CA"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14:paraId="4B9F5208" w14:textId="599C4EA1" w:rsidR="00903916" w:rsidRPr="005B55FD" w:rsidRDefault="00903916" w:rsidP="001E39EE">
            <w:pPr>
              <w:jc w:val="right"/>
              <w:rPr>
                <w:sz w:val="20"/>
                <w:szCs w:val="20"/>
                <w:lang w:val="fr-CA" w:eastAsia="en-CA"/>
              </w:rPr>
            </w:pPr>
            <w:r w:rsidRPr="005B55FD">
              <w:rPr>
                <w:sz w:val="20"/>
                <w:szCs w:val="20"/>
                <w:lang w:val="fr-CA" w:eastAsia="en-CA"/>
              </w:rPr>
              <w:t>1</w:t>
            </w:r>
            <w:r w:rsidR="0022563A">
              <w:rPr>
                <w:sz w:val="20"/>
                <w:szCs w:val="20"/>
                <w:lang w:val="fr-CA" w:eastAsia="en-CA"/>
              </w:rPr>
              <w:t xml:space="preserve"> </w:t>
            </w:r>
            <w:r w:rsidRPr="005B55FD">
              <w:rPr>
                <w:sz w:val="20"/>
                <w:szCs w:val="20"/>
                <w:lang w:val="fr-CA" w:eastAsia="en-CA"/>
              </w:rPr>
              <w:t>078</w:t>
            </w:r>
            <w:r w:rsidR="0022563A">
              <w:rPr>
                <w:sz w:val="20"/>
                <w:szCs w:val="20"/>
                <w:lang w:val="fr-CA" w:eastAsia="en-CA"/>
              </w:rPr>
              <w:t xml:space="preserve"> </w:t>
            </w:r>
            <w:r w:rsidRPr="005B55FD">
              <w:rPr>
                <w:sz w:val="20"/>
                <w:szCs w:val="20"/>
                <w:lang w:val="fr-CA" w:eastAsia="en-CA"/>
              </w:rPr>
              <w:t>855</w:t>
            </w:r>
          </w:p>
        </w:tc>
      </w:tr>
      <w:tr w:rsidR="00903916" w:rsidRPr="005B55FD" w14:paraId="102B63C7"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33EF2093" w14:textId="4AA73E36" w:rsidR="00903916" w:rsidRPr="005B55FD" w:rsidRDefault="0022563A" w:rsidP="001E39EE">
            <w:pPr>
              <w:jc w:val="left"/>
              <w:rPr>
                <w:b/>
                <w:bCs/>
                <w:sz w:val="20"/>
                <w:szCs w:val="20"/>
                <w:lang w:val="fr-CA" w:eastAsia="en-CA"/>
              </w:rPr>
            </w:pPr>
            <w:r>
              <w:rPr>
                <w:b/>
                <w:bCs/>
                <w:sz w:val="20"/>
                <w:szCs w:val="20"/>
                <w:lang w:val="fr-CA" w:eastAsia="en-CA"/>
              </w:rPr>
              <w:t>Total partiel</w:t>
            </w:r>
          </w:p>
        </w:tc>
        <w:tc>
          <w:tcPr>
            <w:tcW w:w="1216" w:type="dxa"/>
            <w:tcBorders>
              <w:top w:val="nil"/>
              <w:left w:val="nil"/>
              <w:bottom w:val="single" w:sz="4" w:space="0" w:color="auto"/>
              <w:right w:val="single" w:sz="4" w:space="0" w:color="auto"/>
            </w:tcBorders>
            <w:shd w:val="clear" w:color="auto" w:fill="auto"/>
            <w:noWrap/>
            <w:vAlign w:val="bottom"/>
            <w:hideMark/>
          </w:tcPr>
          <w:p w14:paraId="77C17F97" w14:textId="2F16134E" w:rsidR="00903916" w:rsidRPr="005B55FD" w:rsidRDefault="00903916" w:rsidP="001E39EE">
            <w:pPr>
              <w:jc w:val="right"/>
              <w:rPr>
                <w:b/>
                <w:sz w:val="20"/>
                <w:szCs w:val="20"/>
                <w:lang w:val="fr-CA" w:eastAsia="en-CA"/>
              </w:rPr>
            </w:pPr>
            <w:r w:rsidRPr="005B55FD">
              <w:rPr>
                <w:b/>
                <w:sz w:val="20"/>
                <w:szCs w:val="20"/>
                <w:lang w:val="fr-CA" w:eastAsia="en-CA"/>
              </w:rPr>
              <w:t>861</w:t>
            </w:r>
            <w:r w:rsidR="0022563A">
              <w:rPr>
                <w:b/>
                <w:sz w:val="20"/>
                <w:szCs w:val="20"/>
                <w:lang w:val="fr-CA" w:eastAsia="en-CA"/>
              </w:rPr>
              <w:t xml:space="preserve"> </w:t>
            </w:r>
            <w:r w:rsidRPr="005B55FD">
              <w:rPr>
                <w:b/>
                <w:sz w:val="20"/>
                <w:szCs w:val="20"/>
                <w:lang w:val="fr-CA" w:eastAsia="en-CA"/>
              </w:rPr>
              <w:t>355</w:t>
            </w:r>
            <w:r w:rsidR="0022563A">
              <w:rPr>
                <w:b/>
                <w:sz w:val="20"/>
                <w:szCs w:val="20"/>
                <w:lang w:val="fr-CA" w:eastAsia="en-CA"/>
              </w:rPr>
              <w:t xml:space="preserve"> </w:t>
            </w:r>
            <w:r w:rsidRPr="005B55FD">
              <w:rPr>
                <w:b/>
                <w:sz w:val="20"/>
                <w:szCs w:val="20"/>
                <w:lang w:val="fr-CA" w:eastAsia="en-CA"/>
              </w:rPr>
              <w:t>337</w:t>
            </w:r>
          </w:p>
        </w:tc>
        <w:tc>
          <w:tcPr>
            <w:tcW w:w="1216" w:type="dxa"/>
            <w:tcBorders>
              <w:top w:val="nil"/>
              <w:left w:val="nil"/>
              <w:bottom w:val="single" w:sz="4" w:space="0" w:color="auto"/>
              <w:right w:val="single" w:sz="4" w:space="0" w:color="auto"/>
            </w:tcBorders>
            <w:shd w:val="clear" w:color="auto" w:fill="auto"/>
            <w:noWrap/>
            <w:vAlign w:val="bottom"/>
            <w:hideMark/>
          </w:tcPr>
          <w:p w14:paraId="5548BC0A" w14:textId="185876F0" w:rsidR="00903916" w:rsidRPr="005B55FD" w:rsidRDefault="00903916" w:rsidP="001E39EE">
            <w:pPr>
              <w:jc w:val="right"/>
              <w:rPr>
                <w:b/>
                <w:sz w:val="20"/>
                <w:szCs w:val="20"/>
                <w:lang w:val="fr-CA" w:eastAsia="en-CA"/>
              </w:rPr>
            </w:pPr>
            <w:r w:rsidRPr="005B55FD">
              <w:rPr>
                <w:b/>
                <w:sz w:val="20"/>
                <w:szCs w:val="20"/>
                <w:lang w:val="fr-CA" w:eastAsia="en-CA"/>
              </w:rPr>
              <w:t>347</w:t>
            </w:r>
            <w:r w:rsidR="0022563A">
              <w:rPr>
                <w:b/>
                <w:sz w:val="20"/>
                <w:szCs w:val="20"/>
                <w:lang w:val="fr-CA" w:eastAsia="en-CA"/>
              </w:rPr>
              <w:t xml:space="preserve"> </w:t>
            </w:r>
            <w:r w:rsidRPr="005B55FD">
              <w:rPr>
                <w:b/>
                <w:sz w:val="20"/>
                <w:szCs w:val="20"/>
                <w:lang w:val="fr-CA" w:eastAsia="en-CA"/>
              </w:rPr>
              <w:t>422</w:t>
            </w:r>
            <w:r w:rsidR="0022563A">
              <w:rPr>
                <w:b/>
                <w:sz w:val="20"/>
                <w:szCs w:val="20"/>
                <w:lang w:val="fr-CA" w:eastAsia="en-CA"/>
              </w:rPr>
              <w:t xml:space="preserve"> </w:t>
            </w:r>
            <w:r w:rsidRPr="005B55FD">
              <w:rPr>
                <w:b/>
                <w:sz w:val="20"/>
                <w:szCs w:val="20"/>
                <w:lang w:val="fr-CA" w:eastAsia="en-CA"/>
              </w:rPr>
              <w:t>283</w:t>
            </w:r>
          </w:p>
        </w:tc>
        <w:tc>
          <w:tcPr>
            <w:tcW w:w="1216" w:type="dxa"/>
            <w:tcBorders>
              <w:top w:val="nil"/>
              <w:left w:val="nil"/>
              <w:bottom w:val="single" w:sz="4" w:space="0" w:color="auto"/>
              <w:right w:val="single" w:sz="4" w:space="0" w:color="auto"/>
            </w:tcBorders>
            <w:shd w:val="clear" w:color="auto" w:fill="auto"/>
            <w:noWrap/>
            <w:vAlign w:val="bottom"/>
            <w:hideMark/>
          </w:tcPr>
          <w:p w14:paraId="6262B2F5" w14:textId="3681DDDA" w:rsidR="00903916" w:rsidRPr="005B55FD" w:rsidRDefault="00903916" w:rsidP="001E39EE">
            <w:pPr>
              <w:jc w:val="right"/>
              <w:rPr>
                <w:b/>
                <w:sz w:val="20"/>
                <w:szCs w:val="20"/>
                <w:lang w:val="fr-CA" w:eastAsia="en-CA"/>
              </w:rPr>
            </w:pPr>
            <w:r w:rsidRPr="005B55FD">
              <w:rPr>
                <w:b/>
                <w:sz w:val="20"/>
                <w:szCs w:val="20"/>
                <w:lang w:val="fr-CA" w:eastAsia="en-CA"/>
              </w:rPr>
              <w:t>853</w:t>
            </w:r>
            <w:r w:rsidR="0022563A">
              <w:rPr>
                <w:b/>
                <w:sz w:val="20"/>
                <w:szCs w:val="20"/>
                <w:lang w:val="fr-CA" w:eastAsia="en-CA"/>
              </w:rPr>
              <w:t xml:space="preserve"> </w:t>
            </w:r>
            <w:r w:rsidRPr="005B55FD">
              <w:rPr>
                <w:b/>
                <w:sz w:val="20"/>
                <w:szCs w:val="20"/>
                <w:lang w:val="fr-CA" w:eastAsia="en-CA"/>
              </w:rPr>
              <w:t>873</w:t>
            </w:r>
            <w:r w:rsidR="0022563A">
              <w:rPr>
                <w:b/>
                <w:sz w:val="20"/>
                <w:szCs w:val="20"/>
                <w:lang w:val="fr-CA" w:eastAsia="en-CA"/>
              </w:rPr>
              <w:t xml:space="preserve"> </w:t>
            </w:r>
            <w:r w:rsidRPr="005B55FD">
              <w:rPr>
                <w:b/>
                <w:sz w:val="20"/>
                <w:szCs w:val="20"/>
                <w:lang w:val="fr-CA" w:eastAsia="en-CA"/>
              </w:rPr>
              <w:t>942</w:t>
            </w:r>
          </w:p>
        </w:tc>
        <w:tc>
          <w:tcPr>
            <w:tcW w:w="1366" w:type="dxa"/>
            <w:tcBorders>
              <w:top w:val="nil"/>
              <w:left w:val="nil"/>
              <w:bottom w:val="single" w:sz="4" w:space="0" w:color="auto"/>
              <w:right w:val="single" w:sz="4" w:space="0" w:color="auto"/>
            </w:tcBorders>
            <w:shd w:val="clear" w:color="auto" w:fill="auto"/>
            <w:noWrap/>
            <w:vAlign w:val="bottom"/>
            <w:hideMark/>
          </w:tcPr>
          <w:p w14:paraId="7F784D59" w14:textId="72285B09" w:rsidR="00903916" w:rsidRPr="005B55FD" w:rsidRDefault="00903916" w:rsidP="001E39EE">
            <w:pPr>
              <w:jc w:val="right"/>
              <w:rPr>
                <w:b/>
                <w:sz w:val="20"/>
                <w:szCs w:val="20"/>
                <w:lang w:val="fr-CA" w:eastAsia="en-CA"/>
              </w:rPr>
            </w:pPr>
            <w:r w:rsidRPr="005B55FD">
              <w:rPr>
                <w:b/>
                <w:sz w:val="20"/>
                <w:szCs w:val="20"/>
                <w:lang w:val="fr-CA" w:eastAsia="en-CA"/>
              </w:rPr>
              <w:t>1</w:t>
            </w:r>
            <w:r w:rsidR="0022563A">
              <w:rPr>
                <w:b/>
                <w:sz w:val="20"/>
                <w:szCs w:val="20"/>
                <w:lang w:val="fr-CA" w:eastAsia="en-CA"/>
              </w:rPr>
              <w:t xml:space="preserve"> </w:t>
            </w:r>
            <w:r w:rsidRPr="005B55FD">
              <w:rPr>
                <w:b/>
                <w:sz w:val="20"/>
                <w:szCs w:val="20"/>
                <w:lang w:val="fr-CA" w:eastAsia="en-CA"/>
              </w:rPr>
              <w:t>159</w:t>
            </w:r>
            <w:r w:rsidR="0022563A">
              <w:rPr>
                <w:b/>
                <w:sz w:val="20"/>
                <w:szCs w:val="20"/>
                <w:lang w:val="fr-CA" w:eastAsia="en-CA"/>
              </w:rPr>
              <w:t xml:space="preserve"> </w:t>
            </w:r>
            <w:r w:rsidRPr="005B55FD">
              <w:rPr>
                <w:b/>
                <w:sz w:val="20"/>
                <w:szCs w:val="20"/>
                <w:lang w:val="fr-CA" w:eastAsia="en-CA"/>
              </w:rPr>
              <w:t>228</w:t>
            </w:r>
            <w:r w:rsidR="0022563A">
              <w:rPr>
                <w:b/>
                <w:sz w:val="20"/>
                <w:szCs w:val="20"/>
                <w:lang w:val="fr-CA" w:eastAsia="en-CA"/>
              </w:rPr>
              <w:t xml:space="preserve"> </w:t>
            </w:r>
            <w:r w:rsidRPr="005B55FD">
              <w:rPr>
                <w:b/>
                <w:sz w:val="20"/>
                <w:szCs w:val="20"/>
                <w:lang w:val="fr-CA" w:eastAsia="en-CA"/>
              </w:rPr>
              <w:t>820</w:t>
            </w:r>
          </w:p>
        </w:tc>
        <w:tc>
          <w:tcPr>
            <w:tcW w:w="1216" w:type="dxa"/>
            <w:tcBorders>
              <w:top w:val="nil"/>
              <w:left w:val="nil"/>
              <w:bottom w:val="single" w:sz="4" w:space="0" w:color="auto"/>
              <w:right w:val="single" w:sz="4" w:space="0" w:color="auto"/>
            </w:tcBorders>
            <w:shd w:val="clear" w:color="auto" w:fill="auto"/>
            <w:noWrap/>
            <w:vAlign w:val="bottom"/>
            <w:hideMark/>
          </w:tcPr>
          <w:p w14:paraId="453C4232" w14:textId="4420241F" w:rsidR="00903916" w:rsidRPr="005B55FD" w:rsidRDefault="00903916" w:rsidP="001E39EE">
            <w:pPr>
              <w:jc w:val="right"/>
              <w:rPr>
                <w:b/>
                <w:sz w:val="20"/>
                <w:szCs w:val="20"/>
                <w:lang w:val="fr-CA" w:eastAsia="en-CA"/>
              </w:rPr>
            </w:pPr>
            <w:r w:rsidRPr="005B55FD">
              <w:rPr>
                <w:b/>
                <w:sz w:val="20"/>
                <w:szCs w:val="20"/>
                <w:lang w:val="fr-CA" w:eastAsia="en-CA"/>
              </w:rPr>
              <w:t>162</w:t>
            </w:r>
            <w:r w:rsidR="0022563A">
              <w:rPr>
                <w:b/>
                <w:sz w:val="20"/>
                <w:szCs w:val="20"/>
                <w:lang w:val="fr-CA" w:eastAsia="en-CA"/>
              </w:rPr>
              <w:t xml:space="preserve"> </w:t>
            </w:r>
            <w:r w:rsidRPr="005B55FD">
              <w:rPr>
                <w:b/>
                <w:sz w:val="20"/>
                <w:szCs w:val="20"/>
                <w:lang w:val="fr-CA" w:eastAsia="en-CA"/>
              </w:rPr>
              <w:t>440</w:t>
            </w:r>
            <w:r w:rsidR="0022563A">
              <w:rPr>
                <w:b/>
                <w:sz w:val="20"/>
                <w:szCs w:val="20"/>
                <w:lang w:val="fr-CA" w:eastAsia="en-CA"/>
              </w:rPr>
              <w:t xml:space="preserve"> </w:t>
            </w:r>
            <w:r w:rsidRPr="005B55FD">
              <w:rPr>
                <w:b/>
                <w:sz w:val="20"/>
                <w:szCs w:val="20"/>
                <w:lang w:val="fr-CA" w:eastAsia="en-CA"/>
              </w:rPr>
              <w:t>770</w:t>
            </w:r>
          </w:p>
        </w:tc>
        <w:tc>
          <w:tcPr>
            <w:tcW w:w="1366" w:type="dxa"/>
            <w:tcBorders>
              <w:top w:val="nil"/>
              <w:left w:val="nil"/>
              <w:bottom w:val="single" w:sz="4" w:space="0" w:color="auto"/>
              <w:right w:val="single" w:sz="4" w:space="0" w:color="auto"/>
            </w:tcBorders>
            <w:shd w:val="clear" w:color="auto" w:fill="auto"/>
            <w:noWrap/>
            <w:vAlign w:val="bottom"/>
            <w:hideMark/>
          </w:tcPr>
          <w:p w14:paraId="33C4638A" w14:textId="22AC4463" w:rsidR="00903916" w:rsidRPr="005B55FD" w:rsidRDefault="00903916" w:rsidP="001E39EE">
            <w:pPr>
              <w:jc w:val="right"/>
              <w:rPr>
                <w:b/>
                <w:sz w:val="20"/>
                <w:szCs w:val="20"/>
                <w:lang w:val="fr-CA" w:eastAsia="en-CA"/>
              </w:rPr>
            </w:pPr>
            <w:r w:rsidRPr="005B55FD">
              <w:rPr>
                <w:b/>
                <w:sz w:val="20"/>
                <w:szCs w:val="20"/>
                <w:lang w:val="fr-CA" w:eastAsia="en-CA"/>
              </w:rPr>
              <w:t>3</w:t>
            </w:r>
            <w:r w:rsidR="0022563A">
              <w:rPr>
                <w:b/>
                <w:sz w:val="20"/>
                <w:szCs w:val="20"/>
                <w:lang w:val="fr-CA" w:eastAsia="en-CA"/>
              </w:rPr>
              <w:t xml:space="preserve"> </w:t>
            </w:r>
            <w:r w:rsidRPr="005B55FD">
              <w:rPr>
                <w:b/>
                <w:sz w:val="20"/>
                <w:szCs w:val="20"/>
                <w:lang w:val="fr-CA" w:eastAsia="en-CA"/>
              </w:rPr>
              <w:t>384</w:t>
            </w:r>
            <w:r w:rsidR="0022563A">
              <w:rPr>
                <w:b/>
                <w:sz w:val="20"/>
                <w:szCs w:val="20"/>
                <w:lang w:val="fr-CA" w:eastAsia="en-CA"/>
              </w:rPr>
              <w:t xml:space="preserve"> </w:t>
            </w:r>
            <w:r w:rsidRPr="005B55FD">
              <w:rPr>
                <w:b/>
                <w:sz w:val="20"/>
                <w:szCs w:val="20"/>
                <w:lang w:val="fr-CA" w:eastAsia="en-CA"/>
              </w:rPr>
              <w:t>321</w:t>
            </w:r>
            <w:r w:rsidR="0022563A">
              <w:rPr>
                <w:b/>
                <w:sz w:val="20"/>
                <w:szCs w:val="20"/>
                <w:lang w:val="fr-CA" w:eastAsia="en-CA"/>
              </w:rPr>
              <w:t xml:space="preserve"> </w:t>
            </w:r>
            <w:r w:rsidRPr="005B55FD">
              <w:rPr>
                <w:b/>
                <w:sz w:val="20"/>
                <w:szCs w:val="20"/>
                <w:lang w:val="fr-CA" w:eastAsia="en-CA"/>
              </w:rPr>
              <w:t>153</w:t>
            </w:r>
          </w:p>
        </w:tc>
      </w:tr>
      <w:tr w:rsidR="00903916" w:rsidRPr="005B55FD" w14:paraId="1D2B6FD7"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6B9F7712" w14:textId="509C7EDB" w:rsidR="00903916" w:rsidRPr="005B55FD" w:rsidRDefault="0022563A" w:rsidP="001E39EE">
            <w:pPr>
              <w:jc w:val="left"/>
              <w:rPr>
                <w:sz w:val="20"/>
                <w:szCs w:val="20"/>
                <w:lang w:val="fr-CA" w:eastAsia="en-CA"/>
              </w:rPr>
            </w:pPr>
            <w:r>
              <w:rPr>
                <w:sz w:val="20"/>
                <w:szCs w:val="20"/>
                <w:lang w:val="fr-CA" w:eastAsia="en-CA"/>
              </w:rPr>
              <w:t>Coûts d’appui aux agences</w:t>
            </w:r>
          </w:p>
        </w:tc>
        <w:tc>
          <w:tcPr>
            <w:tcW w:w="1216" w:type="dxa"/>
            <w:tcBorders>
              <w:top w:val="nil"/>
              <w:left w:val="nil"/>
              <w:bottom w:val="single" w:sz="4" w:space="0" w:color="auto"/>
              <w:right w:val="single" w:sz="4" w:space="0" w:color="auto"/>
            </w:tcBorders>
            <w:shd w:val="clear" w:color="auto" w:fill="auto"/>
            <w:noWrap/>
            <w:vAlign w:val="bottom"/>
            <w:hideMark/>
          </w:tcPr>
          <w:p w14:paraId="5FA7ED11" w14:textId="2DE5FF03" w:rsidR="00903916" w:rsidRPr="005B55FD" w:rsidRDefault="00903916" w:rsidP="001E39EE">
            <w:pPr>
              <w:jc w:val="right"/>
              <w:rPr>
                <w:sz w:val="20"/>
                <w:szCs w:val="20"/>
                <w:lang w:val="fr-CA" w:eastAsia="en-CA"/>
              </w:rPr>
            </w:pPr>
            <w:r w:rsidRPr="005B55FD">
              <w:rPr>
                <w:sz w:val="20"/>
                <w:szCs w:val="20"/>
                <w:lang w:val="fr-CA" w:eastAsia="en-CA"/>
              </w:rPr>
              <w:t>117</w:t>
            </w:r>
            <w:r w:rsidR="0022563A">
              <w:rPr>
                <w:sz w:val="20"/>
                <w:szCs w:val="20"/>
                <w:lang w:val="fr-CA" w:eastAsia="en-CA"/>
              </w:rPr>
              <w:t xml:space="preserve"> </w:t>
            </w:r>
            <w:r w:rsidRPr="005B55FD">
              <w:rPr>
                <w:sz w:val="20"/>
                <w:szCs w:val="20"/>
                <w:lang w:val="fr-CA" w:eastAsia="en-CA"/>
              </w:rPr>
              <w:t>625</w:t>
            </w:r>
            <w:r w:rsidR="0022563A">
              <w:rPr>
                <w:sz w:val="20"/>
                <w:szCs w:val="20"/>
                <w:lang w:val="fr-CA" w:eastAsia="en-CA"/>
              </w:rPr>
              <w:t xml:space="preserve"> </w:t>
            </w:r>
            <w:r w:rsidRPr="005B55FD">
              <w:rPr>
                <w:sz w:val="20"/>
                <w:szCs w:val="20"/>
                <w:lang w:val="fr-CA" w:eastAsia="en-CA"/>
              </w:rPr>
              <w:t>135</w:t>
            </w:r>
          </w:p>
        </w:tc>
        <w:tc>
          <w:tcPr>
            <w:tcW w:w="1216" w:type="dxa"/>
            <w:tcBorders>
              <w:top w:val="nil"/>
              <w:left w:val="nil"/>
              <w:bottom w:val="single" w:sz="4" w:space="0" w:color="auto"/>
              <w:right w:val="single" w:sz="4" w:space="0" w:color="auto"/>
            </w:tcBorders>
            <w:shd w:val="clear" w:color="auto" w:fill="auto"/>
            <w:noWrap/>
            <w:vAlign w:val="bottom"/>
            <w:hideMark/>
          </w:tcPr>
          <w:p w14:paraId="483E8502" w14:textId="3B78CC2C" w:rsidR="00903916" w:rsidRPr="005B55FD" w:rsidRDefault="00903916" w:rsidP="001E39EE">
            <w:pPr>
              <w:jc w:val="right"/>
              <w:rPr>
                <w:sz w:val="20"/>
                <w:szCs w:val="20"/>
                <w:lang w:val="fr-CA" w:eastAsia="en-CA"/>
              </w:rPr>
            </w:pPr>
            <w:r w:rsidRPr="005B55FD">
              <w:rPr>
                <w:sz w:val="20"/>
                <w:szCs w:val="20"/>
                <w:lang w:val="fr-CA" w:eastAsia="en-CA"/>
              </w:rPr>
              <w:t>28</w:t>
            </w:r>
            <w:r w:rsidR="0022563A">
              <w:rPr>
                <w:sz w:val="20"/>
                <w:szCs w:val="20"/>
                <w:lang w:val="fr-CA" w:eastAsia="en-CA"/>
              </w:rPr>
              <w:t xml:space="preserve"> </w:t>
            </w:r>
            <w:r w:rsidRPr="005B55FD">
              <w:rPr>
                <w:sz w:val="20"/>
                <w:szCs w:val="20"/>
                <w:lang w:val="fr-CA" w:eastAsia="en-CA"/>
              </w:rPr>
              <w:t>796</w:t>
            </w:r>
            <w:r w:rsidR="0022563A">
              <w:rPr>
                <w:sz w:val="20"/>
                <w:szCs w:val="20"/>
                <w:lang w:val="fr-CA" w:eastAsia="en-CA"/>
              </w:rPr>
              <w:t xml:space="preserve"> </w:t>
            </w:r>
            <w:r w:rsidRPr="005B55FD">
              <w:rPr>
                <w:sz w:val="20"/>
                <w:szCs w:val="20"/>
                <w:lang w:val="fr-CA" w:eastAsia="en-CA"/>
              </w:rPr>
              <w:t>104</w:t>
            </w:r>
          </w:p>
        </w:tc>
        <w:tc>
          <w:tcPr>
            <w:tcW w:w="1216" w:type="dxa"/>
            <w:tcBorders>
              <w:top w:val="nil"/>
              <w:left w:val="nil"/>
              <w:bottom w:val="single" w:sz="4" w:space="0" w:color="auto"/>
              <w:right w:val="single" w:sz="4" w:space="0" w:color="auto"/>
            </w:tcBorders>
            <w:shd w:val="clear" w:color="auto" w:fill="auto"/>
            <w:noWrap/>
            <w:vAlign w:val="bottom"/>
            <w:hideMark/>
          </w:tcPr>
          <w:p w14:paraId="218183C8" w14:textId="483B0EF8" w:rsidR="00903916" w:rsidRPr="005B55FD" w:rsidRDefault="00903916" w:rsidP="001E39EE">
            <w:pPr>
              <w:jc w:val="right"/>
              <w:rPr>
                <w:sz w:val="20"/>
                <w:szCs w:val="20"/>
                <w:lang w:val="fr-CA" w:eastAsia="en-CA"/>
              </w:rPr>
            </w:pPr>
            <w:r w:rsidRPr="005B55FD">
              <w:rPr>
                <w:sz w:val="20"/>
                <w:szCs w:val="20"/>
                <w:lang w:val="fr-CA" w:eastAsia="en-CA"/>
              </w:rPr>
              <w:t>112</w:t>
            </w:r>
            <w:r w:rsidR="0022563A">
              <w:rPr>
                <w:sz w:val="20"/>
                <w:szCs w:val="20"/>
                <w:lang w:val="fr-CA" w:eastAsia="en-CA"/>
              </w:rPr>
              <w:t xml:space="preserve"> </w:t>
            </w:r>
            <w:r w:rsidRPr="005B55FD">
              <w:rPr>
                <w:sz w:val="20"/>
                <w:szCs w:val="20"/>
                <w:lang w:val="fr-CA" w:eastAsia="en-CA"/>
              </w:rPr>
              <w:t>890</w:t>
            </w:r>
            <w:r w:rsidR="0022563A">
              <w:rPr>
                <w:sz w:val="20"/>
                <w:szCs w:val="20"/>
                <w:lang w:val="fr-CA" w:eastAsia="en-CA"/>
              </w:rPr>
              <w:t xml:space="preserve"> </w:t>
            </w:r>
            <w:r w:rsidRPr="005B55FD">
              <w:rPr>
                <w:sz w:val="20"/>
                <w:szCs w:val="20"/>
                <w:lang w:val="fr-CA" w:eastAsia="en-CA"/>
              </w:rPr>
              <w:t>657</w:t>
            </w:r>
          </w:p>
        </w:tc>
        <w:tc>
          <w:tcPr>
            <w:tcW w:w="1366" w:type="dxa"/>
            <w:tcBorders>
              <w:top w:val="nil"/>
              <w:left w:val="nil"/>
              <w:bottom w:val="single" w:sz="4" w:space="0" w:color="auto"/>
              <w:right w:val="single" w:sz="4" w:space="0" w:color="auto"/>
            </w:tcBorders>
            <w:shd w:val="clear" w:color="auto" w:fill="auto"/>
            <w:noWrap/>
            <w:vAlign w:val="bottom"/>
            <w:hideMark/>
          </w:tcPr>
          <w:p w14:paraId="00A95246" w14:textId="4CC673AF" w:rsidR="00903916" w:rsidRPr="005B55FD" w:rsidRDefault="00903916" w:rsidP="001E39EE">
            <w:pPr>
              <w:jc w:val="right"/>
              <w:rPr>
                <w:sz w:val="20"/>
                <w:szCs w:val="20"/>
                <w:lang w:val="fr-CA" w:eastAsia="en-CA"/>
              </w:rPr>
            </w:pPr>
            <w:r w:rsidRPr="005B55FD">
              <w:rPr>
                <w:sz w:val="20"/>
                <w:szCs w:val="20"/>
                <w:lang w:val="fr-CA" w:eastAsia="en-CA"/>
              </w:rPr>
              <w:t>120</w:t>
            </w:r>
            <w:r w:rsidR="0022563A">
              <w:rPr>
                <w:sz w:val="20"/>
                <w:szCs w:val="20"/>
                <w:lang w:val="fr-CA" w:eastAsia="en-CA"/>
              </w:rPr>
              <w:t xml:space="preserve"> </w:t>
            </w:r>
            <w:r w:rsidRPr="005B55FD">
              <w:rPr>
                <w:sz w:val="20"/>
                <w:szCs w:val="20"/>
                <w:lang w:val="fr-CA" w:eastAsia="en-CA"/>
              </w:rPr>
              <w:t>209</w:t>
            </w:r>
            <w:r w:rsidR="0022563A">
              <w:rPr>
                <w:sz w:val="20"/>
                <w:szCs w:val="20"/>
                <w:lang w:val="fr-CA" w:eastAsia="en-CA"/>
              </w:rPr>
              <w:t xml:space="preserve"> </w:t>
            </w:r>
            <w:r w:rsidRPr="005B55FD">
              <w:rPr>
                <w:sz w:val="20"/>
                <w:szCs w:val="20"/>
                <w:lang w:val="fr-CA" w:eastAsia="en-CA"/>
              </w:rPr>
              <w:t>090</w:t>
            </w:r>
          </w:p>
        </w:tc>
        <w:tc>
          <w:tcPr>
            <w:tcW w:w="1216" w:type="dxa"/>
            <w:tcBorders>
              <w:top w:val="nil"/>
              <w:left w:val="nil"/>
              <w:bottom w:val="single" w:sz="4" w:space="0" w:color="auto"/>
              <w:right w:val="single" w:sz="4" w:space="0" w:color="auto"/>
            </w:tcBorders>
            <w:shd w:val="clear" w:color="auto" w:fill="auto"/>
            <w:noWrap/>
            <w:vAlign w:val="bottom"/>
            <w:hideMark/>
          </w:tcPr>
          <w:p w14:paraId="7AC5E6E5" w14:textId="5CE4617A" w:rsidR="00903916" w:rsidRPr="005B55FD" w:rsidRDefault="00903916" w:rsidP="001E39EE">
            <w:pPr>
              <w:jc w:val="right"/>
              <w:rPr>
                <w:sz w:val="20"/>
                <w:szCs w:val="20"/>
                <w:lang w:val="fr-CA" w:eastAsia="en-CA"/>
              </w:rPr>
            </w:pPr>
            <w:r w:rsidRPr="005B55FD">
              <w:rPr>
                <w:sz w:val="20"/>
                <w:szCs w:val="20"/>
                <w:lang w:val="fr-CA" w:eastAsia="en-CA"/>
              </w:rPr>
              <w:t>15</w:t>
            </w:r>
            <w:r w:rsidR="0022563A">
              <w:rPr>
                <w:sz w:val="20"/>
                <w:szCs w:val="20"/>
                <w:lang w:val="fr-CA" w:eastAsia="en-CA"/>
              </w:rPr>
              <w:t xml:space="preserve"> </w:t>
            </w:r>
            <w:r w:rsidRPr="005B55FD">
              <w:rPr>
                <w:sz w:val="20"/>
                <w:szCs w:val="20"/>
                <w:lang w:val="fr-CA" w:eastAsia="en-CA"/>
              </w:rPr>
              <w:t>565</w:t>
            </w:r>
            <w:r w:rsidR="0022563A">
              <w:rPr>
                <w:sz w:val="20"/>
                <w:szCs w:val="20"/>
                <w:lang w:val="fr-CA" w:eastAsia="en-CA"/>
              </w:rPr>
              <w:t xml:space="preserve"> </w:t>
            </w:r>
            <w:r w:rsidRPr="005B55FD">
              <w:rPr>
                <w:sz w:val="20"/>
                <w:szCs w:val="20"/>
                <w:lang w:val="fr-CA" w:eastAsia="en-CA"/>
              </w:rPr>
              <w:t>729</w:t>
            </w:r>
          </w:p>
        </w:tc>
        <w:tc>
          <w:tcPr>
            <w:tcW w:w="1366" w:type="dxa"/>
            <w:tcBorders>
              <w:top w:val="nil"/>
              <w:left w:val="nil"/>
              <w:bottom w:val="single" w:sz="4" w:space="0" w:color="auto"/>
              <w:right w:val="single" w:sz="4" w:space="0" w:color="auto"/>
            </w:tcBorders>
            <w:shd w:val="clear" w:color="auto" w:fill="auto"/>
            <w:noWrap/>
            <w:vAlign w:val="bottom"/>
            <w:hideMark/>
          </w:tcPr>
          <w:p w14:paraId="1537EA7D" w14:textId="00AF8590" w:rsidR="00903916" w:rsidRPr="005B55FD" w:rsidRDefault="00903916" w:rsidP="001E39EE">
            <w:pPr>
              <w:jc w:val="right"/>
              <w:rPr>
                <w:sz w:val="20"/>
                <w:szCs w:val="20"/>
                <w:lang w:val="fr-CA" w:eastAsia="en-CA"/>
              </w:rPr>
            </w:pPr>
            <w:r w:rsidRPr="005B55FD">
              <w:rPr>
                <w:sz w:val="20"/>
                <w:szCs w:val="20"/>
                <w:lang w:val="fr-CA" w:eastAsia="en-CA"/>
              </w:rPr>
              <w:t>395</w:t>
            </w:r>
            <w:r w:rsidR="0022563A">
              <w:rPr>
                <w:sz w:val="20"/>
                <w:szCs w:val="20"/>
                <w:lang w:val="fr-CA" w:eastAsia="en-CA"/>
              </w:rPr>
              <w:t xml:space="preserve"> </w:t>
            </w:r>
            <w:r w:rsidRPr="005B55FD">
              <w:rPr>
                <w:sz w:val="20"/>
                <w:szCs w:val="20"/>
                <w:lang w:val="fr-CA" w:eastAsia="en-CA"/>
              </w:rPr>
              <w:t>086</w:t>
            </w:r>
            <w:r w:rsidR="0022563A">
              <w:rPr>
                <w:sz w:val="20"/>
                <w:szCs w:val="20"/>
                <w:lang w:val="fr-CA" w:eastAsia="en-CA"/>
              </w:rPr>
              <w:t xml:space="preserve"> </w:t>
            </w:r>
            <w:r w:rsidRPr="005B55FD">
              <w:rPr>
                <w:sz w:val="20"/>
                <w:szCs w:val="20"/>
                <w:lang w:val="fr-CA" w:eastAsia="en-CA"/>
              </w:rPr>
              <w:t>716</w:t>
            </w:r>
          </w:p>
        </w:tc>
      </w:tr>
      <w:tr w:rsidR="00903916" w:rsidRPr="005B55FD" w14:paraId="61B468C1" w14:textId="77777777" w:rsidTr="00EB283F">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66E47F3" w14:textId="77777777" w:rsidR="00903916" w:rsidRPr="005B55FD" w:rsidRDefault="00903916" w:rsidP="001E39EE">
            <w:pPr>
              <w:jc w:val="left"/>
              <w:rPr>
                <w:b/>
                <w:bCs/>
                <w:sz w:val="20"/>
                <w:szCs w:val="20"/>
                <w:lang w:val="fr-CA" w:eastAsia="en-CA"/>
              </w:rPr>
            </w:pPr>
            <w:r w:rsidRPr="005B55FD">
              <w:rPr>
                <w:b/>
                <w:bCs/>
                <w:sz w:val="20"/>
                <w:szCs w:val="20"/>
                <w:lang w:val="fr-CA" w:eastAsia="en-CA"/>
              </w:rPr>
              <w:t>Total</w:t>
            </w:r>
          </w:p>
        </w:tc>
        <w:tc>
          <w:tcPr>
            <w:tcW w:w="1216" w:type="dxa"/>
            <w:tcBorders>
              <w:top w:val="nil"/>
              <w:left w:val="nil"/>
              <w:bottom w:val="single" w:sz="4" w:space="0" w:color="auto"/>
              <w:right w:val="single" w:sz="4" w:space="0" w:color="auto"/>
            </w:tcBorders>
            <w:shd w:val="clear" w:color="auto" w:fill="auto"/>
            <w:noWrap/>
            <w:vAlign w:val="bottom"/>
            <w:hideMark/>
          </w:tcPr>
          <w:p w14:paraId="6FCAFBA2" w14:textId="334CFD75" w:rsidR="00903916" w:rsidRPr="005B55FD" w:rsidRDefault="00903916" w:rsidP="001E39EE">
            <w:pPr>
              <w:jc w:val="right"/>
              <w:rPr>
                <w:b/>
                <w:sz w:val="20"/>
                <w:szCs w:val="20"/>
                <w:lang w:val="fr-CA" w:eastAsia="en-CA"/>
              </w:rPr>
            </w:pPr>
            <w:r w:rsidRPr="005B55FD">
              <w:rPr>
                <w:b/>
                <w:sz w:val="20"/>
                <w:szCs w:val="20"/>
                <w:lang w:val="fr-CA" w:eastAsia="en-CA"/>
              </w:rPr>
              <w:t>978</w:t>
            </w:r>
            <w:r w:rsidR="0022563A">
              <w:rPr>
                <w:b/>
                <w:sz w:val="20"/>
                <w:szCs w:val="20"/>
                <w:lang w:val="fr-CA" w:eastAsia="en-CA"/>
              </w:rPr>
              <w:t xml:space="preserve"> </w:t>
            </w:r>
            <w:r w:rsidRPr="005B55FD">
              <w:rPr>
                <w:b/>
                <w:sz w:val="20"/>
                <w:szCs w:val="20"/>
                <w:lang w:val="fr-CA" w:eastAsia="en-CA"/>
              </w:rPr>
              <w:t>980</w:t>
            </w:r>
            <w:r w:rsidR="0022563A">
              <w:rPr>
                <w:b/>
                <w:sz w:val="20"/>
                <w:szCs w:val="20"/>
                <w:lang w:val="fr-CA" w:eastAsia="en-CA"/>
              </w:rPr>
              <w:t xml:space="preserve"> </w:t>
            </w:r>
            <w:r w:rsidRPr="005B55FD">
              <w:rPr>
                <w:b/>
                <w:sz w:val="20"/>
                <w:szCs w:val="20"/>
                <w:lang w:val="fr-CA" w:eastAsia="en-CA"/>
              </w:rPr>
              <w:t>472</w:t>
            </w:r>
          </w:p>
        </w:tc>
        <w:tc>
          <w:tcPr>
            <w:tcW w:w="1216" w:type="dxa"/>
            <w:tcBorders>
              <w:top w:val="nil"/>
              <w:left w:val="nil"/>
              <w:bottom w:val="single" w:sz="4" w:space="0" w:color="auto"/>
              <w:right w:val="single" w:sz="4" w:space="0" w:color="auto"/>
            </w:tcBorders>
            <w:shd w:val="clear" w:color="auto" w:fill="auto"/>
            <w:noWrap/>
            <w:vAlign w:val="bottom"/>
            <w:hideMark/>
          </w:tcPr>
          <w:p w14:paraId="59246532" w14:textId="70E7F6C5" w:rsidR="00903916" w:rsidRPr="005B55FD" w:rsidRDefault="00903916" w:rsidP="001E39EE">
            <w:pPr>
              <w:jc w:val="right"/>
              <w:rPr>
                <w:b/>
                <w:sz w:val="20"/>
                <w:szCs w:val="20"/>
                <w:lang w:val="fr-CA" w:eastAsia="en-CA"/>
              </w:rPr>
            </w:pPr>
            <w:r w:rsidRPr="005B55FD">
              <w:rPr>
                <w:b/>
                <w:sz w:val="20"/>
                <w:szCs w:val="20"/>
                <w:lang w:val="fr-CA" w:eastAsia="en-CA"/>
              </w:rPr>
              <w:t>376</w:t>
            </w:r>
            <w:r w:rsidR="0022563A">
              <w:rPr>
                <w:b/>
                <w:sz w:val="20"/>
                <w:szCs w:val="20"/>
                <w:lang w:val="fr-CA" w:eastAsia="en-CA"/>
              </w:rPr>
              <w:t xml:space="preserve"> </w:t>
            </w:r>
            <w:r w:rsidRPr="005B55FD">
              <w:rPr>
                <w:b/>
                <w:sz w:val="20"/>
                <w:szCs w:val="20"/>
                <w:lang w:val="fr-CA" w:eastAsia="en-CA"/>
              </w:rPr>
              <w:t>218</w:t>
            </w:r>
            <w:r w:rsidR="0022563A">
              <w:rPr>
                <w:b/>
                <w:sz w:val="20"/>
                <w:szCs w:val="20"/>
                <w:lang w:val="fr-CA" w:eastAsia="en-CA"/>
              </w:rPr>
              <w:t xml:space="preserve"> </w:t>
            </w:r>
            <w:r w:rsidRPr="005B55FD">
              <w:rPr>
                <w:b/>
                <w:sz w:val="20"/>
                <w:szCs w:val="20"/>
                <w:lang w:val="fr-CA" w:eastAsia="en-CA"/>
              </w:rPr>
              <w:t>388</w:t>
            </w:r>
          </w:p>
        </w:tc>
        <w:tc>
          <w:tcPr>
            <w:tcW w:w="1216" w:type="dxa"/>
            <w:tcBorders>
              <w:top w:val="nil"/>
              <w:left w:val="nil"/>
              <w:bottom w:val="single" w:sz="4" w:space="0" w:color="auto"/>
              <w:right w:val="single" w:sz="4" w:space="0" w:color="auto"/>
            </w:tcBorders>
            <w:shd w:val="clear" w:color="auto" w:fill="auto"/>
            <w:noWrap/>
            <w:vAlign w:val="bottom"/>
            <w:hideMark/>
          </w:tcPr>
          <w:p w14:paraId="644B0601" w14:textId="70C9CF68" w:rsidR="00903916" w:rsidRPr="005B55FD" w:rsidRDefault="00903916" w:rsidP="001E39EE">
            <w:pPr>
              <w:jc w:val="right"/>
              <w:rPr>
                <w:b/>
                <w:sz w:val="20"/>
                <w:szCs w:val="20"/>
                <w:lang w:val="fr-CA" w:eastAsia="en-CA"/>
              </w:rPr>
            </w:pPr>
            <w:r w:rsidRPr="005B55FD">
              <w:rPr>
                <w:b/>
                <w:sz w:val="20"/>
                <w:szCs w:val="20"/>
                <w:lang w:val="fr-CA" w:eastAsia="en-CA"/>
              </w:rPr>
              <w:t>966</w:t>
            </w:r>
            <w:r w:rsidR="0022563A">
              <w:rPr>
                <w:b/>
                <w:sz w:val="20"/>
                <w:szCs w:val="20"/>
                <w:lang w:val="fr-CA" w:eastAsia="en-CA"/>
              </w:rPr>
              <w:t xml:space="preserve"> </w:t>
            </w:r>
            <w:r w:rsidRPr="005B55FD">
              <w:rPr>
                <w:b/>
                <w:sz w:val="20"/>
                <w:szCs w:val="20"/>
                <w:lang w:val="fr-CA" w:eastAsia="en-CA"/>
              </w:rPr>
              <w:t>764</w:t>
            </w:r>
            <w:r w:rsidR="0022563A">
              <w:rPr>
                <w:b/>
                <w:sz w:val="20"/>
                <w:szCs w:val="20"/>
                <w:lang w:val="fr-CA" w:eastAsia="en-CA"/>
              </w:rPr>
              <w:t xml:space="preserve"> </w:t>
            </w:r>
            <w:r w:rsidRPr="005B55FD">
              <w:rPr>
                <w:b/>
                <w:sz w:val="20"/>
                <w:szCs w:val="20"/>
                <w:lang w:val="fr-CA" w:eastAsia="en-CA"/>
              </w:rPr>
              <w:t>599</w:t>
            </w:r>
          </w:p>
        </w:tc>
        <w:tc>
          <w:tcPr>
            <w:tcW w:w="1366" w:type="dxa"/>
            <w:tcBorders>
              <w:top w:val="nil"/>
              <w:left w:val="nil"/>
              <w:bottom w:val="single" w:sz="4" w:space="0" w:color="auto"/>
              <w:right w:val="single" w:sz="4" w:space="0" w:color="auto"/>
            </w:tcBorders>
            <w:shd w:val="clear" w:color="auto" w:fill="auto"/>
            <w:noWrap/>
            <w:vAlign w:val="bottom"/>
            <w:hideMark/>
          </w:tcPr>
          <w:p w14:paraId="2D324236" w14:textId="7F1AAE4F" w:rsidR="00903916" w:rsidRPr="005B55FD" w:rsidRDefault="00903916" w:rsidP="001E39EE">
            <w:pPr>
              <w:jc w:val="right"/>
              <w:rPr>
                <w:b/>
                <w:sz w:val="20"/>
                <w:szCs w:val="20"/>
                <w:lang w:val="fr-CA" w:eastAsia="en-CA"/>
              </w:rPr>
            </w:pPr>
            <w:r w:rsidRPr="005B55FD">
              <w:rPr>
                <w:b/>
                <w:sz w:val="20"/>
                <w:szCs w:val="20"/>
                <w:lang w:val="fr-CA" w:eastAsia="en-CA"/>
              </w:rPr>
              <w:t>1</w:t>
            </w:r>
            <w:r w:rsidR="0022563A">
              <w:rPr>
                <w:b/>
                <w:sz w:val="20"/>
                <w:szCs w:val="20"/>
                <w:lang w:val="fr-CA" w:eastAsia="en-CA"/>
              </w:rPr>
              <w:t xml:space="preserve"> </w:t>
            </w:r>
            <w:r w:rsidRPr="005B55FD">
              <w:rPr>
                <w:b/>
                <w:sz w:val="20"/>
                <w:szCs w:val="20"/>
                <w:lang w:val="fr-CA" w:eastAsia="en-CA"/>
              </w:rPr>
              <w:t>279</w:t>
            </w:r>
            <w:r w:rsidR="0022563A">
              <w:rPr>
                <w:b/>
                <w:sz w:val="20"/>
                <w:szCs w:val="20"/>
                <w:lang w:val="fr-CA" w:eastAsia="en-CA"/>
              </w:rPr>
              <w:t xml:space="preserve"> </w:t>
            </w:r>
            <w:r w:rsidRPr="005B55FD">
              <w:rPr>
                <w:b/>
                <w:sz w:val="20"/>
                <w:szCs w:val="20"/>
                <w:lang w:val="fr-CA" w:eastAsia="en-CA"/>
              </w:rPr>
              <w:t>437</w:t>
            </w:r>
            <w:r w:rsidR="0022563A">
              <w:rPr>
                <w:b/>
                <w:sz w:val="20"/>
                <w:szCs w:val="20"/>
                <w:lang w:val="fr-CA" w:eastAsia="en-CA"/>
              </w:rPr>
              <w:t xml:space="preserve"> </w:t>
            </w:r>
            <w:r w:rsidRPr="005B55FD">
              <w:rPr>
                <w:b/>
                <w:sz w:val="20"/>
                <w:szCs w:val="20"/>
                <w:lang w:val="fr-CA" w:eastAsia="en-CA"/>
              </w:rPr>
              <w:t>910</w:t>
            </w:r>
          </w:p>
        </w:tc>
        <w:tc>
          <w:tcPr>
            <w:tcW w:w="1216" w:type="dxa"/>
            <w:tcBorders>
              <w:top w:val="nil"/>
              <w:left w:val="nil"/>
              <w:bottom w:val="single" w:sz="4" w:space="0" w:color="auto"/>
              <w:right w:val="single" w:sz="4" w:space="0" w:color="auto"/>
            </w:tcBorders>
            <w:shd w:val="clear" w:color="auto" w:fill="auto"/>
            <w:noWrap/>
            <w:vAlign w:val="bottom"/>
            <w:hideMark/>
          </w:tcPr>
          <w:p w14:paraId="7C22D007" w14:textId="5BCDB29F" w:rsidR="00903916" w:rsidRPr="005B55FD" w:rsidRDefault="00903916" w:rsidP="001E39EE">
            <w:pPr>
              <w:jc w:val="right"/>
              <w:rPr>
                <w:b/>
                <w:sz w:val="20"/>
                <w:szCs w:val="20"/>
                <w:lang w:val="fr-CA" w:eastAsia="en-CA"/>
              </w:rPr>
            </w:pPr>
            <w:r w:rsidRPr="005B55FD">
              <w:rPr>
                <w:b/>
                <w:sz w:val="20"/>
                <w:szCs w:val="20"/>
                <w:lang w:val="fr-CA" w:eastAsia="en-CA"/>
              </w:rPr>
              <w:t>178</w:t>
            </w:r>
            <w:r w:rsidR="0022563A">
              <w:rPr>
                <w:b/>
                <w:sz w:val="20"/>
                <w:szCs w:val="20"/>
                <w:lang w:val="fr-CA" w:eastAsia="en-CA"/>
              </w:rPr>
              <w:t xml:space="preserve"> </w:t>
            </w:r>
            <w:r w:rsidRPr="005B55FD">
              <w:rPr>
                <w:b/>
                <w:sz w:val="20"/>
                <w:szCs w:val="20"/>
                <w:lang w:val="fr-CA" w:eastAsia="en-CA"/>
              </w:rPr>
              <w:t>006</w:t>
            </w:r>
            <w:r w:rsidR="0022563A">
              <w:rPr>
                <w:b/>
                <w:sz w:val="20"/>
                <w:szCs w:val="20"/>
                <w:lang w:val="fr-CA" w:eastAsia="en-CA"/>
              </w:rPr>
              <w:t xml:space="preserve"> </w:t>
            </w:r>
            <w:r w:rsidRPr="005B55FD">
              <w:rPr>
                <w:b/>
                <w:sz w:val="20"/>
                <w:szCs w:val="20"/>
                <w:lang w:val="fr-CA" w:eastAsia="en-CA"/>
              </w:rPr>
              <w:t>500</w:t>
            </w:r>
          </w:p>
        </w:tc>
        <w:tc>
          <w:tcPr>
            <w:tcW w:w="1366" w:type="dxa"/>
            <w:tcBorders>
              <w:top w:val="nil"/>
              <w:left w:val="nil"/>
              <w:bottom w:val="single" w:sz="4" w:space="0" w:color="auto"/>
              <w:right w:val="single" w:sz="4" w:space="0" w:color="auto"/>
            </w:tcBorders>
            <w:shd w:val="clear" w:color="auto" w:fill="auto"/>
            <w:noWrap/>
            <w:vAlign w:val="bottom"/>
            <w:hideMark/>
          </w:tcPr>
          <w:p w14:paraId="5E93A882" w14:textId="0FE41C9F" w:rsidR="00903916" w:rsidRPr="005B55FD" w:rsidRDefault="00903916" w:rsidP="001E39EE">
            <w:pPr>
              <w:jc w:val="right"/>
              <w:rPr>
                <w:b/>
                <w:sz w:val="20"/>
                <w:szCs w:val="20"/>
                <w:lang w:val="fr-CA" w:eastAsia="en-CA"/>
              </w:rPr>
            </w:pPr>
            <w:r w:rsidRPr="005B55FD">
              <w:rPr>
                <w:b/>
                <w:sz w:val="20"/>
                <w:szCs w:val="20"/>
                <w:lang w:val="fr-CA" w:eastAsia="en-CA"/>
              </w:rPr>
              <w:t>3</w:t>
            </w:r>
            <w:r w:rsidR="0022563A">
              <w:rPr>
                <w:b/>
                <w:sz w:val="20"/>
                <w:szCs w:val="20"/>
                <w:lang w:val="fr-CA" w:eastAsia="en-CA"/>
              </w:rPr>
              <w:t xml:space="preserve"> </w:t>
            </w:r>
            <w:r w:rsidRPr="005B55FD">
              <w:rPr>
                <w:b/>
                <w:sz w:val="20"/>
                <w:szCs w:val="20"/>
                <w:lang w:val="fr-CA" w:eastAsia="en-CA"/>
              </w:rPr>
              <w:t>779</w:t>
            </w:r>
            <w:r w:rsidR="0022563A">
              <w:rPr>
                <w:b/>
                <w:sz w:val="20"/>
                <w:szCs w:val="20"/>
                <w:lang w:val="fr-CA" w:eastAsia="en-CA"/>
              </w:rPr>
              <w:t xml:space="preserve"> </w:t>
            </w:r>
            <w:r w:rsidRPr="005B55FD">
              <w:rPr>
                <w:b/>
                <w:sz w:val="20"/>
                <w:szCs w:val="20"/>
                <w:lang w:val="fr-CA" w:eastAsia="en-CA"/>
              </w:rPr>
              <w:t>407</w:t>
            </w:r>
            <w:r w:rsidR="0022563A">
              <w:rPr>
                <w:b/>
                <w:sz w:val="20"/>
                <w:szCs w:val="20"/>
                <w:lang w:val="fr-CA" w:eastAsia="en-CA"/>
              </w:rPr>
              <w:t xml:space="preserve"> </w:t>
            </w:r>
            <w:r w:rsidRPr="005B55FD">
              <w:rPr>
                <w:b/>
                <w:sz w:val="20"/>
                <w:szCs w:val="20"/>
                <w:lang w:val="fr-CA" w:eastAsia="en-CA"/>
              </w:rPr>
              <w:t>869</w:t>
            </w:r>
          </w:p>
        </w:tc>
      </w:tr>
    </w:tbl>
    <w:p w14:paraId="612392AC" w14:textId="77777777" w:rsidR="00903916" w:rsidRPr="005B55FD" w:rsidRDefault="00903916" w:rsidP="001E39EE">
      <w:pPr>
        <w:keepNext/>
        <w:suppressAutoHyphens/>
        <w:rPr>
          <w:b/>
          <w:lang w:val="fr-CA"/>
        </w:rPr>
      </w:pPr>
    </w:p>
    <w:p w14:paraId="5D031683" w14:textId="77777777" w:rsidR="00E55AED" w:rsidRDefault="00E55AED">
      <w:pPr>
        <w:jc w:val="left"/>
        <w:rPr>
          <w:lang w:val="fr-CA"/>
        </w:rPr>
      </w:pPr>
      <w:r>
        <w:rPr>
          <w:lang w:val="fr-CA"/>
        </w:rPr>
        <w:br w:type="page"/>
      </w:r>
    </w:p>
    <w:p w14:paraId="2CBEB32B" w14:textId="6FB7108E" w:rsidR="00D631A9" w:rsidRPr="005B55FD" w:rsidRDefault="00152A98" w:rsidP="001E39EE">
      <w:pPr>
        <w:pStyle w:val="Heading1"/>
        <w:rPr>
          <w:lang w:val="fr-CA"/>
        </w:rPr>
      </w:pPr>
      <w:r>
        <w:rPr>
          <w:lang w:val="fr-CA"/>
        </w:rPr>
        <w:lastRenderedPageBreak/>
        <w:t>Le tableau 2 présente un sommaire de l’état des projets mis en œuvre, par catégorie</w:t>
      </w:r>
      <w:r w:rsidR="00D631A9" w:rsidRPr="005B55FD">
        <w:rPr>
          <w:lang w:val="fr-CA"/>
        </w:rPr>
        <w:t xml:space="preserve">. </w:t>
      </w:r>
    </w:p>
    <w:p w14:paraId="2AEC3491" w14:textId="07EEF053" w:rsidR="00D631A9" w:rsidRPr="005B55FD" w:rsidRDefault="00D631A9" w:rsidP="001E39EE">
      <w:pPr>
        <w:keepNext/>
        <w:rPr>
          <w:b/>
          <w:lang w:val="fr-CA"/>
        </w:rPr>
      </w:pPr>
      <w:r w:rsidRPr="005B55FD">
        <w:rPr>
          <w:b/>
          <w:lang w:val="fr-CA"/>
        </w:rPr>
        <w:t>Table</w:t>
      </w:r>
      <w:r w:rsidR="00152A98">
        <w:rPr>
          <w:b/>
          <w:lang w:val="fr-CA"/>
        </w:rPr>
        <w:t>au</w:t>
      </w:r>
      <w:r w:rsidRPr="005B55FD">
        <w:rPr>
          <w:b/>
          <w:lang w:val="fr-CA"/>
        </w:rPr>
        <w:t xml:space="preserve"> 2. </w:t>
      </w:r>
      <w:r w:rsidR="00152A98">
        <w:rPr>
          <w:b/>
          <w:spacing w:val="-3"/>
          <w:lang w:val="fr-CA"/>
        </w:rPr>
        <w:t>État de la mise en œuvre des projets, par catégorie</w:t>
      </w:r>
    </w:p>
    <w:tbl>
      <w:tblPr>
        <w:tblW w:w="9360" w:type="dxa"/>
        <w:tblInd w:w="-5" w:type="dxa"/>
        <w:tblLook w:val="04A0" w:firstRow="1" w:lastRow="0" w:firstColumn="1" w:lastColumn="0" w:noHBand="0" w:noVBand="1"/>
      </w:tblPr>
      <w:tblGrid>
        <w:gridCol w:w="1800"/>
        <w:gridCol w:w="957"/>
        <w:gridCol w:w="1043"/>
        <w:gridCol w:w="942"/>
        <w:gridCol w:w="1198"/>
        <w:gridCol w:w="1272"/>
        <w:gridCol w:w="1029"/>
        <w:gridCol w:w="1119"/>
      </w:tblGrid>
      <w:tr w:rsidR="002C22E5" w:rsidRPr="005B55FD" w14:paraId="05816EE2" w14:textId="77777777" w:rsidTr="001E39EE">
        <w:trPr>
          <w:trHeight w:val="116"/>
          <w:tblHeader/>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42A95E24" w14:textId="77777777" w:rsidR="002C22E5" w:rsidRPr="005B55FD" w:rsidRDefault="002C22E5" w:rsidP="001E39EE">
            <w:pPr>
              <w:jc w:val="left"/>
              <w:rPr>
                <w:b/>
                <w:bCs/>
                <w:sz w:val="20"/>
                <w:szCs w:val="20"/>
                <w:lang w:val="fr-CA" w:eastAsia="en-CA"/>
              </w:rPr>
            </w:pPr>
            <w:r w:rsidRPr="005B55FD">
              <w:rPr>
                <w:b/>
                <w:bCs/>
                <w:sz w:val="20"/>
                <w:szCs w:val="20"/>
                <w:lang w:val="fr-CA" w:eastAsia="en-CA"/>
              </w:rPr>
              <w:t>Type</w:t>
            </w:r>
          </w:p>
        </w:tc>
        <w:tc>
          <w:tcPr>
            <w:tcW w:w="2942" w:type="dxa"/>
            <w:gridSpan w:val="3"/>
            <w:tcBorders>
              <w:top w:val="single" w:sz="4" w:space="0" w:color="auto"/>
              <w:left w:val="nil"/>
              <w:bottom w:val="single" w:sz="4" w:space="0" w:color="auto"/>
              <w:right w:val="single" w:sz="4" w:space="0" w:color="auto"/>
            </w:tcBorders>
            <w:shd w:val="clear" w:color="auto" w:fill="auto"/>
            <w:noWrap/>
            <w:hideMark/>
          </w:tcPr>
          <w:p w14:paraId="768D5F25" w14:textId="464EBD30" w:rsidR="002C22E5" w:rsidRPr="005B55FD" w:rsidRDefault="00152A98" w:rsidP="001E39EE">
            <w:pPr>
              <w:jc w:val="center"/>
              <w:rPr>
                <w:b/>
                <w:bCs/>
                <w:sz w:val="20"/>
                <w:szCs w:val="20"/>
                <w:lang w:val="fr-CA" w:eastAsia="en-CA"/>
              </w:rPr>
            </w:pPr>
            <w:r>
              <w:rPr>
                <w:b/>
                <w:bCs/>
                <w:sz w:val="20"/>
                <w:szCs w:val="20"/>
                <w:lang w:val="fr-CA" w:eastAsia="en-CA"/>
              </w:rPr>
              <w:t>Nombre de projets</w:t>
            </w:r>
            <w:r w:rsidR="002C22E5" w:rsidRPr="005B55FD">
              <w:rPr>
                <w:b/>
                <w:bCs/>
                <w:sz w:val="20"/>
                <w:szCs w:val="20"/>
                <w:lang w:val="fr-CA" w:eastAsia="en-CA"/>
              </w:rPr>
              <w:t>*</w:t>
            </w:r>
          </w:p>
        </w:tc>
        <w:tc>
          <w:tcPr>
            <w:tcW w:w="4618" w:type="dxa"/>
            <w:gridSpan w:val="4"/>
            <w:tcBorders>
              <w:top w:val="single" w:sz="4" w:space="0" w:color="auto"/>
              <w:left w:val="nil"/>
              <w:bottom w:val="single" w:sz="4" w:space="0" w:color="auto"/>
              <w:right w:val="single" w:sz="4" w:space="0" w:color="auto"/>
            </w:tcBorders>
            <w:shd w:val="clear" w:color="auto" w:fill="auto"/>
            <w:noWrap/>
            <w:hideMark/>
          </w:tcPr>
          <w:p w14:paraId="28880701" w14:textId="79287AA0" w:rsidR="002C22E5" w:rsidRPr="005B55FD" w:rsidRDefault="00152A98" w:rsidP="001E39EE">
            <w:pPr>
              <w:jc w:val="center"/>
              <w:rPr>
                <w:b/>
                <w:bCs/>
                <w:sz w:val="20"/>
                <w:szCs w:val="20"/>
                <w:lang w:val="fr-CA" w:eastAsia="en-CA"/>
              </w:rPr>
            </w:pPr>
            <w:r>
              <w:rPr>
                <w:b/>
                <w:bCs/>
                <w:sz w:val="20"/>
                <w:szCs w:val="20"/>
                <w:lang w:val="fr-CA" w:eastAsia="en-CA"/>
              </w:rPr>
              <w:t>Financement ($US)</w:t>
            </w:r>
            <w:r w:rsidR="002C22E5" w:rsidRPr="005B55FD">
              <w:rPr>
                <w:b/>
                <w:bCs/>
                <w:sz w:val="20"/>
                <w:szCs w:val="20"/>
                <w:lang w:val="fr-CA" w:eastAsia="en-CA"/>
              </w:rPr>
              <w:t>**</w:t>
            </w:r>
          </w:p>
        </w:tc>
      </w:tr>
      <w:tr w:rsidR="00E9654A" w:rsidRPr="005B55FD" w14:paraId="56C99107" w14:textId="77777777" w:rsidTr="001E39EE">
        <w:trPr>
          <w:trHeight w:val="121"/>
          <w:tblHeader/>
        </w:trPr>
        <w:tc>
          <w:tcPr>
            <w:tcW w:w="180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51878C72" w14:textId="77777777" w:rsidR="002C22E5" w:rsidRPr="005B55FD" w:rsidRDefault="002C22E5" w:rsidP="001E39EE">
            <w:pPr>
              <w:jc w:val="left"/>
              <w:rPr>
                <w:b/>
                <w:bCs/>
                <w:sz w:val="20"/>
                <w:szCs w:val="20"/>
                <w:lang w:val="fr-CA" w:eastAsia="en-CA"/>
              </w:rPr>
            </w:pPr>
          </w:p>
        </w:tc>
        <w:tc>
          <w:tcPr>
            <w:tcW w:w="95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23E208" w14:textId="6EB0605B" w:rsidR="002C22E5" w:rsidRPr="005B55FD" w:rsidRDefault="00152A98" w:rsidP="001E39EE">
            <w:pPr>
              <w:ind w:left="-139" w:right="-131"/>
              <w:jc w:val="center"/>
              <w:rPr>
                <w:b/>
                <w:bCs/>
                <w:sz w:val="20"/>
                <w:szCs w:val="20"/>
                <w:lang w:val="fr-CA" w:eastAsia="en-CA"/>
              </w:rPr>
            </w:pPr>
            <w:r>
              <w:rPr>
                <w:b/>
                <w:bCs/>
                <w:sz w:val="20"/>
                <w:szCs w:val="20"/>
                <w:lang w:val="fr-CA" w:eastAsia="en-CA"/>
              </w:rPr>
              <w:t>Approuvés</w:t>
            </w:r>
          </w:p>
        </w:tc>
        <w:tc>
          <w:tcPr>
            <w:tcW w:w="10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A326F8" w14:textId="731D632B" w:rsidR="002C22E5" w:rsidRPr="005B55FD" w:rsidRDefault="00152A98" w:rsidP="001E39EE">
            <w:pPr>
              <w:ind w:left="-107" w:right="-91"/>
              <w:jc w:val="center"/>
              <w:rPr>
                <w:b/>
                <w:bCs/>
                <w:sz w:val="20"/>
                <w:szCs w:val="20"/>
                <w:lang w:val="fr-CA" w:eastAsia="en-CA"/>
              </w:rPr>
            </w:pPr>
            <w:r>
              <w:rPr>
                <w:b/>
                <w:bCs/>
                <w:sz w:val="20"/>
                <w:szCs w:val="20"/>
                <w:lang w:val="fr-CA" w:eastAsia="en-CA"/>
              </w:rPr>
              <w:t>Achevés</w:t>
            </w:r>
          </w:p>
        </w:tc>
        <w:tc>
          <w:tcPr>
            <w:tcW w:w="94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2AE369" w14:textId="77777777" w:rsidR="00152A98" w:rsidRDefault="00152A98" w:rsidP="001E39EE">
            <w:pPr>
              <w:ind w:left="-159" w:right="-114"/>
              <w:jc w:val="center"/>
              <w:rPr>
                <w:b/>
                <w:bCs/>
                <w:sz w:val="20"/>
                <w:szCs w:val="20"/>
                <w:lang w:val="fr-CA" w:eastAsia="en-CA"/>
              </w:rPr>
            </w:pPr>
            <w:r>
              <w:rPr>
                <w:b/>
                <w:bCs/>
                <w:sz w:val="20"/>
                <w:szCs w:val="20"/>
                <w:lang w:val="fr-CA" w:eastAsia="en-CA"/>
              </w:rPr>
              <w:t xml:space="preserve">% </w:t>
            </w:r>
          </w:p>
          <w:p w14:paraId="551ADEAB" w14:textId="63227761" w:rsidR="002C22E5" w:rsidRPr="005B55FD" w:rsidRDefault="00152A98" w:rsidP="00152A98">
            <w:pPr>
              <w:ind w:left="-159" w:right="-114"/>
              <w:jc w:val="center"/>
              <w:rPr>
                <w:b/>
                <w:bCs/>
                <w:sz w:val="20"/>
                <w:szCs w:val="20"/>
                <w:lang w:val="fr-CA" w:eastAsia="en-CA"/>
              </w:rPr>
            </w:pPr>
            <w:r>
              <w:rPr>
                <w:b/>
                <w:bCs/>
                <w:sz w:val="20"/>
                <w:szCs w:val="20"/>
                <w:lang w:val="fr-CA" w:eastAsia="en-CA"/>
              </w:rPr>
              <w:t>d’</w:t>
            </w:r>
            <w:proofErr w:type="spellStart"/>
            <w:r>
              <w:rPr>
                <w:b/>
                <w:bCs/>
                <w:sz w:val="20"/>
                <w:szCs w:val="20"/>
                <w:lang w:val="fr-CA" w:eastAsia="en-CA"/>
              </w:rPr>
              <w:t>achève-ment</w:t>
            </w:r>
            <w:proofErr w:type="spellEnd"/>
          </w:p>
        </w:tc>
        <w:tc>
          <w:tcPr>
            <w:tcW w:w="119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DD3997" w14:textId="3E3900CA" w:rsidR="002C22E5" w:rsidRPr="005B55FD" w:rsidRDefault="00152A98" w:rsidP="001E39EE">
            <w:pPr>
              <w:jc w:val="center"/>
              <w:rPr>
                <w:b/>
                <w:bCs/>
                <w:sz w:val="20"/>
                <w:szCs w:val="20"/>
                <w:lang w:val="fr-CA" w:eastAsia="en-CA"/>
              </w:rPr>
            </w:pPr>
            <w:r>
              <w:rPr>
                <w:b/>
                <w:bCs/>
                <w:sz w:val="20"/>
                <w:szCs w:val="20"/>
                <w:lang w:val="fr-CA" w:eastAsia="en-CA"/>
              </w:rPr>
              <w:t>Approuvé</w:t>
            </w:r>
          </w:p>
        </w:tc>
        <w:tc>
          <w:tcPr>
            <w:tcW w:w="127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F705CE" w14:textId="426C758D" w:rsidR="002C22E5" w:rsidRPr="005B55FD" w:rsidRDefault="00152A98" w:rsidP="001E39EE">
            <w:pPr>
              <w:jc w:val="center"/>
              <w:rPr>
                <w:b/>
                <w:bCs/>
                <w:sz w:val="20"/>
                <w:szCs w:val="20"/>
                <w:lang w:val="fr-CA" w:eastAsia="en-CA"/>
              </w:rPr>
            </w:pPr>
            <w:r>
              <w:rPr>
                <w:b/>
                <w:bCs/>
                <w:sz w:val="20"/>
                <w:szCs w:val="20"/>
                <w:lang w:val="fr-CA" w:eastAsia="en-CA"/>
              </w:rPr>
              <w:t xml:space="preserve">Décaissé </w:t>
            </w:r>
          </w:p>
        </w:tc>
        <w:tc>
          <w:tcPr>
            <w:tcW w:w="102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A6B9A1" w14:textId="13B3AE99" w:rsidR="002C22E5" w:rsidRPr="005B55FD" w:rsidRDefault="00152A98" w:rsidP="001E39EE">
            <w:pPr>
              <w:jc w:val="center"/>
              <w:rPr>
                <w:b/>
                <w:bCs/>
                <w:sz w:val="20"/>
                <w:szCs w:val="20"/>
                <w:lang w:val="fr-CA" w:eastAsia="en-CA"/>
              </w:rPr>
            </w:pPr>
            <w:r>
              <w:rPr>
                <w:b/>
                <w:bCs/>
                <w:sz w:val="20"/>
                <w:szCs w:val="20"/>
                <w:lang w:val="fr-CA" w:eastAsia="en-CA"/>
              </w:rPr>
              <w:t>Solde</w:t>
            </w:r>
          </w:p>
        </w:tc>
        <w:tc>
          <w:tcPr>
            <w:tcW w:w="111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4B2CA7" w14:textId="77777777" w:rsidR="00152A98" w:rsidRDefault="00152A98" w:rsidP="001E39EE">
            <w:pPr>
              <w:ind w:left="-168" w:right="-102"/>
              <w:jc w:val="center"/>
              <w:rPr>
                <w:b/>
                <w:bCs/>
                <w:sz w:val="20"/>
                <w:szCs w:val="20"/>
                <w:lang w:val="fr-CA" w:eastAsia="en-CA"/>
              </w:rPr>
            </w:pPr>
            <w:r>
              <w:rPr>
                <w:b/>
                <w:bCs/>
                <w:sz w:val="20"/>
                <w:szCs w:val="20"/>
                <w:lang w:val="fr-CA" w:eastAsia="en-CA"/>
              </w:rPr>
              <w:t xml:space="preserve">% </w:t>
            </w:r>
          </w:p>
          <w:p w14:paraId="6D2C47C0" w14:textId="73FCB0D2" w:rsidR="002C22E5" w:rsidRPr="005B55FD" w:rsidRDefault="00152A98" w:rsidP="001E39EE">
            <w:pPr>
              <w:ind w:left="-168" w:right="-102"/>
              <w:jc w:val="center"/>
              <w:rPr>
                <w:b/>
                <w:bCs/>
                <w:sz w:val="20"/>
                <w:szCs w:val="20"/>
                <w:lang w:val="fr-CA" w:eastAsia="en-CA"/>
              </w:rPr>
            </w:pPr>
            <w:r>
              <w:rPr>
                <w:b/>
                <w:bCs/>
                <w:sz w:val="20"/>
                <w:szCs w:val="20"/>
                <w:lang w:val="fr-CA" w:eastAsia="en-CA"/>
              </w:rPr>
              <w:t xml:space="preserve">de </w:t>
            </w:r>
            <w:proofErr w:type="spellStart"/>
            <w:r>
              <w:rPr>
                <w:b/>
                <w:bCs/>
                <w:sz w:val="20"/>
                <w:szCs w:val="20"/>
                <w:lang w:val="fr-CA" w:eastAsia="en-CA"/>
              </w:rPr>
              <w:t>décais-sement</w:t>
            </w:r>
            <w:proofErr w:type="spellEnd"/>
          </w:p>
        </w:tc>
      </w:tr>
      <w:tr w:rsidR="00EE5B07" w:rsidRPr="005B55FD" w14:paraId="027F9C14"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DCD9230" w14:textId="7AC153CB" w:rsidR="00EE5B07" w:rsidRPr="005B55FD" w:rsidRDefault="00152A98" w:rsidP="001E39EE">
            <w:pPr>
              <w:jc w:val="left"/>
              <w:rPr>
                <w:sz w:val="20"/>
                <w:szCs w:val="20"/>
                <w:lang w:val="fr-CA" w:eastAsia="en-CA"/>
              </w:rPr>
            </w:pPr>
            <w:r>
              <w:rPr>
                <w:sz w:val="20"/>
                <w:szCs w:val="20"/>
                <w:lang w:val="fr-CA" w:eastAsia="en-CA"/>
              </w:rPr>
              <w:t>Programme de pays</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226DEA58" w14:textId="77777777" w:rsidR="00EE5B07" w:rsidRPr="005B55FD" w:rsidRDefault="00EE5B07" w:rsidP="001E39EE">
            <w:pPr>
              <w:jc w:val="right"/>
              <w:rPr>
                <w:sz w:val="20"/>
                <w:szCs w:val="20"/>
                <w:lang w:val="fr-CA" w:eastAsia="en-CA"/>
              </w:rPr>
            </w:pPr>
            <w:r w:rsidRPr="005B55FD">
              <w:rPr>
                <w:sz w:val="20"/>
                <w:szCs w:val="20"/>
                <w:lang w:val="fr-CA" w:eastAsia="en-CA"/>
              </w:rPr>
              <w:t>165</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6DC40091" w14:textId="77777777" w:rsidR="00EE5B07" w:rsidRPr="005B55FD" w:rsidRDefault="00EE5B07" w:rsidP="001E39EE">
            <w:pPr>
              <w:jc w:val="right"/>
              <w:rPr>
                <w:sz w:val="20"/>
                <w:szCs w:val="20"/>
                <w:lang w:val="fr-CA" w:eastAsia="en-CA"/>
              </w:rPr>
            </w:pPr>
            <w:r w:rsidRPr="005B55FD">
              <w:rPr>
                <w:sz w:val="20"/>
                <w:szCs w:val="20"/>
                <w:lang w:val="fr-CA" w:eastAsia="en-CA"/>
              </w:rPr>
              <w:t>165</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1356A946" w14:textId="77777777" w:rsidR="00EE5B07" w:rsidRPr="005B55FD" w:rsidRDefault="00EE5B07" w:rsidP="001E39EE">
            <w:pPr>
              <w:jc w:val="right"/>
              <w:rPr>
                <w:sz w:val="20"/>
                <w:szCs w:val="20"/>
                <w:lang w:val="fr-CA" w:eastAsia="en-CA"/>
              </w:rPr>
            </w:pPr>
            <w:r w:rsidRPr="005B55FD">
              <w:rPr>
                <w:sz w:val="20"/>
                <w:szCs w:val="20"/>
                <w:lang w:val="fr-CA" w:eastAsia="en-CA"/>
              </w:rPr>
              <w:t>100</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7EA899CC" w14:textId="251C4D05" w:rsidR="00EE5B07" w:rsidRPr="005B55FD" w:rsidRDefault="00EE5B07" w:rsidP="001E39EE">
            <w:pPr>
              <w:jc w:val="right"/>
              <w:rPr>
                <w:sz w:val="20"/>
                <w:szCs w:val="20"/>
                <w:lang w:val="fr-CA" w:eastAsia="en-CA"/>
              </w:rPr>
            </w:pPr>
            <w:r w:rsidRPr="005B55FD">
              <w:rPr>
                <w:sz w:val="20"/>
                <w:szCs w:val="20"/>
                <w:lang w:val="fr-CA" w:eastAsia="en-CA"/>
              </w:rPr>
              <w:t>7</w:t>
            </w:r>
            <w:r w:rsidR="00152A98">
              <w:rPr>
                <w:sz w:val="20"/>
                <w:szCs w:val="20"/>
                <w:lang w:val="fr-CA" w:eastAsia="en-CA"/>
              </w:rPr>
              <w:t xml:space="preserve"> </w:t>
            </w:r>
            <w:r w:rsidRPr="005B55FD">
              <w:rPr>
                <w:sz w:val="20"/>
                <w:szCs w:val="20"/>
                <w:lang w:val="fr-CA" w:eastAsia="en-CA"/>
              </w:rPr>
              <w:t>266</w:t>
            </w:r>
            <w:r w:rsidR="00152A98">
              <w:rPr>
                <w:sz w:val="20"/>
                <w:szCs w:val="20"/>
                <w:lang w:val="fr-CA" w:eastAsia="en-CA"/>
              </w:rPr>
              <w:t xml:space="preserve"> </w:t>
            </w:r>
            <w:r w:rsidRPr="005B55FD">
              <w:rPr>
                <w:sz w:val="20"/>
                <w:szCs w:val="20"/>
                <w:lang w:val="fr-CA" w:eastAsia="en-CA"/>
              </w:rPr>
              <w:t>559</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521303B" w14:textId="19AF3EDB" w:rsidR="00EE5B07" w:rsidRPr="005B55FD" w:rsidRDefault="00EE5B07" w:rsidP="001E39EE">
            <w:pPr>
              <w:jc w:val="right"/>
              <w:rPr>
                <w:sz w:val="20"/>
                <w:szCs w:val="20"/>
                <w:lang w:val="fr-CA"/>
              </w:rPr>
            </w:pPr>
            <w:r w:rsidRPr="005B55FD">
              <w:rPr>
                <w:sz w:val="20"/>
                <w:szCs w:val="20"/>
                <w:lang w:val="fr-CA"/>
              </w:rPr>
              <w:t>7</w:t>
            </w:r>
            <w:r w:rsidR="00152A98">
              <w:rPr>
                <w:sz w:val="20"/>
                <w:szCs w:val="20"/>
                <w:lang w:val="fr-CA"/>
              </w:rPr>
              <w:t xml:space="preserve"> </w:t>
            </w:r>
            <w:r w:rsidRPr="005B55FD">
              <w:rPr>
                <w:sz w:val="20"/>
                <w:szCs w:val="20"/>
                <w:lang w:val="fr-CA"/>
              </w:rPr>
              <w:t>266</w:t>
            </w:r>
            <w:r w:rsidR="00152A98">
              <w:rPr>
                <w:sz w:val="20"/>
                <w:szCs w:val="20"/>
                <w:lang w:val="fr-CA"/>
              </w:rPr>
              <w:t xml:space="preserve"> </w:t>
            </w:r>
            <w:r w:rsidRPr="005B55FD">
              <w:rPr>
                <w:sz w:val="20"/>
                <w:szCs w:val="20"/>
                <w:lang w:val="fr-CA"/>
              </w:rPr>
              <w:t>559</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5440A80" w14:textId="77777777" w:rsidR="00EE5B07" w:rsidRPr="005B55FD" w:rsidRDefault="00EE5B07" w:rsidP="001E39EE">
            <w:pPr>
              <w:jc w:val="right"/>
              <w:rPr>
                <w:sz w:val="20"/>
                <w:szCs w:val="20"/>
                <w:lang w:val="fr-CA"/>
              </w:rPr>
            </w:pPr>
            <w:r w:rsidRPr="005B55FD">
              <w:rPr>
                <w:sz w:val="20"/>
                <w:szCs w:val="20"/>
                <w:lang w:val="fr-CA"/>
              </w:rPr>
              <w:t>0</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1E53736B" w14:textId="77777777" w:rsidR="00EE5B07" w:rsidRPr="005B55FD" w:rsidRDefault="00EE5B07" w:rsidP="001E39EE">
            <w:pPr>
              <w:jc w:val="right"/>
              <w:rPr>
                <w:sz w:val="20"/>
                <w:szCs w:val="20"/>
                <w:lang w:val="fr-CA"/>
              </w:rPr>
            </w:pPr>
            <w:r w:rsidRPr="005B55FD">
              <w:rPr>
                <w:sz w:val="20"/>
                <w:szCs w:val="20"/>
                <w:lang w:val="fr-CA"/>
              </w:rPr>
              <w:t>100</w:t>
            </w:r>
          </w:p>
        </w:tc>
      </w:tr>
      <w:tr w:rsidR="00EE5B07" w:rsidRPr="005B55FD" w14:paraId="6B75A3A3"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4935453" w14:textId="75299A1B" w:rsidR="00EE5B07" w:rsidRPr="005B55FD" w:rsidRDefault="00152A98" w:rsidP="001E39EE">
            <w:pPr>
              <w:jc w:val="left"/>
              <w:rPr>
                <w:sz w:val="20"/>
                <w:szCs w:val="20"/>
                <w:lang w:val="fr-CA" w:eastAsia="en-CA"/>
              </w:rPr>
            </w:pPr>
            <w:r>
              <w:rPr>
                <w:sz w:val="20"/>
                <w:szCs w:val="20"/>
                <w:lang w:val="fr-CA" w:eastAsia="en-CA"/>
              </w:rPr>
              <w:t>Dé</w:t>
            </w:r>
            <w:r w:rsidR="00EE5B07" w:rsidRPr="005B55FD">
              <w:rPr>
                <w:sz w:val="20"/>
                <w:szCs w:val="20"/>
                <w:lang w:val="fr-CA" w:eastAsia="en-CA"/>
              </w:rPr>
              <w:t>monstration</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5316E2AC" w14:textId="77777777" w:rsidR="00EE5B07" w:rsidRPr="005B55FD" w:rsidRDefault="00EE5B07" w:rsidP="001E39EE">
            <w:pPr>
              <w:jc w:val="right"/>
              <w:rPr>
                <w:sz w:val="20"/>
                <w:szCs w:val="20"/>
                <w:lang w:val="fr-CA" w:eastAsia="en-CA"/>
              </w:rPr>
            </w:pPr>
            <w:r w:rsidRPr="005B55FD">
              <w:rPr>
                <w:sz w:val="20"/>
                <w:szCs w:val="20"/>
                <w:lang w:val="fr-CA" w:eastAsia="en-CA"/>
              </w:rPr>
              <w:t>134</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3002CE41" w14:textId="77777777" w:rsidR="00EE5B07" w:rsidRPr="005B55FD" w:rsidRDefault="00EE5B07" w:rsidP="001E39EE">
            <w:pPr>
              <w:jc w:val="right"/>
              <w:rPr>
                <w:sz w:val="20"/>
                <w:szCs w:val="20"/>
                <w:lang w:val="fr-CA" w:eastAsia="en-CA"/>
              </w:rPr>
            </w:pPr>
            <w:r w:rsidRPr="005B55FD">
              <w:rPr>
                <w:sz w:val="20"/>
                <w:szCs w:val="20"/>
                <w:lang w:val="fr-CA" w:eastAsia="en-CA"/>
              </w:rPr>
              <w:t>132</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76AF716C" w14:textId="77777777" w:rsidR="00EE5B07" w:rsidRPr="005B55FD" w:rsidRDefault="00EE5B07" w:rsidP="001E39EE">
            <w:pPr>
              <w:jc w:val="right"/>
              <w:rPr>
                <w:sz w:val="20"/>
                <w:szCs w:val="20"/>
                <w:lang w:val="fr-CA" w:eastAsia="en-CA"/>
              </w:rPr>
            </w:pPr>
            <w:r w:rsidRPr="005B55FD">
              <w:rPr>
                <w:sz w:val="20"/>
                <w:szCs w:val="20"/>
                <w:lang w:val="fr-CA" w:eastAsia="en-CA"/>
              </w:rPr>
              <w:t>99</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439F25F5" w14:textId="4E12E312" w:rsidR="00EE5B07" w:rsidRPr="005B55FD" w:rsidRDefault="00EE5B07" w:rsidP="001E39EE">
            <w:pPr>
              <w:jc w:val="right"/>
              <w:rPr>
                <w:sz w:val="20"/>
                <w:szCs w:val="20"/>
                <w:lang w:val="fr-CA" w:eastAsia="en-CA"/>
              </w:rPr>
            </w:pPr>
            <w:r w:rsidRPr="005B55FD">
              <w:rPr>
                <w:sz w:val="20"/>
                <w:szCs w:val="20"/>
                <w:lang w:val="fr-CA" w:eastAsia="en-CA"/>
              </w:rPr>
              <w:t>61</w:t>
            </w:r>
            <w:r w:rsidR="00152A98">
              <w:rPr>
                <w:sz w:val="20"/>
                <w:szCs w:val="20"/>
                <w:lang w:val="fr-CA" w:eastAsia="en-CA"/>
              </w:rPr>
              <w:t xml:space="preserve"> </w:t>
            </w:r>
            <w:r w:rsidRPr="005B55FD">
              <w:rPr>
                <w:sz w:val="20"/>
                <w:szCs w:val="20"/>
                <w:lang w:val="fr-CA" w:eastAsia="en-CA"/>
              </w:rPr>
              <w:t>469</w:t>
            </w:r>
            <w:r w:rsidR="00152A98">
              <w:rPr>
                <w:sz w:val="20"/>
                <w:szCs w:val="20"/>
                <w:lang w:val="fr-CA" w:eastAsia="en-CA"/>
              </w:rPr>
              <w:t xml:space="preserve"> </w:t>
            </w:r>
            <w:r w:rsidRPr="005B55FD">
              <w:rPr>
                <w:sz w:val="20"/>
                <w:szCs w:val="20"/>
                <w:lang w:val="fr-CA" w:eastAsia="en-CA"/>
              </w:rPr>
              <w:t>136</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4B800D3B" w14:textId="5CCB7A94" w:rsidR="00EE5B07" w:rsidRPr="005B55FD" w:rsidRDefault="00EE5B07" w:rsidP="001E39EE">
            <w:pPr>
              <w:jc w:val="right"/>
              <w:rPr>
                <w:sz w:val="20"/>
                <w:szCs w:val="20"/>
                <w:lang w:val="fr-CA"/>
              </w:rPr>
            </w:pPr>
            <w:r w:rsidRPr="005B55FD">
              <w:rPr>
                <w:sz w:val="20"/>
                <w:szCs w:val="20"/>
                <w:lang w:val="fr-CA"/>
              </w:rPr>
              <w:t>59</w:t>
            </w:r>
            <w:r w:rsidR="00152A98">
              <w:rPr>
                <w:sz w:val="20"/>
                <w:szCs w:val="20"/>
                <w:lang w:val="fr-CA"/>
              </w:rPr>
              <w:t xml:space="preserve"> </w:t>
            </w:r>
            <w:r w:rsidRPr="005B55FD">
              <w:rPr>
                <w:sz w:val="20"/>
                <w:szCs w:val="20"/>
                <w:lang w:val="fr-CA"/>
              </w:rPr>
              <w:t>959</w:t>
            </w:r>
            <w:r w:rsidR="00152A98">
              <w:rPr>
                <w:sz w:val="20"/>
                <w:szCs w:val="20"/>
                <w:lang w:val="fr-CA"/>
              </w:rPr>
              <w:t xml:space="preserve"> </w:t>
            </w:r>
            <w:r w:rsidRPr="005B55FD">
              <w:rPr>
                <w:sz w:val="20"/>
                <w:szCs w:val="20"/>
                <w:lang w:val="fr-CA"/>
              </w:rPr>
              <w:t>388</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A88797D" w14:textId="5EE04776" w:rsidR="00EE5B07" w:rsidRPr="005B55FD" w:rsidRDefault="00EE5B07" w:rsidP="001E39EE">
            <w:pPr>
              <w:jc w:val="right"/>
              <w:rPr>
                <w:sz w:val="20"/>
                <w:szCs w:val="20"/>
                <w:lang w:val="fr-CA"/>
              </w:rPr>
            </w:pPr>
            <w:r w:rsidRPr="005B55FD">
              <w:rPr>
                <w:sz w:val="20"/>
                <w:szCs w:val="20"/>
                <w:lang w:val="fr-CA"/>
              </w:rPr>
              <w:t>1</w:t>
            </w:r>
            <w:r w:rsidR="00152A98">
              <w:rPr>
                <w:sz w:val="20"/>
                <w:szCs w:val="20"/>
                <w:lang w:val="fr-CA"/>
              </w:rPr>
              <w:t xml:space="preserve"> </w:t>
            </w:r>
            <w:r w:rsidRPr="005B55FD">
              <w:rPr>
                <w:sz w:val="20"/>
                <w:szCs w:val="20"/>
                <w:lang w:val="fr-CA"/>
              </w:rPr>
              <w:t>509</w:t>
            </w:r>
            <w:r w:rsidR="00152A98">
              <w:rPr>
                <w:sz w:val="20"/>
                <w:szCs w:val="20"/>
                <w:lang w:val="fr-CA"/>
              </w:rPr>
              <w:t xml:space="preserve"> </w:t>
            </w:r>
            <w:r w:rsidRPr="005B55FD">
              <w:rPr>
                <w:sz w:val="20"/>
                <w:szCs w:val="20"/>
                <w:lang w:val="fr-CA"/>
              </w:rPr>
              <w:t>748</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30A956DA" w14:textId="77777777" w:rsidR="00EE5B07" w:rsidRPr="005B55FD" w:rsidRDefault="00EE5B07" w:rsidP="001E39EE">
            <w:pPr>
              <w:jc w:val="right"/>
              <w:rPr>
                <w:sz w:val="20"/>
                <w:szCs w:val="20"/>
                <w:lang w:val="fr-CA"/>
              </w:rPr>
            </w:pPr>
            <w:r w:rsidRPr="005B55FD">
              <w:rPr>
                <w:sz w:val="20"/>
                <w:szCs w:val="20"/>
                <w:lang w:val="fr-CA"/>
              </w:rPr>
              <w:t>98</w:t>
            </w:r>
          </w:p>
        </w:tc>
      </w:tr>
      <w:tr w:rsidR="00EE5B07" w:rsidRPr="005B55FD" w14:paraId="55E4A989" w14:textId="77777777" w:rsidTr="001E39EE">
        <w:trPr>
          <w:trHeight w:val="62"/>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B139822" w14:textId="15607C32" w:rsidR="00EE5B07" w:rsidRPr="005B55FD" w:rsidRDefault="00152A98" w:rsidP="001E39EE">
            <w:pPr>
              <w:jc w:val="left"/>
              <w:rPr>
                <w:sz w:val="20"/>
                <w:szCs w:val="20"/>
                <w:lang w:val="fr-CA" w:eastAsia="en-CA"/>
              </w:rPr>
            </w:pPr>
            <w:r>
              <w:rPr>
                <w:sz w:val="20"/>
                <w:szCs w:val="20"/>
                <w:lang w:val="fr-CA" w:eastAsia="en-CA"/>
              </w:rPr>
              <w:t>Renforcement des institutions</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59C003D3" w14:textId="09C10F1E" w:rsidR="00EE5B07" w:rsidRPr="005B55FD" w:rsidRDefault="00EE5B07" w:rsidP="001E39EE">
            <w:pPr>
              <w:jc w:val="right"/>
              <w:rPr>
                <w:sz w:val="20"/>
                <w:szCs w:val="20"/>
                <w:lang w:val="fr-CA" w:eastAsia="en-CA"/>
              </w:rPr>
            </w:pPr>
            <w:r w:rsidRPr="005B55FD">
              <w:rPr>
                <w:sz w:val="20"/>
                <w:szCs w:val="20"/>
                <w:lang w:val="fr-CA" w:eastAsia="en-CA"/>
              </w:rPr>
              <w:t>1</w:t>
            </w:r>
            <w:r w:rsidR="00152A98">
              <w:rPr>
                <w:sz w:val="20"/>
                <w:szCs w:val="20"/>
                <w:lang w:val="fr-CA" w:eastAsia="en-CA"/>
              </w:rPr>
              <w:t xml:space="preserve"> </w:t>
            </w:r>
            <w:r w:rsidRPr="005B55FD">
              <w:rPr>
                <w:sz w:val="20"/>
                <w:szCs w:val="20"/>
                <w:lang w:val="fr-CA" w:eastAsia="en-CA"/>
              </w:rPr>
              <w:t>292</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365FADB0" w14:textId="60E3D4BC" w:rsidR="00EE5B07" w:rsidRPr="005B55FD" w:rsidRDefault="00EE5B07" w:rsidP="001E39EE">
            <w:pPr>
              <w:jc w:val="right"/>
              <w:rPr>
                <w:sz w:val="20"/>
                <w:szCs w:val="20"/>
                <w:lang w:val="fr-CA" w:eastAsia="en-CA"/>
              </w:rPr>
            </w:pPr>
            <w:r w:rsidRPr="005B55FD">
              <w:rPr>
                <w:sz w:val="20"/>
                <w:szCs w:val="20"/>
                <w:lang w:val="fr-CA" w:eastAsia="en-CA"/>
              </w:rPr>
              <w:t>1</w:t>
            </w:r>
            <w:r w:rsidR="00152A98">
              <w:rPr>
                <w:sz w:val="20"/>
                <w:szCs w:val="20"/>
                <w:lang w:val="fr-CA" w:eastAsia="en-CA"/>
              </w:rPr>
              <w:t xml:space="preserve"> </w:t>
            </w:r>
            <w:r w:rsidRPr="005B55FD">
              <w:rPr>
                <w:sz w:val="20"/>
                <w:szCs w:val="20"/>
                <w:lang w:val="fr-CA" w:eastAsia="en-CA"/>
              </w:rPr>
              <w:t>133</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0F971255" w14:textId="77777777" w:rsidR="00EE5B07" w:rsidRPr="005B55FD" w:rsidRDefault="00EE5B07" w:rsidP="001E39EE">
            <w:pPr>
              <w:jc w:val="right"/>
              <w:rPr>
                <w:sz w:val="20"/>
                <w:szCs w:val="20"/>
                <w:lang w:val="fr-CA" w:eastAsia="en-CA"/>
              </w:rPr>
            </w:pPr>
            <w:r w:rsidRPr="005B55FD">
              <w:rPr>
                <w:sz w:val="20"/>
                <w:szCs w:val="20"/>
                <w:lang w:val="fr-CA" w:eastAsia="en-CA"/>
              </w:rPr>
              <w:t>88</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31A6EEBE" w14:textId="097E88B9" w:rsidR="00EE5B07" w:rsidRPr="005B55FD" w:rsidRDefault="00EE5B07" w:rsidP="001E39EE">
            <w:pPr>
              <w:jc w:val="right"/>
              <w:rPr>
                <w:sz w:val="20"/>
                <w:szCs w:val="20"/>
                <w:lang w:val="fr-CA" w:eastAsia="en-CA"/>
              </w:rPr>
            </w:pPr>
            <w:r w:rsidRPr="005B55FD">
              <w:rPr>
                <w:sz w:val="20"/>
                <w:szCs w:val="20"/>
                <w:lang w:val="fr-CA" w:eastAsia="en-CA"/>
              </w:rPr>
              <w:t>151</w:t>
            </w:r>
            <w:r w:rsidR="00152A98">
              <w:rPr>
                <w:sz w:val="20"/>
                <w:szCs w:val="20"/>
                <w:lang w:val="fr-CA" w:eastAsia="en-CA"/>
              </w:rPr>
              <w:t xml:space="preserve"> </w:t>
            </w:r>
            <w:r w:rsidRPr="005B55FD">
              <w:rPr>
                <w:sz w:val="20"/>
                <w:szCs w:val="20"/>
                <w:lang w:val="fr-CA" w:eastAsia="en-CA"/>
              </w:rPr>
              <w:t>925</w:t>
            </w:r>
            <w:r w:rsidR="00152A98">
              <w:rPr>
                <w:sz w:val="20"/>
                <w:szCs w:val="20"/>
                <w:lang w:val="fr-CA" w:eastAsia="en-CA"/>
              </w:rPr>
              <w:t xml:space="preserve"> </w:t>
            </w:r>
            <w:r w:rsidRPr="005B55FD">
              <w:rPr>
                <w:sz w:val="20"/>
                <w:szCs w:val="20"/>
                <w:lang w:val="fr-CA" w:eastAsia="en-CA"/>
              </w:rPr>
              <w:t>702</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C21BAC6" w14:textId="446768CE" w:rsidR="00EE5B07" w:rsidRPr="005B55FD" w:rsidRDefault="00EE5B07" w:rsidP="001E39EE">
            <w:pPr>
              <w:jc w:val="right"/>
              <w:rPr>
                <w:sz w:val="20"/>
                <w:szCs w:val="20"/>
                <w:lang w:val="fr-CA"/>
              </w:rPr>
            </w:pPr>
            <w:r w:rsidRPr="005B55FD">
              <w:rPr>
                <w:sz w:val="20"/>
                <w:szCs w:val="20"/>
                <w:lang w:val="fr-CA"/>
              </w:rPr>
              <w:t>133</w:t>
            </w:r>
            <w:r w:rsidR="00152A98">
              <w:rPr>
                <w:sz w:val="20"/>
                <w:szCs w:val="20"/>
                <w:lang w:val="fr-CA"/>
              </w:rPr>
              <w:t xml:space="preserve"> </w:t>
            </w:r>
            <w:r w:rsidRPr="005B55FD">
              <w:rPr>
                <w:sz w:val="20"/>
                <w:szCs w:val="20"/>
                <w:lang w:val="fr-CA"/>
              </w:rPr>
              <w:t>850</w:t>
            </w:r>
            <w:r w:rsidR="00152A98">
              <w:rPr>
                <w:sz w:val="20"/>
                <w:szCs w:val="20"/>
                <w:lang w:val="fr-CA"/>
              </w:rPr>
              <w:t xml:space="preserve"> </w:t>
            </w:r>
            <w:r w:rsidRPr="005B55FD">
              <w:rPr>
                <w:sz w:val="20"/>
                <w:szCs w:val="20"/>
                <w:lang w:val="fr-CA"/>
              </w:rPr>
              <w:t>407</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5073045" w14:textId="5FC88F88" w:rsidR="00EE5B07" w:rsidRPr="005B55FD" w:rsidRDefault="00EE5B07" w:rsidP="001E39EE">
            <w:pPr>
              <w:jc w:val="right"/>
              <w:rPr>
                <w:sz w:val="20"/>
                <w:szCs w:val="20"/>
                <w:lang w:val="fr-CA"/>
              </w:rPr>
            </w:pPr>
            <w:r w:rsidRPr="005B55FD">
              <w:rPr>
                <w:sz w:val="20"/>
                <w:szCs w:val="20"/>
                <w:lang w:val="fr-CA"/>
              </w:rPr>
              <w:t>18</w:t>
            </w:r>
            <w:r w:rsidR="00152A98">
              <w:rPr>
                <w:sz w:val="20"/>
                <w:szCs w:val="20"/>
                <w:lang w:val="fr-CA"/>
              </w:rPr>
              <w:t xml:space="preserve"> </w:t>
            </w:r>
            <w:r w:rsidRPr="005B55FD">
              <w:rPr>
                <w:sz w:val="20"/>
                <w:szCs w:val="20"/>
                <w:lang w:val="fr-CA"/>
              </w:rPr>
              <w:t>075</w:t>
            </w:r>
            <w:r w:rsidR="00152A98">
              <w:rPr>
                <w:sz w:val="20"/>
                <w:szCs w:val="20"/>
                <w:lang w:val="fr-CA"/>
              </w:rPr>
              <w:t xml:space="preserve"> </w:t>
            </w:r>
            <w:r w:rsidRPr="005B55FD">
              <w:rPr>
                <w:sz w:val="20"/>
                <w:szCs w:val="20"/>
                <w:lang w:val="fr-CA"/>
              </w:rPr>
              <w:t>295</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FD3A819" w14:textId="77777777" w:rsidR="00EE5B07" w:rsidRPr="005B55FD" w:rsidRDefault="00EE5B07" w:rsidP="001E39EE">
            <w:pPr>
              <w:jc w:val="right"/>
              <w:rPr>
                <w:sz w:val="20"/>
                <w:szCs w:val="20"/>
                <w:lang w:val="fr-CA"/>
              </w:rPr>
            </w:pPr>
            <w:r w:rsidRPr="005B55FD">
              <w:rPr>
                <w:sz w:val="20"/>
                <w:szCs w:val="20"/>
                <w:lang w:val="fr-CA"/>
              </w:rPr>
              <w:t>88</w:t>
            </w:r>
          </w:p>
        </w:tc>
      </w:tr>
      <w:tr w:rsidR="00EE5B07" w:rsidRPr="005B55FD" w14:paraId="212DE2BC"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048E089" w14:textId="7B81320E" w:rsidR="00EE5B07" w:rsidRPr="005B55FD" w:rsidRDefault="00152A98" w:rsidP="001E39EE">
            <w:pPr>
              <w:jc w:val="left"/>
              <w:rPr>
                <w:sz w:val="20"/>
                <w:szCs w:val="20"/>
                <w:lang w:val="fr-CA" w:eastAsia="en-CA"/>
              </w:rPr>
            </w:pPr>
            <w:r>
              <w:rPr>
                <w:sz w:val="20"/>
                <w:szCs w:val="20"/>
                <w:lang w:val="fr-CA" w:eastAsia="en-CA"/>
              </w:rPr>
              <w:t>Investissement</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46DAB399" w14:textId="5D886674" w:rsidR="00EE5B07" w:rsidRPr="005B55FD" w:rsidRDefault="00EE5B07" w:rsidP="001E39EE">
            <w:pPr>
              <w:jc w:val="right"/>
              <w:rPr>
                <w:sz w:val="20"/>
                <w:szCs w:val="20"/>
                <w:lang w:val="fr-CA" w:eastAsia="en-CA"/>
              </w:rPr>
            </w:pPr>
            <w:r w:rsidRPr="005B55FD">
              <w:rPr>
                <w:sz w:val="20"/>
                <w:szCs w:val="20"/>
                <w:lang w:val="fr-CA" w:eastAsia="en-CA"/>
              </w:rPr>
              <w:t>3</w:t>
            </w:r>
            <w:r w:rsidR="00152A98">
              <w:rPr>
                <w:sz w:val="20"/>
                <w:szCs w:val="20"/>
                <w:lang w:val="fr-CA" w:eastAsia="en-CA"/>
              </w:rPr>
              <w:t xml:space="preserve"> </w:t>
            </w:r>
            <w:r w:rsidRPr="005B55FD">
              <w:rPr>
                <w:sz w:val="20"/>
                <w:szCs w:val="20"/>
                <w:lang w:val="fr-CA" w:eastAsia="en-CA"/>
              </w:rPr>
              <w:t>126</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4F28C787" w14:textId="2F0B3738" w:rsidR="00EE5B07" w:rsidRPr="005B55FD" w:rsidRDefault="00EE5B07" w:rsidP="001E39EE">
            <w:pPr>
              <w:jc w:val="right"/>
              <w:rPr>
                <w:sz w:val="20"/>
                <w:szCs w:val="20"/>
                <w:lang w:val="fr-CA" w:eastAsia="en-CA"/>
              </w:rPr>
            </w:pPr>
            <w:r w:rsidRPr="005B55FD">
              <w:rPr>
                <w:sz w:val="20"/>
                <w:szCs w:val="20"/>
                <w:lang w:val="fr-CA" w:eastAsia="en-CA"/>
              </w:rPr>
              <w:t>2</w:t>
            </w:r>
            <w:r w:rsidR="00152A98">
              <w:rPr>
                <w:sz w:val="20"/>
                <w:szCs w:val="20"/>
                <w:lang w:val="fr-CA" w:eastAsia="en-CA"/>
              </w:rPr>
              <w:t xml:space="preserve"> </w:t>
            </w:r>
            <w:r w:rsidRPr="005B55FD">
              <w:rPr>
                <w:sz w:val="20"/>
                <w:szCs w:val="20"/>
                <w:lang w:val="fr-CA" w:eastAsia="en-CA"/>
              </w:rPr>
              <w:t>864</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6A7B62CD" w14:textId="77777777" w:rsidR="00EE5B07" w:rsidRPr="005B55FD" w:rsidRDefault="00EE5B07" w:rsidP="001E39EE">
            <w:pPr>
              <w:jc w:val="right"/>
              <w:rPr>
                <w:sz w:val="20"/>
                <w:szCs w:val="20"/>
                <w:lang w:val="fr-CA" w:eastAsia="en-CA"/>
              </w:rPr>
            </w:pPr>
            <w:r w:rsidRPr="005B55FD">
              <w:rPr>
                <w:sz w:val="20"/>
                <w:szCs w:val="20"/>
                <w:lang w:val="fr-CA" w:eastAsia="en-CA"/>
              </w:rPr>
              <w:t>92</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1A8A4DBB" w14:textId="57AE23FE" w:rsidR="00EE5B07" w:rsidRPr="005B55FD" w:rsidRDefault="00EE5B07" w:rsidP="001E39EE">
            <w:pPr>
              <w:jc w:val="right"/>
              <w:rPr>
                <w:sz w:val="20"/>
                <w:szCs w:val="20"/>
                <w:lang w:val="fr-CA" w:eastAsia="en-CA"/>
              </w:rPr>
            </w:pPr>
            <w:r w:rsidRPr="005B55FD">
              <w:rPr>
                <w:sz w:val="20"/>
                <w:szCs w:val="20"/>
                <w:lang w:val="fr-CA" w:eastAsia="en-CA"/>
              </w:rPr>
              <w:t>2</w:t>
            </w:r>
            <w:r w:rsidR="00152A98">
              <w:rPr>
                <w:sz w:val="20"/>
                <w:szCs w:val="20"/>
                <w:lang w:val="fr-CA" w:eastAsia="en-CA"/>
              </w:rPr>
              <w:t xml:space="preserve"> </w:t>
            </w:r>
            <w:r w:rsidRPr="005B55FD">
              <w:rPr>
                <w:sz w:val="20"/>
                <w:szCs w:val="20"/>
                <w:lang w:val="fr-CA" w:eastAsia="en-CA"/>
              </w:rPr>
              <w:t>686</w:t>
            </w:r>
            <w:r w:rsidR="00152A98">
              <w:rPr>
                <w:sz w:val="20"/>
                <w:szCs w:val="20"/>
                <w:lang w:val="fr-CA" w:eastAsia="en-CA"/>
              </w:rPr>
              <w:t xml:space="preserve"> </w:t>
            </w:r>
            <w:r w:rsidRPr="005B55FD">
              <w:rPr>
                <w:sz w:val="20"/>
                <w:szCs w:val="20"/>
                <w:lang w:val="fr-CA" w:eastAsia="en-CA"/>
              </w:rPr>
              <w:t>202</w:t>
            </w:r>
            <w:r w:rsidR="00152A98">
              <w:rPr>
                <w:sz w:val="20"/>
                <w:szCs w:val="20"/>
                <w:lang w:val="fr-CA" w:eastAsia="en-CA"/>
              </w:rPr>
              <w:t xml:space="preserve"> </w:t>
            </w:r>
            <w:r w:rsidRPr="005B55FD">
              <w:rPr>
                <w:sz w:val="20"/>
                <w:szCs w:val="20"/>
                <w:lang w:val="fr-CA" w:eastAsia="en-CA"/>
              </w:rPr>
              <w:t>301</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46D4D10E" w14:textId="29C7109C" w:rsidR="00EE5B07" w:rsidRPr="005B55FD" w:rsidRDefault="00EE5B07" w:rsidP="001E39EE">
            <w:pPr>
              <w:jc w:val="right"/>
              <w:rPr>
                <w:sz w:val="20"/>
                <w:szCs w:val="20"/>
                <w:lang w:val="fr-CA"/>
              </w:rPr>
            </w:pPr>
            <w:r w:rsidRPr="005B55FD">
              <w:rPr>
                <w:sz w:val="20"/>
                <w:szCs w:val="20"/>
                <w:lang w:val="fr-CA"/>
              </w:rPr>
              <w:t>2</w:t>
            </w:r>
            <w:r w:rsidR="00152A98">
              <w:rPr>
                <w:sz w:val="20"/>
                <w:szCs w:val="20"/>
                <w:lang w:val="fr-CA"/>
              </w:rPr>
              <w:t xml:space="preserve"> </w:t>
            </w:r>
            <w:r w:rsidRPr="005B55FD">
              <w:rPr>
                <w:sz w:val="20"/>
                <w:szCs w:val="20"/>
                <w:lang w:val="fr-CA"/>
              </w:rPr>
              <w:t>533</w:t>
            </w:r>
            <w:r w:rsidR="00152A98">
              <w:rPr>
                <w:sz w:val="20"/>
                <w:szCs w:val="20"/>
                <w:lang w:val="fr-CA"/>
              </w:rPr>
              <w:t xml:space="preserve"> </w:t>
            </w:r>
            <w:r w:rsidRPr="005B55FD">
              <w:rPr>
                <w:sz w:val="20"/>
                <w:szCs w:val="20"/>
                <w:lang w:val="fr-CA"/>
              </w:rPr>
              <w:t>551</w:t>
            </w:r>
            <w:r w:rsidR="00152A98">
              <w:rPr>
                <w:sz w:val="20"/>
                <w:szCs w:val="20"/>
                <w:lang w:val="fr-CA"/>
              </w:rPr>
              <w:t xml:space="preserve"> </w:t>
            </w:r>
            <w:r w:rsidRPr="005B55FD">
              <w:rPr>
                <w:sz w:val="20"/>
                <w:szCs w:val="20"/>
                <w:lang w:val="fr-CA"/>
              </w:rPr>
              <w:t>604</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D64E2EB" w14:textId="18DE8DD7" w:rsidR="00EE5B07" w:rsidRPr="005B55FD" w:rsidRDefault="00EE5B07" w:rsidP="001E39EE">
            <w:pPr>
              <w:jc w:val="right"/>
              <w:rPr>
                <w:sz w:val="20"/>
                <w:szCs w:val="20"/>
                <w:lang w:val="fr-CA"/>
              </w:rPr>
            </w:pPr>
            <w:r w:rsidRPr="005B55FD">
              <w:rPr>
                <w:sz w:val="20"/>
                <w:szCs w:val="20"/>
                <w:lang w:val="fr-CA"/>
              </w:rPr>
              <w:t>152</w:t>
            </w:r>
            <w:r w:rsidR="00152A98">
              <w:rPr>
                <w:sz w:val="20"/>
                <w:szCs w:val="20"/>
                <w:lang w:val="fr-CA"/>
              </w:rPr>
              <w:t xml:space="preserve"> </w:t>
            </w:r>
            <w:r w:rsidRPr="005B55FD">
              <w:rPr>
                <w:sz w:val="20"/>
                <w:szCs w:val="20"/>
                <w:lang w:val="fr-CA"/>
              </w:rPr>
              <w:t>650</w:t>
            </w:r>
            <w:r w:rsidR="00152A98">
              <w:rPr>
                <w:sz w:val="20"/>
                <w:szCs w:val="20"/>
                <w:lang w:val="fr-CA"/>
              </w:rPr>
              <w:t xml:space="preserve"> </w:t>
            </w:r>
            <w:r w:rsidRPr="005B55FD">
              <w:rPr>
                <w:sz w:val="20"/>
                <w:szCs w:val="20"/>
                <w:lang w:val="fr-CA"/>
              </w:rPr>
              <w:t>697</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2625398" w14:textId="77777777" w:rsidR="00EE5B07" w:rsidRPr="005B55FD" w:rsidRDefault="00EE5B07" w:rsidP="001E39EE">
            <w:pPr>
              <w:jc w:val="right"/>
              <w:rPr>
                <w:sz w:val="20"/>
                <w:szCs w:val="20"/>
                <w:lang w:val="fr-CA"/>
              </w:rPr>
            </w:pPr>
            <w:r w:rsidRPr="005B55FD">
              <w:rPr>
                <w:sz w:val="20"/>
                <w:szCs w:val="20"/>
                <w:lang w:val="fr-CA"/>
              </w:rPr>
              <w:t>94</w:t>
            </w:r>
          </w:p>
        </w:tc>
      </w:tr>
      <w:tr w:rsidR="00EE5B07" w:rsidRPr="005B55FD" w14:paraId="63E40566"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8600B14" w14:textId="532BDC15" w:rsidR="00EE5B07" w:rsidRPr="005B55FD" w:rsidRDefault="00152A98" w:rsidP="001E39EE">
            <w:pPr>
              <w:jc w:val="left"/>
              <w:rPr>
                <w:sz w:val="20"/>
                <w:szCs w:val="20"/>
                <w:lang w:val="fr-CA" w:eastAsia="en-CA"/>
              </w:rPr>
            </w:pPr>
            <w:r>
              <w:rPr>
                <w:sz w:val="20"/>
                <w:szCs w:val="20"/>
                <w:lang w:val="fr-CA" w:eastAsia="en-CA"/>
              </w:rPr>
              <w:t>Préparation de projet</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1795F4BB" w14:textId="2D8835AA" w:rsidR="00EE5B07" w:rsidRPr="005B55FD" w:rsidRDefault="00EE5B07" w:rsidP="001E39EE">
            <w:pPr>
              <w:jc w:val="right"/>
              <w:rPr>
                <w:sz w:val="20"/>
                <w:szCs w:val="20"/>
                <w:lang w:val="fr-CA" w:eastAsia="en-CA"/>
              </w:rPr>
            </w:pPr>
            <w:r w:rsidRPr="005B55FD">
              <w:rPr>
                <w:sz w:val="20"/>
                <w:szCs w:val="20"/>
                <w:lang w:val="fr-CA" w:eastAsia="en-CA"/>
              </w:rPr>
              <w:t>1</w:t>
            </w:r>
            <w:r w:rsidR="00152A98">
              <w:rPr>
                <w:sz w:val="20"/>
                <w:szCs w:val="20"/>
                <w:lang w:val="fr-CA" w:eastAsia="en-CA"/>
              </w:rPr>
              <w:t xml:space="preserve"> </w:t>
            </w:r>
            <w:r w:rsidRPr="005B55FD">
              <w:rPr>
                <w:sz w:val="20"/>
                <w:szCs w:val="20"/>
                <w:lang w:val="fr-CA" w:eastAsia="en-CA"/>
              </w:rPr>
              <w:t>751</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6EDA6426" w14:textId="7FDF60FF" w:rsidR="00EE5B07" w:rsidRPr="005B55FD" w:rsidRDefault="00EE5B07" w:rsidP="001E39EE">
            <w:pPr>
              <w:jc w:val="right"/>
              <w:rPr>
                <w:sz w:val="20"/>
                <w:szCs w:val="20"/>
                <w:lang w:val="fr-CA" w:eastAsia="en-CA"/>
              </w:rPr>
            </w:pPr>
            <w:r w:rsidRPr="005B55FD">
              <w:rPr>
                <w:sz w:val="20"/>
                <w:szCs w:val="20"/>
                <w:lang w:val="fr-CA" w:eastAsia="en-CA"/>
              </w:rPr>
              <w:t>1</w:t>
            </w:r>
            <w:r w:rsidR="00152A98">
              <w:rPr>
                <w:sz w:val="20"/>
                <w:szCs w:val="20"/>
                <w:lang w:val="fr-CA" w:eastAsia="en-CA"/>
              </w:rPr>
              <w:t xml:space="preserve"> </w:t>
            </w:r>
            <w:r w:rsidRPr="005B55FD">
              <w:rPr>
                <w:sz w:val="20"/>
                <w:szCs w:val="20"/>
                <w:lang w:val="fr-CA" w:eastAsia="en-CA"/>
              </w:rPr>
              <w:t>629</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4B410B2D" w14:textId="77777777" w:rsidR="00EE5B07" w:rsidRPr="005B55FD" w:rsidRDefault="00EE5B07" w:rsidP="001E39EE">
            <w:pPr>
              <w:jc w:val="right"/>
              <w:rPr>
                <w:sz w:val="20"/>
                <w:szCs w:val="20"/>
                <w:lang w:val="fr-CA" w:eastAsia="en-CA"/>
              </w:rPr>
            </w:pPr>
            <w:r w:rsidRPr="005B55FD">
              <w:rPr>
                <w:sz w:val="20"/>
                <w:szCs w:val="20"/>
                <w:lang w:val="fr-CA" w:eastAsia="en-CA"/>
              </w:rPr>
              <w:t>93</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1956A37A" w14:textId="58FD300F" w:rsidR="00EE5B07" w:rsidRPr="005B55FD" w:rsidRDefault="00EE5B07" w:rsidP="001E39EE">
            <w:pPr>
              <w:jc w:val="right"/>
              <w:rPr>
                <w:sz w:val="20"/>
                <w:szCs w:val="20"/>
                <w:lang w:val="fr-CA" w:eastAsia="en-CA"/>
              </w:rPr>
            </w:pPr>
            <w:r w:rsidRPr="005B55FD">
              <w:rPr>
                <w:sz w:val="20"/>
                <w:szCs w:val="20"/>
                <w:lang w:val="fr-CA" w:eastAsia="en-CA"/>
              </w:rPr>
              <w:t>87</w:t>
            </w:r>
            <w:r w:rsidR="00152A98">
              <w:rPr>
                <w:sz w:val="20"/>
                <w:szCs w:val="20"/>
                <w:lang w:val="fr-CA" w:eastAsia="en-CA"/>
              </w:rPr>
              <w:t xml:space="preserve"> </w:t>
            </w:r>
            <w:r w:rsidRPr="005B55FD">
              <w:rPr>
                <w:sz w:val="20"/>
                <w:szCs w:val="20"/>
                <w:lang w:val="fr-CA" w:eastAsia="en-CA"/>
              </w:rPr>
              <w:t>749</w:t>
            </w:r>
            <w:r w:rsidR="00152A98">
              <w:rPr>
                <w:sz w:val="20"/>
                <w:szCs w:val="20"/>
                <w:lang w:val="fr-CA" w:eastAsia="en-CA"/>
              </w:rPr>
              <w:t xml:space="preserve"> </w:t>
            </w:r>
            <w:r w:rsidRPr="005B55FD">
              <w:rPr>
                <w:sz w:val="20"/>
                <w:szCs w:val="20"/>
                <w:lang w:val="fr-CA" w:eastAsia="en-CA"/>
              </w:rPr>
              <w:t>694</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BCA48E7" w14:textId="3F92C631" w:rsidR="00EE5B07" w:rsidRPr="005B55FD" w:rsidRDefault="00EE5B07" w:rsidP="001E39EE">
            <w:pPr>
              <w:jc w:val="right"/>
              <w:rPr>
                <w:sz w:val="20"/>
                <w:szCs w:val="20"/>
                <w:lang w:val="fr-CA"/>
              </w:rPr>
            </w:pPr>
            <w:r w:rsidRPr="005B55FD">
              <w:rPr>
                <w:sz w:val="20"/>
                <w:szCs w:val="20"/>
                <w:lang w:val="fr-CA"/>
              </w:rPr>
              <w:t>84</w:t>
            </w:r>
            <w:r w:rsidR="00152A98">
              <w:rPr>
                <w:sz w:val="20"/>
                <w:szCs w:val="20"/>
                <w:lang w:val="fr-CA"/>
              </w:rPr>
              <w:t xml:space="preserve"> </w:t>
            </w:r>
            <w:r w:rsidRPr="005B55FD">
              <w:rPr>
                <w:sz w:val="20"/>
                <w:szCs w:val="20"/>
                <w:lang w:val="fr-CA"/>
              </w:rPr>
              <w:t>021</w:t>
            </w:r>
            <w:r w:rsidR="00152A98">
              <w:rPr>
                <w:sz w:val="20"/>
                <w:szCs w:val="20"/>
                <w:lang w:val="fr-CA"/>
              </w:rPr>
              <w:t xml:space="preserve"> </w:t>
            </w:r>
            <w:r w:rsidRPr="005B55FD">
              <w:rPr>
                <w:sz w:val="20"/>
                <w:szCs w:val="20"/>
                <w:lang w:val="fr-CA"/>
              </w:rPr>
              <w:t>589</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A5B87A2" w14:textId="72D8C136" w:rsidR="00EE5B07" w:rsidRPr="005B55FD" w:rsidRDefault="00EE5B07" w:rsidP="001E39EE">
            <w:pPr>
              <w:jc w:val="right"/>
              <w:rPr>
                <w:sz w:val="20"/>
                <w:szCs w:val="20"/>
                <w:lang w:val="fr-CA"/>
              </w:rPr>
            </w:pPr>
            <w:r w:rsidRPr="005B55FD">
              <w:rPr>
                <w:sz w:val="20"/>
                <w:szCs w:val="20"/>
                <w:lang w:val="fr-CA"/>
              </w:rPr>
              <w:t>3</w:t>
            </w:r>
            <w:r w:rsidR="00152A98">
              <w:rPr>
                <w:sz w:val="20"/>
                <w:szCs w:val="20"/>
                <w:lang w:val="fr-CA"/>
              </w:rPr>
              <w:t xml:space="preserve"> </w:t>
            </w:r>
            <w:r w:rsidRPr="005B55FD">
              <w:rPr>
                <w:sz w:val="20"/>
                <w:szCs w:val="20"/>
                <w:lang w:val="fr-CA"/>
              </w:rPr>
              <w:t>728</w:t>
            </w:r>
            <w:r w:rsidR="00152A98">
              <w:rPr>
                <w:sz w:val="20"/>
                <w:szCs w:val="20"/>
                <w:lang w:val="fr-CA"/>
              </w:rPr>
              <w:t xml:space="preserve"> </w:t>
            </w:r>
            <w:r w:rsidRPr="005B55FD">
              <w:rPr>
                <w:sz w:val="20"/>
                <w:szCs w:val="20"/>
                <w:lang w:val="fr-CA"/>
              </w:rPr>
              <w:t>105</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746F10CA" w14:textId="77777777" w:rsidR="00EE5B07" w:rsidRPr="005B55FD" w:rsidRDefault="00EE5B07" w:rsidP="001E39EE">
            <w:pPr>
              <w:jc w:val="right"/>
              <w:rPr>
                <w:sz w:val="20"/>
                <w:szCs w:val="20"/>
                <w:lang w:val="fr-CA"/>
              </w:rPr>
            </w:pPr>
            <w:r w:rsidRPr="005B55FD">
              <w:rPr>
                <w:sz w:val="20"/>
                <w:szCs w:val="20"/>
                <w:lang w:val="fr-CA"/>
              </w:rPr>
              <w:t>96</w:t>
            </w:r>
          </w:p>
        </w:tc>
      </w:tr>
      <w:tr w:rsidR="00EE5B07" w:rsidRPr="005B55FD" w14:paraId="3F7A5DF9"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DB0092C" w14:textId="2181D954" w:rsidR="00EE5B07" w:rsidRPr="005B55FD" w:rsidRDefault="00152A98" w:rsidP="001E39EE">
            <w:pPr>
              <w:jc w:val="left"/>
              <w:rPr>
                <w:sz w:val="20"/>
                <w:szCs w:val="20"/>
                <w:lang w:val="fr-CA" w:eastAsia="en-CA"/>
              </w:rPr>
            </w:pPr>
            <w:r>
              <w:rPr>
                <w:sz w:val="20"/>
                <w:szCs w:val="20"/>
                <w:lang w:val="fr-CA" w:eastAsia="en-CA"/>
              </w:rPr>
              <w:t>Assistance technique</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255CC523" w14:textId="44F4CDB9" w:rsidR="00EE5B07" w:rsidRPr="005B55FD" w:rsidRDefault="00EE5B07" w:rsidP="001E39EE">
            <w:pPr>
              <w:jc w:val="right"/>
              <w:rPr>
                <w:sz w:val="20"/>
                <w:szCs w:val="20"/>
                <w:lang w:val="fr-CA" w:eastAsia="en-CA"/>
              </w:rPr>
            </w:pPr>
            <w:r w:rsidRPr="005B55FD">
              <w:rPr>
                <w:sz w:val="20"/>
                <w:szCs w:val="20"/>
                <w:lang w:val="fr-CA" w:eastAsia="en-CA"/>
              </w:rPr>
              <w:t>1</w:t>
            </w:r>
            <w:r w:rsidR="00152A98">
              <w:rPr>
                <w:sz w:val="20"/>
                <w:szCs w:val="20"/>
                <w:lang w:val="fr-CA" w:eastAsia="en-CA"/>
              </w:rPr>
              <w:t xml:space="preserve"> </w:t>
            </w:r>
            <w:r w:rsidRPr="005B55FD">
              <w:rPr>
                <w:sz w:val="20"/>
                <w:szCs w:val="20"/>
                <w:lang w:val="fr-CA" w:eastAsia="en-CA"/>
              </w:rPr>
              <w:t>872</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7303959F" w14:textId="5157238E" w:rsidR="00EE5B07" w:rsidRPr="005B55FD" w:rsidRDefault="00EE5B07" w:rsidP="001E39EE">
            <w:pPr>
              <w:jc w:val="right"/>
              <w:rPr>
                <w:sz w:val="20"/>
                <w:szCs w:val="20"/>
                <w:lang w:val="fr-CA" w:eastAsia="en-CA"/>
              </w:rPr>
            </w:pPr>
            <w:r w:rsidRPr="005B55FD">
              <w:rPr>
                <w:sz w:val="20"/>
                <w:szCs w:val="20"/>
                <w:lang w:val="fr-CA" w:eastAsia="en-CA"/>
              </w:rPr>
              <w:t>1</w:t>
            </w:r>
            <w:r w:rsidR="00152A98">
              <w:rPr>
                <w:sz w:val="20"/>
                <w:szCs w:val="20"/>
                <w:lang w:val="fr-CA" w:eastAsia="en-CA"/>
              </w:rPr>
              <w:t xml:space="preserve"> </w:t>
            </w:r>
            <w:r w:rsidRPr="005B55FD">
              <w:rPr>
                <w:sz w:val="20"/>
                <w:szCs w:val="20"/>
                <w:lang w:val="fr-CA" w:eastAsia="en-CA"/>
              </w:rPr>
              <w:t>586</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6B8FE0A8" w14:textId="77777777" w:rsidR="00EE5B07" w:rsidRPr="005B55FD" w:rsidRDefault="00EE5B07" w:rsidP="001E39EE">
            <w:pPr>
              <w:jc w:val="right"/>
              <w:rPr>
                <w:sz w:val="20"/>
                <w:szCs w:val="20"/>
                <w:lang w:val="fr-CA" w:eastAsia="en-CA"/>
              </w:rPr>
            </w:pPr>
            <w:r w:rsidRPr="005B55FD">
              <w:rPr>
                <w:sz w:val="20"/>
                <w:szCs w:val="20"/>
                <w:lang w:val="fr-CA" w:eastAsia="en-CA"/>
              </w:rPr>
              <w:t>85</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09AA7C74" w14:textId="2A402F93" w:rsidR="00EE5B07" w:rsidRPr="005B55FD" w:rsidRDefault="00EE5B07" w:rsidP="001E39EE">
            <w:pPr>
              <w:jc w:val="right"/>
              <w:rPr>
                <w:sz w:val="20"/>
                <w:szCs w:val="20"/>
                <w:lang w:val="fr-CA" w:eastAsia="en-CA"/>
              </w:rPr>
            </w:pPr>
            <w:r w:rsidRPr="005B55FD">
              <w:rPr>
                <w:sz w:val="20"/>
                <w:szCs w:val="20"/>
                <w:lang w:val="fr-CA" w:eastAsia="en-CA"/>
              </w:rPr>
              <w:t>363</w:t>
            </w:r>
            <w:r w:rsidR="00152A98">
              <w:rPr>
                <w:sz w:val="20"/>
                <w:szCs w:val="20"/>
                <w:lang w:val="fr-CA" w:eastAsia="en-CA"/>
              </w:rPr>
              <w:t xml:space="preserve"> </w:t>
            </w:r>
            <w:r w:rsidRPr="005B55FD">
              <w:rPr>
                <w:sz w:val="20"/>
                <w:szCs w:val="20"/>
                <w:lang w:val="fr-CA" w:eastAsia="en-CA"/>
              </w:rPr>
              <w:t>900</w:t>
            </w:r>
            <w:r w:rsidR="00152A98">
              <w:rPr>
                <w:sz w:val="20"/>
                <w:szCs w:val="20"/>
                <w:lang w:val="fr-CA" w:eastAsia="en-CA"/>
              </w:rPr>
              <w:t xml:space="preserve"> </w:t>
            </w:r>
            <w:r w:rsidRPr="005B55FD">
              <w:rPr>
                <w:sz w:val="20"/>
                <w:szCs w:val="20"/>
                <w:lang w:val="fr-CA" w:eastAsia="en-CA"/>
              </w:rPr>
              <w:t>998</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C752583" w14:textId="6D4BC252" w:rsidR="00EE5B07" w:rsidRPr="005B55FD" w:rsidRDefault="00EE5B07" w:rsidP="001E39EE">
            <w:pPr>
              <w:jc w:val="right"/>
              <w:rPr>
                <w:sz w:val="20"/>
                <w:szCs w:val="20"/>
                <w:lang w:val="fr-CA"/>
              </w:rPr>
            </w:pPr>
            <w:r w:rsidRPr="005B55FD">
              <w:rPr>
                <w:sz w:val="20"/>
                <w:szCs w:val="20"/>
                <w:lang w:val="fr-CA"/>
              </w:rPr>
              <w:t>311</w:t>
            </w:r>
            <w:r w:rsidR="00152A98">
              <w:rPr>
                <w:sz w:val="20"/>
                <w:szCs w:val="20"/>
                <w:lang w:val="fr-CA"/>
              </w:rPr>
              <w:t xml:space="preserve"> </w:t>
            </w:r>
            <w:r w:rsidRPr="005B55FD">
              <w:rPr>
                <w:sz w:val="20"/>
                <w:szCs w:val="20"/>
                <w:lang w:val="fr-CA"/>
              </w:rPr>
              <w:t>840</w:t>
            </w:r>
            <w:r w:rsidR="00152A98">
              <w:rPr>
                <w:sz w:val="20"/>
                <w:szCs w:val="20"/>
                <w:lang w:val="fr-CA"/>
              </w:rPr>
              <w:t xml:space="preserve"> </w:t>
            </w:r>
            <w:r w:rsidRPr="005B55FD">
              <w:rPr>
                <w:sz w:val="20"/>
                <w:szCs w:val="20"/>
                <w:lang w:val="fr-CA"/>
              </w:rPr>
              <w:t>877</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652CF558" w14:textId="1A7145BB" w:rsidR="00EE5B07" w:rsidRPr="005B55FD" w:rsidRDefault="00EE5B07" w:rsidP="001E39EE">
            <w:pPr>
              <w:jc w:val="right"/>
              <w:rPr>
                <w:sz w:val="20"/>
                <w:szCs w:val="20"/>
                <w:lang w:val="fr-CA"/>
              </w:rPr>
            </w:pPr>
            <w:r w:rsidRPr="005B55FD">
              <w:rPr>
                <w:sz w:val="20"/>
                <w:szCs w:val="20"/>
                <w:lang w:val="fr-CA"/>
              </w:rPr>
              <w:t>52</w:t>
            </w:r>
            <w:r w:rsidR="00152A98">
              <w:rPr>
                <w:sz w:val="20"/>
                <w:szCs w:val="20"/>
                <w:lang w:val="fr-CA"/>
              </w:rPr>
              <w:t xml:space="preserve"> </w:t>
            </w:r>
            <w:r w:rsidRPr="005B55FD">
              <w:rPr>
                <w:sz w:val="20"/>
                <w:szCs w:val="20"/>
                <w:lang w:val="fr-CA"/>
              </w:rPr>
              <w:t>060</w:t>
            </w:r>
            <w:r w:rsidR="00152A98">
              <w:rPr>
                <w:sz w:val="20"/>
                <w:szCs w:val="20"/>
                <w:lang w:val="fr-CA"/>
              </w:rPr>
              <w:t xml:space="preserve"> </w:t>
            </w:r>
            <w:r w:rsidRPr="005B55FD">
              <w:rPr>
                <w:sz w:val="20"/>
                <w:szCs w:val="20"/>
                <w:lang w:val="fr-CA"/>
              </w:rPr>
              <w:t>121</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8CD1A66" w14:textId="77777777" w:rsidR="00EE5B07" w:rsidRPr="005B55FD" w:rsidRDefault="00EE5B07" w:rsidP="001E39EE">
            <w:pPr>
              <w:jc w:val="right"/>
              <w:rPr>
                <w:sz w:val="20"/>
                <w:szCs w:val="20"/>
                <w:lang w:val="fr-CA"/>
              </w:rPr>
            </w:pPr>
            <w:r w:rsidRPr="005B55FD">
              <w:rPr>
                <w:sz w:val="20"/>
                <w:szCs w:val="20"/>
                <w:lang w:val="fr-CA"/>
              </w:rPr>
              <w:t>86</w:t>
            </w:r>
          </w:p>
        </w:tc>
      </w:tr>
      <w:tr w:rsidR="00EE5B07" w:rsidRPr="005B55FD" w14:paraId="2005CAED"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473E5A8" w14:textId="4C31F077" w:rsidR="00EE5B07" w:rsidRPr="005B55FD" w:rsidRDefault="00152A98" w:rsidP="001E39EE">
            <w:pPr>
              <w:jc w:val="left"/>
              <w:rPr>
                <w:sz w:val="20"/>
                <w:szCs w:val="20"/>
                <w:lang w:val="fr-CA" w:eastAsia="en-CA"/>
              </w:rPr>
            </w:pPr>
            <w:r>
              <w:rPr>
                <w:sz w:val="20"/>
                <w:szCs w:val="20"/>
                <w:lang w:val="fr-CA" w:eastAsia="en-CA"/>
              </w:rPr>
              <w:t>Projets de formation</w:t>
            </w:r>
          </w:p>
        </w:tc>
        <w:tc>
          <w:tcPr>
            <w:tcW w:w="957" w:type="dxa"/>
            <w:tcBorders>
              <w:top w:val="nil"/>
              <w:left w:val="nil"/>
              <w:bottom w:val="single" w:sz="4" w:space="0" w:color="auto"/>
              <w:right w:val="single" w:sz="4" w:space="0" w:color="auto"/>
            </w:tcBorders>
            <w:shd w:val="clear" w:color="auto" w:fill="auto"/>
            <w:noWrap/>
            <w:tcMar>
              <w:left w:w="0" w:type="dxa"/>
              <w:right w:w="29" w:type="dxa"/>
            </w:tcMar>
            <w:hideMark/>
          </w:tcPr>
          <w:p w14:paraId="7D3E53D1" w14:textId="77777777" w:rsidR="00EE5B07" w:rsidRPr="005B55FD" w:rsidRDefault="00EE5B07" w:rsidP="001E39EE">
            <w:pPr>
              <w:jc w:val="right"/>
              <w:rPr>
                <w:sz w:val="20"/>
                <w:szCs w:val="20"/>
                <w:lang w:val="fr-CA" w:eastAsia="en-CA"/>
              </w:rPr>
            </w:pPr>
            <w:r w:rsidRPr="005B55FD">
              <w:rPr>
                <w:sz w:val="20"/>
                <w:szCs w:val="20"/>
                <w:lang w:val="fr-CA" w:eastAsia="en-CA"/>
              </w:rPr>
              <w:t>324</w:t>
            </w:r>
          </w:p>
        </w:tc>
        <w:tc>
          <w:tcPr>
            <w:tcW w:w="1043" w:type="dxa"/>
            <w:tcBorders>
              <w:top w:val="nil"/>
              <w:left w:val="nil"/>
              <w:bottom w:val="single" w:sz="4" w:space="0" w:color="auto"/>
              <w:right w:val="single" w:sz="4" w:space="0" w:color="auto"/>
            </w:tcBorders>
            <w:shd w:val="clear" w:color="auto" w:fill="auto"/>
            <w:noWrap/>
            <w:tcMar>
              <w:left w:w="0" w:type="dxa"/>
              <w:right w:w="29" w:type="dxa"/>
            </w:tcMar>
            <w:hideMark/>
          </w:tcPr>
          <w:p w14:paraId="5B226772" w14:textId="77777777" w:rsidR="00EE5B07" w:rsidRPr="005B55FD" w:rsidRDefault="00EE5B07" w:rsidP="001E39EE">
            <w:pPr>
              <w:jc w:val="right"/>
              <w:rPr>
                <w:sz w:val="20"/>
                <w:szCs w:val="20"/>
                <w:lang w:val="fr-CA" w:eastAsia="en-CA"/>
              </w:rPr>
            </w:pPr>
            <w:r w:rsidRPr="005B55FD">
              <w:rPr>
                <w:sz w:val="20"/>
                <w:szCs w:val="20"/>
                <w:lang w:val="fr-CA" w:eastAsia="en-CA"/>
              </w:rPr>
              <w:t>324</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51E75741" w14:textId="77777777" w:rsidR="00EE5B07" w:rsidRPr="005B55FD" w:rsidRDefault="00EE5B07" w:rsidP="001E39EE">
            <w:pPr>
              <w:jc w:val="right"/>
              <w:rPr>
                <w:sz w:val="20"/>
                <w:szCs w:val="20"/>
                <w:lang w:val="fr-CA" w:eastAsia="en-CA"/>
              </w:rPr>
            </w:pPr>
            <w:r w:rsidRPr="005B55FD">
              <w:rPr>
                <w:sz w:val="20"/>
                <w:szCs w:val="20"/>
                <w:lang w:val="fr-CA" w:eastAsia="en-CA"/>
              </w:rPr>
              <w:t>100</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330B4676" w14:textId="34CEC715" w:rsidR="00EE5B07" w:rsidRPr="005B55FD" w:rsidRDefault="00EE5B07" w:rsidP="001E39EE">
            <w:pPr>
              <w:jc w:val="right"/>
              <w:rPr>
                <w:sz w:val="20"/>
                <w:szCs w:val="20"/>
                <w:lang w:val="fr-CA" w:eastAsia="en-CA"/>
              </w:rPr>
            </w:pPr>
            <w:r w:rsidRPr="005B55FD">
              <w:rPr>
                <w:sz w:val="20"/>
                <w:szCs w:val="20"/>
                <w:lang w:val="fr-CA" w:eastAsia="en-CA"/>
              </w:rPr>
              <w:t>25</w:t>
            </w:r>
            <w:r w:rsidR="00152A98">
              <w:rPr>
                <w:sz w:val="20"/>
                <w:szCs w:val="20"/>
                <w:lang w:val="fr-CA" w:eastAsia="en-CA"/>
              </w:rPr>
              <w:t xml:space="preserve"> </w:t>
            </w:r>
            <w:r w:rsidRPr="005B55FD">
              <w:rPr>
                <w:sz w:val="20"/>
                <w:szCs w:val="20"/>
                <w:lang w:val="fr-CA" w:eastAsia="en-CA"/>
              </w:rPr>
              <w:t>806</w:t>
            </w:r>
            <w:r w:rsidR="00152A98">
              <w:rPr>
                <w:sz w:val="20"/>
                <w:szCs w:val="20"/>
                <w:lang w:val="fr-CA" w:eastAsia="en-CA"/>
              </w:rPr>
              <w:t xml:space="preserve"> </w:t>
            </w:r>
            <w:r w:rsidRPr="005B55FD">
              <w:rPr>
                <w:sz w:val="20"/>
                <w:szCs w:val="20"/>
                <w:lang w:val="fr-CA" w:eastAsia="en-CA"/>
              </w:rPr>
              <w:t>763</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529ADB48" w14:textId="4DF3C1F8" w:rsidR="00EE5B07" w:rsidRPr="005B55FD" w:rsidRDefault="00EE5B07" w:rsidP="001E39EE">
            <w:pPr>
              <w:jc w:val="right"/>
              <w:rPr>
                <w:sz w:val="20"/>
                <w:szCs w:val="20"/>
                <w:lang w:val="fr-CA"/>
              </w:rPr>
            </w:pPr>
            <w:r w:rsidRPr="005B55FD">
              <w:rPr>
                <w:sz w:val="20"/>
                <w:szCs w:val="20"/>
                <w:lang w:val="fr-CA"/>
              </w:rPr>
              <w:t>25</w:t>
            </w:r>
            <w:r w:rsidR="00152A98">
              <w:rPr>
                <w:sz w:val="20"/>
                <w:szCs w:val="20"/>
                <w:lang w:val="fr-CA"/>
              </w:rPr>
              <w:t xml:space="preserve"> </w:t>
            </w:r>
            <w:r w:rsidRPr="005B55FD">
              <w:rPr>
                <w:sz w:val="20"/>
                <w:szCs w:val="20"/>
                <w:lang w:val="fr-CA"/>
              </w:rPr>
              <w:t>806</w:t>
            </w:r>
            <w:r w:rsidR="00152A98">
              <w:rPr>
                <w:sz w:val="20"/>
                <w:szCs w:val="20"/>
                <w:lang w:val="fr-CA"/>
              </w:rPr>
              <w:t xml:space="preserve"> </w:t>
            </w:r>
            <w:r w:rsidRPr="005B55FD">
              <w:rPr>
                <w:sz w:val="20"/>
                <w:szCs w:val="20"/>
                <w:lang w:val="fr-CA"/>
              </w:rPr>
              <w:t>763</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19DB3EC3" w14:textId="77777777" w:rsidR="00EE5B07" w:rsidRPr="005B55FD" w:rsidRDefault="00EE5B07" w:rsidP="001E39EE">
            <w:pPr>
              <w:jc w:val="right"/>
              <w:rPr>
                <w:sz w:val="20"/>
                <w:szCs w:val="20"/>
                <w:lang w:val="fr-CA"/>
              </w:rPr>
            </w:pPr>
            <w:r w:rsidRPr="005B55FD">
              <w:rPr>
                <w:sz w:val="20"/>
                <w:szCs w:val="20"/>
                <w:lang w:val="fr-CA"/>
              </w:rPr>
              <w:t>0</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0B037E02" w14:textId="77777777" w:rsidR="00EE5B07" w:rsidRPr="005B55FD" w:rsidRDefault="00EE5B07" w:rsidP="001E39EE">
            <w:pPr>
              <w:jc w:val="right"/>
              <w:rPr>
                <w:sz w:val="20"/>
                <w:szCs w:val="20"/>
                <w:lang w:val="fr-CA"/>
              </w:rPr>
            </w:pPr>
            <w:r w:rsidRPr="005B55FD">
              <w:rPr>
                <w:sz w:val="20"/>
                <w:szCs w:val="20"/>
                <w:lang w:val="fr-CA"/>
              </w:rPr>
              <w:t>100</w:t>
            </w:r>
          </w:p>
        </w:tc>
      </w:tr>
      <w:tr w:rsidR="00EE5B07" w:rsidRPr="005B55FD" w14:paraId="4285081C" w14:textId="77777777" w:rsidTr="001E39EE">
        <w:trPr>
          <w:trHeight w:val="58"/>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946A26B" w14:textId="77777777" w:rsidR="00EE5B07" w:rsidRPr="005B55FD" w:rsidRDefault="00EE5B07" w:rsidP="001E39EE">
            <w:pPr>
              <w:jc w:val="left"/>
              <w:rPr>
                <w:b/>
                <w:bCs/>
                <w:sz w:val="20"/>
                <w:szCs w:val="20"/>
                <w:lang w:val="fr-CA" w:eastAsia="en-CA"/>
              </w:rPr>
            </w:pPr>
            <w:r w:rsidRPr="005B55FD">
              <w:rPr>
                <w:b/>
                <w:bCs/>
                <w:sz w:val="20"/>
                <w:szCs w:val="20"/>
                <w:lang w:val="fr-CA" w:eastAsia="en-CA"/>
              </w:rPr>
              <w:t>Total</w:t>
            </w:r>
          </w:p>
        </w:tc>
        <w:tc>
          <w:tcPr>
            <w:tcW w:w="957" w:type="dxa"/>
            <w:tcBorders>
              <w:top w:val="nil"/>
              <w:left w:val="nil"/>
              <w:bottom w:val="single" w:sz="4" w:space="0" w:color="auto"/>
              <w:right w:val="single" w:sz="4" w:space="0" w:color="auto"/>
            </w:tcBorders>
            <w:shd w:val="clear" w:color="auto" w:fill="auto"/>
            <w:tcMar>
              <w:left w:w="0" w:type="dxa"/>
              <w:right w:w="29" w:type="dxa"/>
            </w:tcMar>
            <w:hideMark/>
          </w:tcPr>
          <w:p w14:paraId="45D19ED0" w14:textId="14AF9FD7" w:rsidR="00EE5B07" w:rsidRPr="005B55FD" w:rsidRDefault="00EE5B07" w:rsidP="001E39EE">
            <w:pPr>
              <w:jc w:val="right"/>
              <w:rPr>
                <w:b/>
                <w:bCs/>
                <w:sz w:val="20"/>
                <w:szCs w:val="20"/>
                <w:lang w:val="fr-CA" w:eastAsia="en-CA"/>
              </w:rPr>
            </w:pPr>
            <w:r w:rsidRPr="005B55FD">
              <w:rPr>
                <w:b/>
                <w:bCs/>
                <w:sz w:val="20"/>
                <w:szCs w:val="20"/>
                <w:lang w:val="fr-CA" w:eastAsia="en-CA"/>
              </w:rPr>
              <w:t>8</w:t>
            </w:r>
            <w:r w:rsidR="00152A98">
              <w:rPr>
                <w:b/>
                <w:bCs/>
                <w:sz w:val="20"/>
                <w:szCs w:val="20"/>
                <w:lang w:val="fr-CA" w:eastAsia="en-CA"/>
              </w:rPr>
              <w:t xml:space="preserve"> </w:t>
            </w:r>
            <w:r w:rsidRPr="005B55FD">
              <w:rPr>
                <w:b/>
                <w:bCs/>
                <w:sz w:val="20"/>
                <w:szCs w:val="20"/>
                <w:lang w:val="fr-CA" w:eastAsia="en-CA"/>
              </w:rPr>
              <w:t>664</w:t>
            </w:r>
          </w:p>
        </w:tc>
        <w:tc>
          <w:tcPr>
            <w:tcW w:w="1043" w:type="dxa"/>
            <w:tcBorders>
              <w:top w:val="nil"/>
              <w:left w:val="nil"/>
              <w:bottom w:val="single" w:sz="4" w:space="0" w:color="auto"/>
              <w:right w:val="single" w:sz="4" w:space="0" w:color="auto"/>
            </w:tcBorders>
            <w:shd w:val="clear" w:color="auto" w:fill="auto"/>
            <w:tcMar>
              <w:left w:w="0" w:type="dxa"/>
              <w:right w:w="29" w:type="dxa"/>
            </w:tcMar>
            <w:hideMark/>
          </w:tcPr>
          <w:p w14:paraId="15C67765" w14:textId="2DC28E9C" w:rsidR="00EE5B07" w:rsidRPr="005B55FD" w:rsidRDefault="00EE5B07" w:rsidP="001E39EE">
            <w:pPr>
              <w:jc w:val="right"/>
              <w:rPr>
                <w:b/>
                <w:bCs/>
                <w:sz w:val="20"/>
                <w:szCs w:val="20"/>
                <w:lang w:val="fr-CA" w:eastAsia="en-CA"/>
              </w:rPr>
            </w:pPr>
            <w:r w:rsidRPr="005B55FD">
              <w:rPr>
                <w:b/>
                <w:bCs/>
                <w:sz w:val="20"/>
                <w:szCs w:val="20"/>
                <w:lang w:val="fr-CA" w:eastAsia="en-CA"/>
              </w:rPr>
              <w:t>7</w:t>
            </w:r>
            <w:r w:rsidR="00152A98">
              <w:rPr>
                <w:b/>
                <w:bCs/>
                <w:sz w:val="20"/>
                <w:szCs w:val="20"/>
                <w:lang w:val="fr-CA" w:eastAsia="en-CA"/>
              </w:rPr>
              <w:t xml:space="preserve"> </w:t>
            </w:r>
            <w:r w:rsidRPr="005B55FD">
              <w:rPr>
                <w:b/>
                <w:bCs/>
                <w:sz w:val="20"/>
                <w:szCs w:val="20"/>
                <w:lang w:val="fr-CA" w:eastAsia="en-CA"/>
              </w:rPr>
              <w:t>833</w:t>
            </w:r>
          </w:p>
        </w:tc>
        <w:tc>
          <w:tcPr>
            <w:tcW w:w="942" w:type="dxa"/>
            <w:tcBorders>
              <w:top w:val="nil"/>
              <w:left w:val="nil"/>
              <w:bottom w:val="single" w:sz="4" w:space="0" w:color="auto"/>
              <w:right w:val="single" w:sz="4" w:space="0" w:color="auto"/>
            </w:tcBorders>
            <w:shd w:val="clear" w:color="auto" w:fill="auto"/>
            <w:noWrap/>
            <w:tcMar>
              <w:left w:w="0" w:type="dxa"/>
              <w:right w:w="29" w:type="dxa"/>
            </w:tcMar>
            <w:hideMark/>
          </w:tcPr>
          <w:p w14:paraId="79DF0B65" w14:textId="77777777" w:rsidR="00EE5B07" w:rsidRPr="005B55FD" w:rsidRDefault="00EE5B07" w:rsidP="001E39EE">
            <w:pPr>
              <w:jc w:val="right"/>
              <w:rPr>
                <w:b/>
                <w:bCs/>
                <w:sz w:val="20"/>
                <w:szCs w:val="20"/>
                <w:lang w:val="fr-CA" w:eastAsia="en-CA"/>
              </w:rPr>
            </w:pPr>
            <w:r w:rsidRPr="005B55FD">
              <w:rPr>
                <w:b/>
                <w:bCs/>
                <w:sz w:val="20"/>
                <w:szCs w:val="20"/>
                <w:lang w:val="fr-CA" w:eastAsia="en-CA"/>
              </w:rPr>
              <w:t>90</w:t>
            </w:r>
          </w:p>
        </w:tc>
        <w:tc>
          <w:tcPr>
            <w:tcW w:w="1198" w:type="dxa"/>
            <w:tcBorders>
              <w:top w:val="nil"/>
              <w:left w:val="nil"/>
              <w:bottom w:val="single" w:sz="4" w:space="0" w:color="auto"/>
              <w:right w:val="single" w:sz="4" w:space="0" w:color="auto"/>
            </w:tcBorders>
            <w:shd w:val="clear" w:color="auto" w:fill="auto"/>
            <w:noWrap/>
            <w:tcMar>
              <w:left w:w="0" w:type="dxa"/>
              <w:right w:w="29" w:type="dxa"/>
            </w:tcMar>
            <w:hideMark/>
          </w:tcPr>
          <w:p w14:paraId="7CC51A3F" w14:textId="78AC60C8" w:rsidR="00EE5B07" w:rsidRPr="005B55FD" w:rsidRDefault="00EE5B07" w:rsidP="001E39EE">
            <w:pPr>
              <w:jc w:val="right"/>
              <w:rPr>
                <w:b/>
                <w:bCs/>
                <w:sz w:val="20"/>
                <w:szCs w:val="20"/>
                <w:lang w:val="fr-CA" w:eastAsia="en-CA"/>
              </w:rPr>
            </w:pPr>
            <w:r w:rsidRPr="005B55FD">
              <w:rPr>
                <w:b/>
                <w:bCs/>
                <w:sz w:val="20"/>
                <w:szCs w:val="20"/>
                <w:lang w:val="fr-CA" w:eastAsia="en-CA"/>
              </w:rPr>
              <w:t>3</w:t>
            </w:r>
            <w:r w:rsidR="00152A98">
              <w:rPr>
                <w:b/>
                <w:bCs/>
                <w:sz w:val="20"/>
                <w:szCs w:val="20"/>
                <w:lang w:val="fr-CA" w:eastAsia="en-CA"/>
              </w:rPr>
              <w:t xml:space="preserve"> </w:t>
            </w:r>
            <w:r w:rsidRPr="005B55FD">
              <w:rPr>
                <w:b/>
                <w:bCs/>
                <w:sz w:val="20"/>
                <w:szCs w:val="20"/>
                <w:lang w:val="fr-CA" w:eastAsia="en-CA"/>
              </w:rPr>
              <w:t>384</w:t>
            </w:r>
            <w:r w:rsidR="00152A98">
              <w:rPr>
                <w:b/>
                <w:bCs/>
                <w:sz w:val="20"/>
                <w:szCs w:val="20"/>
                <w:lang w:val="fr-CA" w:eastAsia="en-CA"/>
              </w:rPr>
              <w:t xml:space="preserve"> </w:t>
            </w:r>
            <w:r w:rsidRPr="005B55FD">
              <w:rPr>
                <w:b/>
                <w:bCs/>
                <w:sz w:val="20"/>
                <w:szCs w:val="20"/>
                <w:lang w:val="fr-CA" w:eastAsia="en-CA"/>
              </w:rPr>
              <w:t>321</w:t>
            </w:r>
            <w:r w:rsidR="00152A98">
              <w:rPr>
                <w:b/>
                <w:bCs/>
                <w:sz w:val="20"/>
                <w:szCs w:val="20"/>
                <w:lang w:val="fr-CA" w:eastAsia="en-CA"/>
              </w:rPr>
              <w:t xml:space="preserve"> </w:t>
            </w:r>
            <w:r w:rsidRPr="005B55FD">
              <w:rPr>
                <w:b/>
                <w:bCs/>
                <w:sz w:val="20"/>
                <w:szCs w:val="20"/>
                <w:lang w:val="fr-CA" w:eastAsia="en-CA"/>
              </w:rPr>
              <w:t>153</w:t>
            </w:r>
          </w:p>
        </w:tc>
        <w:tc>
          <w:tcPr>
            <w:tcW w:w="127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308CED21" w14:textId="3AB36BE1" w:rsidR="00EE5B07" w:rsidRPr="005B55FD" w:rsidRDefault="00EE5B07" w:rsidP="001E39EE">
            <w:pPr>
              <w:jc w:val="right"/>
              <w:rPr>
                <w:b/>
                <w:bCs/>
                <w:sz w:val="20"/>
                <w:szCs w:val="20"/>
                <w:lang w:val="fr-CA"/>
              </w:rPr>
            </w:pPr>
            <w:r w:rsidRPr="005B55FD">
              <w:rPr>
                <w:b/>
                <w:bCs/>
                <w:sz w:val="20"/>
                <w:szCs w:val="20"/>
                <w:lang w:val="fr-CA"/>
              </w:rPr>
              <w:t>3</w:t>
            </w:r>
            <w:r w:rsidR="00152A98">
              <w:rPr>
                <w:b/>
                <w:bCs/>
                <w:sz w:val="20"/>
                <w:szCs w:val="20"/>
                <w:lang w:val="fr-CA"/>
              </w:rPr>
              <w:t xml:space="preserve"> </w:t>
            </w:r>
            <w:r w:rsidRPr="005B55FD">
              <w:rPr>
                <w:b/>
                <w:bCs/>
                <w:sz w:val="20"/>
                <w:szCs w:val="20"/>
                <w:lang w:val="fr-CA"/>
              </w:rPr>
              <w:t>156</w:t>
            </w:r>
            <w:r w:rsidR="00152A98">
              <w:rPr>
                <w:b/>
                <w:bCs/>
                <w:sz w:val="20"/>
                <w:szCs w:val="20"/>
                <w:lang w:val="fr-CA"/>
              </w:rPr>
              <w:t xml:space="preserve"> </w:t>
            </w:r>
            <w:r w:rsidRPr="005B55FD">
              <w:rPr>
                <w:b/>
                <w:bCs/>
                <w:sz w:val="20"/>
                <w:szCs w:val="20"/>
                <w:lang w:val="fr-CA"/>
              </w:rPr>
              <w:t>297</w:t>
            </w:r>
            <w:r w:rsidR="00152A98">
              <w:rPr>
                <w:b/>
                <w:bCs/>
                <w:sz w:val="20"/>
                <w:szCs w:val="20"/>
                <w:lang w:val="fr-CA"/>
              </w:rPr>
              <w:t xml:space="preserve"> </w:t>
            </w:r>
            <w:r w:rsidRPr="005B55FD">
              <w:rPr>
                <w:b/>
                <w:bCs/>
                <w:sz w:val="20"/>
                <w:szCs w:val="20"/>
                <w:lang w:val="fr-CA"/>
              </w:rPr>
              <w:t>187</w:t>
            </w:r>
          </w:p>
        </w:tc>
        <w:tc>
          <w:tcPr>
            <w:tcW w:w="102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2971E9C6" w14:textId="064E0C14" w:rsidR="00EE5B07" w:rsidRPr="005B55FD" w:rsidRDefault="00EE5B07" w:rsidP="001E39EE">
            <w:pPr>
              <w:jc w:val="right"/>
              <w:rPr>
                <w:b/>
                <w:bCs/>
                <w:sz w:val="20"/>
                <w:szCs w:val="20"/>
                <w:lang w:val="fr-CA"/>
              </w:rPr>
            </w:pPr>
            <w:r w:rsidRPr="005B55FD">
              <w:rPr>
                <w:b/>
                <w:bCs/>
                <w:sz w:val="20"/>
                <w:szCs w:val="20"/>
                <w:lang w:val="fr-CA"/>
              </w:rPr>
              <w:t>228</w:t>
            </w:r>
            <w:r w:rsidR="00152A98">
              <w:rPr>
                <w:b/>
                <w:bCs/>
                <w:sz w:val="20"/>
                <w:szCs w:val="20"/>
                <w:lang w:val="fr-CA"/>
              </w:rPr>
              <w:t xml:space="preserve"> </w:t>
            </w:r>
            <w:r w:rsidRPr="005B55FD">
              <w:rPr>
                <w:b/>
                <w:bCs/>
                <w:sz w:val="20"/>
                <w:szCs w:val="20"/>
                <w:lang w:val="fr-CA"/>
              </w:rPr>
              <w:t>023</w:t>
            </w:r>
            <w:r w:rsidR="00152A98">
              <w:rPr>
                <w:b/>
                <w:bCs/>
                <w:sz w:val="20"/>
                <w:szCs w:val="20"/>
                <w:lang w:val="fr-CA"/>
              </w:rPr>
              <w:t xml:space="preserve"> </w:t>
            </w:r>
            <w:r w:rsidRPr="005B55FD">
              <w:rPr>
                <w:b/>
                <w:bCs/>
                <w:sz w:val="20"/>
                <w:szCs w:val="20"/>
                <w:lang w:val="fr-CA"/>
              </w:rPr>
              <w:t>965</w:t>
            </w:r>
          </w:p>
        </w:tc>
        <w:tc>
          <w:tcPr>
            <w:tcW w:w="1119"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14:paraId="12222228" w14:textId="77777777" w:rsidR="00EE5B07" w:rsidRPr="005B55FD" w:rsidRDefault="00EE5B07" w:rsidP="001E39EE">
            <w:pPr>
              <w:jc w:val="right"/>
              <w:rPr>
                <w:b/>
                <w:bCs/>
                <w:sz w:val="20"/>
                <w:szCs w:val="20"/>
                <w:lang w:val="fr-CA"/>
              </w:rPr>
            </w:pPr>
            <w:r w:rsidRPr="005B55FD">
              <w:rPr>
                <w:b/>
                <w:bCs/>
                <w:sz w:val="20"/>
                <w:szCs w:val="20"/>
                <w:lang w:val="fr-CA"/>
              </w:rPr>
              <w:t>93</w:t>
            </w:r>
          </w:p>
        </w:tc>
      </w:tr>
    </w:tbl>
    <w:p w14:paraId="273E411C" w14:textId="77777777" w:rsidR="00152A98" w:rsidRPr="00B4063A" w:rsidRDefault="00152A98" w:rsidP="00152A98">
      <w:pPr>
        <w:rPr>
          <w:sz w:val="19"/>
          <w:szCs w:val="19"/>
          <w:lang w:val="fr-CA"/>
        </w:rPr>
      </w:pPr>
      <w:r w:rsidRPr="00894104">
        <w:rPr>
          <w:sz w:val="19"/>
          <w:szCs w:val="19"/>
          <w:lang w:val="fr-CA"/>
        </w:rPr>
        <w:t>*</w:t>
      </w:r>
      <w:r w:rsidRPr="00B4063A">
        <w:rPr>
          <w:sz w:val="19"/>
          <w:szCs w:val="19"/>
          <w:lang w:val="fr-CA"/>
        </w:rPr>
        <w:t>Ne comprend pas les projets fermés et transférés.</w:t>
      </w:r>
    </w:p>
    <w:p w14:paraId="6358F221" w14:textId="1A54941C" w:rsidR="00D631A9" w:rsidRPr="005B55FD" w:rsidRDefault="00152A98" w:rsidP="00152A98">
      <w:pPr>
        <w:rPr>
          <w:sz w:val="19"/>
          <w:szCs w:val="19"/>
          <w:lang w:val="fr-CA"/>
        </w:rPr>
      </w:pPr>
      <w:r w:rsidRPr="00B4063A">
        <w:rPr>
          <w:sz w:val="19"/>
          <w:szCs w:val="19"/>
          <w:lang w:val="fr-CA"/>
        </w:rPr>
        <w:t>** Ne comprend pas les coûts d’appui au</w:t>
      </w:r>
      <w:r>
        <w:rPr>
          <w:sz w:val="19"/>
          <w:szCs w:val="19"/>
          <w:lang w:val="fr-CA"/>
        </w:rPr>
        <w:t>x agences</w:t>
      </w:r>
      <w:r w:rsidR="00D631A9" w:rsidRPr="005B55FD">
        <w:rPr>
          <w:sz w:val="19"/>
          <w:szCs w:val="19"/>
          <w:lang w:val="fr-CA"/>
        </w:rPr>
        <w:t xml:space="preserve">. </w:t>
      </w:r>
    </w:p>
    <w:p w14:paraId="664DBD18" w14:textId="77777777" w:rsidR="00D631A9" w:rsidRPr="005B55FD" w:rsidRDefault="00D631A9" w:rsidP="001E39EE">
      <w:pPr>
        <w:rPr>
          <w:lang w:val="fr-CA"/>
        </w:rPr>
      </w:pPr>
    </w:p>
    <w:p w14:paraId="4F5C2B24" w14:textId="0A107A5B" w:rsidR="00D631A9" w:rsidRPr="005B55FD" w:rsidRDefault="00C27C93" w:rsidP="001E39EE">
      <w:pPr>
        <w:pStyle w:val="Heading1"/>
        <w:rPr>
          <w:lang w:val="fr-CA"/>
        </w:rPr>
      </w:pPr>
      <w:r>
        <w:rPr>
          <w:lang w:val="fr-CA"/>
        </w:rPr>
        <w:t>Le tableau 3 présente un aperçu de l’état de la mise en œuvre des projets par année</w:t>
      </w:r>
      <w:r w:rsidRPr="00EF62E4">
        <w:rPr>
          <w:lang w:val="fr-CA"/>
        </w:rPr>
        <w:t>.</w:t>
      </w:r>
      <w:r w:rsidRPr="00EF62E4">
        <w:rPr>
          <w:rStyle w:val="FootnoteReference"/>
          <w:lang w:val="fr-CA"/>
        </w:rPr>
        <w:footnoteReference w:id="15"/>
      </w:r>
      <w:r w:rsidRPr="00EF62E4">
        <w:rPr>
          <w:lang w:val="fr-CA"/>
        </w:rPr>
        <w:t xml:space="preserve"> </w:t>
      </w:r>
      <w:r w:rsidRPr="0065121B">
        <w:rPr>
          <w:lang w:val="fr-CA"/>
        </w:rPr>
        <w:t xml:space="preserve">Une somme de </w:t>
      </w:r>
      <w:r>
        <w:rPr>
          <w:lang w:val="fr-CA"/>
        </w:rPr>
        <w:t>3,16</w:t>
      </w:r>
      <w:r w:rsidRPr="0065121B">
        <w:rPr>
          <w:lang w:val="fr-CA"/>
        </w:rPr>
        <w:t xml:space="preserve"> milliards $US sur les 3,3</w:t>
      </w:r>
      <w:r>
        <w:rPr>
          <w:lang w:val="fr-CA"/>
        </w:rPr>
        <w:t>8</w:t>
      </w:r>
      <w:r w:rsidRPr="0065121B">
        <w:rPr>
          <w:lang w:val="fr-CA"/>
        </w:rPr>
        <w:t xml:space="preserve"> milliards $US ap</w:t>
      </w:r>
      <w:r>
        <w:rPr>
          <w:lang w:val="fr-CA"/>
        </w:rPr>
        <w:t>prouvés (ne comprenant pas 78,64</w:t>
      </w:r>
      <w:r w:rsidRPr="0065121B">
        <w:rPr>
          <w:lang w:val="fr-CA"/>
        </w:rPr>
        <w:t xml:space="preserve"> millions $US décaissés en 20</w:t>
      </w:r>
      <w:r>
        <w:rPr>
          <w:lang w:val="fr-CA"/>
        </w:rPr>
        <w:t>20</w:t>
      </w:r>
      <w:r w:rsidRPr="0065121B">
        <w:rPr>
          <w:lang w:val="fr-CA"/>
        </w:rPr>
        <w:t>) a été décaissée</w:t>
      </w:r>
      <w:r>
        <w:rPr>
          <w:lang w:val="fr-CA"/>
        </w:rPr>
        <w:t>. Tous les projets et activités approuvés de 1991 à 2007 ont été achevés. Les projets approuvés (d’investissement et ne portant pas sur des investissements) ont mené à l’élimination de 494 568 tonnes PAO</w:t>
      </w:r>
      <w:r w:rsidRPr="00EF62E4">
        <w:rPr>
          <w:vertAlign w:val="superscript"/>
          <w:lang w:val="fr-CA"/>
        </w:rPr>
        <w:footnoteReference w:id="16"/>
      </w:r>
      <w:r w:rsidRPr="00EF62E4">
        <w:rPr>
          <w:lang w:val="fr-CA"/>
        </w:rPr>
        <w:t xml:space="preserve"> </w:t>
      </w:r>
      <w:r>
        <w:rPr>
          <w:lang w:val="fr-CA"/>
        </w:rPr>
        <w:t>de consommation et de production de substances réglementées. Des projets d’investissement représentant la somme d’environ 2,32 milliards $US ont été achevés au 31 décembre 2020, entraînant l’élimination permanente de 475 913 tonnes PAO de substances réglementées pour un taux d’efficacité global de 4,87 $US/kg PAO éliminé</w:t>
      </w:r>
      <w:r w:rsidR="00D631A9" w:rsidRPr="005B55FD">
        <w:rPr>
          <w:lang w:val="fr-CA"/>
        </w:rPr>
        <w:t xml:space="preserve">. </w:t>
      </w:r>
    </w:p>
    <w:p w14:paraId="1DEFF3B9" w14:textId="47AEED6A" w:rsidR="00D631A9" w:rsidRPr="005B55FD" w:rsidRDefault="00D631A9" w:rsidP="001E39EE">
      <w:pPr>
        <w:keepNext/>
        <w:suppressAutoHyphens/>
        <w:rPr>
          <w:b/>
          <w:spacing w:val="-3"/>
          <w:lang w:val="fr-CA"/>
        </w:rPr>
      </w:pPr>
      <w:r w:rsidRPr="005B55FD">
        <w:rPr>
          <w:b/>
          <w:spacing w:val="-3"/>
          <w:lang w:val="fr-CA"/>
        </w:rPr>
        <w:t>Table</w:t>
      </w:r>
      <w:r w:rsidR="00C27C93">
        <w:rPr>
          <w:b/>
          <w:spacing w:val="-3"/>
          <w:lang w:val="fr-CA"/>
        </w:rPr>
        <w:t>au</w:t>
      </w:r>
      <w:r w:rsidRPr="005B55FD">
        <w:rPr>
          <w:b/>
          <w:spacing w:val="-3"/>
          <w:lang w:val="fr-CA"/>
        </w:rPr>
        <w:t xml:space="preserve"> 3. </w:t>
      </w:r>
      <w:r w:rsidR="00C27C93">
        <w:rPr>
          <w:b/>
          <w:spacing w:val="-3"/>
          <w:lang w:val="fr-CA"/>
        </w:rPr>
        <w:t>État de la mise en œuvre des projets, par année</w:t>
      </w:r>
    </w:p>
    <w:tbl>
      <w:tblPr>
        <w:tblW w:w="9360" w:type="dxa"/>
        <w:tblLook w:val="04A0" w:firstRow="1" w:lastRow="0" w:firstColumn="1" w:lastColumn="0" w:noHBand="0" w:noVBand="1"/>
      </w:tblPr>
      <w:tblGrid>
        <w:gridCol w:w="761"/>
        <w:gridCol w:w="1066"/>
        <w:gridCol w:w="1143"/>
        <w:gridCol w:w="1170"/>
        <w:gridCol w:w="1433"/>
        <w:gridCol w:w="1433"/>
        <w:gridCol w:w="1216"/>
        <w:gridCol w:w="1138"/>
      </w:tblGrid>
      <w:tr w:rsidR="0053267C" w:rsidRPr="005B55FD" w14:paraId="5726D901" w14:textId="77777777" w:rsidTr="006735F6">
        <w:trPr>
          <w:trHeight w:val="58"/>
          <w:tblHeader/>
        </w:trPr>
        <w:tc>
          <w:tcPr>
            <w:tcW w:w="7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965CC69" w14:textId="70D74CEB" w:rsidR="0019061D" w:rsidRPr="005B55FD" w:rsidRDefault="00C27C93" w:rsidP="001E39EE">
            <w:pPr>
              <w:jc w:val="left"/>
              <w:rPr>
                <w:b/>
                <w:bCs/>
                <w:sz w:val="20"/>
                <w:szCs w:val="20"/>
                <w:lang w:val="fr-CA" w:eastAsia="en-CA"/>
              </w:rPr>
            </w:pPr>
            <w:r>
              <w:rPr>
                <w:b/>
                <w:bCs/>
                <w:sz w:val="20"/>
                <w:szCs w:val="20"/>
                <w:lang w:val="fr-CA" w:eastAsia="en-CA"/>
              </w:rPr>
              <w:t>Année</w:t>
            </w:r>
          </w:p>
        </w:tc>
        <w:tc>
          <w:tcPr>
            <w:tcW w:w="3379" w:type="dxa"/>
            <w:gridSpan w:val="3"/>
            <w:tcBorders>
              <w:top w:val="single" w:sz="4" w:space="0" w:color="auto"/>
              <w:left w:val="nil"/>
              <w:bottom w:val="single" w:sz="4" w:space="0" w:color="auto"/>
              <w:right w:val="single" w:sz="4" w:space="0" w:color="auto"/>
            </w:tcBorders>
            <w:shd w:val="clear" w:color="auto" w:fill="auto"/>
            <w:noWrap/>
            <w:hideMark/>
          </w:tcPr>
          <w:p w14:paraId="715FA791" w14:textId="234765F9" w:rsidR="0019061D" w:rsidRPr="005B55FD" w:rsidRDefault="00C27C93" w:rsidP="001E39EE">
            <w:pPr>
              <w:jc w:val="center"/>
              <w:rPr>
                <w:b/>
                <w:bCs/>
                <w:sz w:val="20"/>
                <w:szCs w:val="20"/>
                <w:lang w:val="fr-CA" w:eastAsia="en-CA"/>
              </w:rPr>
            </w:pPr>
            <w:r>
              <w:rPr>
                <w:b/>
                <w:bCs/>
                <w:sz w:val="20"/>
                <w:szCs w:val="20"/>
                <w:lang w:val="fr-CA" w:eastAsia="en-CA"/>
              </w:rPr>
              <w:t>Nombre de projets*</w:t>
            </w:r>
          </w:p>
        </w:tc>
        <w:tc>
          <w:tcPr>
            <w:tcW w:w="5220" w:type="dxa"/>
            <w:gridSpan w:val="4"/>
            <w:tcBorders>
              <w:top w:val="single" w:sz="4" w:space="0" w:color="auto"/>
              <w:left w:val="nil"/>
              <w:bottom w:val="single" w:sz="4" w:space="0" w:color="auto"/>
              <w:right w:val="single" w:sz="4" w:space="0" w:color="auto"/>
            </w:tcBorders>
            <w:shd w:val="clear" w:color="auto" w:fill="auto"/>
            <w:noWrap/>
            <w:hideMark/>
          </w:tcPr>
          <w:p w14:paraId="7DAC5431" w14:textId="2689B213" w:rsidR="0019061D" w:rsidRPr="005B55FD" w:rsidRDefault="00C27C93" w:rsidP="00C27C93">
            <w:pPr>
              <w:jc w:val="center"/>
              <w:rPr>
                <w:b/>
                <w:bCs/>
                <w:sz w:val="20"/>
                <w:szCs w:val="20"/>
                <w:lang w:val="fr-CA" w:eastAsia="en-CA"/>
              </w:rPr>
            </w:pPr>
            <w:r>
              <w:rPr>
                <w:b/>
                <w:bCs/>
                <w:sz w:val="20"/>
                <w:szCs w:val="20"/>
                <w:lang w:val="fr-CA" w:eastAsia="en-CA"/>
              </w:rPr>
              <w:t>Financement (</w:t>
            </w:r>
            <w:r w:rsidR="000B66FA" w:rsidRPr="005B55FD">
              <w:rPr>
                <w:b/>
                <w:bCs/>
                <w:sz w:val="20"/>
                <w:szCs w:val="20"/>
                <w:lang w:val="fr-CA" w:eastAsia="en-CA"/>
              </w:rPr>
              <w:t>$</w:t>
            </w:r>
            <w:r>
              <w:rPr>
                <w:b/>
                <w:bCs/>
                <w:sz w:val="20"/>
                <w:szCs w:val="20"/>
                <w:lang w:val="fr-CA" w:eastAsia="en-CA"/>
              </w:rPr>
              <w:t>US</w:t>
            </w:r>
            <w:r w:rsidR="0019061D" w:rsidRPr="005B55FD">
              <w:rPr>
                <w:b/>
                <w:bCs/>
                <w:sz w:val="20"/>
                <w:szCs w:val="20"/>
                <w:lang w:val="fr-CA" w:eastAsia="en-CA"/>
              </w:rPr>
              <w:t>)**</w:t>
            </w:r>
          </w:p>
        </w:tc>
      </w:tr>
      <w:tr w:rsidR="0053267C" w:rsidRPr="005B55FD" w14:paraId="7DD49C25" w14:textId="77777777" w:rsidTr="006735F6">
        <w:trPr>
          <w:trHeight w:val="67"/>
          <w:tblHeader/>
        </w:trPr>
        <w:tc>
          <w:tcPr>
            <w:tcW w:w="761" w:type="dxa"/>
            <w:vMerge/>
            <w:tcBorders>
              <w:top w:val="single" w:sz="4" w:space="0" w:color="auto"/>
              <w:left w:val="single" w:sz="4" w:space="0" w:color="auto"/>
              <w:bottom w:val="single" w:sz="4" w:space="0" w:color="auto"/>
              <w:right w:val="single" w:sz="4" w:space="0" w:color="auto"/>
            </w:tcBorders>
            <w:vAlign w:val="center"/>
            <w:hideMark/>
          </w:tcPr>
          <w:p w14:paraId="085FE949" w14:textId="77777777" w:rsidR="0019061D" w:rsidRPr="005B55FD" w:rsidRDefault="0019061D" w:rsidP="001E39EE">
            <w:pPr>
              <w:jc w:val="left"/>
              <w:rPr>
                <w:b/>
                <w:bCs/>
                <w:sz w:val="20"/>
                <w:szCs w:val="20"/>
                <w:lang w:val="fr-CA" w:eastAsia="en-CA"/>
              </w:rPr>
            </w:pPr>
          </w:p>
        </w:tc>
        <w:tc>
          <w:tcPr>
            <w:tcW w:w="1066" w:type="dxa"/>
            <w:tcBorders>
              <w:top w:val="nil"/>
              <w:left w:val="nil"/>
              <w:bottom w:val="single" w:sz="4" w:space="0" w:color="auto"/>
              <w:right w:val="single" w:sz="4" w:space="0" w:color="auto"/>
            </w:tcBorders>
            <w:shd w:val="clear" w:color="auto" w:fill="auto"/>
            <w:noWrap/>
            <w:tcMar>
              <w:left w:w="0" w:type="dxa"/>
              <w:right w:w="0" w:type="dxa"/>
            </w:tcMar>
            <w:hideMark/>
          </w:tcPr>
          <w:p w14:paraId="62855AE7" w14:textId="2A3F7B59" w:rsidR="0019061D" w:rsidRPr="005B55FD" w:rsidRDefault="00C27C93" w:rsidP="001E39EE">
            <w:pPr>
              <w:jc w:val="center"/>
              <w:rPr>
                <w:b/>
                <w:bCs/>
                <w:sz w:val="20"/>
                <w:szCs w:val="20"/>
                <w:lang w:val="fr-CA" w:eastAsia="en-CA"/>
              </w:rPr>
            </w:pPr>
            <w:r>
              <w:rPr>
                <w:b/>
                <w:bCs/>
                <w:sz w:val="20"/>
                <w:szCs w:val="20"/>
                <w:lang w:val="fr-CA" w:eastAsia="en-CA"/>
              </w:rPr>
              <w:t>Approuvés</w:t>
            </w:r>
          </w:p>
        </w:tc>
        <w:tc>
          <w:tcPr>
            <w:tcW w:w="1143" w:type="dxa"/>
            <w:tcBorders>
              <w:top w:val="nil"/>
              <w:left w:val="nil"/>
              <w:bottom w:val="single" w:sz="4" w:space="0" w:color="auto"/>
              <w:right w:val="single" w:sz="4" w:space="0" w:color="auto"/>
            </w:tcBorders>
            <w:shd w:val="clear" w:color="auto" w:fill="auto"/>
            <w:noWrap/>
            <w:tcMar>
              <w:left w:w="0" w:type="dxa"/>
              <w:right w:w="0" w:type="dxa"/>
            </w:tcMar>
            <w:hideMark/>
          </w:tcPr>
          <w:p w14:paraId="30FD3167" w14:textId="416A21DB" w:rsidR="0019061D" w:rsidRPr="005B55FD" w:rsidRDefault="00C27C93" w:rsidP="001E39EE">
            <w:pPr>
              <w:jc w:val="center"/>
              <w:rPr>
                <w:b/>
                <w:bCs/>
                <w:sz w:val="20"/>
                <w:szCs w:val="20"/>
                <w:lang w:val="fr-CA" w:eastAsia="en-CA"/>
              </w:rPr>
            </w:pPr>
            <w:r>
              <w:rPr>
                <w:b/>
                <w:bCs/>
                <w:sz w:val="20"/>
                <w:szCs w:val="20"/>
                <w:lang w:val="fr-CA" w:eastAsia="en-CA"/>
              </w:rPr>
              <w:t>Achevés</w:t>
            </w:r>
          </w:p>
        </w:tc>
        <w:tc>
          <w:tcPr>
            <w:tcW w:w="1170" w:type="dxa"/>
            <w:tcBorders>
              <w:top w:val="nil"/>
              <w:left w:val="nil"/>
              <w:bottom w:val="single" w:sz="4" w:space="0" w:color="auto"/>
              <w:right w:val="single" w:sz="4" w:space="0" w:color="auto"/>
            </w:tcBorders>
            <w:shd w:val="clear" w:color="auto" w:fill="auto"/>
            <w:noWrap/>
            <w:tcMar>
              <w:left w:w="0" w:type="dxa"/>
              <w:right w:w="0" w:type="dxa"/>
            </w:tcMar>
            <w:hideMark/>
          </w:tcPr>
          <w:p w14:paraId="7C5CFBF4" w14:textId="7B1486B8" w:rsidR="0019061D" w:rsidRPr="005B55FD" w:rsidRDefault="00C27C93" w:rsidP="001E39EE">
            <w:pPr>
              <w:ind w:left="-119" w:right="-113"/>
              <w:jc w:val="center"/>
              <w:rPr>
                <w:b/>
                <w:bCs/>
                <w:sz w:val="20"/>
                <w:szCs w:val="20"/>
                <w:lang w:val="fr-CA" w:eastAsia="en-CA"/>
              </w:rPr>
            </w:pPr>
            <w:r>
              <w:rPr>
                <w:b/>
                <w:bCs/>
                <w:sz w:val="20"/>
                <w:szCs w:val="20"/>
                <w:lang w:val="fr-CA" w:eastAsia="en-CA"/>
              </w:rPr>
              <w:t>% d’achèvement</w:t>
            </w:r>
          </w:p>
        </w:tc>
        <w:tc>
          <w:tcPr>
            <w:tcW w:w="1433" w:type="dxa"/>
            <w:tcBorders>
              <w:top w:val="nil"/>
              <w:left w:val="nil"/>
              <w:bottom w:val="single" w:sz="4" w:space="0" w:color="auto"/>
              <w:right w:val="single" w:sz="4" w:space="0" w:color="auto"/>
            </w:tcBorders>
            <w:shd w:val="clear" w:color="auto" w:fill="auto"/>
            <w:noWrap/>
            <w:tcMar>
              <w:left w:w="0" w:type="dxa"/>
              <w:right w:w="0" w:type="dxa"/>
            </w:tcMar>
            <w:hideMark/>
          </w:tcPr>
          <w:p w14:paraId="163AC10B" w14:textId="04F0B537" w:rsidR="0019061D" w:rsidRPr="005B55FD" w:rsidRDefault="00C27C93" w:rsidP="001E39EE">
            <w:pPr>
              <w:jc w:val="center"/>
              <w:rPr>
                <w:b/>
                <w:bCs/>
                <w:sz w:val="20"/>
                <w:szCs w:val="20"/>
                <w:lang w:val="fr-CA" w:eastAsia="en-CA"/>
              </w:rPr>
            </w:pPr>
            <w:r>
              <w:rPr>
                <w:b/>
                <w:bCs/>
                <w:sz w:val="20"/>
                <w:szCs w:val="20"/>
                <w:lang w:val="fr-CA" w:eastAsia="en-CA"/>
              </w:rPr>
              <w:t>Approuvé</w:t>
            </w:r>
          </w:p>
        </w:tc>
        <w:tc>
          <w:tcPr>
            <w:tcW w:w="1433" w:type="dxa"/>
            <w:tcBorders>
              <w:top w:val="nil"/>
              <w:left w:val="nil"/>
              <w:bottom w:val="single" w:sz="4" w:space="0" w:color="auto"/>
              <w:right w:val="single" w:sz="4" w:space="0" w:color="auto"/>
            </w:tcBorders>
            <w:shd w:val="clear" w:color="auto" w:fill="auto"/>
            <w:noWrap/>
            <w:tcMar>
              <w:left w:w="0" w:type="dxa"/>
              <w:right w:w="0" w:type="dxa"/>
            </w:tcMar>
            <w:hideMark/>
          </w:tcPr>
          <w:p w14:paraId="670C9125" w14:textId="0F2ED195" w:rsidR="0019061D" w:rsidRPr="005B55FD" w:rsidRDefault="00C27C93" w:rsidP="001E39EE">
            <w:pPr>
              <w:jc w:val="center"/>
              <w:rPr>
                <w:b/>
                <w:bCs/>
                <w:sz w:val="20"/>
                <w:szCs w:val="20"/>
                <w:lang w:val="fr-CA" w:eastAsia="en-CA"/>
              </w:rPr>
            </w:pPr>
            <w:r>
              <w:rPr>
                <w:b/>
                <w:bCs/>
                <w:sz w:val="20"/>
                <w:szCs w:val="20"/>
                <w:lang w:val="fr-CA" w:eastAsia="en-CA"/>
              </w:rPr>
              <w:t>Décaissé</w:t>
            </w:r>
          </w:p>
        </w:tc>
        <w:tc>
          <w:tcPr>
            <w:tcW w:w="1216" w:type="dxa"/>
            <w:tcBorders>
              <w:top w:val="nil"/>
              <w:left w:val="nil"/>
              <w:bottom w:val="single" w:sz="4" w:space="0" w:color="auto"/>
              <w:right w:val="single" w:sz="4" w:space="0" w:color="auto"/>
            </w:tcBorders>
            <w:shd w:val="clear" w:color="auto" w:fill="auto"/>
            <w:noWrap/>
            <w:tcMar>
              <w:left w:w="0" w:type="dxa"/>
              <w:right w:w="0" w:type="dxa"/>
            </w:tcMar>
            <w:hideMark/>
          </w:tcPr>
          <w:p w14:paraId="68292396" w14:textId="473591BE" w:rsidR="0019061D" w:rsidRPr="005B55FD" w:rsidRDefault="00C27C93" w:rsidP="001E39EE">
            <w:pPr>
              <w:jc w:val="center"/>
              <w:rPr>
                <w:b/>
                <w:bCs/>
                <w:sz w:val="20"/>
                <w:szCs w:val="20"/>
                <w:lang w:val="fr-CA" w:eastAsia="en-CA"/>
              </w:rPr>
            </w:pPr>
            <w:r>
              <w:rPr>
                <w:b/>
                <w:bCs/>
                <w:sz w:val="20"/>
                <w:szCs w:val="20"/>
                <w:lang w:val="fr-CA" w:eastAsia="en-CA"/>
              </w:rPr>
              <w:t>Solde</w:t>
            </w:r>
          </w:p>
        </w:tc>
        <w:tc>
          <w:tcPr>
            <w:tcW w:w="1138" w:type="dxa"/>
            <w:tcBorders>
              <w:top w:val="nil"/>
              <w:left w:val="nil"/>
              <w:bottom w:val="single" w:sz="4" w:space="0" w:color="auto"/>
              <w:right w:val="single" w:sz="4" w:space="0" w:color="auto"/>
            </w:tcBorders>
            <w:shd w:val="clear" w:color="auto" w:fill="auto"/>
            <w:noWrap/>
            <w:tcMar>
              <w:left w:w="0" w:type="dxa"/>
              <w:right w:w="0" w:type="dxa"/>
            </w:tcMar>
            <w:hideMark/>
          </w:tcPr>
          <w:p w14:paraId="0D4727F5" w14:textId="09F5EE5B" w:rsidR="0019061D" w:rsidRPr="005B55FD" w:rsidRDefault="00C27C93" w:rsidP="001E39EE">
            <w:pPr>
              <w:jc w:val="center"/>
              <w:rPr>
                <w:b/>
                <w:bCs/>
                <w:sz w:val="20"/>
                <w:szCs w:val="20"/>
                <w:lang w:val="fr-CA" w:eastAsia="en-CA"/>
              </w:rPr>
            </w:pPr>
            <w:r>
              <w:rPr>
                <w:b/>
                <w:bCs/>
                <w:sz w:val="20"/>
                <w:szCs w:val="20"/>
                <w:lang w:val="fr-CA" w:eastAsia="en-CA"/>
              </w:rPr>
              <w:t>% de décaissement</w:t>
            </w:r>
          </w:p>
        </w:tc>
      </w:tr>
      <w:tr w:rsidR="0053267C" w:rsidRPr="005B55FD" w14:paraId="0C4FF457"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607735D8" w14:textId="77777777" w:rsidR="000B371B" w:rsidRPr="005B55FD" w:rsidRDefault="000B371B" w:rsidP="001E39EE">
            <w:pPr>
              <w:jc w:val="left"/>
              <w:rPr>
                <w:sz w:val="20"/>
                <w:szCs w:val="20"/>
                <w:lang w:val="fr-CA" w:eastAsia="en-CA"/>
              </w:rPr>
            </w:pPr>
            <w:r w:rsidRPr="005B55FD">
              <w:rPr>
                <w:sz w:val="20"/>
                <w:szCs w:val="20"/>
                <w:lang w:val="fr-CA" w:eastAsia="en-CA"/>
              </w:rPr>
              <w:t>1991</w:t>
            </w:r>
          </w:p>
        </w:tc>
        <w:tc>
          <w:tcPr>
            <w:tcW w:w="1066" w:type="dxa"/>
            <w:tcBorders>
              <w:top w:val="nil"/>
              <w:left w:val="nil"/>
              <w:bottom w:val="single" w:sz="4" w:space="0" w:color="auto"/>
              <w:right w:val="single" w:sz="4" w:space="0" w:color="auto"/>
            </w:tcBorders>
            <w:shd w:val="clear" w:color="auto" w:fill="auto"/>
            <w:noWrap/>
            <w:hideMark/>
          </w:tcPr>
          <w:p w14:paraId="585989CA" w14:textId="77777777" w:rsidR="000B371B" w:rsidRPr="005B55FD" w:rsidRDefault="000B371B" w:rsidP="001E39EE">
            <w:pPr>
              <w:jc w:val="right"/>
              <w:rPr>
                <w:sz w:val="20"/>
                <w:szCs w:val="20"/>
                <w:lang w:val="fr-CA" w:eastAsia="en-CA"/>
              </w:rPr>
            </w:pPr>
            <w:r w:rsidRPr="005B55FD">
              <w:rPr>
                <w:sz w:val="20"/>
                <w:szCs w:val="20"/>
                <w:lang w:val="fr-CA" w:eastAsia="en-CA"/>
              </w:rPr>
              <w:t>68</w:t>
            </w:r>
          </w:p>
        </w:tc>
        <w:tc>
          <w:tcPr>
            <w:tcW w:w="1143" w:type="dxa"/>
            <w:tcBorders>
              <w:top w:val="nil"/>
              <w:left w:val="nil"/>
              <w:bottom w:val="single" w:sz="4" w:space="0" w:color="auto"/>
              <w:right w:val="single" w:sz="4" w:space="0" w:color="auto"/>
            </w:tcBorders>
            <w:shd w:val="clear" w:color="auto" w:fill="auto"/>
            <w:noWrap/>
            <w:hideMark/>
          </w:tcPr>
          <w:p w14:paraId="7E0800EA" w14:textId="77777777" w:rsidR="000B371B" w:rsidRPr="005B55FD" w:rsidRDefault="000B371B" w:rsidP="001E39EE">
            <w:pPr>
              <w:jc w:val="right"/>
              <w:rPr>
                <w:sz w:val="20"/>
                <w:szCs w:val="20"/>
                <w:lang w:val="fr-CA" w:eastAsia="en-CA"/>
              </w:rPr>
            </w:pPr>
            <w:r w:rsidRPr="005B55FD">
              <w:rPr>
                <w:sz w:val="20"/>
                <w:szCs w:val="20"/>
                <w:lang w:val="fr-CA" w:eastAsia="en-CA"/>
              </w:rPr>
              <w:t>68</w:t>
            </w:r>
          </w:p>
        </w:tc>
        <w:tc>
          <w:tcPr>
            <w:tcW w:w="1170" w:type="dxa"/>
            <w:tcBorders>
              <w:top w:val="nil"/>
              <w:left w:val="nil"/>
              <w:bottom w:val="single" w:sz="4" w:space="0" w:color="auto"/>
              <w:right w:val="single" w:sz="4" w:space="0" w:color="auto"/>
            </w:tcBorders>
            <w:shd w:val="clear" w:color="auto" w:fill="auto"/>
            <w:noWrap/>
            <w:hideMark/>
          </w:tcPr>
          <w:p w14:paraId="14181EDA"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7C643ED3" w14:textId="0EA532E3" w:rsidR="000B371B" w:rsidRPr="005B55FD" w:rsidRDefault="000B371B" w:rsidP="001E39EE">
            <w:pPr>
              <w:jc w:val="right"/>
              <w:rPr>
                <w:sz w:val="20"/>
                <w:szCs w:val="20"/>
                <w:lang w:val="fr-CA" w:eastAsia="en-CA"/>
              </w:rPr>
            </w:pPr>
            <w:r w:rsidRPr="005B55FD">
              <w:rPr>
                <w:sz w:val="20"/>
                <w:szCs w:val="20"/>
                <w:lang w:val="fr-CA" w:eastAsia="en-CA"/>
              </w:rPr>
              <w:t>7</w:t>
            </w:r>
            <w:r w:rsidR="00C27C93">
              <w:rPr>
                <w:sz w:val="20"/>
                <w:szCs w:val="20"/>
                <w:lang w:val="fr-CA" w:eastAsia="en-CA"/>
              </w:rPr>
              <w:t xml:space="preserve"> </w:t>
            </w:r>
            <w:r w:rsidRPr="005B55FD">
              <w:rPr>
                <w:sz w:val="20"/>
                <w:szCs w:val="20"/>
                <w:lang w:val="fr-CA" w:eastAsia="en-CA"/>
              </w:rPr>
              <w:t>950</w:t>
            </w:r>
            <w:r w:rsidR="00C27C93">
              <w:rPr>
                <w:sz w:val="20"/>
                <w:szCs w:val="20"/>
                <w:lang w:val="fr-CA" w:eastAsia="en-CA"/>
              </w:rPr>
              <w:t xml:space="preserve"> </w:t>
            </w:r>
            <w:r w:rsidRPr="005B55FD">
              <w:rPr>
                <w:sz w:val="20"/>
                <w:szCs w:val="20"/>
                <w:lang w:val="fr-CA" w:eastAsia="en-CA"/>
              </w:rPr>
              <w:t>771</w:t>
            </w:r>
          </w:p>
        </w:tc>
        <w:tc>
          <w:tcPr>
            <w:tcW w:w="1433" w:type="dxa"/>
            <w:tcBorders>
              <w:top w:val="nil"/>
              <w:left w:val="nil"/>
              <w:bottom w:val="single" w:sz="4" w:space="0" w:color="auto"/>
              <w:right w:val="single" w:sz="4" w:space="0" w:color="auto"/>
            </w:tcBorders>
            <w:shd w:val="clear" w:color="auto" w:fill="auto"/>
            <w:noWrap/>
            <w:hideMark/>
          </w:tcPr>
          <w:p w14:paraId="2CCB163F" w14:textId="4CFA2249" w:rsidR="000B371B" w:rsidRPr="005B55FD" w:rsidRDefault="000B371B" w:rsidP="001E39EE">
            <w:pPr>
              <w:jc w:val="right"/>
              <w:rPr>
                <w:sz w:val="20"/>
                <w:szCs w:val="20"/>
                <w:lang w:val="fr-CA"/>
              </w:rPr>
            </w:pPr>
            <w:r w:rsidRPr="005B55FD">
              <w:rPr>
                <w:sz w:val="20"/>
                <w:szCs w:val="20"/>
                <w:lang w:val="fr-CA"/>
              </w:rPr>
              <w:t>7</w:t>
            </w:r>
            <w:r w:rsidR="00C27C93">
              <w:rPr>
                <w:sz w:val="20"/>
                <w:szCs w:val="20"/>
                <w:lang w:val="fr-CA"/>
              </w:rPr>
              <w:t xml:space="preserve"> </w:t>
            </w:r>
            <w:r w:rsidRPr="005B55FD">
              <w:rPr>
                <w:sz w:val="20"/>
                <w:szCs w:val="20"/>
                <w:lang w:val="fr-CA"/>
              </w:rPr>
              <w:t>950</w:t>
            </w:r>
            <w:r w:rsidR="00C27C93">
              <w:rPr>
                <w:sz w:val="20"/>
                <w:szCs w:val="20"/>
                <w:lang w:val="fr-CA"/>
              </w:rPr>
              <w:t xml:space="preserve"> </w:t>
            </w:r>
            <w:r w:rsidRPr="005B55FD">
              <w:rPr>
                <w:sz w:val="20"/>
                <w:szCs w:val="20"/>
                <w:lang w:val="fr-CA"/>
              </w:rPr>
              <w:t>771</w:t>
            </w:r>
          </w:p>
        </w:tc>
        <w:tc>
          <w:tcPr>
            <w:tcW w:w="1216" w:type="dxa"/>
            <w:tcBorders>
              <w:top w:val="nil"/>
              <w:left w:val="nil"/>
              <w:bottom w:val="single" w:sz="4" w:space="0" w:color="auto"/>
              <w:right w:val="single" w:sz="4" w:space="0" w:color="auto"/>
            </w:tcBorders>
            <w:shd w:val="clear" w:color="auto" w:fill="auto"/>
            <w:noWrap/>
            <w:hideMark/>
          </w:tcPr>
          <w:p w14:paraId="06213074" w14:textId="77777777" w:rsidR="000B371B" w:rsidRPr="005B55FD" w:rsidRDefault="000B371B" w:rsidP="001E39EE">
            <w:pPr>
              <w:jc w:val="right"/>
              <w:rPr>
                <w:sz w:val="20"/>
                <w:szCs w:val="20"/>
                <w:lang w:val="fr-CA"/>
              </w:rPr>
            </w:pPr>
            <w:r w:rsidRPr="005B55FD">
              <w:rPr>
                <w:sz w:val="20"/>
                <w:szCs w:val="20"/>
                <w:lang w:val="fr-CA"/>
              </w:rPr>
              <w:t>0</w:t>
            </w:r>
          </w:p>
        </w:tc>
        <w:tc>
          <w:tcPr>
            <w:tcW w:w="1138" w:type="dxa"/>
            <w:tcBorders>
              <w:top w:val="nil"/>
              <w:left w:val="nil"/>
              <w:bottom w:val="single" w:sz="4" w:space="0" w:color="auto"/>
              <w:right w:val="single" w:sz="4" w:space="0" w:color="auto"/>
            </w:tcBorders>
            <w:shd w:val="clear" w:color="auto" w:fill="auto"/>
            <w:noWrap/>
            <w:hideMark/>
          </w:tcPr>
          <w:p w14:paraId="424C8325"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60E1961B" w14:textId="77777777" w:rsidTr="006735F6">
        <w:trPr>
          <w:trHeight w:val="144"/>
        </w:trPr>
        <w:tc>
          <w:tcPr>
            <w:tcW w:w="761" w:type="dxa"/>
            <w:tcBorders>
              <w:top w:val="nil"/>
              <w:left w:val="single" w:sz="4" w:space="0" w:color="auto"/>
              <w:bottom w:val="single" w:sz="4" w:space="0" w:color="auto"/>
              <w:right w:val="single" w:sz="4" w:space="0" w:color="auto"/>
            </w:tcBorders>
            <w:shd w:val="clear" w:color="auto" w:fill="auto"/>
            <w:noWrap/>
            <w:hideMark/>
          </w:tcPr>
          <w:p w14:paraId="725D7589" w14:textId="77777777" w:rsidR="000B371B" w:rsidRPr="005B55FD" w:rsidRDefault="000B371B" w:rsidP="001E39EE">
            <w:pPr>
              <w:jc w:val="left"/>
              <w:rPr>
                <w:sz w:val="20"/>
                <w:szCs w:val="20"/>
                <w:lang w:val="fr-CA" w:eastAsia="en-CA"/>
              </w:rPr>
            </w:pPr>
            <w:r w:rsidRPr="005B55FD">
              <w:rPr>
                <w:sz w:val="20"/>
                <w:szCs w:val="20"/>
                <w:lang w:val="fr-CA" w:eastAsia="en-CA"/>
              </w:rPr>
              <w:t>1992</w:t>
            </w:r>
          </w:p>
        </w:tc>
        <w:tc>
          <w:tcPr>
            <w:tcW w:w="1066" w:type="dxa"/>
            <w:tcBorders>
              <w:top w:val="nil"/>
              <w:left w:val="nil"/>
              <w:bottom w:val="single" w:sz="4" w:space="0" w:color="auto"/>
              <w:right w:val="single" w:sz="4" w:space="0" w:color="auto"/>
            </w:tcBorders>
            <w:shd w:val="clear" w:color="auto" w:fill="auto"/>
            <w:noWrap/>
            <w:hideMark/>
          </w:tcPr>
          <w:p w14:paraId="0672F100" w14:textId="77777777" w:rsidR="000B371B" w:rsidRPr="005B55FD" w:rsidRDefault="000B371B" w:rsidP="001E39EE">
            <w:pPr>
              <w:jc w:val="right"/>
              <w:rPr>
                <w:sz w:val="20"/>
                <w:szCs w:val="20"/>
                <w:lang w:val="fr-CA" w:eastAsia="en-CA"/>
              </w:rPr>
            </w:pPr>
            <w:r w:rsidRPr="005B55FD">
              <w:rPr>
                <w:sz w:val="20"/>
                <w:szCs w:val="20"/>
                <w:lang w:val="fr-CA" w:eastAsia="en-CA"/>
              </w:rPr>
              <w:t>176</w:t>
            </w:r>
          </w:p>
        </w:tc>
        <w:tc>
          <w:tcPr>
            <w:tcW w:w="1143" w:type="dxa"/>
            <w:tcBorders>
              <w:top w:val="nil"/>
              <w:left w:val="nil"/>
              <w:bottom w:val="single" w:sz="4" w:space="0" w:color="auto"/>
              <w:right w:val="single" w:sz="4" w:space="0" w:color="auto"/>
            </w:tcBorders>
            <w:shd w:val="clear" w:color="auto" w:fill="auto"/>
            <w:noWrap/>
            <w:hideMark/>
          </w:tcPr>
          <w:p w14:paraId="02943398" w14:textId="77777777" w:rsidR="000B371B" w:rsidRPr="005B55FD" w:rsidRDefault="000B371B" w:rsidP="001E39EE">
            <w:pPr>
              <w:jc w:val="right"/>
              <w:rPr>
                <w:sz w:val="20"/>
                <w:szCs w:val="20"/>
                <w:lang w:val="fr-CA" w:eastAsia="en-CA"/>
              </w:rPr>
            </w:pPr>
            <w:r w:rsidRPr="005B55FD">
              <w:rPr>
                <w:sz w:val="20"/>
                <w:szCs w:val="20"/>
                <w:lang w:val="fr-CA" w:eastAsia="en-CA"/>
              </w:rPr>
              <w:t>176</w:t>
            </w:r>
          </w:p>
        </w:tc>
        <w:tc>
          <w:tcPr>
            <w:tcW w:w="1170" w:type="dxa"/>
            <w:tcBorders>
              <w:top w:val="nil"/>
              <w:left w:val="nil"/>
              <w:bottom w:val="single" w:sz="4" w:space="0" w:color="auto"/>
              <w:right w:val="single" w:sz="4" w:space="0" w:color="auto"/>
            </w:tcBorders>
            <w:shd w:val="clear" w:color="auto" w:fill="auto"/>
            <w:noWrap/>
            <w:hideMark/>
          </w:tcPr>
          <w:p w14:paraId="0A8BF03D"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358C1979" w14:textId="7BB7F515" w:rsidR="000B371B" w:rsidRPr="005B55FD" w:rsidRDefault="000B371B" w:rsidP="001E39EE">
            <w:pPr>
              <w:jc w:val="right"/>
              <w:rPr>
                <w:sz w:val="20"/>
                <w:szCs w:val="20"/>
                <w:lang w:val="fr-CA" w:eastAsia="en-CA"/>
              </w:rPr>
            </w:pPr>
            <w:r w:rsidRPr="005B55FD">
              <w:rPr>
                <w:sz w:val="20"/>
                <w:szCs w:val="20"/>
                <w:lang w:val="fr-CA" w:eastAsia="en-CA"/>
              </w:rPr>
              <w:t>41</w:t>
            </w:r>
            <w:r w:rsidR="00C27C93">
              <w:rPr>
                <w:sz w:val="20"/>
                <w:szCs w:val="20"/>
                <w:lang w:val="fr-CA" w:eastAsia="en-CA"/>
              </w:rPr>
              <w:t xml:space="preserve"> </w:t>
            </w:r>
            <w:r w:rsidRPr="005B55FD">
              <w:rPr>
                <w:sz w:val="20"/>
                <w:szCs w:val="20"/>
                <w:lang w:val="fr-CA" w:eastAsia="en-CA"/>
              </w:rPr>
              <w:t>261</w:t>
            </w:r>
            <w:r w:rsidR="00C27C93">
              <w:rPr>
                <w:sz w:val="20"/>
                <w:szCs w:val="20"/>
                <w:lang w:val="fr-CA" w:eastAsia="en-CA"/>
              </w:rPr>
              <w:t xml:space="preserve"> </w:t>
            </w:r>
            <w:r w:rsidRPr="005B55FD">
              <w:rPr>
                <w:sz w:val="20"/>
                <w:szCs w:val="20"/>
                <w:lang w:val="fr-CA" w:eastAsia="en-CA"/>
              </w:rPr>
              <w:t>376</w:t>
            </w:r>
          </w:p>
        </w:tc>
        <w:tc>
          <w:tcPr>
            <w:tcW w:w="1433" w:type="dxa"/>
            <w:tcBorders>
              <w:top w:val="nil"/>
              <w:left w:val="nil"/>
              <w:bottom w:val="single" w:sz="4" w:space="0" w:color="auto"/>
              <w:right w:val="single" w:sz="4" w:space="0" w:color="auto"/>
            </w:tcBorders>
            <w:shd w:val="clear" w:color="auto" w:fill="auto"/>
            <w:noWrap/>
            <w:hideMark/>
          </w:tcPr>
          <w:p w14:paraId="5ABA0219" w14:textId="1663D317" w:rsidR="000B371B" w:rsidRPr="005B55FD" w:rsidRDefault="000B371B" w:rsidP="001E39EE">
            <w:pPr>
              <w:jc w:val="right"/>
              <w:rPr>
                <w:sz w:val="20"/>
                <w:szCs w:val="20"/>
                <w:lang w:val="fr-CA"/>
              </w:rPr>
            </w:pPr>
            <w:r w:rsidRPr="005B55FD">
              <w:rPr>
                <w:sz w:val="20"/>
                <w:szCs w:val="20"/>
                <w:lang w:val="fr-CA"/>
              </w:rPr>
              <w:t>41</w:t>
            </w:r>
            <w:r w:rsidR="00C27C93">
              <w:rPr>
                <w:sz w:val="20"/>
                <w:szCs w:val="20"/>
                <w:lang w:val="fr-CA"/>
              </w:rPr>
              <w:t xml:space="preserve"> </w:t>
            </w:r>
            <w:r w:rsidRPr="005B55FD">
              <w:rPr>
                <w:sz w:val="20"/>
                <w:szCs w:val="20"/>
                <w:lang w:val="fr-CA"/>
              </w:rPr>
              <w:t>261</w:t>
            </w:r>
            <w:r w:rsidR="00C27C93">
              <w:rPr>
                <w:sz w:val="20"/>
                <w:szCs w:val="20"/>
                <w:lang w:val="fr-CA"/>
              </w:rPr>
              <w:t xml:space="preserve"> </w:t>
            </w:r>
            <w:r w:rsidRPr="005B55FD">
              <w:rPr>
                <w:sz w:val="20"/>
                <w:szCs w:val="20"/>
                <w:lang w:val="fr-CA"/>
              </w:rPr>
              <w:t>376</w:t>
            </w:r>
          </w:p>
        </w:tc>
        <w:tc>
          <w:tcPr>
            <w:tcW w:w="1216" w:type="dxa"/>
            <w:tcBorders>
              <w:top w:val="nil"/>
              <w:left w:val="nil"/>
              <w:bottom w:val="single" w:sz="4" w:space="0" w:color="auto"/>
              <w:right w:val="single" w:sz="4" w:space="0" w:color="auto"/>
            </w:tcBorders>
            <w:shd w:val="clear" w:color="auto" w:fill="auto"/>
            <w:noWrap/>
            <w:hideMark/>
          </w:tcPr>
          <w:p w14:paraId="2CEF711E" w14:textId="77777777" w:rsidR="000B371B" w:rsidRPr="005B55FD" w:rsidRDefault="000B371B" w:rsidP="001E39EE">
            <w:pPr>
              <w:jc w:val="right"/>
              <w:rPr>
                <w:sz w:val="20"/>
                <w:szCs w:val="20"/>
                <w:lang w:val="fr-CA"/>
              </w:rPr>
            </w:pPr>
            <w:r w:rsidRPr="005B55FD">
              <w:rPr>
                <w:sz w:val="20"/>
                <w:szCs w:val="20"/>
                <w:lang w:val="fr-CA"/>
              </w:rPr>
              <w:t>0</w:t>
            </w:r>
          </w:p>
        </w:tc>
        <w:tc>
          <w:tcPr>
            <w:tcW w:w="1138" w:type="dxa"/>
            <w:tcBorders>
              <w:top w:val="nil"/>
              <w:left w:val="nil"/>
              <w:bottom w:val="single" w:sz="4" w:space="0" w:color="auto"/>
              <w:right w:val="single" w:sz="4" w:space="0" w:color="auto"/>
            </w:tcBorders>
            <w:shd w:val="clear" w:color="auto" w:fill="auto"/>
            <w:noWrap/>
            <w:hideMark/>
          </w:tcPr>
          <w:p w14:paraId="78D36549"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7BF57097"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49487BED" w14:textId="77777777" w:rsidR="000B371B" w:rsidRPr="005B55FD" w:rsidRDefault="000B371B" w:rsidP="001E39EE">
            <w:pPr>
              <w:jc w:val="left"/>
              <w:rPr>
                <w:sz w:val="20"/>
                <w:szCs w:val="20"/>
                <w:lang w:val="fr-CA" w:eastAsia="en-CA"/>
              </w:rPr>
            </w:pPr>
            <w:r w:rsidRPr="005B55FD">
              <w:rPr>
                <w:sz w:val="20"/>
                <w:szCs w:val="20"/>
                <w:lang w:val="fr-CA" w:eastAsia="en-CA"/>
              </w:rPr>
              <w:t>1993</w:t>
            </w:r>
          </w:p>
        </w:tc>
        <w:tc>
          <w:tcPr>
            <w:tcW w:w="1066" w:type="dxa"/>
            <w:tcBorders>
              <w:top w:val="nil"/>
              <w:left w:val="nil"/>
              <w:bottom w:val="single" w:sz="4" w:space="0" w:color="auto"/>
              <w:right w:val="single" w:sz="4" w:space="0" w:color="auto"/>
            </w:tcBorders>
            <w:shd w:val="clear" w:color="auto" w:fill="auto"/>
            <w:noWrap/>
            <w:hideMark/>
          </w:tcPr>
          <w:p w14:paraId="7CC6FF12" w14:textId="77777777" w:rsidR="000B371B" w:rsidRPr="005B55FD" w:rsidRDefault="000B371B" w:rsidP="001E39EE">
            <w:pPr>
              <w:jc w:val="right"/>
              <w:rPr>
                <w:sz w:val="20"/>
                <w:szCs w:val="20"/>
                <w:lang w:val="fr-CA" w:eastAsia="en-CA"/>
              </w:rPr>
            </w:pPr>
            <w:r w:rsidRPr="005B55FD">
              <w:rPr>
                <w:sz w:val="20"/>
                <w:szCs w:val="20"/>
                <w:lang w:val="fr-CA" w:eastAsia="en-CA"/>
              </w:rPr>
              <w:t>217</w:t>
            </w:r>
          </w:p>
        </w:tc>
        <w:tc>
          <w:tcPr>
            <w:tcW w:w="1143" w:type="dxa"/>
            <w:tcBorders>
              <w:top w:val="nil"/>
              <w:left w:val="nil"/>
              <w:bottom w:val="single" w:sz="4" w:space="0" w:color="auto"/>
              <w:right w:val="single" w:sz="4" w:space="0" w:color="auto"/>
            </w:tcBorders>
            <w:shd w:val="clear" w:color="auto" w:fill="auto"/>
            <w:noWrap/>
            <w:hideMark/>
          </w:tcPr>
          <w:p w14:paraId="79345CC8" w14:textId="77777777" w:rsidR="000B371B" w:rsidRPr="005B55FD" w:rsidRDefault="000B371B" w:rsidP="001E39EE">
            <w:pPr>
              <w:jc w:val="right"/>
              <w:rPr>
                <w:sz w:val="20"/>
                <w:szCs w:val="20"/>
                <w:lang w:val="fr-CA" w:eastAsia="en-CA"/>
              </w:rPr>
            </w:pPr>
            <w:r w:rsidRPr="005B55FD">
              <w:rPr>
                <w:sz w:val="20"/>
                <w:szCs w:val="20"/>
                <w:lang w:val="fr-CA" w:eastAsia="en-CA"/>
              </w:rPr>
              <w:t>217</w:t>
            </w:r>
          </w:p>
        </w:tc>
        <w:tc>
          <w:tcPr>
            <w:tcW w:w="1170" w:type="dxa"/>
            <w:tcBorders>
              <w:top w:val="nil"/>
              <w:left w:val="nil"/>
              <w:bottom w:val="single" w:sz="4" w:space="0" w:color="auto"/>
              <w:right w:val="single" w:sz="4" w:space="0" w:color="auto"/>
            </w:tcBorders>
            <w:shd w:val="clear" w:color="auto" w:fill="auto"/>
            <w:noWrap/>
            <w:hideMark/>
          </w:tcPr>
          <w:p w14:paraId="68D85F9D"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4FD8E6B9" w14:textId="24609608" w:rsidR="000B371B" w:rsidRPr="005B55FD" w:rsidRDefault="000B371B" w:rsidP="001E39EE">
            <w:pPr>
              <w:jc w:val="right"/>
              <w:rPr>
                <w:sz w:val="20"/>
                <w:szCs w:val="20"/>
                <w:lang w:val="fr-CA" w:eastAsia="en-CA"/>
              </w:rPr>
            </w:pPr>
            <w:r w:rsidRPr="005B55FD">
              <w:rPr>
                <w:sz w:val="20"/>
                <w:szCs w:val="20"/>
                <w:lang w:val="fr-CA" w:eastAsia="en-CA"/>
              </w:rPr>
              <w:t>73</w:t>
            </w:r>
            <w:r w:rsidR="00C27C93">
              <w:rPr>
                <w:sz w:val="20"/>
                <w:szCs w:val="20"/>
                <w:lang w:val="fr-CA" w:eastAsia="en-CA"/>
              </w:rPr>
              <w:t xml:space="preserve"> </w:t>
            </w:r>
            <w:r w:rsidRPr="005B55FD">
              <w:rPr>
                <w:sz w:val="20"/>
                <w:szCs w:val="20"/>
                <w:lang w:val="fr-CA" w:eastAsia="en-CA"/>
              </w:rPr>
              <w:t>198</w:t>
            </w:r>
            <w:r w:rsidR="00C27C93">
              <w:rPr>
                <w:sz w:val="20"/>
                <w:szCs w:val="20"/>
                <w:lang w:val="fr-CA" w:eastAsia="en-CA"/>
              </w:rPr>
              <w:t xml:space="preserve"> </w:t>
            </w:r>
            <w:r w:rsidRPr="005B55FD">
              <w:rPr>
                <w:sz w:val="20"/>
                <w:szCs w:val="20"/>
                <w:lang w:val="fr-CA" w:eastAsia="en-CA"/>
              </w:rPr>
              <w:t>586</w:t>
            </w:r>
          </w:p>
        </w:tc>
        <w:tc>
          <w:tcPr>
            <w:tcW w:w="1433" w:type="dxa"/>
            <w:tcBorders>
              <w:top w:val="nil"/>
              <w:left w:val="nil"/>
              <w:bottom w:val="single" w:sz="4" w:space="0" w:color="auto"/>
              <w:right w:val="single" w:sz="4" w:space="0" w:color="auto"/>
            </w:tcBorders>
            <w:shd w:val="clear" w:color="auto" w:fill="auto"/>
            <w:noWrap/>
            <w:hideMark/>
          </w:tcPr>
          <w:p w14:paraId="4F181522" w14:textId="4C98DDE2" w:rsidR="000B371B" w:rsidRPr="005B55FD" w:rsidRDefault="000B371B" w:rsidP="001E39EE">
            <w:pPr>
              <w:jc w:val="right"/>
              <w:rPr>
                <w:sz w:val="20"/>
                <w:szCs w:val="20"/>
                <w:lang w:val="fr-CA"/>
              </w:rPr>
            </w:pPr>
            <w:r w:rsidRPr="005B55FD">
              <w:rPr>
                <w:sz w:val="20"/>
                <w:szCs w:val="20"/>
                <w:lang w:val="fr-CA"/>
              </w:rPr>
              <w:t>73</w:t>
            </w:r>
            <w:r w:rsidR="00C27C93">
              <w:rPr>
                <w:sz w:val="20"/>
                <w:szCs w:val="20"/>
                <w:lang w:val="fr-CA"/>
              </w:rPr>
              <w:t xml:space="preserve"> </w:t>
            </w:r>
            <w:r w:rsidRPr="005B55FD">
              <w:rPr>
                <w:sz w:val="20"/>
                <w:szCs w:val="20"/>
                <w:lang w:val="fr-CA"/>
              </w:rPr>
              <w:t>198</w:t>
            </w:r>
            <w:r w:rsidR="00C27C93">
              <w:rPr>
                <w:sz w:val="20"/>
                <w:szCs w:val="20"/>
                <w:lang w:val="fr-CA"/>
              </w:rPr>
              <w:t xml:space="preserve"> </w:t>
            </w:r>
            <w:r w:rsidRPr="005B55FD">
              <w:rPr>
                <w:sz w:val="20"/>
                <w:szCs w:val="20"/>
                <w:lang w:val="fr-CA"/>
              </w:rPr>
              <w:t>586</w:t>
            </w:r>
          </w:p>
        </w:tc>
        <w:tc>
          <w:tcPr>
            <w:tcW w:w="1216" w:type="dxa"/>
            <w:tcBorders>
              <w:top w:val="nil"/>
              <w:left w:val="nil"/>
              <w:bottom w:val="single" w:sz="4" w:space="0" w:color="auto"/>
              <w:right w:val="single" w:sz="4" w:space="0" w:color="auto"/>
            </w:tcBorders>
            <w:shd w:val="clear" w:color="auto" w:fill="auto"/>
            <w:noWrap/>
            <w:hideMark/>
          </w:tcPr>
          <w:p w14:paraId="69EF8F97" w14:textId="77777777" w:rsidR="000B371B" w:rsidRPr="005B55FD" w:rsidRDefault="000B371B" w:rsidP="001E39EE">
            <w:pPr>
              <w:jc w:val="right"/>
              <w:rPr>
                <w:sz w:val="20"/>
                <w:szCs w:val="20"/>
                <w:lang w:val="fr-CA"/>
              </w:rPr>
            </w:pPr>
            <w:r w:rsidRPr="005B55FD">
              <w:rPr>
                <w:sz w:val="20"/>
                <w:szCs w:val="20"/>
                <w:lang w:val="fr-CA"/>
              </w:rPr>
              <w:t>0</w:t>
            </w:r>
          </w:p>
        </w:tc>
        <w:tc>
          <w:tcPr>
            <w:tcW w:w="1138" w:type="dxa"/>
            <w:tcBorders>
              <w:top w:val="nil"/>
              <w:left w:val="nil"/>
              <w:bottom w:val="single" w:sz="4" w:space="0" w:color="auto"/>
              <w:right w:val="single" w:sz="4" w:space="0" w:color="auto"/>
            </w:tcBorders>
            <w:shd w:val="clear" w:color="auto" w:fill="auto"/>
            <w:noWrap/>
            <w:hideMark/>
          </w:tcPr>
          <w:p w14:paraId="266496AF"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125B6D35" w14:textId="77777777" w:rsidTr="006735F6">
        <w:trPr>
          <w:trHeight w:val="94"/>
        </w:trPr>
        <w:tc>
          <w:tcPr>
            <w:tcW w:w="761" w:type="dxa"/>
            <w:tcBorders>
              <w:top w:val="nil"/>
              <w:left w:val="single" w:sz="4" w:space="0" w:color="auto"/>
              <w:bottom w:val="single" w:sz="4" w:space="0" w:color="auto"/>
              <w:right w:val="single" w:sz="4" w:space="0" w:color="auto"/>
            </w:tcBorders>
            <w:shd w:val="clear" w:color="auto" w:fill="auto"/>
            <w:noWrap/>
            <w:hideMark/>
          </w:tcPr>
          <w:p w14:paraId="11ED59D4" w14:textId="77777777" w:rsidR="000B371B" w:rsidRPr="005B55FD" w:rsidRDefault="000B371B" w:rsidP="001E39EE">
            <w:pPr>
              <w:jc w:val="left"/>
              <w:rPr>
                <w:sz w:val="20"/>
                <w:szCs w:val="20"/>
                <w:lang w:val="fr-CA" w:eastAsia="en-CA"/>
              </w:rPr>
            </w:pPr>
            <w:r w:rsidRPr="005B55FD">
              <w:rPr>
                <w:sz w:val="20"/>
                <w:szCs w:val="20"/>
                <w:lang w:val="fr-CA" w:eastAsia="en-CA"/>
              </w:rPr>
              <w:t>1994</w:t>
            </w:r>
          </w:p>
        </w:tc>
        <w:tc>
          <w:tcPr>
            <w:tcW w:w="1066" w:type="dxa"/>
            <w:tcBorders>
              <w:top w:val="nil"/>
              <w:left w:val="nil"/>
              <w:bottom w:val="single" w:sz="4" w:space="0" w:color="auto"/>
              <w:right w:val="single" w:sz="4" w:space="0" w:color="auto"/>
            </w:tcBorders>
            <w:shd w:val="clear" w:color="auto" w:fill="auto"/>
            <w:noWrap/>
            <w:hideMark/>
          </w:tcPr>
          <w:p w14:paraId="599BCEFD" w14:textId="77777777" w:rsidR="000B371B" w:rsidRPr="005B55FD" w:rsidRDefault="000B371B" w:rsidP="001E39EE">
            <w:pPr>
              <w:jc w:val="right"/>
              <w:rPr>
                <w:sz w:val="20"/>
                <w:szCs w:val="20"/>
                <w:lang w:val="fr-CA" w:eastAsia="en-CA"/>
              </w:rPr>
            </w:pPr>
            <w:r w:rsidRPr="005B55FD">
              <w:rPr>
                <w:sz w:val="20"/>
                <w:szCs w:val="20"/>
                <w:lang w:val="fr-CA" w:eastAsia="en-CA"/>
              </w:rPr>
              <w:t>379</w:t>
            </w:r>
          </w:p>
        </w:tc>
        <w:tc>
          <w:tcPr>
            <w:tcW w:w="1143" w:type="dxa"/>
            <w:tcBorders>
              <w:top w:val="nil"/>
              <w:left w:val="nil"/>
              <w:bottom w:val="single" w:sz="4" w:space="0" w:color="auto"/>
              <w:right w:val="single" w:sz="4" w:space="0" w:color="auto"/>
            </w:tcBorders>
            <w:shd w:val="clear" w:color="auto" w:fill="auto"/>
            <w:noWrap/>
            <w:hideMark/>
          </w:tcPr>
          <w:p w14:paraId="4960A9DC" w14:textId="77777777" w:rsidR="000B371B" w:rsidRPr="005B55FD" w:rsidRDefault="000B371B" w:rsidP="001E39EE">
            <w:pPr>
              <w:jc w:val="right"/>
              <w:rPr>
                <w:sz w:val="20"/>
                <w:szCs w:val="20"/>
                <w:lang w:val="fr-CA" w:eastAsia="en-CA"/>
              </w:rPr>
            </w:pPr>
            <w:r w:rsidRPr="005B55FD">
              <w:rPr>
                <w:sz w:val="20"/>
                <w:szCs w:val="20"/>
                <w:lang w:val="fr-CA" w:eastAsia="en-CA"/>
              </w:rPr>
              <w:t>379</w:t>
            </w:r>
          </w:p>
        </w:tc>
        <w:tc>
          <w:tcPr>
            <w:tcW w:w="1170" w:type="dxa"/>
            <w:tcBorders>
              <w:top w:val="nil"/>
              <w:left w:val="nil"/>
              <w:bottom w:val="single" w:sz="4" w:space="0" w:color="auto"/>
              <w:right w:val="single" w:sz="4" w:space="0" w:color="auto"/>
            </w:tcBorders>
            <w:shd w:val="clear" w:color="auto" w:fill="auto"/>
            <w:noWrap/>
            <w:hideMark/>
          </w:tcPr>
          <w:p w14:paraId="1C61309F"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5792F31E" w14:textId="2736DBC2" w:rsidR="000B371B" w:rsidRPr="005B55FD" w:rsidRDefault="000B371B" w:rsidP="001E39EE">
            <w:pPr>
              <w:jc w:val="right"/>
              <w:rPr>
                <w:sz w:val="20"/>
                <w:szCs w:val="20"/>
                <w:lang w:val="fr-CA" w:eastAsia="en-CA"/>
              </w:rPr>
            </w:pPr>
            <w:r w:rsidRPr="005B55FD">
              <w:rPr>
                <w:sz w:val="20"/>
                <w:szCs w:val="20"/>
                <w:lang w:val="fr-CA" w:eastAsia="en-CA"/>
              </w:rPr>
              <w:t>128</w:t>
            </w:r>
            <w:r w:rsidR="00C27C93">
              <w:rPr>
                <w:sz w:val="20"/>
                <w:szCs w:val="20"/>
                <w:lang w:val="fr-CA" w:eastAsia="en-CA"/>
              </w:rPr>
              <w:t xml:space="preserve"> </w:t>
            </w:r>
            <w:r w:rsidRPr="005B55FD">
              <w:rPr>
                <w:sz w:val="20"/>
                <w:szCs w:val="20"/>
                <w:lang w:val="fr-CA" w:eastAsia="en-CA"/>
              </w:rPr>
              <w:t>630</w:t>
            </w:r>
            <w:r w:rsidR="00C27C93">
              <w:rPr>
                <w:sz w:val="20"/>
                <w:szCs w:val="20"/>
                <w:lang w:val="fr-CA" w:eastAsia="en-CA"/>
              </w:rPr>
              <w:t xml:space="preserve"> </w:t>
            </w:r>
            <w:r w:rsidRPr="005B55FD">
              <w:rPr>
                <w:sz w:val="20"/>
                <w:szCs w:val="20"/>
                <w:lang w:val="fr-CA" w:eastAsia="en-CA"/>
              </w:rPr>
              <w:t>290</w:t>
            </w:r>
          </w:p>
        </w:tc>
        <w:tc>
          <w:tcPr>
            <w:tcW w:w="1433" w:type="dxa"/>
            <w:tcBorders>
              <w:top w:val="nil"/>
              <w:left w:val="nil"/>
              <w:bottom w:val="single" w:sz="4" w:space="0" w:color="auto"/>
              <w:right w:val="single" w:sz="4" w:space="0" w:color="auto"/>
            </w:tcBorders>
            <w:shd w:val="clear" w:color="auto" w:fill="auto"/>
            <w:noWrap/>
            <w:hideMark/>
          </w:tcPr>
          <w:p w14:paraId="3B8597F2" w14:textId="4724D80B" w:rsidR="000B371B" w:rsidRPr="005B55FD" w:rsidRDefault="000B371B" w:rsidP="001E39EE">
            <w:pPr>
              <w:jc w:val="right"/>
              <w:rPr>
                <w:sz w:val="20"/>
                <w:szCs w:val="20"/>
                <w:lang w:val="fr-CA"/>
              </w:rPr>
            </w:pPr>
            <w:r w:rsidRPr="005B55FD">
              <w:rPr>
                <w:sz w:val="20"/>
                <w:szCs w:val="20"/>
                <w:lang w:val="fr-CA"/>
              </w:rPr>
              <w:t>128</w:t>
            </w:r>
            <w:r w:rsidR="00C27C93">
              <w:rPr>
                <w:sz w:val="20"/>
                <w:szCs w:val="20"/>
                <w:lang w:val="fr-CA"/>
              </w:rPr>
              <w:t xml:space="preserve"> </w:t>
            </w:r>
            <w:r w:rsidRPr="005B55FD">
              <w:rPr>
                <w:sz w:val="20"/>
                <w:szCs w:val="20"/>
                <w:lang w:val="fr-CA"/>
              </w:rPr>
              <w:t>630</w:t>
            </w:r>
            <w:r w:rsidR="00C27C93">
              <w:rPr>
                <w:sz w:val="20"/>
                <w:szCs w:val="20"/>
                <w:lang w:val="fr-CA"/>
              </w:rPr>
              <w:t xml:space="preserve"> </w:t>
            </w:r>
            <w:r w:rsidRPr="005B55FD">
              <w:rPr>
                <w:sz w:val="20"/>
                <w:szCs w:val="20"/>
                <w:lang w:val="fr-CA"/>
              </w:rPr>
              <w:t>290</w:t>
            </w:r>
          </w:p>
        </w:tc>
        <w:tc>
          <w:tcPr>
            <w:tcW w:w="1216" w:type="dxa"/>
            <w:tcBorders>
              <w:top w:val="nil"/>
              <w:left w:val="nil"/>
              <w:bottom w:val="single" w:sz="4" w:space="0" w:color="auto"/>
              <w:right w:val="single" w:sz="4" w:space="0" w:color="auto"/>
            </w:tcBorders>
            <w:shd w:val="clear" w:color="auto" w:fill="auto"/>
            <w:noWrap/>
            <w:hideMark/>
          </w:tcPr>
          <w:p w14:paraId="0F22F4C9" w14:textId="77777777" w:rsidR="000B371B" w:rsidRPr="005B55FD" w:rsidRDefault="000B371B" w:rsidP="001E39EE">
            <w:pPr>
              <w:jc w:val="right"/>
              <w:rPr>
                <w:sz w:val="20"/>
                <w:szCs w:val="20"/>
                <w:lang w:val="fr-CA"/>
              </w:rPr>
            </w:pPr>
            <w:r w:rsidRPr="005B55FD">
              <w:rPr>
                <w:sz w:val="20"/>
                <w:szCs w:val="20"/>
                <w:lang w:val="fr-CA"/>
              </w:rPr>
              <w:t>0</w:t>
            </w:r>
          </w:p>
        </w:tc>
        <w:tc>
          <w:tcPr>
            <w:tcW w:w="1138" w:type="dxa"/>
            <w:tcBorders>
              <w:top w:val="nil"/>
              <w:left w:val="nil"/>
              <w:bottom w:val="single" w:sz="4" w:space="0" w:color="auto"/>
              <w:right w:val="single" w:sz="4" w:space="0" w:color="auto"/>
            </w:tcBorders>
            <w:shd w:val="clear" w:color="auto" w:fill="auto"/>
            <w:noWrap/>
            <w:hideMark/>
          </w:tcPr>
          <w:p w14:paraId="4B157CA4"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3AC5F46E"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5879449F" w14:textId="77777777" w:rsidR="000B371B" w:rsidRPr="005B55FD" w:rsidRDefault="000B371B" w:rsidP="001E39EE">
            <w:pPr>
              <w:jc w:val="left"/>
              <w:rPr>
                <w:sz w:val="20"/>
                <w:szCs w:val="20"/>
                <w:lang w:val="fr-CA" w:eastAsia="en-CA"/>
              </w:rPr>
            </w:pPr>
            <w:r w:rsidRPr="005B55FD">
              <w:rPr>
                <w:sz w:val="20"/>
                <w:szCs w:val="20"/>
                <w:lang w:val="fr-CA" w:eastAsia="en-CA"/>
              </w:rPr>
              <w:t>1995</w:t>
            </w:r>
          </w:p>
        </w:tc>
        <w:tc>
          <w:tcPr>
            <w:tcW w:w="1066" w:type="dxa"/>
            <w:tcBorders>
              <w:top w:val="nil"/>
              <w:left w:val="nil"/>
              <w:bottom w:val="single" w:sz="4" w:space="0" w:color="auto"/>
              <w:right w:val="single" w:sz="4" w:space="0" w:color="auto"/>
            </w:tcBorders>
            <w:shd w:val="clear" w:color="auto" w:fill="auto"/>
            <w:noWrap/>
            <w:hideMark/>
          </w:tcPr>
          <w:p w14:paraId="3F4A74B5" w14:textId="77777777" w:rsidR="000B371B" w:rsidRPr="005B55FD" w:rsidRDefault="000B371B" w:rsidP="001E39EE">
            <w:pPr>
              <w:jc w:val="right"/>
              <w:rPr>
                <w:sz w:val="20"/>
                <w:szCs w:val="20"/>
                <w:lang w:val="fr-CA" w:eastAsia="en-CA"/>
              </w:rPr>
            </w:pPr>
            <w:r w:rsidRPr="005B55FD">
              <w:rPr>
                <w:sz w:val="20"/>
                <w:szCs w:val="20"/>
                <w:lang w:val="fr-CA" w:eastAsia="en-CA"/>
              </w:rPr>
              <w:t>355</w:t>
            </w:r>
          </w:p>
        </w:tc>
        <w:tc>
          <w:tcPr>
            <w:tcW w:w="1143" w:type="dxa"/>
            <w:tcBorders>
              <w:top w:val="nil"/>
              <w:left w:val="nil"/>
              <w:bottom w:val="single" w:sz="4" w:space="0" w:color="auto"/>
              <w:right w:val="single" w:sz="4" w:space="0" w:color="auto"/>
            </w:tcBorders>
            <w:shd w:val="clear" w:color="auto" w:fill="auto"/>
            <w:noWrap/>
            <w:hideMark/>
          </w:tcPr>
          <w:p w14:paraId="266C21A4" w14:textId="77777777" w:rsidR="000B371B" w:rsidRPr="005B55FD" w:rsidRDefault="000B371B" w:rsidP="001E39EE">
            <w:pPr>
              <w:jc w:val="right"/>
              <w:rPr>
                <w:sz w:val="20"/>
                <w:szCs w:val="20"/>
                <w:lang w:val="fr-CA" w:eastAsia="en-CA"/>
              </w:rPr>
            </w:pPr>
            <w:r w:rsidRPr="005B55FD">
              <w:rPr>
                <w:sz w:val="20"/>
                <w:szCs w:val="20"/>
                <w:lang w:val="fr-CA" w:eastAsia="en-CA"/>
              </w:rPr>
              <w:t>355</w:t>
            </w:r>
          </w:p>
        </w:tc>
        <w:tc>
          <w:tcPr>
            <w:tcW w:w="1170" w:type="dxa"/>
            <w:tcBorders>
              <w:top w:val="nil"/>
              <w:left w:val="nil"/>
              <w:bottom w:val="single" w:sz="4" w:space="0" w:color="auto"/>
              <w:right w:val="single" w:sz="4" w:space="0" w:color="auto"/>
            </w:tcBorders>
            <w:shd w:val="clear" w:color="auto" w:fill="auto"/>
            <w:noWrap/>
            <w:hideMark/>
          </w:tcPr>
          <w:p w14:paraId="1D535AE9"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21D35751" w14:textId="1FAE64CF" w:rsidR="000B371B" w:rsidRPr="005B55FD" w:rsidRDefault="000B371B" w:rsidP="001E39EE">
            <w:pPr>
              <w:jc w:val="right"/>
              <w:rPr>
                <w:sz w:val="20"/>
                <w:szCs w:val="20"/>
                <w:lang w:val="fr-CA" w:eastAsia="en-CA"/>
              </w:rPr>
            </w:pPr>
            <w:r w:rsidRPr="005B55FD">
              <w:rPr>
                <w:sz w:val="20"/>
                <w:szCs w:val="20"/>
                <w:lang w:val="fr-CA" w:eastAsia="en-CA"/>
              </w:rPr>
              <w:t>111</w:t>
            </w:r>
            <w:r w:rsidR="00C27C93">
              <w:rPr>
                <w:sz w:val="20"/>
                <w:szCs w:val="20"/>
                <w:lang w:val="fr-CA" w:eastAsia="en-CA"/>
              </w:rPr>
              <w:t xml:space="preserve"> </w:t>
            </w:r>
            <w:r w:rsidRPr="005B55FD">
              <w:rPr>
                <w:sz w:val="20"/>
                <w:szCs w:val="20"/>
                <w:lang w:val="fr-CA" w:eastAsia="en-CA"/>
              </w:rPr>
              <w:t>188</w:t>
            </w:r>
            <w:r w:rsidR="00C27C93">
              <w:rPr>
                <w:sz w:val="20"/>
                <w:szCs w:val="20"/>
                <w:lang w:val="fr-CA" w:eastAsia="en-CA"/>
              </w:rPr>
              <w:t xml:space="preserve"> </w:t>
            </w:r>
            <w:r w:rsidRPr="005B55FD">
              <w:rPr>
                <w:sz w:val="20"/>
                <w:szCs w:val="20"/>
                <w:lang w:val="fr-CA" w:eastAsia="en-CA"/>
              </w:rPr>
              <w:t>309</w:t>
            </w:r>
          </w:p>
        </w:tc>
        <w:tc>
          <w:tcPr>
            <w:tcW w:w="1433" w:type="dxa"/>
            <w:tcBorders>
              <w:top w:val="nil"/>
              <w:left w:val="nil"/>
              <w:bottom w:val="single" w:sz="4" w:space="0" w:color="auto"/>
              <w:right w:val="single" w:sz="4" w:space="0" w:color="auto"/>
            </w:tcBorders>
            <w:shd w:val="clear" w:color="auto" w:fill="auto"/>
            <w:noWrap/>
            <w:hideMark/>
          </w:tcPr>
          <w:p w14:paraId="43C97A85" w14:textId="179C5B95" w:rsidR="000B371B" w:rsidRPr="005B55FD" w:rsidRDefault="000B371B" w:rsidP="001E39EE">
            <w:pPr>
              <w:jc w:val="right"/>
              <w:rPr>
                <w:sz w:val="20"/>
                <w:szCs w:val="20"/>
                <w:lang w:val="fr-CA"/>
              </w:rPr>
            </w:pPr>
            <w:r w:rsidRPr="005B55FD">
              <w:rPr>
                <w:sz w:val="20"/>
                <w:szCs w:val="20"/>
                <w:lang w:val="fr-CA"/>
              </w:rPr>
              <w:t>111</w:t>
            </w:r>
            <w:r w:rsidR="00C27C93">
              <w:rPr>
                <w:sz w:val="20"/>
                <w:szCs w:val="20"/>
                <w:lang w:val="fr-CA"/>
              </w:rPr>
              <w:t xml:space="preserve"> </w:t>
            </w:r>
            <w:r w:rsidRPr="005B55FD">
              <w:rPr>
                <w:sz w:val="20"/>
                <w:szCs w:val="20"/>
                <w:lang w:val="fr-CA"/>
              </w:rPr>
              <w:t>188</w:t>
            </w:r>
            <w:r w:rsidR="00C27C93">
              <w:rPr>
                <w:sz w:val="20"/>
                <w:szCs w:val="20"/>
                <w:lang w:val="fr-CA"/>
              </w:rPr>
              <w:t xml:space="preserve"> </w:t>
            </w:r>
            <w:r w:rsidRPr="005B55FD">
              <w:rPr>
                <w:sz w:val="20"/>
                <w:szCs w:val="20"/>
                <w:lang w:val="fr-CA"/>
              </w:rPr>
              <w:t>309</w:t>
            </w:r>
          </w:p>
        </w:tc>
        <w:tc>
          <w:tcPr>
            <w:tcW w:w="1216" w:type="dxa"/>
            <w:tcBorders>
              <w:top w:val="nil"/>
              <w:left w:val="nil"/>
              <w:bottom w:val="single" w:sz="4" w:space="0" w:color="auto"/>
              <w:right w:val="single" w:sz="4" w:space="0" w:color="auto"/>
            </w:tcBorders>
            <w:shd w:val="clear" w:color="auto" w:fill="auto"/>
            <w:noWrap/>
            <w:hideMark/>
          </w:tcPr>
          <w:p w14:paraId="236E0DB8" w14:textId="77777777" w:rsidR="000B371B" w:rsidRPr="005B55FD" w:rsidRDefault="000B371B" w:rsidP="001E39EE">
            <w:pPr>
              <w:jc w:val="right"/>
              <w:rPr>
                <w:sz w:val="20"/>
                <w:szCs w:val="20"/>
                <w:lang w:val="fr-CA"/>
              </w:rPr>
            </w:pPr>
            <w:r w:rsidRPr="005B55FD">
              <w:rPr>
                <w:sz w:val="20"/>
                <w:szCs w:val="20"/>
                <w:lang w:val="fr-CA"/>
              </w:rPr>
              <w:t>0</w:t>
            </w:r>
          </w:p>
        </w:tc>
        <w:tc>
          <w:tcPr>
            <w:tcW w:w="1138" w:type="dxa"/>
            <w:tcBorders>
              <w:top w:val="nil"/>
              <w:left w:val="nil"/>
              <w:bottom w:val="single" w:sz="4" w:space="0" w:color="auto"/>
              <w:right w:val="single" w:sz="4" w:space="0" w:color="auto"/>
            </w:tcBorders>
            <w:shd w:val="clear" w:color="auto" w:fill="auto"/>
            <w:noWrap/>
            <w:hideMark/>
          </w:tcPr>
          <w:p w14:paraId="501117AC"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455B06B7"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573EFCB9" w14:textId="77777777" w:rsidR="000B371B" w:rsidRPr="005B55FD" w:rsidRDefault="000B371B" w:rsidP="001E39EE">
            <w:pPr>
              <w:jc w:val="left"/>
              <w:rPr>
                <w:sz w:val="20"/>
                <w:szCs w:val="20"/>
                <w:lang w:val="fr-CA" w:eastAsia="en-CA"/>
              </w:rPr>
            </w:pPr>
            <w:r w:rsidRPr="005B55FD">
              <w:rPr>
                <w:sz w:val="20"/>
                <w:szCs w:val="20"/>
                <w:lang w:val="fr-CA" w:eastAsia="en-CA"/>
              </w:rPr>
              <w:t>1996</w:t>
            </w:r>
          </w:p>
        </w:tc>
        <w:tc>
          <w:tcPr>
            <w:tcW w:w="1066" w:type="dxa"/>
            <w:tcBorders>
              <w:top w:val="nil"/>
              <w:left w:val="nil"/>
              <w:bottom w:val="single" w:sz="4" w:space="0" w:color="auto"/>
              <w:right w:val="single" w:sz="4" w:space="0" w:color="auto"/>
            </w:tcBorders>
            <w:shd w:val="clear" w:color="auto" w:fill="auto"/>
            <w:noWrap/>
            <w:hideMark/>
          </w:tcPr>
          <w:p w14:paraId="26721A1A" w14:textId="77777777" w:rsidR="000B371B" w:rsidRPr="005B55FD" w:rsidRDefault="000B371B" w:rsidP="001E39EE">
            <w:pPr>
              <w:jc w:val="right"/>
              <w:rPr>
                <w:sz w:val="20"/>
                <w:szCs w:val="20"/>
                <w:lang w:val="fr-CA" w:eastAsia="en-CA"/>
              </w:rPr>
            </w:pPr>
            <w:r w:rsidRPr="005B55FD">
              <w:rPr>
                <w:sz w:val="20"/>
                <w:szCs w:val="20"/>
                <w:lang w:val="fr-CA" w:eastAsia="en-CA"/>
              </w:rPr>
              <w:t>257</w:t>
            </w:r>
          </w:p>
        </w:tc>
        <w:tc>
          <w:tcPr>
            <w:tcW w:w="1143" w:type="dxa"/>
            <w:tcBorders>
              <w:top w:val="nil"/>
              <w:left w:val="nil"/>
              <w:bottom w:val="single" w:sz="4" w:space="0" w:color="auto"/>
              <w:right w:val="single" w:sz="4" w:space="0" w:color="auto"/>
            </w:tcBorders>
            <w:shd w:val="clear" w:color="auto" w:fill="auto"/>
            <w:noWrap/>
            <w:hideMark/>
          </w:tcPr>
          <w:p w14:paraId="02602992" w14:textId="77777777" w:rsidR="000B371B" w:rsidRPr="005B55FD" w:rsidRDefault="000B371B" w:rsidP="001E39EE">
            <w:pPr>
              <w:jc w:val="right"/>
              <w:rPr>
                <w:sz w:val="20"/>
                <w:szCs w:val="20"/>
                <w:lang w:val="fr-CA" w:eastAsia="en-CA"/>
              </w:rPr>
            </w:pPr>
            <w:r w:rsidRPr="005B55FD">
              <w:rPr>
                <w:sz w:val="20"/>
                <w:szCs w:val="20"/>
                <w:lang w:val="fr-CA" w:eastAsia="en-CA"/>
              </w:rPr>
              <w:t>257</w:t>
            </w:r>
          </w:p>
        </w:tc>
        <w:tc>
          <w:tcPr>
            <w:tcW w:w="1170" w:type="dxa"/>
            <w:tcBorders>
              <w:top w:val="nil"/>
              <w:left w:val="nil"/>
              <w:bottom w:val="single" w:sz="4" w:space="0" w:color="auto"/>
              <w:right w:val="single" w:sz="4" w:space="0" w:color="auto"/>
            </w:tcBorders>
            <w:shd w:val="clear" w:color="auto" w:fill="auto"/>
            <w:noWrap/>
            <w:hideMark/>
          </w:tcPr>
          <w:p w14:paraId="3E277C83"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0BE08975" w14:textId="3C1B5B4D" w:rsidR="000B371B" w:rsidRPr="005B55FD" w:rsidRDefault="000B371B" w:rsidP="001E39EE">
            <w:pPr>
              <w:jc w:val="right"/>
              <w:rPr>
                <w:sz w:val="20"/>
                <w:szCs w:val="20"/>
                <w:lang w:val="fr-CA" w:eastAsia="en-CA"/>
              </w:rPr>
            </w:pPr>
            <w:r w:rsidRPr="005B55FD">
              <w:rPr>
                <w:sz w:val="20"/>
                <w:szCs w:val="20"/>
                <w:lang w:val="fr-CA" w:eastAsia="en-CA"/>
              </w:rPr>
              <w:t>83</w:t>
            </w:r>
            <w:r w:rsidR="00C27C93">
              <w:rPr>
                <w:sz w:val="20"/>
                <w:szCs w:val="20"/>
                <w:lang w:val="fr-CA" w:eastAsia="en-CA"/>
              </w:rPr>
              <w:t xml:space="preserve"> </w:t>
            </w:r>
            <w:r w:rsidRPr="005B55FD">
              <w:rPr>
                <w:sz w:val="20"/>
                <w:szCs w:val="20"/>
                <w:lang w:val="fr-CA" w:eastAsia="en-CA"/>
              </w:rPr>
              <w:t>813</w:t>
            </w:r>
            <w:r w:rsidR="00C27C93">
              <w:rPr>
                <w:sz w:val="20"/>
                <w:szCs w:val="20"/>
                <w:lang w:val="fr-CA" w:eastAsia="en-CA"/>
              </w:rPr>
              <w:t xml:space="preserve"> </w:t>
            </w:r>
            <w:r w:rsidRPr="005B55FD">
              <w:rPr>
                <w:sz w:val="20"/>
                <w:szCs w:val="20"/>
                <w:lang w:val="fr-CA" w:eastAsia="en-CA"/>
              </w:rPr>
              <w:t>027</w:t>
            </w:r>
          </w:p>
        </w:tc>
        <w:tc>
          <w:tcPr>
            <w:tcW w:w="1433" w:type="dxa"/>
            <w:tcBorders>
              <w:top w:val="nil"/>
              <w:left w:val="nil"/>
              <w:bottom w:val="single" w:sz="4" w:space="0" w:color="auto"/>
              <w:right w:val="single" w:sz="4" w:space="0" w:color="auto"/>
            </w:tcBorders>
            <w:shd w:val="clear" w:color="auto" w:fill="auto"/>
            <w:noWrap/>
            <w:hideMark/>
          </w:tcPr>
          <w:p w14:paraId="40060C25" w14:textId="2E65D28F" w:rsidR="000B371B" w:rsidRPr="005B55FD" w:rsidRDefault="000B371B" w:rsidP="001E39EE">
            <w:pPr>
              <w:jc w:val="right"/>
              <w:rPr>
                <w:sz w:val="20"/>
                <w:szCs w:val="20"/>
                <w:lang w:val="fr-CA"/>
              </w:rPr>
            </w:pPr>
            <w:r w:rsidRPr="005B55FD">
              <w:rPr>
                <w:sz w:val="20"/>
                <w:szCs w:val="20"/>
                <w:lang w:val="fr-CA"/>
              </w:rPr>
              <w:t>83</w:t>
            </w:r>
            <w:r w:rsidR="00C27C93">
              <w:rPr>
                <w:sz w:val="20"/>
                <w:szCs w:val="20"/>
                <w:lang w:val="fr-CA"/>
              </w:rPr>
              <w:t xml:space="preserve"> </w:t>
            </w:r>
            <w:r w:rsidRPr="005B55FD">
              <w:rPr>
                <w:sz w:val="20"/>
                <w:szCs w:val="20"/>
                <w:lang w:val="fr-CA"/>
              </w:rPr>
              <w:t>813</w:t>
            </w:r>
            <w:r w:rsidR="00C27C93">
              <w:rPr>
                <w:sz w:val="20"/>
                <w:szCs w:val="20"/>
                <w:lang w:val="fr-CA"/>
              </w:rPr>
              <w:t xml:space="preserve"> </w:t>
            </w:r>
            <w:r w:rsidRPr="005B55FD">
              <w:rPr>
                <w:sz w:val="20"/>
                <w:szCs w:val="20"/>
                <w:lang w:val="fr-CA"/>
              </w:rPr>
              <w:t>027</w:t>
            </w:r>
          </w:p>
        </w:tc>
        <w:tc>
          <w:tcPr>
            <w:tcW w:w="1216" w:type="dxa"/>
            <w:tcBorders>
              <w:top w:val="nil"/>
              <w:left w:val="nil"/>
              <w:bottom w:val="single" w:sz="4" w:space="0" w:color="auto"/>
              <w:right w:val="single" w:sz="4" w:space="0" w:color="auto"/>
            </w:tcBorders>
            <w:shd w:val="clear" w:color="auto" w:fill="auto"/>
            <w:noWrap/>
            <w:hideMark/>
          </w:tcPr>
          <w:p w14:paraId="430CBB96" w14:textId="77777777" w:rsidR="000B371B" w:rsidRPr="005B55FD" w:rsidRDefault="000B371B" w:rsidP="001E39EE">
            <w:pPr>
              <w:jc w:val="right"/>
              <w:rPr>
                <w:sz w:val="20"/>
                <w:szCs w:val="20"/>
                <w:lang w:val="fr-CA"/>
              </w:rPr>
            </w:pPr>
            <w:r w:rsidRPr="005B55FD">
              <w:rPr>
                <w:sz w:val="20"/>
                <w:szCs w:val="20"/>
                <w:lang w:val="fr-CA"/>
              </w:rPr>
              <w:t>0</w:t>
            </w:r>
          </w:p>
        </w:tc>
        <w:tc>
          <w:tcPr>
            <w:tcW w:w="1138" w:type="dxa"/>
            <w:tcBorders>
              <w:top w:val="nil"/>
              <w:left w:val="nil"/>
              <w:bottom w:val="single" w:sz="4" w:space="0" w:color="auto"/>
              <w:right w:val="single" w:sz="4" w:space="0" w:color="auto"/>
            </w:tcBorders>
            <w:shd w:val="clear" w:color="auto" w:fill="auto"/>
            <w:noWrap/>
            <w:hideMark/>
          </w:tcPr>
          <w:p w14:paraId="5A8542A8"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5F804E03"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501D7298" w14:textId="77777777" w:rsidR="000B371B" w:rsidRPr="005B55FD" w:rsidRDefault="000B371B" w:rsidP="001E39EE">
            <w:pPr>
              <w:jc w:val="left"/>
              <w:rPr>
                <w:sz w:val="20"/>
                <w:szCs w:val="20"/>
                <w:lang w:val="fr-CA" w:eastAsia="en-CA"/>
              </w:rPr>
            </w:pPr>
            <w:r w:rsidRPr="005B55FD">
              <w:rPr>
                <w:sz w:val="20"/>
                <w:szCs w:val="20"/>
                <w:lang w:val="fr-CA" w:eastAsia="en-CA"/>
              </w:rPr>
              <w:t>1997</w:t>
            </w:r>
          </w:p>
        </w:tc>
        <w:tc>
          <w:tcPr>
            <w:tcW w:w="1066" w:type="dxa"/>
            <w:tcBorders>
              <w:top w:val="nil"/>
              <w:left w:val="nil"/>
              <w:bottom w:val="single" w:sz="4" w:space="0" w:color="auto"/>
              <w:right w:val="single" w:sz="4" w:space="0" w:color="auto"/>
            </w:tcBorders>
            <w:shd w:val="clear" w:color="auto" w:fill="auto"/>
            <w:noWrap/>
            <w:hideMark/>
          </w:tcPr>
          <w:p w14:paraId="14C22270" w14:textId="77777777" w:rsidR="000B371B" w:rsidRPr="005B55FD" w:rsidRDefault="000B371B" w:rsidP="001E39EE">
            <w:pPr>
              <w:jc w:val="right"/>
              <w:rPr>
                <w:sz w:val="20"/>
                <w:szCs w:val="20"/>
                <w:lang w:val="fr-CA" w:eastAsia="en-CA"/>
              </w:rPr>
            </w:pPr>
            <w:r w:rsidRPr="005B55FD">
              <w:rPr>
                <w:sz w:val="20"/>
                <w:szCs w:val="20"/>
                <w:lang w:val="fr-CA" w:eastAsia="en-CA"/>
              </w:rPr>
              <w:t>532</w:t>
            </w:r>
          </w:p>
        </w:tc>
        <w:tc>
          <w:tcPr>
            <w:tcW w:w="1143" w:type="dxa"/>
            <w:tcBorders>
              <w:top w:val="nil"/>
              <w:left w:val="nil"/>
              <w:bottom w:val="single" w:sz="4" w:space="0" w:color="auto"/>
              <w:right w:val="single" w:sz="4" w:space="0" w:color="auto"/>
            </w:tcBorders>
            <w:shd w:val="clear" w:color="auto" w:fill="auto"/>
            <w:noWrap/>
            <w:hideMark/>
          </w:tcPr>
          <w:p w14:paraId="76AFE7C5" w14:textId="77777777" w:rsidR="000B371B" w:rsidRPr="005B55FD" w:rsidRDefault="000B371B" w:rsidP="001E39EE">
            <w:pPr>
              <w:jc w:val="right"/>
              <w:rPr>
                <w:sz w:val="20"/>
                <w:szCs w:val="20"/>
                <w:lang w:val="fr-CA" w:eastAsia="en-CA"/>
              </w:rPr>
            </w:pPr>
            <w:r w:rsidRPr="005B55FD">
              <w:rPr>
                <w:sz w:val="20"/>
                <w:szCs w:val="20"/>
                <w:lang w:val="fr-CA" w:eastAsia="en-CA"/>
              </w:rPr>
              <w:t>532</w:t>
            </w:r>
          </w:p>
        </w:tc>
        <w:tc>
          <w:tcPr>
            <w:tcW w:w="1170" w:type="dxa"/>
            <w:tcBorders>
              <w:top w:val="nil"/>
              <w:left w:val="nil"/>
              <w:bottom w:val="single" w:sz="4" w:space="0" w:color="auto"/>
              <w:right w:val="single" w:sz="4" w:space="0" w:color="auto"/>
            </w:tcBorders>
            <w:shd w:val="clear" w:color="auto" w:fill="auto"/>
            <w:noWrap/>
            <w:hideMark/>
          </w:tcPr>
          <w:p w14:paraId="555B5C89"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2CF9EA3C" w14:textId="3434F309" w:rsidR="000B371B" w:rsidRPr="005B55FD" w:rsidRDefault="000B371B" w:rsidP="001E39EE">
            <w:pPr>
              <w:jc w:val="right"/>
              <w:rPr>
                <w:sz w:val="20"/>
                <w:szCs w:val="20"/>
                <w:lang w:val="fr-CA" w:eastAsia="en-CA"/>
              </w:rPr>
            </w:pPr>
            <w:r w:rsidRPr="005B55FD">
              <w:rPr>
                <w:sz w:val="20"/>
                <w:szCs w:val="20"/>
                <w:lang w:val="fr-CA" w:eastAsia="en-CA"/>
              </w:rPr>
              <w:t>154</w:t>
            </w:r>
            <w:r w:rsidR="00C27C93">
              <w:rPr>
                <w:sz w:val="20"/>
                <w:szCs w:val="20"/>
                <w:lang w:val="fr-CA" w:eastAsia="en-CA"/>
              </w:rPr>
              <w:t xml:space="preserve"> </w:t>
            </w:r>
            <w:r w:rsidRPr="005B55FD">
              <w:rPr>
                <w:sz w:val="20"/>
                <w:szCs w:val="20"/>
                <w:lang w:val="fr-CA" w:eastAsia="en-CA"/>
              </w:rPr>
              <w:t>314</w:t>
            </w:r>
            <w:r w:rsidR="00C27C93">
              <w:rPr>
                <w:sz w:val="20"/>
                <w:szCs w:val="20"/>
                <w:lang w:val="fr-CA" w:eastAsia="en-CA"/>
              </w:rPr>
              <w:t xml:space="preserve"> </w:t>
            </w:r>
            <w:r w:rsidRPr="005B55FD">
              <w:rPr>
                <w:sz w:val="20"/>
                <w:szCs w:val="20"/>
                <w:lang w:val="fr-CA" w:eastAsia="en-CA"/>
              </w:rPr>
              <w:t>938</w:t>
            </w:r>
          </w:p>
        </w:tc>
        <w:tc>
          <w:tcPr>
            <w:tcW w:w="1433" w:type="dxa"/>
            <w:tcBorders>
              <w:top w:val="nil"/>
              <w:left w:val="nil"/>
              <w:bottom w:val="single" w:sz="4" w:space="0" w:color="auto"/>
              <w:right w:val="single" w:sz="4" w:space="0" w:color="auto"/>
            </w:tcBorders>
            <w:shd w:val="clear" w:color="auto" w:fill="auto"/>
            <w:noWrap/>
            <w:hideMark/>
          </w:tcPr>
          <w:p w14:paraId="0A9BB9F2" w14:textId="2182EDE4" w:rsidR="000B371B" w:rsidRPr="005B55FD" w:rsidRDefault="000B371B" w:rsidP="001E39EE">
            <w:pPr>
              <w:jc w:val="right"/>
              <w:rPr>
                <w:sz w:val="20"/>
                <w:szCs w:val="20"/>
                <w:lang w:val="fr-CA"/>
              </w:rPr>
            </w:pPr>
            <w:r w:rsidRPr="005B55FD">
              <w:rPr>
                <w:sz w:val="20"/>
                <w:szCs w:val="20"/>
                <w:lang w:val="fr-CA"/>
              </w:rPr>
              <w:t>154</w:t>
            </w:r>
            <w:r w:rsidR="00C27C93">
              <w:rPr>
                <w:sz w:val="20"/>
                <w:szCs w:val="20"/>
                <w:lang w:val="fr-CA"/>
              </w:rPr>
              <w:t xml:space="preserve"> </w:t>
            </w:r>
            <w:r w:rsidRPr="005B55FD">
              <w:rPr>
                <w:sz w:val="20"/>
                <w:szCs w:val="20"/>
                <w:lang w:val="fr-CA"/>
              </w:rPr>
              <w:t>314</w:t>
            </w:r>
            <w:r w:rsidR="00C27C93">
              <w:rPr>
                <w:sz w:val="20"/>
                <w:szCs w:val="20"/>
                <w:lang w:val="fr-CA"/>
              </w:rPr>
              <w:t xml:space="preserve"> </w:t>
            </w:r>
            <w:r w:rsidRPr="005B55FD">
              <w:rPr>
                <w:sz w:val="20"/>
                <w:szCs w:val="20"/>
                <w:lang w:val="fr-CA"/>
              </w:rPr>
              <w:t>940</w:t>
            </w:r>
          </w:p>
        </w:tc>
        <w:tc>
          <w:tcPr>
            <w:tcW w:w="1216" w:type="dxa"/>
            <w:tcBorders>
              <w:top w:val="nil"/>
              <w:left w:val="nil"/>
              <w:bottom w:val="single" w:sz="4" w:space="0" w:color="auto"/>
              <w:right w:val="single" w:sz="4" w:space="0" w:color="auto"/>
            </w:tcBorders>
            <w:shd w:val="clear" w:color="auto" w:fill="auto"/>
            <w:noWrap/>
            <w:hideMark/>
          </w:tcPr>
          <w:p w14:paraId="13392A98" w14:textId="77777777" w:rsidR="000B371B" w:rsidRPr="005B55FD" w:rsidRDefault="000B371B" w:rsidP="001E39EE">
            <w:pPr>
              <w:jc w:val="right"/>
              <w:rPr>
                <w:sz w:val="20"/>
                <w:szCs w:val="20"/>
                <w:lang w:val="fr-CA"/>
              </w:rPr>
            </w:pPr>
            <w:r w:rsidRPr="005B55FD">
              <w:rPr>
                <w:sz w:val="20"/>
                <w:szCs w:val="20"/>
                <w:lang w:val="fr-CA"/>
              </w:rPr>
              <w:t>-1</w:t>
            </w:r>
          </w:p>
        </w:tc>
        <w:tc>
          <w:tcPr>
            <w:tcW w:w="1138" w:type="dxa"/>
            <w:tcBorders>
              <w:top w:val="nil"/>
              <w:left w:val="nil"/>
              <w:bottom w:val="single" w:sz="4" w:space="0" w:color="auto"/>
              <w:right w:val="single" w:sz="4" w:space="0" w:color="auto"/>
            </w:tcBorders>
            <w:shd w:val="clear" w:color="auto" w:fill="auto"/>
            <w:noWrap/>
            <w:hideMark/>
          </w:tcPr>
          <w:p w14:paraId="1323CD1B"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79A6A18E"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583DB4B0" w14:textId="77777777" w:rsidR="000B371B" w:rsidRPr="005B55FD" w:rsidRDefault="000B371B" w:rsidP="001E39EE">
            <w:pPr>
              <w:jc w:val="left"/>
              <w:rPr>
                <w:sz w:val="20"/>
                <w:szCs w:val="20"/>
                <w:lang w:val="fr-CA" w:eastAsia="en-CA"/>
              </w:rPr>
            </w:pPr>
            <w:r w:rsidRPr="005B55FD">
              <w:rPr>
                <w:sz w:val="20"/>
                <w:szCs w:val="20"/>
                <w:lang w:val="fr-CA" w:eastAsia="en-CA"/>
              </w:rPr>
              <w:t>1998</w:t>
            </w:r>
          </w:p>
        </w:tc>
        <w:tc>
          <w:tcPr>
            <w:tcW w:w="1066" w:type="dxa"/>
            <w:tcBorders>
              <w:top w:val="nil"/>
              <w:left w:val="nil"/>
              <w:bottom w:val="single" w:sz="4" w:space="0" w:color="auto"/>
              <w:right w:val="single" w:sz="4" w:space="0" w:color="auto"/>
            </w:tcBorders>
            <w:shd w:val="clear" w:color="auto" w:fill="auto"/>
            <w:noWrap/>
            <w:hideMark/>
          </w:tcPr>
          <w:p w14:paraId="5249977B" w14:textId="77777777" w:rsidR="000B371B" w:rsidRPr="005B55FD" w:rsidRDefault="000B371B" w:rsidP="001E39EE">
            <w:pPr>
              <w:jc w:val="right"/>
              <w:rPr>
                <w:sz w:val="20"/>
                <w:szCs w:val="20"/>
                <w:lang w:val="fr-CA" w:eastAsia="en-CA"/>
              </w:rPr>
            </w:pPr>
            <w:r w:rsidRPr="005B55FD">
              <w:rPr>
                <w:sz w:val="20"/>
                <w:szCs w:val="20"/>
                <w:lang w:val="fr-CA" w:eastAsia="en-CA"/>
              </w:rPr>
              <w:t>422</w:t>
            </w:r>
          </w:p>
        </w:tc>
        <w:tc>
          <w:tcPr>
            <w:tcW w:w="1143" w:type="dxa"/>
            <w:tcBorders>
              <w:top w:val="nil"/>
              <w:left w:val="nil"/>
              <w:bottom w:val="single" w:sz="4" w:space="0" w:color="auto"/>
              <w:right w:val="single" w:sz="4" w:space="0" w:color="auto"/>
            </w:tcBorders>
            <w:shd w:val="clear" w:color="auto" w:fill="auto"/>
            <w:noWrap/>
            <w:hideMark/>
          </w:tcPr>
          <w:p w14:paraId="6C4537D3" w14:textId="77777777" w:rsidR="000B371B" w:rsidRPr="005B55FD" w:rsidRDefault="000B371B" w:rsidP="001E39EE">
            <w:pPr>
              <w:jc w:val="right"/>
              <w:rPr>
                <w:sz w:val="20"/>
                <w:szCs w:val="20"/>
                <w:lang w:val="fr-CA" w:eastAsia="en-CA"/>
              </w:rPr>
            </w:pPr>
            <w:r w:rsidRPr="005B55FD">
              <w:rPr>
                <w:sz w:val="20"/>
                <w:szCs w:val="20"/>
                <w:lang w:val="fr-CA" w:eastAsia="en-CA"/>
              </w:rPr>
              <w:t>422</w:t>
            </w:r>
          </w:p>
        </w:tc>
        <w:tc>
          <w:tcPr>
            <w:tcW w:w="1170" w:type="dxa"/>
            <w:tcBorders>
              <w:top w:val="nil"/>
              <w:left w:val="nil"/>
              <w:bottom w:val="single" w:sz="4" w:space="0" w:color="auto"/>
              <w:right w:val="single" w:sz="4" w:space="0" w:color="auto"/>
            </w:tcBorders>
            <w:shd w:val="clear" w:color="auto" w:fill="auto"/>
            <w:noWrap/>
            <w:hideMark/>
          </w:tcPr>
          <w:p w14:paraId="367B9A4E"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3EDB7788" w14:textId="32A21201" w:rsidR="000B371B" w:rsidRPr="005B55FD" w:rsidRDefault="000B371B" w:rsidP="001E39EE">
            <w:pPr>
              <w:jc w:val="right"/>
              <w:rPr>
                <w:sz w:val="20"/>
                <w:szCs w:val="20"/>
                <w:lang w:val="fr-CA" w:eastAsia="en-CA"/>
              </w:rPr>
            </w:pPr>
            <w:r w:rsidRPr="005B55FD">
              <w:rPr>
                <w:sz w:val="20"/>
                <w:szCs w:val="20"/>
                <w:lang w:val="fr-CA" w:eastAsia="en-CA"/>
              </w:rPr>
              <w:t>99</w:t>
            </w:r>
            <w:r w:rsidR="00C27C93">
              <w:rPr>
                <w:sz w:val="20"/>
                <w:szCs w:val="20"/>
                <w:lang w:val="fr-CA" w:eastAsia="en-CA"/>
              </w:rPr>
              <w:t xml:space="preserve"> </w:t>
            </w:r>
            <w:r w:rsidRPr="005B55FD">
              <w:rPr>
                <w:sz w:val="20"/>
                <w:szCs w:val="20"/>
                <w:lang w:val="fr-CA" w:eastAsia="en-CA"/>
              </w:rPr>
              <w:t>680</w:t>
            </w:r>
            <w:r w:rsidR="00C27C93">
              <w:rPr>
                <w:sz w:val="20"/>
                <w:szCs w:val="20"/>
                <w:lang w:val="fr-CA" w:eastAsia="en-CA"/>
              </w:rPr>
              <w:t xml:space="preserve"> </w:t>
            </w:r>
            <w:r w:rsidRPr="005B55FD">
              <w:rPr>
                <w:sz w:val="20"/>
                <w:szCs w:val="20"/>
                <w:lang w:val="fr-CA" w:eastAsia="en-CA"/>
              </w:rPr>
              <w:t>368</w:t>
            </w:r>
          </w:p>
        </w:tc>
        <w:tc>
          <w:tcPr>
            <w:tcW w:w="1433" w:type="dxa"/>
            <w:tcBorders>
              <w:top w:val="nil"/>
              <w:left w:val="nil"/>
              <w:bottom w:val="single" w:sz="4" w:space="0" w:color="auto"/>
              <w:right w:val="single" w:sz="4" w:space="0" w:color="auto"/>
            </w:tcBorders>
            <w:shd w:val="clear" w:color="auto" w:fill="auto"/>
            <w:noWrap/>
            <w:hideMark/>
          </w:tcPr>
          <w:p w14:paraId="0485640B" w14:textId="41C1B3E3" w:rsidR="000B371B" w:rsidRPr="005B55FD" w:rsidRDefault="000B371B" w:rsidP="001E39EE">
            <w:pPr>
              <w:jc w:val="right"/>
              <w:rPr>
                <w:sz w:val="20"/>
                <w:szCs w:val="20"/>
                <w:lang w:val="fr-CA"/>
              </w:rPr>
            </w:pPr>
            <w:r w:rsidRPr="005B55FD">
              <w:rPr>
                <w:sz w:val="20"/>
                <w:szCs w:val="20"/>
                <w:lang w:val="fr-CA"/>
              </w:rPr>
              <w:t>99</w:t>
            </w:r>
            <w:r w:rsidR="00C27C93">
              <w:rPr>
                <w:sz w:val="20"/>
                <w:szCs w:val="20"/>
                <w:lang w:val="fr-CA"/>
              </w:rPr>
              <w:t xml:space="preserve"> </w:t>
            </w:r>
            <w:r w:rsidRPr="005B55FD">
              <w:rPr>
                <w:sz w:val="20"/>
                <w:szCs w:val="20"/>
                <w:lang w:val="fr-CA"/>
              </w:rPr>
              <w:t>680</w:t>
            </w:r>
            <w:r w:rsidR="00C27C93">
              <w:rPr>
                <w:sz w:val="20"/>
                <w:szCs w:val="20"/>
                <w:lang w:val="fr-CA"/>
              </w:rPr>
              <w:t xml:space="preserve"> </w:t>
            </w:r>
            <w:r w:rsidRPr="005B55FD">
              <w:rPr>
                <w:sz w:val="20"/>
                <w:szCs w:val="20"/>
                <w:lang w:val="fr-CA"/>
              </w:rPr>
              <w:t>367</w:t>
            </w:r>
          </w:p>
        </w:tc>
        <w:tc>
          <w:tcPr>
            <w:tcW w:w="1216" w:type="dxa"/>
            <w:tcBorders>
              <w:top w:val="nil"/>
              <w:left w:val="nil"/>
              <w:bottom w:val="single" w:sz="4" w:space="0" w:color="auto"/>
              <w:right w:val="single" w:sz="4" w:space="0" w:color="auto"/>
            </w:tcBorders>
            <w:shd w:val="clear" w:color="auto" w:fill="auto"/>
            <w:noWrap/>
            <w:hideMark/>
          </w:tcPr>
          <w:p w14:paraId="0C5B9FFD" w14:textId="77777777" w:rsidR="000B371B" w:rsidRPr="005B55FD" w:rsidRDefault="000B371B" w:rsidP="001E39EE">
            <w:pPr>
              <w:jc w:val="right"/>
              <w:rPr>
                <w:sz w:val="20"/>
                <w:szCs w:val="20"/>
                <w:lang w:val="fr-CA"/>
              </w:rPr>
            </w:pPr>
            <w:r w:rsidRPr="005B55FD">
              <w:rPr>
                <w:sz w:val="20"/>
                <w:szCs w:val="20"/>
                <w:lang w:val="fr-CA"/>
              </w:rPr>
              <w:t>1</w:t>
            </w:r>
          </w:p>
        </w:tc>
        <w:tc>
          <w:tcPr>
            <w:tcW w:w="1138" w:type="dxa"/>
            <w:tcBorders>
              <w:top w:val="nil"/>
              <w:left w:val="nil"/>
              <w:bottom w:val="single" w:sz="4" w:space="0" w:color="auto"/>
              <w:right w:val="single" w:sz="4" w:space="0" w:color="auto"/>
            </w:tcBorders>
            <w:shd w:val="clear" w:color="auto" w:fill="auto"/>
            <w:noWrap/>
            <w:hideMark/>
          </w:tcPr>
          <w:p w14:paraId="321563E9"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52618DC5"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0890C278" w14:textId="77777777" w:rsidR="000B371B" w:rsidRPr="005B55FD" w:rsidRDefault="000B371B" w:rsidP="001E39EE">
            <w:pPr>
              <w:jc w:val="left"/>
              <w:rPr>
                <w:sz w:val="20"/>
                <w:szCs w:val="20"/>
                <w:lang w:val="fr-CA" w:eastAsia="en-CA"/>
              </w:rPr>
            </w:pPr>
            <w:r w:rsidRPr="005B55FD">
              <w:rPr>
                <w:sz w:val="20"/>
                <w:szCs w:val="20"/>
                <w:lang w:val="fr-CA" w:eastAsia="en-CA"/>
              </w:rPr>
              <w:t>1999</w:t>
            </w:r>
          </w:p>
        </w:tc>
        <w:tc>
          <w:tcPr>
            <w:tcW w:w="1066" w:type="dxa"/>
            <w:tcBorders>
              <w:top w:val="nil"/>
              <w:left w:val="nil"/>
              <w:bottom w:val="single" w:sz="4" w:space="0" w:color="auto"/>
              <w:right w:val="single" w:sz="4" w:space="0" w:color="auto"/>
            </w:tcBorders>
            <w:shd w:val="clear" w:color="auto" w:fill="auto"/>
            <w:noWrap/>
            <w:hideMark/>
          </w:tcPr>
          <w:p w14:paraId="34812F11" w14:textId="77777777" w:rsidR="000B371B" w:rsidRPr="005B55FD" w:rsidRDefault="000B371B" w:rsidP="001E39EE">
            <w:pPr>
              <w:jc w:val="right"/>
              <w:rPr>
                <w:sz w:val="20"/>
                <w:szCs w:val="20"/>
                <w:lang w:val="fr-CA" w:eastAsia="en-CA"/>
              </w:rPr>
            </w:pPr>
            <w:r w:rsidRPr="005B55FD">
              <w:rPr>
                <w:sz w:val="20"/>
                <w:szCs w:val="20"/>
                <w:lang w:val="fr-CA" w:eastAsia="en-CA"/>
              </w:rPr>
              <w:t>546</w:t>
            </w:r>
          </w:p>
        </w:tc>
        <w:tc>
          <w:tcPr>
            <w:tcW w:w="1143" w:type="dxa"/>
            <w:tcBorders>
              <w:top w:val="nil"/>
              <w:left w:val="nil"/>
              <w:bottom w:val="single" w:sz="4" w:space="0" w:color="auto"/>
              <w:right w:val="single" w:sz="4" w:space="0" w:color="auto"/>
            </w:tcBorders>
            <w:shd w:val="clear" w:color="auto" w:fill="auto"/>
            <w:noWrap/>
            <w:hideMark/>
          </w:tcPr>
          <w:p w14:paraId="5AF75EDD" w14:textId="77777777" w:rsidR="000B371B" w:rsidRPr="005B55FD" w:rsidRDefault="000B371B" w:rsidP="001E39EE">
            <w:pPr>
              <w:jc w:val="right"/>
              <w:rPr>
                <w:sz w:val="20"/>
                <w:szCs w:val="20"/>
                <w:lang w:val="fr-CA" w:eastAsia="en-CA"/>
              </w:rPr>
            </w:pPr>
            <w:r w:rsidRPr="005B55FD">
              <w:rPr>
                <w:sz w:val="20"/>
                <w:szCs w:val="20"/>
                <w:lang w:val="fr-CA" w:eastAsia="en-CA"/>
              </w:rPr>
              <w:t>546</w:t>
            </w:r>
          </w:p>
        </w:tc>
        <w:tc>
          <w:tcPr>
            <w:tcW w:w="1170" w:type="dxa"/>
            <w:tcBorders>
              <w:top w:val="nil"/>
              <w:left w:val="nil"/>
              <w:bottom w:val="single" w:sz="4" w:space="0" w:color="auto"/>
              <w:right w:val="single" w:sz="4" w:space="0" w:color="auto"/>
            </w:tcBorders>
            <w:shd w:val="clear" w:color="auto" w:fill="auto"/>
            <w:noWrap/>
            <w:hideMark/>
          </w:tcPr>
          <w:p w14:paraId="5EFF2D42"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7E78292B" w14:textId="025EC015" w:rsidR="000B371B" w:rsidRPr="005B55FD" w:rsidRDefault="000B371B" w:rsidP="001E39EE">
            <w:pPr>
              <w:jc w:val="right"/>
              <w:rPr>
                <w:sz w:val="20"/>
                <w:szCs w:val="20"/>
                <w:lang w:val="fr-CA" w:eastAsia="en-CA"/>
              </w:rPr>
            </w:pPr>
            <w:r w:rsidRPr="005B55FD">
              <w:rPr>
                <w:sz w:val="20"/>
                <w:szCs w:val="20"/>
                <w:lang w:val="fr-CA" w:eastAsia="en-CA"/>
              </w:rPr>
              <w:t>152</w:t>
            </w:r>
            <w:r w:rsidR="00C27C93">
              <w:rPr>
                <w:sz w:val="20"/>
                <w:szCs w:val="20"/>
                <w:lang w:val="fr-CA" w:eastAsia="en-CA"/>
              </w:rPr>
              <w:t xml:space="preserve"> </w:t>
            </w:r>
            <w:r w:rsidRPr="005B55FD">
              <w:rPr>
                <w:sz w:val="20"/>
                <w:szCs w:val="20"/>
                <w:lang w:val="fr-CA" w:eastAsia="en-CA"/>
              </w:rPr>
              <w:t>710</w:t>
            </w:r>
            <w:r w:rsidR="00C27C93">
              <w:rPr>
                <w:sz w:val="20"/>
                <w:szCs w:val="20"/>
                <w:lang w:val="fr-CA" w:eastAsia="en-CA"/>
              </w:rPr>
              <w:t xml:space="preserve"> </w:t>
            </w:r>
            <w:r w:rsidRPr="005B55FD">
              <w:rPr>
                <w:sz w:val="20"/>
                <w:szCs w:val="20"/>
                <w:lang w:val="fr-CA" w:eastAsia="en-CA"/>
              </w:rPr>
              <w:t>736</w:t>
            </w:r>
          </w:p>
        </w:tc>
        <w:tc>
          <w:tcPr>
            <w:tcW w:w="1433" w:type="dxa"/>
            <w:tcBorders>
              <w:top w:val="nil"/>
              <w:left w:val="nil"/>
              <w:bottom w:val="single" w:sz="4" w:space="0" w:color="auto"/>
              <w:right w:val="single" w:sz="4" w:space="0" w:color="auto"/>
            </w:tcBorders>
            <w:shd w:val="clear" w:color="auto" w:fill="auto"/>
            <w:noWrap/>
            <w:hideMark/>
          </w:tcPr>
          <w:p w14:paraId="62D061E9" w14:textId="4084A13F" w:rsidR="000B371B" w:rsidRPr="005B55FD" w:rsidRDefault="000B371B" w:rsidP="001E39EE">
            <w:pPr>
              <w:jc w:val="right"/>
              <w:rPr>
                <w:sz w:val="20"/>
                <w:szCs w:val="20"/>
                <w:lang w:val="fr-CA"/>
              </w:rPr>
            </w:pPr>
            <w:r w:rsidRPr="005B55FD">
              <w:rPr>
                <w:sz w:val="20"/>
                <w:szCs w:val="20"/>
                <w:lang w:val="fr-CA"/>
              </w:rPr>
              <w:t>152</w:t>
            </w:r>
            <w:r w:rsidR="00C27C93">
              <w:rPr>
                <w:sz w:val="20"/>
                <w:szCs w:val="20"/>
                <w:lang w:val="fr-CA"/>
              </w:rPr>
              <w:t xml:space="preserve"> </w:t>
            </w:r>
            <w:r w:rsidRPr="005B55FD">
              <w:rPr>
                <w:sz w:val="20"/>
                <w:szCs w:val="20"/>
                <w:lang w:val="fr-CA"/>
              </w:rPr>
              <w:t>710</w:t>
            </w:r>
            <w:r w:rsidR="00C27C93">
              <w:rPr>
                <w:sz w:val="20"/>
                <w:szCs w:val="20"/>
                <w:lang w:val="fr-CA"/>
              </w:rPr>
              <w:t xml:space="preserve"> </w:t>
            </w:r>
            <w:r w:rsidRPr="005B55FD">
              <w:rPr>
                <w:sz w:val="20"/>
                <w:szCs w:val="20"/>
                <w:lang w:val="fr-CA"/>
              </w:rPr>
              <w:t>736</w:t>
            </w:r>
          </w:p>
        </w:tc>
        <w:tc>
          <w:tcPr>
            <w:tcW w:w="1216" w:type="dxa"/>
            <w:tcBorders>
              <w:top w:val="nil"/>
              <w:left w:val="nil"/>
              <w:bottom w:val="single" w:sz="4" w:space="0" w:color="auto"/>
              <w:right w:val="single" w:sz="4" w:space="0" w:color="auto"/>
            </w:tcBorders>
            <w:shd w:val="clear" w:color="auto" w:fill="auto"/>
            <w:noWrap/>
            <w:hideMark/>
          </w:tcPr>
          <w:p w14:paraId="6F491B42" w14:textId="77777777" w:rsidR="000B371B" w:rsidRPr="005B55FD" w:rsidRDefault="000B371B" w:rsidP="001E39EE">
            <w:pPr>
              <w:jc w:val="right"/>
              <w:rPr>
                <w:sz w:val="20"/>
                <w:szCs w:val="20"/>
                <w:lang w:val="fr-CA"/>
              </w:rPr>
            </w:pPr>
            <w:r w:rsidRPr="005B55FD">
              <w:rPr>
                <w:sz w:val="20"/>
                <w:szCs w:val="20"/>
                <w:lang w:val="fr-CA"/>
              </w:rPr>
              <w:t>0</w:t>
            </w:r>
          </w:p>
        </w:tc>
        <w:tc>
          <w:tcPr>
            <w:tcW w:w="1138" w:type="dxa"/>
            <w:tcBorders>
              <w:top w:val="nil"/>
              <w:left w:val="nil"/>
              <w:bottom w:val="single" w:sz="4" w:space="0" w:color="auto"/>
              <w:right w:val="single" w:sz="4" w:space="0" w:color="auto"/>
            </w:tcBorders>
            <w:shd w:val="clear" w:color="auto" w:fill="auto"/>
            <w:noWrap/>
            <w:hideMark/>
          </w:tcPr>
          <w:p w14:paraId="62A7973B"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71B75C70" w14:textId="77777777" w:rsidTr="006735F6">
        <w:trPr>
          <w:trHeight w:val="73"/>
        </w:trPr>
        <w:tc>
          <w:tcPr>
            <w:tcW w:w="761" w:type="dxa"/>
            <w:tcBorders>
              <w:top w:val="nil"/>
              <w:left w:val="single" w:sz="4" w:space="0" w:color="auto"/>
              <w:bottom w:val="single" w:sz="4" w:space="0" w:color="auto"/>
              <w:right w:val="single" w:sz="4" w:space="0" w:color="auto"/>
            </w:tcBorders>
            <w:shd w:val="clear" w:color="auto" w:fill="auto"/>
            <w:noWrap/>
            <w:hideMark/>
          </w:tcPr>
          <w:p w14:paraId="0388A885" w14:textId="77777777" w:rsidR="000B371B" w:rsidRPr="005B55FD" w:rsidRDefault="000B371B" w:rsidP="001E39EE">
            <w:pPr>
              <w:jc w:val="left"/>
              <w:rPr>
                <w:sz w:val="20"/>
                <w:szCs w:val="20"/>
                <w:lang w:val="fr-CA" w:eastAsia="en-CA"/>
              </w:rPr>
            </w:pPr>
            <w:r w:rsidRPr="005B55FD">
              <w:rPr>
                <w:sz w:val="20"/>
                <w:szCs w:val="20"/>
                <w:lang w:val="fr-CA" w:eastAsia="en-CA"/>
              </w:rPr>
              <w:t>2000</w:t>
            </w:r>
          </w:p>
        </w:tc>
        <w:tc>
          <w:tcPr>
            <w:tcW w:w="1066" w:type="dxa"/>
            <w:tcBorders>
              <w:top w:val="nil"/>
              <w:left w:val="nil"/>
              <w:bottom w:val="single" w:sz="4" w:space="0" w:color="auto"/>
              <w:right w:val="single" w:sz="4" w:space="0" w:color="auto"/>
            </w:tcBorders>
            <w:shd w:val="clear" w:color="auto" w:fill="auto"/>
            <w:noWrap/>
            <w:hideMark/>
          </w:tcPr>
          <w:p w14:paraId="2CB5A3A6" w14:textId="77777777" w:rsidR="000B371B" w:rsidRPr="005B55FD" w:rsidRDefault="000B371B" w:rsidP="001E39EE">
            <w:pPr>
              <w:jc w:val="right"/>
              <w:rPr>
                <w:sz w:val="20"/>
                <w:szCs w:val="20"/>
                <w:lang w:val="fr-CA" w:eastAsia="en-CA"/>
              </w:rPr>
            </w:pPr>
            <w:r w:rsidRPr="005B55FD">
              <w:rPr>
                <w:sz w:val="20"/>
                <w:szCs w:val="20"/>
                <w:lang w:val="fr-CA" w:eastAsia="en-CA"/>
              </w:rPr>
              <w:t>426</w:t>
            </w:r>
          </w:p>
        </w:tc>
        <w:tc>
          <w:tcPr>
            <w:tcW w:w="1143" w:type="dxa"/>
            <w:tcBorders>
              <w:top w:val="nil"/>
              <w:left w:val="nil"/>
              <w:bottom w:val="single" w:sz="4" w:space="0" w:color="auto"/>
              <w:right w:val="single" w:sz="4" w:space="0" w:color="auto"/>
            </w:tcBorders>
            <w:shd w:val="clear" w:color="auto" w:fill="auto"/>
            <w:noWrap/>
            <w:hideMark/>
          </w:tcPr>
          <w:p w14:paraId="4F53ED06" w14:textId="77777777" w:rsidR="000B371B" w:rsidRPr="005B55FD" w:rsidRDefault="000B371B" w:rsidP="001E39EE">
            <w:pPr>
              <w:jc w:val="right"/>
              <w:rPr>
                <w:sz w:val="20"/>
                <w:szCs w:val="20"/>
                <w:lang w:val="fr-CA" w:eastAsia="en-CA"/>
              </w:rPr>
            </w:pPr>
            <w:r w:rsidRPr="005B55FD">
              <w:rPr>
                <w:sz w:val="20"/>
                <w:szCs w:val="20"/>
                <w:lang w:val="fr-CA" w:eastAsia="en-CA"/>
              </w:rPr>
              <w:t>426</w:t>
            </w:r>
          </w:p>
        </w:tc>
        <w:tc>
          <w:tcPr>
            <w:tcW w:w="1170" w:type="dxa"/>
            <w:tcBorders>
              <w:top w:val="nil"/>
              <w:left w:val="nil"/>
              <w:bottom w:val="single" w:sz="4" w:space="0" w:color="auto"/>
              <w:right w:val="single" w:sz="4" w:space="0" w:color="auto"/>
            </w:tcBorders>
            <w:shd w:val="clear" w:color="auto" w:fill="auto"/>
            <w:noWrap/>
            <w:hideMark/>
          </w:tcPr>
          <w:p w14:paraId="61B8D139"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0A3F73F1" w14:textId="75BFAD62" w:rsidR="000B371B" w:rsidRPr="005B55FD" w:rsidRDefault="000B371B" w:rsidP="001E39EE">
            <w:pPr>
              <w:jc w:val="right"/>
              <w:rPr>
                <w:sz w:val="20"/>
                <w:szCs w:val="20"/>
                <w:lang w:val="fr-CA" w:eastAsia="en-CA"/>
              </w:rPr>
            </w:pPr>
            <w:r w:rsidRPr="005B55FD">
              <w:rPr>
                <w:sz w:val="20"/>
                <w:szCs w:val="20"/>
                <w:lang w:val="fr-CA" w:eastAsia="en-CA"/>
              </w:rPr>
              <w:t>109</w:t>
            </w:r>
            <w:r w:rsidR="00C27C93">
              <w:rPr>
                <w:sz w:val="20"/>
                <w:szCs w:val="20"/>
                <w:lang w:val="fr-CA" w:eastAsia="en-CA"/>
              </w:rPr>
              <w:t xml:space="preserve"> </w:t>
            </w:r>
            <w:r w:rsidRPr="005B55FD">
              <w:rPr>
                <w:sz w:val="20"/>
                <w:szCs w:val="20"/>
                <w:lang w:val="fr-CA" w:eastAsia="en-CA"/>
              </w:rPr>
              <w:t>540</w:t>
            </w:r>
            <w:r w:rsidR="00C27C93">
              <w:rPr>
                <w:sz w:val="20"/>
                <w:szCs w:val="20"/>
                <w:lang w:val="fr-CA" w:eastAsia="en-CA"/>
              </w:rPr>
              <w:t xml:space="preserve"> </w:t>
            </w:r>
            <w:r w:rsidRPr="005B55FD">
              <w:rPr>
                <w:sz w:val="20"/>
                <w:szCs w:val="20"/>
                <w:lang w:val="fr-CA" w:eastAsia="en-CA"/>
              </w:rPr>
              <w:t>523</w:t>
            </w:r>
          </w:p>
        </w:tc>
        <w:tc>
          <w:tcPr>
            <w:tcW w:w="1433" w:type="dxa"/>
            <w:tcBorders>
              <w:top w:val="nil"/>
              <w:left w:val="nil"/>
              <w:bottom w:val="single" w:sz="4" w:space="0" w:color="auto"/>
              <w:right w:val="single" w:sz="4" w:space="0" w:color="auto"/>
            </w:tcBorders>
            <w:shd w:val="clear" w:color="auto" w:fill="auto"/>
            <w:noWrap/>
            <w:hideMark/>
          </w:tcPr>
          <w:p w14:paraId="3F4F9E2C" w14:textId="0BFFF038" w:rsidR="000B371B" w:rsidRPr="005B55FD" w:rsidRDefault="000B371B" w:rsidP="001E39EE">
            <w:pPr>
              <w:jc w:val="right"/>
              <w:rPr>
                <w:sz w:val="20"/>
                <w:szCs w:val="20"/>
                <w:lang w:val="fr-CA"/>
              </w:rPr>
            </w:pPr>
            <w:r w:rsidRPr="005B55FD">
              <w:rPr>
                <w:sz w:val="20"/>
                <w:szCs w:val="20"/>
                <w:lang w:val="fr-CA"/>
              </w:rPr>
              <w:t>109</w:t>
            </w:r>
            <w:r w:rsidR="00C27C93">
              <w:rPr>
                <w:sz w:val="20"/>
                <w:szCs w:val="20"/>
                <w:lang w:val="fr-CA"/>
              </w:rPr>
              <w:t xml:space="preserve"> </w:t>
            </w:r>
            <w:r w:rsidRPr="005B55FD">
              <w:rPr>
                <w:sz w:val="20"/>
                <w:szCs w:val="20"/>
                <w:lang w:val="fr-CA"/>
              </w:rPr>
              <w:t>540</w:t>
            </w:r>
            <w:r w:rsidR="00C27C93">
              <w:rPr>
                <w:sz w:val="20"/>
                <w:szCs w:val="20"/>
                <w:lang w:val="fr-CA"/>
              </w:rPr>
              <w:t xml:space="preserve"> </w:t>
            </w:r>
            <w:r w:rsidRPr="005B55FD">
              <w:rPr>
                <w:sz w:val="20"/>
                <w:szCs w:val="20"/>
                <w:lang w:val="fr-CA"/>
              </w:rPr>
              <w:t>522</w:t>
            </w:r>
          </w:p>
        </w:tc>
        <w:tc>
          <w:tcPr>
            <w:tcW w:w="1216" w:type="dxa"/>
            <w:tcBorders>
              <w:top w:val="nil"/>
              <w:left w:val="nil"/>
              <w:bottom w:val="single" w:sz="4" w:space="0" w:color="auto"/>
              <w:right w:val="single" w:sz="4" w:space="0" w:color="auto"/>
            </w:tcBorders>
            <w:shd w:val="clear" w:color="auto" w:fill="auto"/>
            <w:noWrap/>
            <w:hideMark/>
          </w:tcPr>
          <w:p w14:paraId="6C73CB9C" w14:textId="77777777" w:rsidR="000B371B" w:rsidRPr="005B55FD" w:rsidRDefault="000B371B" w:rsidP="001E39EE">
            <w:pPr>
              <w:jc w:val="right"/>
              <w:rPr>
                <w:sz w:val="20"/>
                <w:szCs w:val="20"/>
                <w:lang w:val="fr-CA"/>
              </w:rPr>
            </w:pPr>
            <w:r w:rsidRPr="005B55FD">
              <w:rPr>
                <w:sz w:val="20"/>
                <w:szCs w:val="20"/>
                <w:lang w:val="fr-CA"/>
              </w:rPr>
              <w:t>1</w:t>
            </w:r>
          </w:p>
        </w:tc>
        <w:tc>
          <w:tcPr>
            <w:tcW w:w="1138" w:type="dxa"/>
            <w:tcBorders>
              <w:top w:val="nil"/>
              <w:left w:val="nil"/>
              <w:bottom w:val="single" w:sz="4" w:space="0" w:color="auto"/>
              <w:right w:val="single" w:sz="4" w:space="0" w:color="auto"/>
            </w:tcBorders>
            <w:shd w:val="clear" w:color="auto" w:fill="auto"/>
            <w:noWrap/>
            <w:hideMark/>
          </w:tcPr>
          <w:p w14:paraId="31570068"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4363DD32" w14:textId="77777777" w:rsidTr="006735F6">
        <w:trPr>
          <w:trHeight w:val="118"/>
        </w:trPr>
        <w:tc>
          <w:tcPr>
            <w:tcW w:w="761" w:type="dxa"/>
            <w:tcBorders>
              <w:top w:val="nil"/>
              <w:left w:val="single" w:sz="4" w:space="0" w:color="auto"/>
              <w:bottom w:val="single" w:sz="4" w:space="0" w:color="auto"/>
              <w:right w:val="single" w:sz="4" w:space="0" w:color="auto"/>
            </w:tcBorders>
            <w:shd w:val="clear" w:color="auto" w:fill="auto"/>
            <w:noWrap/>
            <w:hideMark/>
          </w:tcPr>
          <w:p w14:paraId="2262198B" w14:textId="77777777" w:rsidR="000B371B" w:rsidRPr="005B55FD" w:rsidRDefault="000B371B" w:rsidP="001E39EE">
            <w:pPr>
              <w:jc w:val="left"/>
              <w:rPr>
                <w:sz w:val="20"/>
                <w:szCs w:val="20"/>
                <w:lang w:val="fr-CA" w:eastAsia="en-CA"/>
              </w:rPr>
            </w:pPr>
            <w:r w:rsidRPr="005B55FD">
              <w:rPr>
                <w:sz w:val="20"/>
                <w:szCs w:val="20"/>
                <w:lang w:val="fr-CA" w:eastAsia="en-CA"/>
              </w:rPr>
              <w:t>2001</w:t>
            </w:r>
          </w:p>
        </w:tc>
        <w:tc>
          <w:tcPr>
            <w:tcW w:w="1066" w:type="dxa"/>
            <w:tcBorders>
              <w:top w:val="nil"/>
              <w:left w:val="nil"/>
              <w:bottom w:val="single" w:sz="4" w:space="0" w:color="auto"/>
              <w:right w:val="single" w:sz="4" w:space="0" w:color="auto"/>
            </w:tcBorders>
            <w:shd w:val="clear" w:color="auto" w:fill="auto"/>
            <w:noWrap/>
            <w:hideMark/>
          </w:tcPr>
          <w:p w14:paraId="287AAFDB" w14:textId="77777777" w:rsidR="000B371B" w:rsidRPr="005B55FD" w:rsidRDefault="000B371B" w:rsidP="001E39EE">
            <w:pPr>
              <w:jc w:val="right"/>
              <w:rPr>
                <w:sz w:val="20"/>
                <w:szCs w:val="20"/>
                <w:lang w:val="fr-CA" w:eastAsia="en-CA"/>
              </w:rPr>
            </w:pPr>
            <w:r w:rsidRPr="005B55FD">
              <w:rPr>
                <w:sz w:val="20"/>
                <w:szCs w:val="20"/>
                <w:lang w:val="fr-CA" w:eastAsia="en-CA"/>
              </w:rPr>
              <w:t>427</w:t>
            </w:r>
          </w:p>
        </w:tc>
        <w:tc>
          <w:tcPr>
            <w:tcW w:w="1143" w:type="dxa"/>
            <w:tcBorders>
              <w:top w:val="nil"/>
              <w:left w:val="nil"/>
              <w:bottom w:val="single" w:sz="4" w:space="0" w:color="auto"/>
              <w:right w:val="single" w:sz="4" w:space="0" w:color="auto"/>
            </w:tcBorders>
            <w:shd w:val="clear" w:color="auto" w:fill="auto"/>
            <w:noWrap/>
            <w:hideMark/>
          </w:tcPr>
          <w:p w14:paraId="05B92D8B" w14:textId="77777777" w:rsidR="000B371B" w:rsidRPr="005B55FD" w:rsidRDefault="000B371B" w:rsidP="001E39EE">
            <w:pPr>
              <w:jc w:val="right"/>
              <w:rPr>
                <w:sz w:val="20"/>
                <w:szCs w:val="20"/>
                <w:lang w:val="fr-CA" w:eastAsia="en-CA"/>
              </w:rPr>
            </w:pPr>
            <w:r w:rsidRPr="005B55FD">
              <w:rPr>
                <w:sz w:val="20"/>
                <w:szCs w:val="20"/>
                <w:lang w:val="fr-CA" w:eastAsia="en-CA"/>
              </w:rPr>
              <w:t>427</w:t>
            </w:r>
          </w:p>
        </w:tc>
        <w:tc>
          <w:tcPr>
            <w:tcW w:w="1170" w:type="dxa"/>
            <w:tcBorders>
              <w:top w:val="nil"/>
              <w:left w:val="nil"/>
              <w:bottom w:val="single" w:sz="4" w:space="0" w:color="auto"/>
              <w:right w:val="single" w:sz="4" w:space="0" w:color="auto"/>
            </w:tcBorders>
            <w:shd w:val="clear" w:color="auto" w:fill="auto"/>
            <w:noWrap/>
            <w:hideMark/>
          </w:tcPr>
          <w:p w14:paraId="2C14DDD4"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378EC790" w14:textId="721B77DC" w:rsidR="000B371B" w:rsidRPr="005B55FD" w:rsidRDefault="000B371B" w:rsidP="001E39EE">
            <w:pPr>
              <w:jc w:val="right"/>
              <w:rPr>
                <w:sz w:val="20"/>
                <w:szCs w:val="20"/>
                <w:lang w:val="fr-CA" w:eastAsia="en-CA"/>
              </w:rPr>
            </w:pPr>
            <w:r w:rsidRPr="005B55FD">
              <w:rPr>
                <w:sz w:val="20"/>
                <w:szCs w:val="20"/>
                <w:lang w:val="fr-CA" w:eastAsia="en-CA"/>
              </w:rPr>
              <w:t>130</w:t>
            </w:r>
            <w:r w:rsidR="00C27C93">
              <w:rPr>
                <w:sz w:val="20"/>
                <w:szCs w:val="20"/>
                <w:lang w:val="fr-CA" w:eastAsia="en-CA"/>
              </w:rPr>
              <w:t xml:space="preserve"> </w:t>
            </w:r>
            <w:r w:rsidRPr="005B55FD">
              <w:rPr>
                <w:sz w:val="20"/>
                <w:szCs w:val="20"/>
                <w:lang w:val="fr-CA" w:eastAsia="en-CA"/>
              </w:rPr>
              <w:t>139</w:t>
            </w:r>
            <w:r w:rsidR="00C27C93">
              <w:rPr>
                <w:sz w:val="20"/>
                <w:szCs w:val="20"/>
                <w:lang w:val="fr-CA" w:eastAsia="en-CA"/>
              </w:rPr>
              <w:t xml:space="preserve"> </w:t>
            </w:r>
            <w:r w:rsidRPr="005B55FD">
              <w:rPr>
                <w:sz w:val="20"/>
                <w:szCs w:val="20"/>
                <w:lang w:val="fr-CA" w:eastAsia="en-CA"/>
              </w:rPr>
              <w:t>750</w:t>
            </w:r>
          </w:p>
        </w:tc>
        <w:tc>
          <w:tcPr>
            <w:tcW w:w="1433" w:type="dxa"/>
            <w:tcBorders>
              <w:top w:val="nil"/>
              <w:left w:val="nil"/>
              <w:bottom w:val="single" w:sz="4" w:space="0" w:color="auto"/>
              <w:right w:val="single" w:sz="4" w:space="0" w:color="auto"/>
            </w:tcBorders>
            <w:shd w:val="clear" w:color="auto" w:fill="auto"/>
            <w:noWrap/>
            <w:hideMark/>
          </w:tcPr>
          <w:p w14:paraId="7B8AA5F7" w14:textId="0E95795C" w:rsidR="000B371B" w:rsidRPr="005B55FD" w:rsidRDefault="000B371B" w:rsidP="001E39EE">
            <w:pPr>
              <w:jc w:val="right"/>
              <w:rPr>
                <w:sz w:val="20"/>
                <w:szCs w:val="20"/>
                <w:lang w:val="fr-CA"/>
              </w:rPr>
            </w:pPr>
            <w:r w:rsidRPr="005B55FD">
              <w:rPr>
                <w:sz w:val="20"/>
                <w:szCs w:val="20"/>
                <w:lang w:val="fr-CA"/>
              </w:rPr>
              <w:t>130</w:t>
            </w:r>
            <w:r w:rsidR="00C27C93">
              <w:rPr>
                <w:sz w:val="20"/>
                <w:szCs w:val="20"/>
                <w:lang w:val="fr-CA"/>
              </w:rPr>
              <w:t xml:space="preserve"> </w:t>
            </w:r>
            <w:r w:rsidRPr="005B55FD">
              <w:rPr>
                <w:sz w:val="20"/>
                <w:szCs w:val="20"/>
                <w:lang w:val="fr-CA"/>
              </w:rPr>
              <w:t>139</w:t>
            </w:r>
            <w:r w:rsidR="00C27C93">
              <w:rPr>
                <w:sz w:val="20"/>
                <w:szCs w:val="20"/>
                <w:lang w:val="fr-CA"/>
              </w:rPr>
              <w:t xml:space="preserve"> </w:t>
            </w:r>
            <w:r w:rsidRPr="005B55FD">
              <w:rPr>
                <w:sz w:val="20"/>
                <w:szCs w:val="20"/>
                <w:lang w:val="fr-CA"/>
              </w:rPr>
              <w:t>751</w:t>
            </w:r>
          </w:p>
        </w:tc>
        <w:tc>
          <w:tcPr>
            <w:tcW w:w="1216" w:type="dxa"/>
            <w:tcBorders>
              <w:top w:val="nil"/>
              <w:left w:val="nil"/>
              <w:bottom w:val="single" w:sz="4" w:space="0" w:color="auto"/>
              <w:right w:val="single" w:sz="4" w:space="0" w:color="auto"/>
            </w:tcBorders>
            <w:shd w:val="clear" w:color="auto" w:fill="auto"/>
            <w:noWrap/>
            <w:hideMark/>
          </w:tcPr>
          <w:p w14:paraId="110DFFF3" w14:textId="77777777" w:rsidR="000B371B" w:rsidRPr="005B55FD" w:rsidRDefault="000B371B" w:rsidP="001E39EE">
            <w:pPr>
              <w:jc w:val="right"/>
              <w:rPr>
                <w:sz w:val="20"/>
                <w:szCs w:val="20"/>
                <w:lang w:val="fr-CA"/>
              </w:rPr>
            </w:pPr>
            <w:r w:rsidRPr="005B55FD">
              <w:rPr>
                <w:sz w:val="20"/>
                <w:szCs w:val="20"/>
                <w:lang w:val="fr-CA"/>
              </w:rPr>
              <w:t>-1</w:t>
            </w:r>
          </w:p>
        </w:tc>
        <w:tc>
          <w:tcPr>
            <w:tcW w:w="1138" w:type="dxa"/>
            <w:tcBorders>
              <w:top w:val="nil"/>
              <w:left w:val="nil"/>
              <w:bottom w:val="single" w:sz="4" w:space="0" w:color="auto"/>
              <w:right w:val="single" w:sz="4" w:space="0" w:color="auto"/>
            </w:tcBorders>
            <w:shd w:val="clear" w:color="auto" w:fill="auto"/>
            <w:noWrap/>
            <w:hideMark/>
          </w:tcPr>
          <w:p w14:paraId="6120D3A2"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12936D74"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69299DDB" w14:textId="77777777" w:rsidR="000B371B" w:rsidRPr="005B55FD" w:rsidRDefault="000B371B" w:rsidP="001E39EE">
            <w:pPr>
              <w:jc w:val="left"/>
              <w:rPr>
                <w:sz w:val="20"/>
                <w:szCs w:val="20"/>
                <w:lang w:val="fr-CA" w:eastAsia="en-CA"/>
              </w:rPr>
            </w:pPr>
            <w:r w:rsidRPr="005B55FD">
              <w:rPr>
                <w:sz w:val="20"/>
                <w:szCs w:val="20"/>
                <w:lang w:val="fr-CA" w:eastAsia="en-CA"/>
              </w:rPr>
              <w:t>2002</w:t>
            </w:r>
          </w:p>
        </w:tc>
        <w:tc>
          <w:tcPr>
            <w:tcW w:w="1066" w:type="dxa"/>
            <w:tcBorders>
              <w:top w:val="nil"/>
              <w:left w:val="nil"/>
              <w:bottom w:val="single" w:sz="4" w:space="0" w:color="auto"/>
              <w:right w:val="single" w:sz="4" w:space="0" w:color="auto"/>
            </w:tcBorders>
            <w:shd w:val="clear" w:color="auto" w:fill="auto"/>
            <w:noWrap/>
            <w:hideMark/>
          </w:tcPr>
          <w:p w14:paraId="7C99BA77" w14:textId="77777777" w:rsidR="000B371B" w:rsidRPr="005B55FD" w:rsidRDefault="000B371B" w:rsidP="001E39EE">
            <w:pPr>
              <w:jc w:val="right"/>
              <w:rPr>
                <w:sz w:val="20"/>
                <w:szCs w:val="20"/>
                <w:lang w:val="fr-CA" w:eastAsia="en-CA"/>
              </w:rPr>
            </w:pPr>
            <w:r w:rsidRPr="005B55FD">
              <w:rPr>
                <w:sz w:val="20"/>
                <w:szCs w:val="20"/>
                <w:lang w:val="fr-CA" w:eastAsia="en-CA"/>
              </w:rPr>
              <w:t>358</w:t>
            </w:r>
          </w:p>
        </w:tc>
        <w:tc>
          <w:tcPr>
            <w:tcW w:w="1143" w:type="dxa"/>
            <w:tcBorders>
              <w:top w:val="nil"/>
              <w:left w:val="nil"/>
              <w:bottom w:val="single" w:sz="4" w:space="0" w:color="auto"/>
              <w:right w:val="single" w:sz="4" w:space="0" w:color="auto"/>
            </w:tcBorders>
            <w:shd w:val="clear" w:color="auto" w:fill="auto"/>
            <w:noWrap/>
            <w:hideMark/>
          </w:tcPr>
          <w:p w14:paraId="30935441" w14:textId="77777777" w:rsidR="000B371B" w:rsidRPr="005B55FD" w:rsidRDefault="000B371B" w:rsidP="001E39EE">
            <w:pPr>
              <w:jc w:val="right"/>
              <w:rPr>
                <w:sz w:val="20"/>
                <w:szCs w:val="20"/>
                <w:lang w:val="fr-CA" w:eastAsia="en-CA"/>
              </w:rPr>
            </w:pPr>
            <w:r w:rsidRPr="005B55FD">
              <w:rPr>
                <w:sz w:val="20"/>
                <w:szCs w:val="20"/>
                <w:lang w:val="fr-CA" w:eastAsia="en-CA"/>
              </w:rPr>
              <w:t>358</w:t>
            </w:r>
          </w:p>
        </w:tc>
        <w:tc>
          <w:tcPr>
            <w:tcW w:w="1170" w:type="dxa"/>
            <w:tcBorders>
              <w:top w:val="nil"/>
              <w:left w:val="nil"/>
              <w:bottom w:val="single" w:sz="4" w:space="0" w:color="auto"/>
              <w:right w:val="single" w:sz="4" w:space="0" w:color="auto"/>
            </w:tcBorders>
            <w:shd w:val="clear" w:color="auto" w:fill="auto"/>
            <w:noWrap/>
            <w:hideMark/>
          </w:tcPr>
          <w:p w14:paraId="1F14002E"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5D57B1E3" w14:textId="3C7CD1A5" w:rsidR="000B371B" w:rsidRPr="005B55FD" w:rsidRDefault="000B371B" w:rsidP="001E39EE">
            <w:pPr>
              <w:jc w:val="right"/>
              <w:rPr>
                <w:sz w:val="20"/>
                <w:szCs w:val="20"/>
                <w:lang w:val="fr-CA" w:eastAsia="en-CA"/>
              </w:rPr>
            </w:pPr>
            <w:r w:rsidRPr="005B55FD">
              <w:rPr>
                <w:sz w:val="20"/>
                <w:szCs w:val="20"/>
                <w:lang w:val="fr-CA" w:eastAsia="en-CA"/>
              </w:rPr>
              <w:t>162</w:t>
            </w:r>
            <w:r w:rsidR="00C27C93">
              <w:rPr>
                <w:sz w:val="20"/>
                <w:szCs w:val="20"/>
                <w:lang w:val="fr-CA" w:eastAsia="en-CA"/>
              </w:rPr>
              <w:t xml:space="preserve"> </w:t>
            </w:r>
            <w:r w:rsidRPr="005B55FD">
              <w:rPr>
                <w:sz w:val="20"/>
                <w:szCs w:val="20"/>
                <w:lang w:val="fr-CA" w:eastAsia="en-CA"/>
              </w:rPr>
              <w:t>045</w:t>
            </w:r>
            <w:r w:rsidR="00C27C93">
              <w:rPr>
                <w:sz w:val="20"/>
                <w:szCs w:val="20"/>
                <w:lang w:val="fr-CA" w:eastAsia="en-CA"/>
              </w:rPr>
              <w:t xml:space="preserve"> </w:t>
            </w:r>
            <w:r w:rsidRPr="005B55FD">
              <w:rPr>
                <w:sz w:val="20"/>
                <w:szCs w:val="20"/>
                <w:lang w:val="fr-CA" w:eastAsia="en-CA"/>
              </w:rPr>
              <w:t>816</w:t>
            </w:r>
          </w:p>
        </w:tc>
        <w:tc>
          <w:tcPr>
            <w:tcW w:w="1433" w:type="dxa"/>
            <w:tcBorders>
              <w:top w:val="nil"/>
              <w:left w:val="nil"/>
              <w:bottom w:val="single" w:sz="4" w:space="0" w:color="auto"/>
              <w:right w:val="single" w:sz="4" w:space="0" w:color="auto"/>
            </w:tcBorders>
            <w:shd w:val="clear" w:color="auto" w:fill="auto"/>
            <w:noWrap/>
            <w:hideMark/>
          </w:tcPr>
          <w:p w14:paraId="08502EC1" w14:textId="67B60394" w:rsidR="000B371B" w:rsidRPr="005B55FD" w:rsidRDefault="000B371B" w:rsidP="001E39EE">
            <w:pPr>
              <w:jc w:val="right"/>
              <w:rPr>
                <w:sz w:val="20"/>
                <w:szCs w:val="20"/>
                <w:lang w:val="fr-CA"/>
              </w:rPr>
            </w:pPr>
            <w:r w:rsidRPr="005B55FD">
              <w:rPr>
                <w:sz w:val="20"/>
                <w:szCs w:val="20"/>
                <w:lang w:val="fr-CA"/>
              </w:rPr>
              <w:t>162</w:t>
            </w:r>
            <w:r w:rsidR="00C27C93">
              <w:rPr>
                <w:sz w:val="20"/>
                <w:szCs w:val="20"/>
                <w:lang w:val="fr-CA"/>
              </w:rPr>
              <w:t xml:space="preserve"> </w:t>
            </w:r>
            <w:r w:rsidRPr="005B55FD">
              <w:rPr>
                <w:sz w:val="20"/>
                <w:szCs w:val="20"/>
                <w:lang w:val="fr-CA"/>
              </w:rPr>
              <w:t>045</w:t>
            </w:r>
            <w:r w:rsidR="00C27C93">
              <w:rPr>
                <w:sz w:val="20"/>
                <w:szCs w:val="20"/>
                <w:lang w:val="fr-CA"/>
              </w:rPr>
              <w:t xml:space="preserve"> </w:t>
            </w:r>
            <w:r w:rsidRPr="005B55FD">
              <w:rPr>
                <w:sz w:val="20"/>
                <w:szCs w:val="20"/>
                <w:lang w:val="fr-CA"/>
              </w:rPr>
              <w:t>815</w:t>
            </w:r>
          </w:p>
        </w:tc>
        <w:tc>
          <w:tcPr>
            <w:tcW w:w="1216" w:type="dxa"/>
            <w:tcBorders>
              <w:top w:val="nil"/>
              <w:left w:val="nil"/>
              <w:bottom w:val="single" w:sz="4" w:space="0" w:color="auto"/>
              <w:right w:val="single" w:sz="4" w:space="0" w:color="auto"/>
            </w:tcBorders>
            <w:shd w:val="clear" w:color="auto" w:fill="auto"/>
            <w:noWrap/>
            <w:hideMark/>
          </w:tcPr>
          <w:p w14:paraId="071E5B10" w14:textId="77777777" w:rsidR="000B371B" w:rsidRPr="005B55FD" w:rsidRDefault="000B371B" w:rsidP="001E39EE">
            <w:pPr>
              <w:jc w:val="right"/>
              <w:rPr>
                <w:sz w:val="20"/>
                <w:szCs w:val="20"/>
                <w:lang w:val="fr-CA"/>
              </w:rPr>
            </w:pPr>
            <w:r w:rsidRPr="005B55FD">
              <w:rPr>
                <w:sz w:val="20"/>
                <w:szCs w:val="20"/>
                <w:lang w:val="fr-CA"/>
              </w:rPr>
              <w:t>1</w:t>
            </w:r>
          </w:p>
        </w:tc>
        <w:tc>
          <w:tcPr>
            <w:tcW w:w="1138" w:type="dxa"/>
            <w:tcBorders>
              <w:top w:val="nil"/>
              <w:left w:val="nil"/>
              <w:bottom w:val="single" w:sz="4" w:space="0" w:color="auto"/>
              <w:right w:val="single" w:sz="4" w:space="0" w:color="auto"/>
            </w:tcBorders>
            <w:shd w:val="clear" w:color="auto" w:fill="auto"/>
            <w:noWrap/>
            <w:hideMark/>
          </w:tcPr>
          <w:p w14:paraId="32982A16"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0A0D4736"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3CDABE5A" w14:textId="77777777" w:rsidR="000B371B" w:rsidRPr="005B55FD" w:rsidRDefault="000B371B" w:rsidP="001E39EE">
            <w:pPr>
              <w:jc w:val="left"/>
              <w:rPr>
                <w:sz w:val="20"/>
                <w:szCs w:val="20"/>
                <w:lang w:val="fr-CA" w:eastAsia="en-CA"/>
              </w:rPr>
            </w:pPr>
            <w:r w:rsidRPr="005B55FD">
              <w:rPr>
                <w:sz w:val="20"/>
                <w:szCs w:val="20"/>
                <w:lang w:val="fr-CA" w:eastAsia="en-CA"/>
              </w:rPr>
              <w:t>2003</w:t>
            </w:r>
          </w:p>
        </w:tc>
        <w:tc>
          <w:tcPr>
            <w:tcW w:w="1066" w:type="dxa"/>
            <w:tcBorders>
              <w:top w:val="nil"/>
              <w:left w:val="nil"/>
              <w:bottom w:val="single" w:sz="4" w:space="0" w:color="auto"/>
              <w:right w:val="single" w:sz="4" w:space="0" w:color="auto"/>
            </w:tcBorders>
            <w:shd w:val="clear" w:color="auto" w:fill="auto"/>
            <w:noWrap/>
            <w:hideMark/>
          </w:tcPr>
          <w:p w14:paraId="2EC559EA" w14:textId="77777777" w:rsidR="000B371B" w:rsidRPr="005B55FD" w:rsidRDefault="000B371B" w:rsidP="001E39EE">
            <w:pPr>
              <w:jc w:val="right"/>
              <w:rPr>
                <w:sz w:val="20"/>
                <w:szCs w:val="20"/>
                <w:lang w:val="fr-CA" w:eastAsia="en-CA"/>
              </w:rPr>
            </w:pPr>
            <w:r w:rsidRPr="005B55FD">
              <w:rPr>
                <w:sz w:val="20"/>
                <w:szCs w:val="20"/>
                <w:lang w:val="fr-CA" w:eastAsia="en-CA"/>
              </w:rPr>
              <w:t>247</w:t>
            </w:r>
          </w:p>
        </w:tc>
        <w:tc>
          <w:tcPr>
            <w:tcW w:w="1143" w:type="dxa"/>
            <w:tcBorders>
              <w:top w:val="nil"/>
              <w:left w:val="nil"/>
              <w:bottom w:val="single" w:sz="4" w:space="0" w:color="auto"/>
              <w:right w:val="single" w:sz="4" w:space="0" w:color="auto"/>
            </w:tcBorders>
            <w:shd w:val="clear" w:color="auto" w:fill="auto"/>
            <w:noWrap/>
            <w:hideMark/>
          </w:tcPr>
          <w:p w14:paraId="641729F7" w14:textId="77777777" w:rsidR="000B371B" w:rsidRPr="005B55FD" w:rsidRDefault="000B371B" w:rsidP="001E39EE">
            <w:pPr>
              <w:jc w:val="right"/>
              <w:rPr>
                <w:sz w:val="20"/>
                <w:szCs w:val="20"/>
                <w:lang w:val="fr-CA" w:eastAsia="en-CA"/>
              </w:rPr>
            </w:pPr>
            <w:r w:rsidRPr="005B55FD">
              <w:rPr>
                <w:sz w:val="20"/>
                <w:szCs w:val="20"/>
                <w:lang w:val="fr-CA" w:eastAsia="en-CA"/>
              </w:rPr>
              <w:t>247</w:t>
            </w:r>
          </w:p>
        </w:tc>
        <w:tc>
          <w:tcPr>
            <w:tcW w:w="1170" w:type="dxa"/>
            <w:tcBorders>
              <w:top w:val="nil"/>
              <w:left w:val="nil"/>
              <w:bottom w:val="single" w:sz="4" w:space="0" w:color="auto"/>
              <w:right w:val="single" w:sz="4" w:space="0" w:color="auto"/>
            </w:tcBorders>
            <w:shd w:val="clear" w:color="auto" w:fill="auto"/>
            <w:noWrap/>
            <w:hideMark/>
          </w:tcPr>
          <w:p w14:paraId="67B1DF44"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2DCF1B2E" w14:textId="23875534" w:rsidR="000B371B" w:rsidRPr="005B55FD" w:rsidRDefault="000B371B" w:rsidP="001E39EE">
            <w:pPr>
              <w:jc w:val="right"/>
              <w:rPr>
                <w:sz w:val="20"/>
                <w:szCs w:val="20"/>
                <w:lang w:val="fr-CA" w:eastAsia="en-CA"/>
              </w:rPr>
            </w:pPr>
            <w:r w:rsidRPr="005B55FD">
              <w:rPr>
                <w:sz w:val="20"/>
                <w:szCs w:val="20"/>
                <w:lang w:val="fr-CA" w:eastAsia="en-CA"/>
              </w:rPr>
              <w:t>157</w:t>
            </w:r>
            <w:r w:rsidR="00C27C93">
              <w:rPr>
                <w:sz w:val="20"/>
                <w:szCs w:val="20"/>
                <w:lang w:val="fr-CA" w:eastAsia="en-CA"/>
              </w:rPr>
              <w:t xml:space="preserve"> </w:t>
            </w:r>
            <w:r w:rsidRPr="005B55FD">
              <w:rPr>
                <w:sz w:val="20"/>
                <w:szCs w:val="20"/>
                <w:lang w:val="fr-CA" w:eastAsia="en-CA"/>
              </w:rPr>
              <w:t>043</w:t>
            </w:r>
            <w:r w:rsidR="00C27C93">
              <w:rPr>
                <w:sz w:val="20"/>
                <w:szCs w:val="20"/>
                <w:lang w:val="fr-CA" w:eastAsia="en-CA"/>
              </w:rPr>
              <w:t xml:space="preserve"> </w:t>
            </w:r>
            <w:r w:rsidRPr="005B55FD">
              <w:rPr>
                <w:sz w:val="20"/>
                <w:szCs w:val="20"/>
                <w:lang w:val="fr-CA" w:eastAsia="en-CA"/>
              </w:rPr>
              <w:t>468</w:t>
            </w:r>
          </w:p>
        </w:tc>
        <w:tc>
          <w:tcPr>
            <w:tcW w:w="1433" w:type="dxa"/>
            <w:tcBorders>
              <w:top w:val="nil"/>
              <w:left w:val="nil"/>
              <w:bottom w:val="single" w:sz="4" w:space="0" w:color="auto"/>
              <w:right w:val="single" w:sz="4" w:space="0" w:color="auto"/>
            </w:tcBorders>
            <w:shd w:val="clear" w:color="auto" w:fill="auto"/>
            <w:noWrap/>
            <w:hideMark/>
          </w:tcPr>
          <w:p w14:paraId="7D5287A1" w14:textId="28BDFAAB" w:rsidR="000B371B" w:rsidRPr="005B55FD" w:rsidRDefault="000B371B" w:rsidP="001E39EE">
            <w:pPr>
              <w:jc w:val="right"/>
              <w:rPr>
                <w:sz w:val="20"/>
                <w:szCs w:val="20"/>
                <w:lang w:val="fr-CA"/>
              </w:rPr>
            </w:pPr>
            <w:r w:rsidRPr="005B55FD">
              <w:rPr>
                <w:sz w:val="20"/>
                <w:szCs w:val="20"/>
                <w:lang w:val="fr-CA"/>
              </w:rPr>
              <w:t>157</w:t>
            </w:r>
            <w:r w:rsidR="00C27C93">
              <w:rPr>
                <w:sz w:val="20"/>
                <w:szCs w:val="20"/>
                <w:lang w:val="fr-CA"/>
              </w:rPr>
              <w:t xml:space="preserve"> </w:t>
            </w:r>
            <w:r w:rsidRPr="005B55FD">
              <w:rPr>
                <w:sz w:val="20"/>
                <w:szCs w:val="20"/>
                <w:lang w:val="fr-CA"/>
              </w:rPr>
              <w:t>043</w:t>
            </w:r>
            <w:r w:rsidR="00C27C93">
              <w:rPr>
                <w:sz w:val="20"/>
                <w:szCs w:val="20"/>
                <w:lang w:val="fr-CA"/>
              </w:rPr>
              <w:t xml:space="preserve"> </w:t>
            </w:r>
            <w:r w:rsidRPr="005B55FD">
              <w:rPr>
                <w:sz w:val="20"/>
                <w:szCs w:val="20"/>
                <w:lang w:val="fr-CA"/>
              </w:rPr>
              <w:t>468</w:t>
            </w:r>
          </w:p>
        </w:tc>
        <w:tc>
          <w:tcPr>
            <w:tcW w:w="1216" w:type="dxa"/>
            <w:tcBorders>
              <w:top w:val="nil"/>
              <w:left w:val="nil"/>
              <w:bottom w:val="single" w:sz="4" w:space="0" w:color="auto"/>
              <w:right w:val="single" w:sz="4" w:space="0" w:color="auto"/>
            </w:tcBorders>
            <w:shd w:val="clear" w:color="auto" w:fill="auto"/>
            <w:noWrap/>
            <w:hideMark/>
          </w:tcPr>
          <w:p w14:paraId="622A161C" w14:textId="77777777" w:rsidR="000B371B" w:rsidRPr="005B55FD" w:rsidRDefault="000B371B" w:rsidP="001E39EE">
            <w:pPr>
              <w:jc w:val="right"/>
              <w:rPr>
                <w:sz w:val="20"/>
                <w:szCs w:val="20"/>
                <w:lang w:val="fr-CA"/>
              </w:rPr>
            </w:pPr>
            <w:r w:rsidRPr="005B55FD">
              <w:rPr>
                <w:sz w:val="20"/>
                <w:szCs w:val="20"/>
                <w:lang w:val="fr-CA"/>
              </w:rPr>
              <w:t>0</w:t>
            </w:r>
          </w:p>
        </w:tc>
        <w:tc>
          <w:tcPr>
            <w:tcW w:w="1138" w:type="dxa"/>
            <w:tcBorders>
              <w:top w:val="nil"/>
              <w:left w:val="nil"/>
              <w:bottom w:val="single" w:sz="4" w:space="0" w:color="auto"/>
              <w:right w:val="single" w:sz="4" w:space="0" w:color="auto"/>
            </w:tcBorders>
            <w:shd w:val="clear" w:color="auto" w:fill="auto"/>
            <w:noWrap/>
            <w:hideMark/>
          </w:tcPr>
          <w:p w14:paraId="039F1C4C"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5059C34E" w14:textId="77777777" w:rsidTr="006735F6">
        <w:trPr>
          <w:trHeight w:val="101"/>
        </w:trPr>
        <w:tc>
          <w:tcPr>
            <w:tcW w:w="761" w:type="dxa"/>
            <w:tcBorders>
              <w:top w:val="nil"/>
              <w:left w:val="single" w:sz="4" w:space="0" w:color="auto"/>
              <w:bottom w:val="single" w:sz="4" w:space="0" w:color="auto"/>
              <w:right w:val="single" w:sz="4" w:space="0" w:color="auto"/>
            </w:tcBorders>
            <w:shd w:val="clear" w:color="auto" w:fill="auto"/>
            <w:noWrap/>
            <w:hideMark/>
          </w:tcPr>
          <w:p w14:paraId="3A718D8D" w14:textId="77777777" w:rsidR="000B371B" w:rsidRPr="005B55FD" w:rsidRDefault="000B371B" w:rsidP="001E39EE">
            <w:pPr>
              <w:jc w:val="left"/>
              <w:rPr>
                <w:sz w:val="20"/>
                <w:szCs w:val="20"/>
                <w:lang w:val="fr-CA" w:eastAsia="en-CA"/>
              </w:rPr>
            </w:pPr>
            <w:r w:rsidRPr="005B55FD">
              <w:rPr>
                <w:sz w:val="20"/>
                <w:szCs w:val="20"/>
                <w:lang w:val="fr-CA" w:eastAsia="en-CA"/>
              </w:rPr>
              <w:lastRenderedPageBreak/>
              <w:t>2004</w:t>
            </w:r>
          </w:p>
        </w:tc>
        <w:tc>
          <w:tcPr>
            <w:tcW w:w="1066" w:type="dxa"/>
            <w:tcBorders>
              <w:top w:val="nil"/>
              <w:left w:val="nil"/>
              <w:bottom w:val="single" w:sz="4" w:space="0" w:color="auto"/>
              <w:right w:val="single" w:sz="4" w:space="0" w:color="auto"/>
            </w:tcBorders>
            <w:shd w:val="clear" w:color="auto" w:fill="auto"/>
            <w:noWrap/>
            <w:hideMark/>
          </w:tcPr>
          <w:p w14:paraId="31503723" w14:textId="77777777" w:rsidR="000B371B" w:rsidRPr="005B55FD" w:rsidRDefault="000B371B" w:rsidP="001E39EE">
            <w:pPr>
              <w:jc w:val="right"/>
              <w:rPr>
                <w:sz w:val="20"/>
                <w:szCs w:val="20"/>
                <w:lang w:val="fr-CA" w:eastAsia="en-CA"/>
              </w:rPr>
            </w:pPr>
            <w:r w:rsidRPr="005B55FD">
              <w:rPr>
                <w:sz w:val="20"/>
                <w:szCs w:val="20"/>
                <w:lang w:val="fr-CA" w:eastAsia="en-CA"/>
              </w:rPr>
              <w:t>271</w:t>
            </w:r>
          </w:p>
        </w:tc>
        <w:tc>
          <w:tcPr>
            <w:tcW w:w="1143" w:type="dxa"/>
            <w:tcBorders>
              <w:top w:val="nil"/>
              <w:left w:val="nil"/>
              <w:bottom w:val="single" w:sz="4" w:space="0" w:color="auto"/>
              <w:right w:val="single" w:sz="4" w:space="0" w:color="auto"/>
            </w:tcBorders>
            <w:shd w:val="clear" w:color="auto" w:fill="auto"/>
            <w:noWrap/>
            <w:hideMark/>
          </w:tcPr>
          <w:p w14:paraId="6D5FF62E" w14:textId="77777777" w:rsidR="000B371B" w:rsidRPr="005B55FD" w:rsidRDefault="000B371B" w:rsidP="001E39EE">
            <w:pPr>
              <w:jc w:val="right"/>
              <w:rPr>
                <w:sz w:val="20"/>
                <w:szCs w:val="20"/>
                <w:lang w:val="fr-CA" w:eastAsia="en-CA"/>
              </w:rPr>
            </w:pPr>
            <w:r w:rsidRPr="005B55FD">
              <w:rPr>
                <w:sz w:val="20"/>
                <w:szCs w:val="20"/>
                <w:lang w:val="fr-CA" w:eastAsia="en-CA"/>
              </w:rPr>
              <w:t>271</w:t>
            </w:r>
          </w:p>
        </w:tc>
        <w:tc>
          <w:tcPr>
            <w:tcW w:w="1170" w:type="dxa"/>
            <w:tcBorders>
              <w:top w:val="nil"/>
              <w:left w:val="nil"/>
              <w:bottom w:val="single" w:sz="4" w:space="0" w:color="auto"/>
              <w:right w:val="single" w:sz="4" w:space="0" w:color="auto"/>
            </w:tcBorders>
            <w:shd w:val="clear" w:color="auto" w:fill="auto"/>
            <w:noWrap/>
            <w:hideMark/>
          </w:tcPr>
          <w:p w14:paraId="157432F5"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25D39861" w14:textId="711E7045" w:rsidR="000B371B" w:rsidRPr="005B55FD" w:rsidRDefault="000B371B" w:rsidP="001E39EE">
            <w:pPr>
              <w:jc w:val="right"/>
              <w:rPr>
                <w:sz w:val="20"/>
                <w:szCs w:val="20"/>
                <w:lang w:val="fr-CA" w:eastAsia="en-CA"/>
              </w:rPr>
            </w:pPr>
            <w:r w:rsidRPr="005B55FD">
              <w:rPr>
                <w:sz w:val="20"/>
                <w:szCs w:val="20"/>
                <w:lang w:val="fr-CA" w:eastAsia="en-CA"/>
              </w:rPr>
              <w:t>162</w:t>
            </w:r>
            <w:r w:rsidR="00C27C93">
              <w:rPr>
                <w:sz w:val="20"/>
                <w:szCs w:val="20"/>
                <w:lang w:val="fr-CA" w:eastAsia="en-CA"/>
              </w:rPr>
              <w:t xml:space="preserve"> </w:t>
            </w:r>
            <w:r w:rsidRPr="005B55FD">
              <w:rPr>
                <w:sz w:val="20"/>
                <w:szCs w:val="20"/>
                <w:lang w:val="fr-CA" w:eastAsia="en-CA"/>
              </w:rPr>
              <w:t>388</w:t>
            </w:r>
            <w:r w:rsidR="00C27C93">
              <w:rPr>
                <w:sz w:val="20"/>
                <w:szCs w:val="20"/>
                <w:lang w:val="fr-CA" w:eastAsia="en-CA"/>
              </w:rPr>
              <w:t xml:space="preserve"> </w:t>
            </w:r>
            <w:r w:rsidRPr="005B55FD">
              <w:rPr>
                <w:sz w:val="20"/>
                <w:szCs w:val="20"/>
                <w:lang w:val="fr-CA" w:eastAsia="en-CA"/>
              </w:rPr>
              <w:t>007</w:t>
            </w:r>
          </w:p>
        </w:tc>
        <w:tc>
          <w:tcPr>
            <w:tcW w:w="1433" w:type="dxa"/>
            <w:tcBorders>
              <w:top w:val="nil"/>
              <w:left w:val="nil"/>
              <w:bottom w:val="single" w:sz="4" w:space="0" w:color="auto"/>
              <w:right w:val="single" w:sz="4" w:space="0" w:color="auto"/>
            </w:tcBorders>
            <w:shd w:val="clear" w:color="auto" w:fill="auto"/>
            <w:noWrap/>
            <w:hideMark/>
          </w:tcPr>
          <w:p w14:paraId="41897DA1" w14:textId="03E6AE86" w:rsidR="000B371B" w:rsidRPr="005B55FD" w:rsidRDefault="000B371B" w:rsidP="001E39EE">
            <w:pPr>
              <w:jc w:val="right"/>
              <w:rPr>
                <w:sz w:val="20"/>
                <w:szCs w:val="20"/>
                <w:lang w:val="fr-CA"/>
              </w:rPr>
            </w:pPr>
            <w:r w:rsidRPr="005B55FD">
              <w:rPr>
                <w:sz w:val="20"/>
                <w:szCs w:val="20"/>
                <w:lang w:val="fr-CA"/>
              </w:rPr>
              <w:t>162</w:t>
            </w:r>
            <w:r w:rsidR="00C27C93">
              <w:rPr>
                <w:sz w:val="20"/>
                <w:szCs w:val="20"/>
                <w:lang w:val="fr-CA"/>
              </w:rPr>
              <w:t xml:space="preserve"> </w:t>
            </w:r>
            <w:r w:rsidRPr="005B55FD">
              <w:rPr>
                <w:sz w:val="20"/>
                <w:szCs w:val="20"/>
                <w:lang w:val="fr-CA"/>
              </w:rPr>
              <w:t>388</w:t>
            </w:r>
            <w:r w:rsidR="00C27C93">
              <w:rPr>
                <w:sz w:val="20"/>
                <w:szCs w:val="20"/>
                <w:lang w:val="fr-CA"/>
              </w:rPr>
              <w:t xml:space="preserve"> </w:t>
            </w:r>
            <w:r w:rsidRPr="005B55FD">
              <w:rPr>
                <w:sz w:val="20"/>
                <w:szCs w:val="20"/>
                <w:lang w:val="fr-CA"/>
              </w:rPr>
              <w:t>008</w:t>
            </w:r>
          </w:p>
        </w:tc>
        <w:tc>
          <w:tcPr>
            <w:tcW w:w="1216" w:type="dxa"/>
            <w:tcBorders>
              <w:top w:val="nil"/>
              <w:left w:val="nil"/>
              <w:bottom w:val="single" w:sz="4" w:space="0" w:color="auto"/>
              <w:right w:val="single" w:sz="4" w:space="0" w:color="auto"/>
            </w:tcBorders>
            <w:shd w:val="clear" w:color="auto" w:fill="auto"/>
            <w:noWrap/>
            <w:hideMark/>
          </w:tcPr>
          <w:p w14:paraId="52A572C3" w14:textId="77777777" w:rsidR="000B371B" w:rsidRPr="005B55FD" w:rsidRDefault="000B371B" w:rsidP="001E39EE">
            <w:pPr>
              <w:jc w:val="right"/>
              <w:rPr>
                <w:sz w:val="20"/>
                <w:szCs w:val="20"/>
                <w:lang w:val="fr-CA"/>
              </w:rPr>
            </w:pPr>
            <w:r w:rsidRPr="005B55FD">
              <w:rPr>
                <w:sz w:val="20"/>
                <w:szCs w:val="20"/>
                <w:lang w:val="fr-CA"/>
              </w:rPr>
              <w:t>0</w:t>
            </w:r>
          </w:p>
        </w:tc>
        <w:tc>
          <w:tcPr>
            <w:tcW w:w="1138" w:type="dxa"/>
            <w:tcBorders>
              <w:top w:val="nil"/>
              <w:left w:val="nil"/>
              <w:bottom w:val="single" w:sz="4" w:space="0" w:color="auto"/>
              <w:right w:val="single" w:sz="4" w:space="0" w:color="auto"/>
            </w:tcBorders>
            <w:shd w:val="clear" w:color="auto" w:fill="auto"/>
            <w:noWrap/>
            <w:hideMark/>
          </w:tcPr>
          <w:p w14:paraId="3030848C"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2ADFF138"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1EA65603" w14:textId="77777777" w:rsidR="000B371B" w:rsidRPr="005B55FD" w:rsidRDefault="000B371B" w:rsidP="001E39EE">
            <w:pPr>
              <w:jc w:val="left"/>
              <w:rPr>
                <w:sz w:val="20"/>
                <w:szCs w:val="20"/>
                <w:lang w:val="fr-CA" w:eastAsia="en-CA"/>
              </w:rPr>
            </w:pPr>
            <w:r w:rsidRPr="005B55FD">
              <w:rPr>
                <w:sz w:val="20"/>
                <w:szCs w:val="20"/>
                <w:lang w:val="fr-CA" w:eastAsia="en-CA"/>
              </w:rPr>
              <w:t>2005</w:t>
            </w:r>
          </w:p>
        </w:tc>
        <w:tc>
          <w:tcPr>
            <w:tcW w:w="1066" w:type="dxa"/>
            <w:tcBorders>
              <w:top w:val="nil"/>
              <w:left w:val="nil"/>
              <w:bottom w:val="single" w:sz="4" w:space="0" w:color="auto"/>
              <w:right w:val="single" w:sz="4" w:space="0" w:color="auto"/>
            </w:tcBorders>
            <w:shd w:val="clear" w:color="auto" w:fill="auto"/>
            <w:noWrap/>
            <w:hideMark/>
          </w:tcPr>
          <w:p w14:paraId="6E3E8049" w14:textId="77777777" w:rsidR="000B371B" w:rsidRPr="005B55FD" w:rsidRDefault="000B371B" w:rsidP="001E39EE">
            <w:pPr>
              <w:jc w:val="right"/>
              <w:rPr>
                <w:sz w:val="20"/>
                <w:szCs w:val="20"/>
                <w:lang w:val="fr-CA" w:eastAsia="en-CA"/>
              </w:rPr>
            </w:pPr>
            <w:r w:rsidRPr="005B55FD">
              <w:rPr>
                <w:sz w:val="20"/>
                <w:szCs w:val="20"/>
                <w:lang w:val="fr-CA" w:eastAsia="en-CA"/>
              </w:rPr>
              <w:t>255</w:t>
            </w:r>
          </w:p>
        </w:tc>
        <w:tc>
          <w:tcPr>
            <w:tcW w:w="1143" w:type="dxa"/>
            <w:tcBorders>
              <w:top w:val="nil"/>
              <w:left w:val="nil"/>
              <w:bottom w:val="single" w:sz="4" w:space="0" w:color="auto"/>
              <w:right w:val="single" w:sz="4" w:space="0" w:color="auto"/>
            </w:tcBorders>
            <w:shd w:val="clear" w:color="auto" w:fill="auto"/>
            <w:noWrap/>
            <w:hideMark/>
          </w:tcPr>
          <w:p w14:paraId="6ECC707F" w14:textId="77777777" w:rsidR="000B371B" w:rsidRPr="005B55FD" w:rsidRDefault="000B371B" w:rsidP="001E39EE">
            <w:pPr>
              <w:jc w:val="right"/>
              <w:rPr>
                <w:sz w:val="20"/>
                <w:szCs w:val="20"/>
                <w:lang w:val="fr-CA" w:eastAsia="en-CA"/>
              </w:rPr>
            </w:pPr>
            <w:r w:rsidRPr="005B55FD">
              <w:rPr>
                <w:sz w:val="20"/>
                <w:szCs w:val="20"/>
                <w:lang w:val="fr-CA" w:eastAsia="en-CA"/>
              </w:rPr>
              <w:t>255</w:t>
            </w:r>
          </w:p>
        </w:tc>
        <w:tc>
          <w:tcPr>
            <w:tcW w:w="1170" w:type="dxa"/>
            <w:tcBorders>
              <w:top w:val="nil"/>
              <w:left w:val="nil"/>
              <w:bottom w:val="single" w:sz="4" w:space="0" w:color="auto"/>
              <w:right w:val="single" w:sz="4" w:space="0" w:color="auto"/>
            </w:tcBorders>
            <w:shd w:val="clear" w:color="auto" w:fill="auto"/>
            <w:noWrap/>
            <w:hideMark/>
          </w:tcPr>
          <w:p w14:paraId="34049B45"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2FC56588" w14:textId="5BAD8EC0" w:rsidR="000B371B" w:rsidRPr="005B55FD" w:rsidRDefault="000B371B" w:rsidP="001E39EE">
            <w:pPr>
              <w:jc w:val="right"/>
              <w:rPr>
                <w:sz w:val="20"/>
                <w:szCs w:val="20"/>
                <w:lang w:val="fr-CA" w:eastAsia="en-CA"/>
              </w:rPr>
            </w:pPr>
            <w:r w:rsidRPr="005B55FD">
              <w:rPr>
                <w:sz w:val="20"/>
                <w:szCs w:val="20"/>
                <w:lang w:val="fr-CA" w:eastAsia="en-CA"/>
              </w:rPr>
              <w:t>180</w:t>
            </w:r>
            <w:r w:rsidR="00C27C93">
              <w:rPr>
                <w:sz w:val="20"/>
                <w:szCs w:val="20"/>
                <w:lang w:val="fr-CA" w:eastAsia="en-CA"/>
              </w:rPr>
              <w:t xml:space="preserve"> </w:t>
            </w:r>
            <w:r w:rsidRPr="005B55FD">
              <w:rPr>
                <w:sz w:val="20"/>
                <w:szCs w:val="20"/>
                <w:lang w:val="fr-CA" w:eastAsia="en-CA"/>
              </w:rPr>
              <w:t>276</w:t>
            </w:r>
            <w:r w:rsidR="00C27C93">
              <w:rPr>
                <w:sz w:val="20"/>
                <w:szCs w:val="20"/>
                <w:lang w:val="fr-CA" w:eastAsia="en-CA"/>
              </w:rPr>
              <w:t xml:space="preserve"> </w:t>
            </w:r>
            <w:r w:rsidRPr="005B55FD">
              <w:rPr>
                <w:sz w:val="20"/>
                <w:szCs w:val="20"/>
                <w:lang w:val="fr-CA" w:eastAsia="en-CA"/>
              </w:rPr>
              <w:t>023</w:t>
            </w:r>
          </w:p>
        </w:tc>
        <w:tc>
          <w:tcPr>
            <w:tcW w:w="1433" w:type="dxa"/>
            <w:tcBorders>
              <w:top w:val="nil"/>
              <w:left w:val="nil"/>
              <w:bottom w:val="single" w:sz="4" w:space="0" w:color="auto"/>
              <w:right w:val="single" w:sz="4" w:space="0" w:color="auto"/>
            </w:tcBorders>
            <w:shd w:val="clear" w:color="auto" w:fill="auto"/>
            <w:noWrap/>
            <w:hideMark/>
          </w:tcPr>
          <w:p w14:paraId="42D4E67A" w14:textId="2850E333" w:rsidR="000B371B" w:rsidRPr="005B55FD" w:rsidRDefault="000B371B" w:rsidP="001E39EE">
            <w:pPr>
              <w:jc w:val="right"/>
              <w:rPr>
                <w:sz w:val="20"/>
                <w:szCs w:val="20"/>
                <w:lang w:val="fr-CA"/>
              </w:rPr>
            </w:pPr>
            <w:r w:rsidRPr="005B55FD">
              <w:rPr>
                <w:sz w:val="20"/>
                <w:szCs w:val="20"/>
                <w:lang w:val="fr-CA"/>
              </w:rPr>
              <w:t>180</w:t>
            </w:r>
            <w:r w:rsidR="00C27C93">
              <w:rPr>
                <w:sz w:val="20"/>
                <w:szCs w:val="20"/>
                <w:lang w:val="fr-CA"/>
              </w:rPr>
              <w:t xml:space="preserve"> </w:t>
            </w:r>
            <w:r w:rsidRPr="005B55FD">
              <w:rPr>
                <w:sz w:val="20"/>
                <w:szCs w:val="20"/>
                <w:lang w:val="fr-CA"/>
              </w:rPr>
              <w:t>276</w:t>
            </w:r>
            <w:r w:rsidR="00C27C93">
              <w:rPr>
                <w:sz w:val="20"/>
                <w:szCs w:val="20"/>
                <w:lang w:val="fr-CA"/>
              </w:rPr>
              <w:t xml:space="preserve"> </w:t>
            </w:r>
            <w:r w:rsidRPr="005B55FD">
              <w:rPr>
                <w:sz w:val="20"/>
                <w:szCs w:val="20"/>
                <w:lang w:val="fr-CA"/>
              </w:rPr>
              <w:t>022</w:t>
            </w:r>
          </w:p>
        </w:tc>
        <w:tc>
          <w:tcPr>
            <w:tcW w:w="1216" w:type="dxa"/>
            <w:tcBorders>
              <w:top w:val="nil"/>
              <w:left w:val="nil"/>
              <w:bottom w:val="single" w:sz="4" w:space="0" w:color="auto"/>
              <w:right w:val="single" w:sz="4" w:space="0" w:color="auto"/>
            </w:tcBorders>
            <w:shd w:val="clear" w:color="auto" w:fill="auto"/>
            <w:noWrap/>
            <w:hideMark/>
          </w:tcPr>
          <w:p w14:paraId="7C9AA883" w14:textId="77777777" w:rsidR="000B371B" w:rsidRPr="005B55FD" w:rsidRDefault="000B371B" w:rsidP="001E39EE">
            <w:pPr>
              <w:jc w:val="right"/>
              <w:rPr>
                <w:sz w:val="20"/>
                <w:szCs w:val="20"/>
                <w:lang w:val="fr-CA"/>
              </w:rPr>
            </w:pPr>
            <w:r w:rsidRPr="005B55FD">
              <w:rPr>
                <w:sz w:val="20"/>
                <w:szCs w:val="20"/>
                <w:lang w:val="fr-CA"/>
              </w:rPr>
              <w:t>1</w:t>
            </w:r>
          </w:p>
        </w:tc>
        <w:tc>
          <w:tcPr>
            <w:tcW w:w="1138" w:type="dxa"/>
            <w:tcBorders>
              <w:top w:val="nil"/>
              <w:left w:val="nil"/>
              <w:bottom w:val="single" w:sz="4" w:space="0" w:color="auto"/>
              <w:right w:val="single" w:sz="4" w:space="0" w:color="auto"/>
            </w:tcBorders>
            <w:shd w:val="clear" w:color="auto" w:fill="auto"/>
            <w:noWrap/>
            <w:hideMark/>
          </w:tcPr>
          <w:p w14:paraId="543FB3C2"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7BC271FF"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6C35BFB7" w14:textId="77777777" w:rsidR="000B371B" w:rsidRPr="005B55FD" w:rsidRDefault="000B371B" w:rsidP="001E39EE">
            <w:pPr>
              <w:jc w:val="left"/>
              <w:rPr>
                <w:sz w:val="20"/>
                <w:szCs w:val="20"/>
                <w:lang w:val="fr-CA" w:eastAsia="en-CA"/>
              </w:rPr>
            </w:pPr>
            <w:r w:rsidRPr="005B55FD">
              <w:rPr>
                <w:sz w:val="20"/>
                <w:szCs w:val="20"/>
                <w:lang w:val="fr-CA" w:eastAsia="en-CA"/>
              </w:rPr>
              <w:t>2006</w:t>
            </w:r>
          </w:p>
        </w:tc>
        <w:tc>
          <w:tcPr>
            <w:tcW w:w="1066" w:type="dxa"/>
            <w:tcBorders>
              <w:top w:val="nil"/>
              <w:left w:val="nil"/>
              <w:bottom w:val="single" w:sz="4" w:space="0" w:color="auto"/>
              <w:right w:val="single" w:sz="4" w:space="0" w:color="auto"/>
            </w:tcBorders>
            <w:shd w:val="clear" w:color="auto" w:fill="auto"/>
            <w:noWrap/>
            <w:hideMark/>
          </w:tcPr>
          <w:p w14:paraId="6508CF88" w14:textId="77777777" w:rsidR="000B371B" w:rsidRPr="005B55FD" w:rsidRDefault="000B371B" w:rsidP="001E39EE">
            <w:pPr>
              <w:jc w:val="right"/>
              <w:rPr>
                <w:sz w:val="20"/>
                <w:szCs w:val="20"/>
                <w:lang w:val="fr-CA" w:eastAsia="en-CA"/>
              </w:rPr>
            </w:pPr>
            <w:r w:rsidRPr="005B55FD">
              <w:rPr>
                <w:sz w:val="20"/>
                <w:szCs w:val="20"/>
                <w:lang w:val="fr-CA" w:eastAsia="en-CA"/>
              </w:rPr>
              <w:t>261</w:t>
            </w:r>
          </w:p>
        </w:tc>
        <w:tc>
          <w:tcPr>
            <w:tcW w:w="1143" w:type="dxa"/>
            <w:tcBorders>
              <w:top w:val="nil"/>
              <w:left w:val="nil"/>
              <w:bottom w:val="single" w:sz="4" w:space="0" w:color="auto"/>
              <w:right w:val="single" w:sz="4" w:space="0" w:color="auto"/>
            </w:tcBorders>
            <w:shd w:val="clear" w:color="auto" w:fill="auto"/>
            <w:noWrap/>
            <w:hideMark/>
          </w:tcPr>
          <w:p w14:paraId="1E0E7E95" w14:textId="77777777" w:rsidR="000B371B" w:rsidRPr="005B55FD" w:rsidRDefault="000B371B" w:rsidP="001E39EE">
            <w:pPr>
              <w:jc w:val="right"/>
              <w:rPr>
                <w:sz w:val="20"/>
                <w:szCs w:val="20"/>
                <w:lang w:val="fr-CA" w:eastAsia="en-CA"/>
              </w:rPr>
            </w:pPr>
            <w:r w:rsidRPr="005B55FD">
              <w:rPr>
                <w:sz w:val="20"/>
                <w:szCs w:val="20"/>
                <w:lang w:val="fr-CA" w:eastAsia="en-CA"/>
              </w:rPr>
              <w:t>261</w:t>
            </w:r>
          </w:p>
        </w:tc>
        <w:tc>
          <w:tcPr>
            <w:tcW w:w="1170" w:type="dxa"/>
            <w:tcBorders>
              <w:top w:val="nil"/>
              <w:left w:val="nil"/>
              <w:bottom w:val="single" w:sz="4" w:space="0" w:color="auto"/>
              <w:right w:val="single" w:sz="4" w:space="0" w:color="auto"/>
            </w:tcBorders>
            <w:shd w:val="clear" w:color="auto" w:fill="auto"/>
            <w:noWrap/>
            <w:hideMark/>
          </w:tcPr>
          <w:p w14:paraId="2D1ADC5E"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7A84CB80" w14:textId="242A5469" w:rsidR="000B371B" w:rsidRPr="005B55FD" w:rsidRDefault="000B371B" w:rsidP="001E39EE">
            <w:pPr>
              <w:jc w:val="right"/>
              <w:rPr>
                <w:sz w:val="20"/>
                <w:szCs w:val="20"/>
                <w:lang w:val="fr-CA" w:eastAsia="en-CA"/>
              </w:rPr>
            </w:pPr>
            <w:r w:rsidRPr="005B55FD">
              <w:rPr>
                <w:sz w:val="20"/>
                <w:szCs w:val="20"/>
                <w:lang w:val="fr-CA" w:eastAsia="en-CA"/>
              </w:rPr>
              <w:t>120</w:t>
            </w:r>
            <w:r w:rsidR="00C27C93">
              <w:rPr>
                <w:sz w:val="20"/>
                <w:szCs w:val="20"/>
                <w:lang w:val="fr-CA" w:eastAsia="en-CA"/>
              </w:rPr>
              <w:t xml:space="preserve"> </w:t>
            </w:r>
            <w:r w:rsidRPr="005B55FD">
              <w:rPr>
                <w:sz w:val="20"/>
                <w:szCs w:val="20"/>
                <w:lang w:val="fr-CA" w:eastAsia="en-CA"/>
              </w:rPr>
              <w:t>848</w:t>
            </w:r>
            <w:r w:rsidR="00C27C93">
              <w:rPr>
                <w:sz w:val="20"/>
                <w:szCs w:val="20"/>
                <w:lang w:val="fr-CA" w:eastAsia="en-CA"/>
              </w:rPr>
              <w:t xml:space="preserve"> </w:t>
            </w:r>
            <w:r w:rsidRPr="005B55FD">
              <w:rPr>
                <w:sz w:val="20"/>
                <w:szCs w:val="20"/>
                <w:lang w:val="fr-CA" w:eastAsia="en-CA"/>
              </w:rPr>
              <w:t>004</w:t>
            </w:r>
          </w:p>
        </w:tc>
        <w:tc>
          <w:tcPr>
            <w:tcW w:w="1433" w:type="dxa"/>
            <w:tcBorders>
              <w:top w:val="nil"/>
              <w:left w:val="nil"/>
              <w:bottom w:val="single" w:sz="4" w:space="0" w:color="auto"/>
              <w:right w:val="single" w:sz="4" w:space="0" w:color="auto"/>
            </w:tcBorders>
            <w:shd w:val="clear" w:color="auto" w:fill="auto"/>
            <w:noWrap/>
            <w:hideMark/>
          </w:tcPr>
          <w:p w14:paraId="537FE708" w14:textId="39678EE3" w:rsidR="000B371B" w:rsidRPr="005B55FD" w:rsidRDefault="000B371B" w:rsidP="001E39EE">
            <w:pPr>
              <w:jc w:val="right"/>
              <w:rPr>
                <w:sz w:val="20"/>
                <w:szCs w:val="20"/>
                <w:lang w:val="fr-CA"/>
              </w:rPr>
            </w:pPr>
            <w:r w:rsidRPr="005B55FD">
              <w:rPr>
                <w:sz w:val="20"/>
                <w:szCs w:val="20"/>
                <w:lang w:val="fr-CA"/>
              </w:rPr>
              <w:t>120</w:t>
            </w:r>
            <w:r w:rsidR="00C27C93">
              <w:rPr>
                <w:sz w:val="20"/>
                <w:szCs w:val="20"/>
                <w:lang w:val="fr-CA"/>
              </w:rPr>
              <w:t xml:space="preserve"> </w:t>
            </w:r>
            <w:r w:rsidRPr="005B55FD">
              <w:rPr>
                <w:sz w:val="20"/>
                <w:szCs w:val="20"/>
                <w:lang w:val="fr-CA"/>
              </w:rPr>
              <w:t>762</w:t>
            </w:r>
            <w:r w:rsidR="00C27C93">
              <w:rPr>
                <w:sz w:val="20"/>
                <w:szCs w:val="20"/>
                <w:lang w:val="fr-CA"/>
              </w:rPr>
              <w:t xml:space="preserve"> </w:t>
            </w:r>
            <w:r w:rsidRPr="005B55FD">
              <w:rPr>
                <w:sz w:val="20"/>
                <w:szCs w:val="20"/>
                <w:lang w:val="fr-CA"/>
              </w:rPr>
              <w:t>417</w:t>
            </w:r>
          </w:p>
        </w:tc>
        <w:tc>
          <w:tcPr>
            <w:tcW w:w="1216" w:type="dxa"/>
            <w:tcBorders>
              <w:top w:val="nil"/>
              <w:left w:val="nil"/>
              <w:bottom w:val="single" w:sz="4" w:space="0" w:color="auto"/>
              <w:right w:val="single" w:sz="4" w:space="0" w:color="auto"/>
            </w:tcBorders>
            <w:shd w:val="clear" w:color="auto" w:fill="auto"/>
            <w:noWrap/>
            <w:hideMark/>
          </w:tcPr>
          <w:p w14:paraId="6CCF0FB8" w14:textId="687CA2E7" w:rsidR="000B371B" w:rsidRPr="005B55FD" w:rsidRDefault="000B371B" w:rsidP="001E39EE">
            <w:pPr>
              <w:jc w:val="right"/>
              <w:rPr>
                <w:sz w:val="20"/>
                <w:szCs w:val="20"/>
                <w:lang w:val="fr-CA"/>
              </w:rPr>
            </w:pPr>
            <w:r w:rsidRPr="005B55FD">
              <w:rPr>
                <w:sz w:val="20"/>
                <w:szCs w:val="20"/>
                <w:lang w:val="fr-CA"/>
              </w:rPr>
              <w:t>85</w:t>
            </w:r>
            <w:r w:rsidR="00C27C93">
              <w:rPr>
                <w:sz w:val="20"/>
                <w:szCs w:val="20"/>
                <w:lang w:val="fr-CA"/>
              </w:rPr>
              <w:t xml:space="preserve"> </w:t>
            </w:r>
            <w:r w:rsidRPr="005B55FD">
              <w:rPr>
                <w:sz w:val="20"/>
                <w:szCs w:val="20"/>
                <w:lang w:val="fr-CA"/>
              </w:rPr>
              <w:t>586</w:t>
            </w:r>
          </w:p>
        </w:tc>
        <w:tc>
          <w:tcPr>
            <w:tcW w:w="1138" w:type="dxa"/>
            <w:tcBorders>
              <w:top w:val="nil"/>
              <w:left w:val="nil"/>
              <w:bottom w:val="single" w:sz="4" w:space="0" w:color="auto"/>
              <w:right w:val="single" w:sz="4" w:space="0" w:color="auto"/>
            </w:tcBorders>
            <w:shd w:val="clear" w:color="auto" w:fill="auto"/>
            <w:noWrap/>
            <w:hideMark/>
          </w:tcPr>
          <w:p w14:paraId="5E9B02AC"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6A375E5D"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6D9C4AF4" w14:textId="77777777" w:rsidR="000B371B" w:rsidRPr="005B55FD" w:rsidRDefault="000B371B" w:rsidP="001E39EE">
            <w:pPr>
              <w:jc w:val="left"/>
              <w:rPr>
                <w:sz w:val="20"/>
                <w:szCs w:val="20"/>
                <w:lang w:val="fr-CA" w:eastAsia="en-CA"/>
              </w:rPr>
            </w:pPr>
            <w:r w:rsidRPr="005B55FD">
              <w:rPr>
                <w:sz w:val="20"/>
                <w:szCs w:val="20"/>
                <w:lang w:val="fr-CA" w:eastAsia="en-CA"/>
              </w:rPr>
              <w:t>2007</w:t>
            </w:r>
          </w:p>
        </w:tc>
        <w:tc>
          <w:tcPr>
            <w:tcW w:w="1066" w:type="dxa"/>
            <w:tcBorders>
              <w:top w:val="nil"/>
              <w:left w:val="nil"/>
              <w:bottom w:val="single" w:sz="4" w:space="0" w:color="auto"/>
              <w:right w:val="single" w:sz="4" w:space="0" w:color="auto"/>
            </w:tcBorders>
            <w:shd w:val="clear" w:color="auto" w:fill="auto"/>
            <w:noWrap/>
            <w:hideMark/>
          </w:tcPr>
          <w:p w14:paraId="1FF474A5" w14:textId="77777777" w:rsidR="000B371B" w:rsidRPr="005B55FD" w:rsidRDefault="000B371B" w:rsidP="001E39EE">
            <w:pPr>
              <w:jc w:val="right"/>
              <w:rPr>
                <w:sz w:val="20"/>
                <w:szCs w:val="20"/>
                <w:lang w:val="fr-CA" w:eastAsia="en-CA"/>
              </w:rPr>
            </w:pPr>
            <w:r w:rsidRPr="005B55FD">
              <w:rPr>
                <w:sz w:val="20"/>
                <w:szCs w:val="20"/>
                <w:lang w:val="fr-CA" w:eastAsia="en-CA"/>
              </w:rPr>
              <w:t>213</w:t>
            </w:r>
          </w:p>
        </w:tc>
        <w:tc>
          <w:tcPr>
            <w:tcW w:w="1143" w:type="dxa"/>
            <w:tcBorders>
              <w:top w:val="nil"/>
              <w:left w:val="nil"/>
              <w:bottom w:val="single" w:sz="4" w:space="0" w:color="auto"/>
              <w:right w:val="single" w:sz="4" w:space="0" w:color="auto"/>
            </w:tcBorders>
            <w:shd w:val="clear" w:color="auto" w:fill="auto"/>
            <w:noWrap/>
            <w:hideMark/>
          </w:tcPr>
          <w:p w14:paraId="002B971E" w14:textId="77777777" w:rsidR="000B371B" w:rsidRPr="005B55FD" w:rsidRDefault="000B371B" w:rsidP="001E39EE">
            <w:pPr>
              <w:jc w:val="right"/>
              <w:rPr>
                <w:sz w:val="20"/>
                <w:szCs w:val="20"/>
                <w:lang w:val="fr-CA" w:eastAsia="en-CA"/>
              </w:rPr>
            </w:pPr>
            <w:r w:rsidRPr="005B55FD">
              <w:rPr>
                <w:sz w:val="20"/>
                <w:szCs w:val="20"/>
                <w:lang w:val="fr-CA" w:eastAsia="en-CA"/>
              </w:rPr>
              <w:t>213</w:t>
            </w:r>
          </w:p>
        </w:tc>
        <w:tc>
          <w:tcPr>
            <w:tcW w:w="1170" w:type="dxa"/>
            <w:tcBorders>
              <w:top w:val="nil"/>
              <w:left w:val="nil"/>
              <w:bottom w:val="single" w:sz="4" w:space="0" w:color="auto"/>
              <w:right w:val="single" w:sz="4" w:space="0" w:color="auto"/>
            </w:tcBorders>
            <w:shd w:val="clear" w:color="auto" w:fill="auto"/>
            <w:noWrap/>
            <w:hideMark/>
          </w:tcPr>
          <w:p w14:paraId="2350FDB7"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75222893" w14:textId="28182F0C" w:rsidR="000B371B" w:rsidRPr="005B55FD" w:rsidRDefault="000B371B" w:rsidP="001E39EE">
            <w:pPr>
              <w:jc w:val="right"/>
              <w:rPr>
                <w:sz w:val="20"/>
                <w:szCs w:val="20"/>
                <w:lang w:val="fr-CA" w:eastAsia="en-CA"/>
              </w:rPr>
            </w:pPr>
            <w:r w:rsidRPr="005B55FD">
              <w:rPr>
                <w:sz w:val="20"/>
                <w:szCs w:val="20"/>
                <w:lang w:val="fr-CA" w:eastAsia="en-CA"/>
              </w:rPr>
              <w:t>120</w:t>
            </w:r>
            <w:r w:rsidR="00C27C93">
              <w:rPr>
                <w:sz w:val="20"/>
                <w:szCs w:val="20"/>
                <w:lang w:val="fr-CA" w:eastAsia="en-CA"/>
              </w:rPr>
              <w:t xml:space="preserve"> </w:t>
            </w:r>
            <w:r w:rsidRPr="005B55FD">
              <w:rPr>
                <w:sz w:val="20"/>
                <w:szCs w:val="20"/>
                <w:lang w:val="fr-CA" w:eastAsia="en-CA"/>
              </w:rPr>
              <w:t>144</w:t>
            </w:r>
            <w:r w:rsidR="00C27C93">
              <w:rPr>
                <w:sz w:val="20"/>
                <w:szCs w:val="20"/>
                <w:lang w:val="fr-CA" w:eastAsia="en-CA"/>
              </w:rPr>
              <w:t xml:space="preserve"> </w:t>
            </w:r>
            <w:r w:rsidRPr="005B55FD">
              <w:rPr>
                <w:sz w:val="20"/>
                <w:szCs w:val="20"/>
                <w:lang w:val="fr-CA" w:eastAsia="en-CA"/>
              </w:rPr>
              <w:t>867</w:t>
            </w:r>
          </w:p>
        </w:tc>
        <w:tc>
          <w:tcPr>
            <w:tcW w:w="1433" w:type="dxa"/>
            <w:tcBorders>
              <w:top w:val="nil"/>
              <w:left w:val="nil"/>
              <w:bottom w:val="single" w:sz="4" w:space="0" w:color="auto"/>
              <w:right w:val="single" w:sz="4" w:space="0" w:color="auto"/>
            </w:tcBorders>
            <w:shd w:val="clear" w:color="auto" w:fill="auto"/>
            <w:noWrap/>
            <w:hideMark/>
          </w:tcPr>
          <w:p w14:paraId="3A7B887D" w14:textId="7858718A" w:rsidR="000B371B" w:rsidRPr="005B55FD" w:rsidRDefault="000B371B" w:rsidP="001E39EE">
            <w:pPr>
              <w:jc w:val="right"/>
              <w:rPr>
                <w:sz w:val="20"/>
                <w:szCs w:val="20"/>
                <w:lang w:val="fr-CA"/>
              </w:rPr>
            </w:pPr>
            <w:r w:rsidRPr="005B55FD">
              <w:rPr>
                <w:sz w:val="20"/>
                <w:szCs w:val="20"/>
                <w:lang w:val="fr-CA"/>
              </w:rPr>
              <w:t>120</w:t>
            </w:r>
            <w:r w:rsidR="00C27C93">
              <w:rPr>
                <w:sz w:val="20"/>
                <w:szCs w:val="20"/>
                <w:lang w:val="fr-CA"/>
              </w:rPr>
              <w:t xml:space="preserve"> </w:t>
            </w:r>
            <w:r w:rsidRPr="005B55FD">
              <w:rPr>
                <w:sz w:val="20"/>
                <w:szCs w:val="20"/>
                <w:lang w:val="fr-CA"/>
              </w:rPr>
              <w:t>084</w:t>
            </w:r>
            <w:r w:rsidR="00C27C93">
              <w:rPr>
                <w:sz w:val="20"/>
                <w:szCs w:val="20"/>
                <w:lang w:val="fr-CA"/>
              </w:rPr>
              <w:t xml:space="preserve"> </w:t>
            </w:r>
            <w:r w:rsidRPr="005B55FD">
              <w:rPr>
                <w:sz w:val="20"/>
                <w:szCs w:val="20"/>
                <w:lang w:val="fr-CA"/>
              </w:rPr>
              <w:t>048</w:t>
            </w:r>
          </w:p>
        </w:tc>
        <w:tc>
          <w:tcPr>
            <w:tcW w:w="1216" w:type="dxa"/>
            <w:tcBorders>
              <w:top w:val="nil"/>
              <w:left w:val="nil"/>
              <w:bottom w:val="single" w:sz="4" w:space="0" w:color="auto"/>
              <w:right w:val="single" w:sz="4" w:space="0" w:color="auto"/>
            </w:tcBorders>
            <w:shd w:val="clear" w:color="auto" w:fill="auto"/>
            <w:noWrap/>
            <w:hideMark/>
          </w:tcPr>
          <w:p w14:paraId="302FEB45" w14:textId="0C8F14DC" w:rsidR="000B371B" w:rsidRPr="005B55FD" w:rsidRDefault="000B371B" w:rsidP="001E39EE">
            <w:pPr>
              <w:jc w:val="right"/>
              <w:rPr>
                <w:sz w:val="20"/>
                <w:szCs w:val="20"/>
                <w:lang w:val="fr-CA"/>
              </w:rPr>
            </w:pPr>
            <w:r w:rsidRPr="005B55FD">
              <w:rPr>
                <w:sz w:val="20"/>
                <w:szCs w:val="20"/>
                <w:lang w:val="fr-CA"/>
              </w:rPr>
              <w:t>60</w:t>
            </w:r>
            <w:r w:rsidR="00C27C93">
              <w:rPr>
                <w:sz w:val="20"/>
                <w:szCs w:val="20"/>
                <w:lang w:val="fr-CA"/>
              </w:rPr>
              <w:t xml:space="preserve"> </w:t>
            </w:r>
            <w:r w:rsidRPr="005B55FD">
              <w:rPr>
                <w:sz w:val="20"/>
                <w:szCs w:val="20"/>
                <w:lang w:val="fr-CA"/>
              </w:rPr>
              <w:t>820</w:t>
            </w:r>
          </w:p>
        </w:tc>
        <w:tc>
          <w:tcPr>
            <w:tcW w:w="1138" w:type="dxa"/>
            <w:tcBorders>
              <w:top w:val="nil"/>
              <w:left w:val="nil"/>
              <w:bottom w:val="single" w:sz="4" w:space="0" w:color="auto"/>
              <w:right w:val="single" w:sz="4" w:space="0" w:color="auto"/>
            </w:tcBorders>
            <w:shd w:val="clear" w:color="auto" w:fill="auto"/>
            <w:noWrap/>
            <w:hideMark/>
          </w:tcPr>
          <w:p w14:paraId="396170F6"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0D29F176"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692BFD2F" w14:textId="77777777" w:rsidR="000B371B" w:rsidRPr="005B55FD" w:rsidRDefault="000B371B" w:rsidP="001E39EE">
            <w:pPr>
              <w:jc w:val="left"/>
              <w:rPr>
                <w:sz w:val="20"/>
                <w:szCs w:val="20"/>
                <w:lang w:val="fr-CA" w:eastAsia="en-CA"/>
              </w:rPr>
            </w:pPr>
            <w:r w:rsidRPr="005B55FD">
              <w:rPr>
                <w:sz w:val="20"/>
                <w:szCs w:val="20"/>
                <w:lang w:val="fr-CA" w:eastAsia="en-CA"/>
              </w:rPr>
              <w:t>2008</w:t>
            </w:r>
          </w:p>
        </w:tc>
        <w:tc>
          <w:tcPr>
            <w:tcW w:w="1066" w:type="dxa"/>
            <w:tcBorders>
              <w:top w:val="nil"/>
              <w:left w:val="nil"/>
              <w:bottom w:val="single" w:sz="4" w:space="0" w:color="auto"/>
              <w:right w:val="single" w:sz="4" w:space="0" w:color="auto"/>
            </w:tcBorders>
            <w:shd w:val="clear" w:color="auto" w:fill="auto"/>
            <w:noWrap/>
            <w:hideMark/>
          </w:tcPr>
          <w:p w14:paraId="579CE763" w14:textId="77777777" w:rsidR="000B371B" w:rsidRPr="005B55FD" w:rsidRDefault="000B371B" w:rsidP="001E39EE">
            <w:pPr>
              <w:jc w:val="right"/>
              <w:rPr>
                <w:sz w:val="20"/>
                <w:szCs w:val="20"/>
                <w:lang w:val="fr-CA" w:eastAsia="en-CA"/>
              </w:rPr>
            </w:pPr>
            <w:r w:rsidRPr="005B55FD">
              <w:rPr>
                <w:sz w:val="20"/>
                <w:szCs w:val="20"/>
                <w:lang w:val="fr-CA" w:eastAsia="en-CA"/>
              </w:rPr>
              <w:t>354</w:t>
            </w:r>
          </w:p>
        </w:tc>
        <w:tc>
          <w:tcPr>
            <w:tcW w:w="1143" w:type="dxa"/>
            <w:tcBorders>
              <w:top w:val="nil"/>
              <w:left w:val="nil"/>
              <w:bottom w:val="single" w:sz="4" w:space="0" w:color="auto"/>
              <w:right w:val="single" w:sz="4" w:space="0" w:color="auto"/>
            </w:tcBorders>
            <w:shd w:val="clear" w:color="auto" w:fill="auto"/>
            <w:noWrap/>
            <w:hideMark/>
          </w:tcPr>
          <w:p w14:paraId="3965AFB6" w14:textId="77777777" w:rsidR="000B371B" w:rsidRPr="005B55FD" w:rsidRDefault="000B371B" w:rsidP="001E39EE">
            <w:pPr>
              <w:jc w:val="right"/>
              <w:rPr>
                <w:sz w:val="20"/>
                <w:szCs w:val="20"/>
                <w:lang w:val="fr-CA" w:eastAsia="en-CA"/>
              </w:rPr>
            </w:pPr>
            <w:r w:rsidRPr="005B55FD">
              <w:rPr>
                <w:sz w:val="20"/>
                <w:szCs w:val="20"/>
                <w:lang w:val="fr-CA" w:eastAsia="en-CA"/>
              </w:rPr>
              <w:t>353</w:t>
            </w:r>
          </w:p>
        </w:tc>
        <w:tc>
          <w:tcPr>
            <w:tcW w:w="1170" w:type="dxa"/>
            <w:tcBorders>
              <w:top w:val="nil"/>
              <w:left w:val="nil"/>
              <w:bottom w:val="single" w:sz="4" w:space="0" w:color="auto"/>
              <w:right w:val="single" w:sz="4" w:space="0" w:color="auto"/>
            </w:tcBorders>
            <w:shd w:val="clear" w:color="auto" w:fill="auto"/>
            <w:noWrap/>
            <w:hideMark/>
          </w:tcPr>
          <w:p w14:paraId="0D129E6E"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1E54961D" w14:textId="54709F14" w:rsidR="000B371B" w:rsidRPr="005B55FD" w:rsidRDefault="000B371B" w:rsidP="001E39EE">
            <w:pPr>
              <w:jc w:val="right"/>
              <w:rPr>
                <w:sz w:val="20"/>
                <w:szCs w:val="20"/>
                <w:lang w:val="fr-CA" w:eastAsia="en-CA"/>
              </w:rPr>
            </w:pPr>
            <w:r w:rsidRPr="005B55FD">
              <w:rPr>
                <w:sz w:val="20"/>
                <w:szCs w:val="20"/>
                <w:lang w:val="fr-CA" w:eastAsia="en-CA"/>
              </w:rPr>
              <w:t>121</w:t>
            </w:r>
            <w:r w:rsidR="00C27C93">
              <w:rPr>
                <w:sz w:val="20"/>
                <w:szCs w:val="20"/>
                <w:lang w:val="fr-CA" w:eastAsia="en-CA"/>
              </w:rPr>
              <w:t xml:space="preserve"> </w:t>
            </w:r>
            <w:r w:rsidRPr="005B55FD">
              <w:rPr>
                <w:sz w:val="20"/>
                <w:szCs w:val="20"/>
                <w:lang w:val="fr-CA" w:eastAsia="en-CA"/>
              </w:rPr>
              <w:t>900</w:t>
            </w:r>
            <w:r w:rsidR="00C27C93">
              <w:rPr>
                <w:sz w:val="20"/>
                <w:szCs w:val="20"/>
                <w:lang w:val="fr-CA" w:eastAsia="en-CA"/>
              </w:rPr>
              <w:t xml:space="preserve"> </w:t>
            </w:r>
            <w:r w:rsidRPr="005B55FD">
              <w:rPr>
                <w:sz w:val="20"/>
                <w:szCs w:val="20"/>
                <w:lang w:val="fr-CA" w:eastAsia="en-CA"/>
              </w:rPr>
              <w:t>010</w:t>
            </w:r>
          </w:p>
        </w:tc>
        <w:tc>
          <w:tcPr>
            <w:tcW w:w="1433" w:type="dxa"/>
            <w:tcBorders>
              <w:top w:val="nil"/>
              <w:left w:val="nil"/>
              <w:bottom w:val="single" w:sz="4" w:space="0" w:color="auto"/>
              <w:right w:val="single" w:sz="4" w:space="0" w:color="auto"/>
            </w:tcBorders>
            <w:shd w:val="clear" w:color="auto" w:fill="auto"/>
            <w:noWrap/>
            <w:hideMark/>
          </w:tcPr>
          <w:p w14:paraId="2E0F9A32" w14:textId="2A6AA80E" w:rsidR="000B371B" w:rsidRPr="005B55FD" w:rsidRDefault="000B371B" w:rsidP="001E39EE">
            <w:pPr>
              <w:jc w:val="right"/>
              <w:rPr>
                <w:sz w:val="20"/>
                <w:szCs w:val="20"/>
                <w:lang w:val="fr-CA"/>
              </w:rPr>
            </w:pPr>
            <w:r w:rsidRPr="005B55FD">
              <w:rPr>
                <w:sz w:val="20"/>
                <w:szCs w:val="20"/>
                <w:lang w:val="fr-CA"/>
              </w:rPr>
              <w:t>121</w:t>
            </w:r>
            <w:r w:rsidR="00C27C93">
              <w:rPr>
                <w:sz w:val="20"/>
                <w:szCs w:val="20"/>
                <w:lang w:val="fr-CA"/>
              </w:rPr>
              <w:t xml:space="preserve"> </w:t>
            </w:r>
            <w:r w:rsidRPr="005B55FD">
              <w:rPr>
                <w:sz w:val="20"/>
                <w:szCs w:val="20"/>
                <w:lang w:val="fr-CA"/>
              </w:rPr>
              <w:t>871</w:t>
            </w:r>
            <w:r w:rsidR="00C27C93">
              <w:rPr>
                <w:sz w:val="20"/>
                <w:szCs w:val="20"/>
                <w:lang w:val="fr-CA"/>
              </w:rPr>
              <w:t xml:space="preserve"> </w:t>
            </w:r>
            <w:r w:rsidRPr="005B55FD">
              <w:rPr>
                <w:sz w:val="20"/>
                <w:szCs w:val="20"/>
                <w:lang w:val="fr-CA"/>
              </w:rPr>
              <w:t>235</w:t>
            </w:r>
          </w:p>
        </w:tc>
        <w:tc>
          <w:tcPr>
            <w:tcW w:w="1216" w:type="dxa"/>
            <w:tcBorders>
              <w:top w:val="nil"/>
              <w:left w:val="nil"/>
              <w:bottom w:val="single" w:sz="4" w:space="0" w:color="auto"/>
              <w:right w:val="single" w:sz="4" w:space="0" w:color="auto"/>
            </w:tcBorders>
            <w:shd w:val="clear" w:color="auto" w:fill="auto"/>
            <w:noWrap/>
            <w:hideMark/>
          </w:tcPr>
          <w:p w14:paraId="279B4AD4" w14:textId="09CEF91A" w:rsidR="000B371B" w:rsidRPr="005B55FD" w:rsidRDefault="000B371B" w:rsidP="001E39EE">
            <w:pPr>
              <w:jc w:val="right"/>
              <w:rPr>
                <w:sz w:val="20"/>
                <w:szCs w:val="20"/>
                <w:lang w:val="fr-CA"/>
              </w:rPr>
            </w:pPr>
            <w:r w:rsidRPr="005B55FD">
              <w:rPr>
                <w:sz w:val="20"/>
                <w:szCs w:val="20"/>
                <w:lang w:val="fr-CA"/>
              </w:rPr>
              <w:t>28</w:t>
            </w:r>
            <w:r w:rsidR="00C27C93">
              <w:rPr>
                <w:sz w:val="20"/>
                <w:szCs w:val="20"/>
                <w:lang w:val="fr-CA"/>
              </w:rPr>
              <w:t xml:space="preserve"> </w:t>
            </w:r>
            <w:r w:rsidRPr="005B55FD">
              <w:rPr>
                <w:sz w:val="20"/>
                <w:szCs w:val="20"/>
                <w:lang w:val="fr-CA"/>
              </w:rPr>
              <w:t>775</w:t>
            </w:r>
          </w:p>
        </w:tc>
        <w:tc>
          <w:tcPr>
            <w:tcW w:w="1138" w:type="dxa"/>
            <w:tcBorders>
              <w:top w:val="nil"/>
              <w:left w:val="nil"/>
              <w:bottom w:val="single" w:sz="4" w:space="0" w:color="auto"/>
              <w:right w:val="single" w:sz="4" w:space="0" w:color="auto"/>
            </w:tcBorders>
            <w:shd w:val="clear" w:color="auto" w:fill="auto"/>
            <w:noWrap/>
            <w:hideMark/>
          </w:tcPr>
          <w:p w14:paraId="0B92789E" w14:textId="77777777" w:rsidR="000B371B" w:rsidRPr="005B55FD" w:rsidRDefault="000B371B" w:rsidP="001E39EE">
            <w:pPr>
              <w:jc w:val="right"/>
              <w:rPr>
                <w:sz w:val="20"/>
                <w:szCs w:val="20"/>
                <w:lang w:val="fr-CA"/>
              </w:rPr>
            </w:pPr>
            <w:r w:rsidRPr="005B55FD">
              <w:rPr>
                <w:sz w:val="20"/>
                <w:szCs w:val="20"/>
                <w:lang w:val="fr-CA"/>
              </w:rPr>
              <w:t>100</w:t>
            </w:r>
          </w:p>
        </w:tc>
      </w:tr>
      <w:tr w:rsidR="0053267C" w:rsidRPr="005B55FD" w14:paraId="6301C6FC"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1D20E7DA" w14:textId="77777777" w:rsidR="000B371B" w:rsidRPr="005B55FD" w:rsidRDefault="000B371B" w:rsidP="001E39EE">
            <w:pPr>
              <w:jc w:val="left"/>
              <w:rPr>
                <w:sz w:val="20"/>
                <w:szCs w:val="20"/>
                <w:lang w:val="fr-CA" w:eastAsia="en-CA"/>
              </w:rPr>
            </w:pPr>
            <w:r w:rsidRPr="005B55FD">
              <w:rPr>
                <w:sz w:val="20"/>
                <w:szCs w:val="20"/>
                <w:lang w:val="fr-CA" w:eastAsia="en-CA"/>
              </w:rPr>
              <w:t>2009</w:t>
            </w:r>
          </w:p>
        </w:tc>
        <w:tc>
          <w:tcPr>
            <w:tcW w:w="1066" w:type="dxa"/>
            <w:tcBorders>
              <w:top w:val="nil"/>
              <w:left w:val="nil"/>
              <w:bottom w:val="single" w:sz="4" w:space="0" w:color="auto"/>
              <w:right w:val="single" w:sz="4" w:space="0" w:color="auto"/>
            </w:tcBorders>
            <w:shd w:val="clear" w:color="auto" w:fill="auto"/>
            <w:noWrap/>
            <w:hideMark/>
          </w:tcPr>
          <w:p w14:paraId="126B6194" w14:textId="77777777" w:rsidR="000B371B" w:rsidRPr="005B55FD" w:rsidRDefault="000B371B" w:rsidP="001E39EE">
            <w:pPr>
              <w:jc w:val="right"/>
              <w:rPr>
                <w:sz w:val="20"/>
                <w:szCs w:val="20"/>
                <w:lang w:val="fr-CA" w:eastAsia="en-CA"/>
              </w:rPr>
            </w:pPr>
            <w:r w:rsidRPr="005B55FD">
              <w:rPr>
                <w:sz w:val="20"/>
                <w:szCs w:val="20"/>
                <w:lang w:val="fr-CA" w:eastAsia="en-CA"/>
              </w:rPr>
              <w:t>320</w:t>
            </w:r>
          </w:p>
        </w:tc>
        <w:tc>
          <w:tcPr>
            <w:tcW w:w="1143" w:type="dxa"/>
            <w:tcBorders>
              <w:top w:val="nil"/>
              <w:left w:val="nil"/>
              <w:bottom w:val="single" w:sz="4" w:space="0" w:color="auto"/>
              <w:right w:val="single" w:sz="4" w:space="0" w:color="auto"/>
            </w:tcBorders>
            <w:shd w:val="clear" w:color="auto" w:fill="auto"/>
            <w:noWrap/>
            <w:hideMark/>
          </w:tcPr>
          <w:p w14:paraId="3C8B13E7" w14:textId="77777777" w:rsidR="000B371B" w:rsidRPr="005B55FD" w:rsidRDefault="000B371B" w:rsidP="001E39EE">
            <w:pPr>
              <w:jc w:val="right"/>
              <w:rPr>
                <w:sz w:val="20"/>
                <w:szCs w:val="20"/>
                <w:lang w:val="fr-CA" w:eastAsia="en-CA"/>
              </w:rPr>
            </w:pPr>
            <w:r w:rsidRPr="005B55FD">
              <w:rPr>
                <w:sz w:val="20"/>
                <w:szCs w:val="20"/>
                <w:lang w:val="fr-CA" w:eastAsia="en-CA"/>
              </w:rPr>
              <w:t>318</w:t>
            </w:r>
          </w:p>
        </w:tc>
        <w:tc>
          <w:tcPr>
            <w:tcW w:w="1170" w:type="dxa"/>
            <w:tcBorders>
              <w:top w:val="nil"/>
              <w:left w:val="nil"/>
              <w:bottom w:val="single" w:sz="4" w:space="0" w:color="auto"/>
              <w:right w:val="single" w:sz="4" w:space="0" w:color="auto"/>
            </w:tcBorders>
            <w:shd w:val="clear" w:color="auto" w:fill="auto"/>
            <w:noWrap/>
            <w:hideMark/>
          </w:tcPr>
          <w:p w14:paraId="3E87540B" w14:textId="77777777" w:rsidR="000B371B" w:rsidRPr="005B55FD" w:rsidRDefault="000B371B" w:rsidP="001E39EE">
            <w:pPr>
              <w:jc w:val="right"/>
              <w:rPr>
                <w:sz w:val="20"/>
                <w:szCs w:val="20"/>
                <w:lang w:val="fr-CA" w:eastAsia="en-CA"/>
              </w:rPr>
            </w:pPr>
            <w:r w:rsidRPr="005B55FD">
              <w:rPr>
                <w:sz w:val="20"/>
                <w:szCs w:val="20"/>
                <w:lang w:val="fr-CA" w:eastAsia="en-CA"/>
              </w:rPr>
              <w:t>99</w:t>
            </w:r>
          </w:p>
        </w:tc>
        <w:tc>
          <w:tcPr>
            <w:tcW w:w="1433" w:type="dxa"/>
            <w:tcBorders>
              <w:top w:val="nil"/>
              <w:left w:val="nil"/>
              <w:bottom w:val="single" w:sz="4" w:space="0" w:color="auto"/>
              <w:right w:val="single" w:sz="4" w:space="0" w:color="auto"/>
            </w:tcBorders>
            <w:shd w:val="clear" w:color="auto" w:fill="auto"/>
            <w:noWrap/>
            <w:hideMark/>
          </w:tcPr>
          <w:p w14:paraId="68AFFCA4" w14:textId="5E1248F3" w:rsidR="000B371B" w:rsidRPr="005B55FD" w:rsidRDefault="000B371B" w:rsidP="001E39EE">
            <w:pPr>
              <w:jc w:val="right"/>
              <w:rPr>
                <w:sz w:val="20"/>
                <w:szCs w:val="20"/>
                <w:lang w:val="fr-CA" w:eastAsia="en-CA"/>
              </w:rPr>
            </w:pPr>
            <w:r w:rsidRPr="005B55FD">
              <w:rPr>
                <w:sz w:val="20"/>
                <w:szCs w:val="20"/>
                <w:lang w:val="fr-CA" w:eastAsia="en-CA"/>
              </w:rPr>
              <w:t>73</w:t>
            </w:r>
            <w:r w:rsidR="00C27C93">
              <w:rPr>
                <w:sz w:val="20"/>
                <w:szCs w:val="20"/>
                <w:lang w:val="fr-CA" w:eastAsia="en-CA"/>
              </w:rPr>
              <w:t xml:space="preserve"> </w:t>
            </w:r>
            <w:r w:rsidRPr="005B55FD">
              <w:rPr>
                <w:sz w:val="20"/>
                <w:szCs w:val="20"/>
                <w:lang w:val="fr-CA" w:eastAsia="en-CA"/>
              </w:rPr>
              <w:t>793</w:t>
            </w:r>
            <w:r w:rsidR="00C27C93">
              <w:rPr>
                <w:sz w:val="20"/>
                <w:szCs w:val="20"/>
                <w:lang w:val="fr-CA" w:eastAsia="en-CA"/>
              </w:rPr>
              <w:t xml:space="preserve"> </w:t>
            </w:r>
            <w:r w:rsidRPr="005B55FD">
              <w:rPr>
                <w:sz w:val="20"/>
                <w:szCs w:val="20"/>
                <w:lang w:val="fr-CA" w:eastAsia="en-CA"/>
              </w:rPr>
              <w:t>821</w:t>
            </w:r>
          </w:p>
        </w:tc>
        <w:tc>
          <w:tcPr>
            <w:tcW w:w="1433" w:type="dxa"/>
            <w:tcBorders>
              <w:top w:val="nil"/>
              <w:left w:val="nil"/>
              <w:bottom w:val="single" w:sz="4" w:space="0" w:color="auto"/>
              <w:right w:val="single" w:sz="4" w:space="0" w:color="auto"/>
            </w:tcBorders>
            <w:shd w:val="clear" w:color="auto" w:fill="auto"/>
            <w:noWrap/>
            <w:hideMark/>
          </w:tcPr>
          <w:p w14:paraId="427C06D4" w14:textId="49C64A6F" w:rsidR="000B371B" w:rsidRPr="005B55FD" w:rsidRDefault="000B371B" w:rsidP="001E39EE">
            <w:pPr>
              <w:jc w:val="right"/>
              <w:rPr>
                <w:sz w:val="20"/>
                <w:szCs w:val="20"/>
                <w:lang w:val="fr-CA"/>
              </w:rPr>
            </w:pPr>
            <w:r w:rsidRPr="005B55FD">
              <w:rPr>
                <w:sz w:val="20"/>
                <w:szCs w:val="20"/>
                <w:lang w:val="fr-CA"/>
              </w:rPr>
              <w:t>73</w:t>
            </w:r>
            <w:r w:rsidR="00C27C93">
              <w:rPr>
                <w:sz w:val="20"/>
                <w:szCs w:val="20"/>
                <w:lang w:val="fr-CA"/>
              </w:rPr>
              <w:t xml:space="preserve"> </w:t>
            </w:r>
            <w:r w:rsidRPr="005B55FD">
              <w:rPr>
                <w:sz w:val="20"/>
                <w:szCs w:val="20"/>
                <w:lang w:val="fr-CA"/>
              </w:rPr>
              <w:t>075</w:t>
            </w:r>
            <w:r w:rsidR="00C27C93">
              <w:rPr>
                <w:sz w:val="20"/>
                <w:szCs w:val="20"/>
                <w:lang w:val="fr-CA"/>
              </w:rPr>
              <w:t xml:space="preserve"> </w:t>
            </w:r>
            <w:r w:rsidRPr="005B55FD">
              <w:rPr>
                <w:sz w:val="20"/>
                <w:szCs w:val="20"/>
                <w:lang w:val="fr-CA"/>
              </w:rPr>
              <w:t>355</w:t>
            </w:r>
          </w:p>
        </w:tc>
        <w:tc>
          <w:tcPr>
            <w:tcW w:w="1216" w:type="dxa"/>
            <w:tcBorders>
              <w:top w:val="nil"/>
              <w:left w:val="nil"/>
              <w:bottom w:val="single" w:sz="4" w:space="0" w:color="auto"/>
              <w:right w:val="single" w:sz="4" w:space="0" w:color="auto"/>
            </w:tcBorders>
            <w:shd w:val="clear" w:color="auto" w:fill="auto"/>
            <w:noWrap/>
            <w:hideMark/>
          </w:tcPr>
          <w:p w14:paraId="2B1ED865" w14:textId="5E496E7F" w:rsidR="000B371B" w:rsidRPr="005B55FD" w:rsidRDefault="000B371B" w:rsidP="001E39EE">
            <w:pPr>
              <w:jc w:val="right"/>
              <w:rPr>
                <w:sz w:val="20"/>
                <w:szCs w:val="20"/>
                <w:lang w:val="fr-CA"/>
              </w:rPr>
            </w:pPr>
            <w:r w:rsidRPr="005B55FD">
              <w:rPr>
                <w:sz w:val="20"/>
                <w:szCs w:val="20"/>
                <w:lang w:val="fr-CA"/>
              </w:rPr>
              <w:t>718</w:t>
            </w:r>
            <w:r w:rsidR="00C27C93">
              <w:rPr>
                <w:sz w:val="20"/>
                <w:szCs w:val="20"/>
                <w:lang w:val="fr-CA"/>
              </w:rPr>
              <w:t xml:space="preserve"> </w:t>
            </w:r>
            <w:r w:rsidRPr="005B55FD">
              <w:rPr>
                <w:sz w:val="20"/>
                <w:szCs w:val="20"/>
                <w:lang w:val="fr-CA"/>
              </w:rPr>
              <w:t>466</w:t>
            </w:r>
          </w:p>
        </w:tc>
        <w:tc>
          <w:tcPr>
            <w:tcW w:w="1138" w:type="dxa"/>
            <w:tcBorders>
              <w:top w:val="nil"/>
              <w:left w:val="nil"/>
              <w:bottom w:val="single" w:sz="4" w:space="0" w:color="auto"/>
              <w:right w:val="single" w:sz="4" w:space="0" w:color="auto"/>
            </w:tcBorders>
            <w:shd w:val="clear" w:color="auto" w:fill="auto"/>
            <w:noWrap/>
            <w:hideMark/>
          </w:tcPr>
          <w:p w14:paraId="59606B50" w14:textId="77777777" w:rsidR="000B371B" w:rsidRPr="005B55FD" w:rsidRDefault="000B371B" w:rsidP="001E39EE">
            <w:pPr>
              <w:jc w:val="right"/>
              <w:rPr>
                <w:sz w:val="20"/>
                <w:szCs w:val="20"/>
                <w:lang w:val="fr-CA"/>
              </w:rPr>
            </w:pPr>
            <w:r w:rsidRPr="005B55FD">
              <w:rPr>
                <w:sz w:val="20"/>
                <w:szCs w:val="20"/>
                <w:lang w:val="fr-CA"/>
              </w:rPr>
              <w:t>99</w:t>
            </w:r>
          </w:p>
        </w:tc>
      </w:tr>
      <w:tr w:rsidR="0053267C" w:rsidRPr="005B55FD" w14:paraId="26E46ADD"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563B931A" w14:textId="77777777" w:rsidR="000B371B" w:rsidRPr="005B55FD" w:rsidRDefault="000B371B" w:rsidP="001E39EE">
            <w:pPr>
              <w:jc w:val="left"/>
              <w:rPr>
                <w:sz w:val="20"/>
                <w:szCs w:val="20"/>
                <w:lang w:val="fr-CA" w:eastAsia="en-CA"/>
              </w:rPr>
            </w:pPr>
            <w:r w:rsidRPr="005B55FD">
              <w:rPr>
                <w:sz w:val="20"/>
                <w:szCs w:val="20"/>
                <w:lang w:val="fr-CA" w:eastAsia="en-CA"/>
              </w:rPr>
              <w:t>2010</w:t>
            </w:r>
          </w:p>
        </w:tc>
        <w:tc>
          <w:tcPr>
            <w:tcW w:w="1066" w:type="dxa"/>
            <w:tcBorders>
              <w:top w:val="nil"/>
              <w:left w:val="nil"/>
              <w:bottom w:val="single" w:sz="4" w:space="0" w:color="auto"/>
              <w:right w:val="single" w:sz="4" w:space="0" w:color="auto"/>
            </w:tcBorders>
            <w:shd w:val="clear" w:color="auto" w:fill="auto"/>
            <w:noWrap/>
            <w:hideMark/>
          </w:tcPr>
          <w:p w14:paraId="46873951" w14:textId="77777777" w:rsidR="000B371B" w:rsidRPr="005B55FD" w:rsidRDefault="000B371B" w:rsidP="001E39EE">
            <w:pPr>
              <w:jc w:val="right"/>
              <w:rPr>
                <w:sz w:val="20"/>
                <w:szCs w:val="20"/>
                <w:lang w:val="fr-CA" w:eastAsia="en-CA"/>
              </w:rPr>
            </w:pPr>
            <w:r w:rsidRPr="005B55FD">
              <w:rPr>
                <w:sz w:val="20"/>
                <w:szCs w:val="20"/>
                <w:lang w:val="fr-CA" w:eastAsia="en-CA"/>
              </w:rPr>
              <w:t>227</w:t>
            </w:r>
          </w:p>
        </w:tc>
        <w:tc>
          <w:tcPr>
            <w:tcW w:w="1143" w:type="dxa"/>
            <w:tcBorders>
              <w:top w:val="nil"/>
              <w:left w:val="nil"/>
              <w:bottom w:val="single" w:sz="4" w:space="0" w:color="auto"/>
              <w:right w:val="single" w:sz="4" w:space="0" w:color="auto"/>
            </w:tcBorders>
            <w:shd w:val="clear" w:color="auto" w:fill="auto"/>
            <w:noWrap/>
            <w:hideMark/>
          </w:tcPr>
          <w:p w14:paraId="4CAEAF58" w14:textId="77777777" w:rsidR="000B371B" w:rsidRPr="005B55FD" w:rsidRDefault="000B371B" w:rsidP="001E39EE">
            <w:pPr>
              <w:jc w:val="right"/>
              <w:rPr>
                <w:sz w:val="20"/>
                <w:szCs w:val="20"/>
                <w:lang w:val="fr-CA" w:eastAsia="en-CA"/>
              </w:rPr>
            </w:pPr>
            <w:r w:rsidRPr="005B55FD">
              <w:rPr>
                <w:sz w:val="20"/>
                <w:szCs w:val="20"/>
                <w:lang w:val="fr-CA" w:eastAsia="en-CA"/>
              </w:rPr>
              <w:t>223</w:t>
            </w:r>
          </w:p>
        </w:tc>
        <w:tc>
          <w:tcPr>
            <w:tcW w:w="1170" w:type="dxa"/>
            <w:tcBorders>
              <w:top w:val="nil"/>
              <w:left w:val="nil"/>
              <w:bottom w:val="single" w:sz="4" w:space="0" w:color="auto"/>
              <w:right w:val="single" w:sz="4" w:space="0" w:color="auto"/>
            </w:tcBorders>
            <w:shd w:val="clear" w:color="auto" w:fill="auto"/>
            <w:noWrap/>
            <w:hideMark/>
          </w:tcPr>
          <w:p w14:paraId="6489916B" w14:textId="77777777" w:rsidR="000B371B" w:rsidRPr="005B55FD" w:rsidRDefault="000B371B" w:rsidP="001E39EE">
            <w:pPr>
              <w:jc w:val="right"/>
              <w:rPr>
                <w:sz w:val="20"/>
                <w:szCs w:val="20"/>
                <w:lang w:val="fr-CA" w:eastAsia="en-CA"/>
              </w:rPr>
            </w:pPr>
            <w:r w:rsidRPr="005B55FD">
              <w:rPr>
                <w:sz w:val="20"/>
                <w:szCs w:val="20"/>
                <w:lang w:val="fr-CA" w:eastAsia="en-CA"/>
              </w:rPr>
              <w:t>98</w:t>
            </w:r>
          </w:p>
        </w:tc>
        <w:tc>
          <w:tcPr>
            <w:tcW w:w="1433" w:type="dxa"/>
            <w:tcBorders>
              <w:top w:val="nil"/>
              <w:left w:val="nil"/>
              <w:bottom w:val="single" w:sz="4" w:space="0" w:color="auto"/>
              <w:right w:val="single" w:sz="4" w:space="0" w:color="auto"/>
            </w:tcBorders>
            <w:shd w:val="clear" w:color="auto" w:fill="auto"/>
            <w:noWrap/>
            <w:hideMark/>
          </w:tcPr>
          <w:p w14:paraId="0C9C9688" w14:textId="1EFD451C" w:rsidR="000B371B" w:rsidRPr="005B55FD" w:rsidRDefault="000B371B" w:rsidP="001E39EE">
            <w:pPr>
              <w:jc w:val="right"/>
              <w:rPr>
                <w:sz w:val="20"/>
                <w:szCs w:val="20"/>
                <w:lang w:val="fr-CA" w:eastAsia="en-CA"/>
              </w:rPr>
            </w:pPr>
            <w:r w:rsidRPr="005B55FD">
              <w:rPr>
                <w:sz w:val="20"/>
                <w:szCs w:val="20"/>
                <w:lang w:val="fr-CA" w:eastAsia="en-CA"/>
              </w:rPr>
              <w:t>84</w:t>
            </w:r>
            <w:r w:rsidR="00C27C93">
              <w:rPr>
                <w:sz w:val="20"/>
                <w:szCs w:val="20"/>
                <w:lang w:val="fr-CA" w:eastAsia="en-CA"/>
              </w:rPr>
              <w:t xml:space="preserve"> </w:t>
            </w:r>
            <w:r w:rsidRPr="005B55FD">
              <w:rPr>
                <w:sz w:val="20"/>
                <w:szCs w:val="20"/>
                <w:lang w:val="fr-CA" w:eastAsia="en-CA"/>
              </w:rPr>
              <w:t>438</w:t>
            </w:r>
            <w:r w:rsidR="00C27C93">
              <w:rPr>
                <w:sz w:val="20"/>
                <w:szCs w:val="20"/>
                <w:lang w:val="fr-CA" w:eastAsia="en-CA"/>
              </w:rPr>
              <w:t xml:space="preserve"> </w:t>
            </w:r>
            <w:r w:rsidRPr="005B55FD">
              <w:rPr>
                <w:sz w:val="20"/>
                <w:szCs w:val="20"/>
                <w:lang w:val="fr-CA" w:eastAsia="en-CA"/>
              </w:rPr>
              <w:t>275</w:t>
            </w:r>
          </w:p>
        </w:tc>
        <w:tc>
          <w:tcPr>
            <w:tcW w:w="1433" w:type="dxa"/>
            <w:tcBorders>
              <w:top w:val="nil"/>
              <w:left w:val="nil"/>
              <w:bottom w:val="single" w:sz="4" w:space="0" w:color="auto"/>
              <w:right w:val="single" w:sz="4" w:space="0" w:color="auto"/>
            </w:tcBorders>
            <w:shd w:val="clear" w:color="auto" w:fill="auto"/>
            <w:noWrap/>
            <w:hideMark/>
          </w:tcPr>
          <w:p w14:paraId="6E479F05" w14:textId="44ADB186" w:rsidR="000B371B" w:rsidRPr="005B55FD" w:rsidRDefault="000B371B" w:rsidP="001E39EE">
            <w:pPr>
              <w:jc w:val="right"/>
              <w:rPr>
                <w:sz w:val="20"/>
                <w:szCs w:val="20"/>
                <w:lang w:val="fr-CA"/>
              </w:rPr>
            </w:pPr>
            <w:r w:rsidRPr="005B55FD">
              <w:rPr>
                <w:sz w:val="20"/>
                <w:szCs w:val="20"/>
                <w:lang w:val="fr-CA"/>
              </w:rPr>
              <w:t>83</w:t>
            </w:r>
            <w:r w:rsidR="00C27C93">
              <w:rPr>
                <w:sz w:val="20"/>
                <w:szCs w:val="20"/>
                <w:lang w:val="fr-CA"/>
              </w:rPr>
              <w:t xml:space="preserve"> </w:t>
            </w:r>
            <w:r w:rsidRPr="005B55FD">
              <w:rPr>
                <w:sz w:val="20"/>
                <w:szCs w:val="20"/>
                <w:lang w:val="fr-CA"/>
              </w:rPr>
              <w:t>387</w:t>
            </w:r>
            <w:r w:rsidR="00C27C93">
              <w:rPr>
                <w:sz w:val="20"/>
                <w:szCs w:val="20"/>
                <w:lang w:val="fr-CA"/>
              </w:rPr>
              <w:t xml:space="preserve"> </w:t>
            </w:r>
            <w:r w:rsidRPr="005B55FD">
              <w:rPr>
                <w:sz w:val="20"/>
                <w:szCs w:val="20"/>
                <w:lang w:val="fr-CA"/>
              </w:rPr>
              <w:t>745</w:t>
            </w:r>
          </w:p>
        </w:tc>
        <w:tc>
          <w:tcPr>
            <w:tcW w:w="1216" w:type="dxa"/>
            <w:tcBorders>
              <w:top w:val="nil"/>
              <w:left w:val="nil"/>
              <w:bottom w:val="single" w:sz="4" w:space="0" w:color="auto"/>
              <w:right w:val="single" w:sz="4" w:space="0" w:color="auto"/>
            </w:tcBorders>
            <w:shd w:val="clear" w:color="auto" w:fill="auto"/>
            <w:noWrap/>
            <w:hideMark/>
          </w:tcPr>
          <w:p w14:paraId="4CAC64D2" w14:textId="4D892996" w:rsidR="000B371B" w:rsidRPr="005B55FD" w:rsidRDefault="000B371B" w:rsidP="001E39EE">
            <w:pPr>
              <w:jc w:val="right"/>
              <w:rPr>
                <w:sz w:val="20"/>
                <w:szCs w:val="20"/>
                <w:lang w:val="fr-CA"/>
              </w:rPr>
            </w:pPr>
            <w:r w:rsidRPr="005B55FD">
              <w:rPr>
                <w:sz w:val="20"/>
                <w:szCs w:val="20"/>
                <w:lang w:val="fr-CA"/>
              </w:rPr>
              <w:t>1</w:t>
            </w:r>
            <w:r w:rsidR="00C27C93">
              <w:rPr>
                <w:sz w:val="20"/>
                <w:szCs w:val="20"/>
                <w:lang w:val="fr-CA"/>
              </w:rPr>
              <w:t xml:space="preserve"> </w:t>
            </w:r>
            <w:r w:rsidRPr="005B55FD">
              <w:rPr>
                <w:sz w:val="20"/>
                <w:szCs w:val="20"/>
                <w:lang w:val="fr-CA"/>
              </w:rPr>
              <w:t>050</w:t>
            </w:r>
            <w:r w:rsidR="00C27C93">
              <w:rPr>
                <w:sz w:val="20"/>
                <w:szCs w:val="20"/>
                <w:lang w:val="fr-CA"/>
              </w:rPr>
              <w:t xml:space="preserve"> </w:t>
            </w:r>
            <w:r w:rsidRPr="005B55FD">
              <w:rPr>
                <w:sz w:val="20"/>
                <w:szCs w:val="20"/>
                <w:lang w:val="fr-CA"/>
              </w:rPr>
              <w:t>530</w:t>
            </w:r>
          </w:p>
        </w:tc>
        <w:tc>
          <w:tcPr>
            <w:tcW w:w="1138" w:type="dxa"/>
            <w:tcBorders>
              <w:top w:val="nil"/>
              <w:left w:val="nil"/>
              <w:bottom w:val="single" w:sz="4" w:space="0" w:color="auto"/>
              <w:right w:val="single" w:sz="4" w:space="0" w:color="auto"/>
            </w:tcBorders>
            <w:shd w:val="clear" w:color="auto" w:fill="auto"/>
            <w:noWrap/>
            <w:hideMark/>
          </w:tcPr>
          <w:p w14:paraId="0CA4BC9C" w14:textId="77777777" w:rsidR="000B371B" w:rsidRPr="005B55FD" w:rsidRDefault="000B371B" w:rsidP="001E39EE">
            <w:pPr>
              <w:jc w:val="right"/>
              <w:rPr>
                <w:sz w:val="20"/>
                <w:szCs w:val="20"/>
                <w:lang w:val="fr-CA"/>
              </w:rPr>
            </w:pPr>
            <w:r w:rsidRPr="005B55FD">
              <w:rPr>
                <w:sz w:val="20"/>
                <w:szCs w:val="20"/>
                <w:lang w:val="fr-CA"/>
              </w:rPr>
              <w:t>99</w:t>
            </w:r>
          </w:p>
        </w:tc>
      </w:tr>
      <w:tr w:rsidR="0053267C" w:rsidRPr="005B55FD" w14:paraId="00A12639"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23E470FC" w14:textId="77777777" w:rsidR="000B371B" w:rsidRPr="005B55FD" w:rsidRDefault="000B371B" w:rsidP="001E39EE">
            <w:pPr>
              <w:jc w:val="left"/>
              <w:rPr>
                <w:sz w:val="20"/>
                <w:szCs w:val="20"/>
                <w:lang w:val="fr-CA" w:eastAsia="en-CA"/>
              </w:rPr>
            </w:pPr>
            <w:r w:rsidRPr="005B55FD">
              <w:rPr>
                <w:sz w:val="20"/>
                <w:szCs w:val="20"/>
                <w:lang w:val="fr-CA" w:eastAsia="en-CA"/>
              </w:rPr>
              <w:t>2011</w:t>
            </w:r>
          </w:p>
        </w:tc>
        <w:tc>
          <w:tcPr>
            <w:tcW w:w="1066" w:type="dxa"/>
            <w:tcBorders>
              <w:top w:val="nil"/>
              <w:left w:val="nil"/>
              <w:bottom w:val="single" w:sz="4" w:space="0" w:color="auto"/>
              <w:right w:val="single" w:sz="4" w:space="0" w:color="auto"/>
            </w:tcBorders>
            <w:shd w:val="clear" w:color="auto" w:fill="auto"/>
            <w:noWrap/>
            <w:hideMark/>
          </w:tcPr>
          <w:p w14:paraId="0DCF3F14" w14:textId="77777777" w:rsidR="000B371B" w:rsidRPr="005B55FD" w:rsidRDefault="000B371B" w:rsidP="001E39EE">
            <w:pPr>
              <w:jc w:val="right"/>
              <w:rPr>
                <w:sz w:val="20"/>
                <w:szCs w:val="20"/>
                <w:lang w:val="fr-CA" w:eastAsia="en-CA"/>
              </w:rPr>
            </w:pPr>
            <w:r w:rsidRPr="005B55FD">
              <w:rPr>
                <w:sz w:val="20"/>
                <w:szCs w:val="20"/>
                <w:lang w:val="fr-CA" w:eastAsia="en-CA"/>
              </w:rPr>
              <w:t>264</w:t>
            </w:r>
          </w:p>
        </w:tc>
        <w:tc>
          <w:tcPr>
            <w:tcW w:w="1143" w:type="dxa"/>
            <w:tcBorders>
              <w:top w:val="nil"/>
              <w:left w:val="nil"/>
              <w:bottom w:val="single" w:sz="4" w:space="0" w:color="auto"/>
              <w:right w:val="single" w:sz="4" w:space="0" w:color="auto"/>
            </w:tcBorders>
            <w:shd w:val="clear" w:color="auto" w:fill="auto"/>
            <w:noWrap/>
            <w:hideMark/>
          </w:tcPr>
          <w:p w14:paraId="62B39956" w14:textId="77777777" w:rsidR="000B371B" w:rsidRPr="005B55FD" w:rsidRDefault="000B371B" w:rsidP="001E39EE">
            <w:pPr>
              <w:jc w:val="right"/>
              <w:rPr>
                <w:sz w:val="20"/>
                <w:szCs w:val="20"/>
                <w:lang w:val="fr-CA" w:eastAsia="en-CA"/>
              </w:rPr>
            </w:pPr>
            <w:r w:rsidRPr="005B55FD">
              <w:rPr>
                <w:sz w:val="20"/>
                <w:szCs w:val="20"/>
                <w:lang w:val="fr-CA" w:eastAsia="en-CA"/>
              </w:rPr>
              <w:t>263</w:t>
            </w:r>
          </w:p>
        </w:tc>
        <w:tc>
          <w:tcPr>
            <w:tcW w:w="1170" w:type="dxa"/>
            <w:tcBorders>
              <w:top w:val="nil"/>
              <w:left w:val="nil"/>
              <w:bottom w:val="single" w:sz="4" w:space="0" w:color="auto"/>
              <w:right w:val="single" w:sz="4" w:space="0" w:color="auto"/>
            </w:tcBorders>
            <w:shd w:val="clear" w:color="auto" w:fill="auto"/>
            <w:noWrap/>
            <w:hideMark/>
          </w:tcPr>
          <w:p w14:paraId="1F0E657D" w14:textId="77777777" w:rsidR="000B371B" w:rsidRPr="005B55FD" w:rsidRDefault="000B371B" w:rsidP="001E39EE">
            <w:pPr>
              <w:jc w:val="right"/>
              <w:rPr>
                <w:sz w:val="20"/>
                <w:szCs w:val="20"/>
                <w:lang w:val="fr-CA" w:eastAsia="en-CA"/>
              </w:rPr>
            </w:pPr>
            <w:r w:rsidRPr="005B55FD">
              <w:rPr>
                <w:sz w:val="20"/>
                <w:szCs w:val="20"/>
                <w:lang w:val="fr-CA" w:eastAsia="en-CA"/>
              </w:rPr>
              <w:t>100</w:t>
            </w:r>
          </w:p>
        </w:tc>
        <w:tc>
          <w:tcPr>
            <w:tcW w:w="1433" w:type="dxa"/>
            <w:tcBorders>
              <w:top w:val="nil"/>
              <w:left w:val="nil"/>
              <w:bottom w:val="single" w:sz="4" w:space="0" w:color="auto"/>
              <w:right w:val="single" w:sz="4" w:space="0" w:color="auto"/>
            </w:tcBorders>
            <w:shd w:val="clear" w:color="auto" w:fill="auto"/>
            <w:noWrap/>
            <w:hideMark/>
          </w:tcPr>
          <w:p w14:paraId="06583FCF" w14:textId="20E5ABA1" w:rsidR="000B371B" w:rsidRPr="005B55FD" w:rsidRDefault="000B371B" w:rsidP="001E39EE">
            <w:pPr>
              <w:jc w:val="right"/>
              <w:rPr>
                <w:sz w:val="20"/>
                <w:szCs w:val="20"/>
                <w:lang w:val="fr-CA" w:eastAsia="en-CA"/>
              </w:rPr>
            </w:pPr>
            <w:r w:rsidRPr="005B55FD">
              <w:rPr>
                <w:sz w:val="20"/>
                <w:szCs w:val="20"/>
                <w:lang w:val="fr-CA" w:eastAsia="en-CA"/>
              </w:rPr>
              <w:t>201</w:t>
            </w:r>
            <w:r w:rsidR="00C27C93">
              <w:rPr>
                <w:sz w:val="20"/>
                <w:szCs w:val="20"/>
                <w:lang w:val="fr-CA" w:eastAsia="en-CA"/>
              </w:rPr>
              <w:t xml:space="preserve"> </w:t>
            </w:r>
            <w:r w:rsidRPr="005B55FD">
              <w:rPr>
                <w:sz w:val="20"/>
                <w:szCs w:val="20"/>
                <w:lang w:val="fr-CA" w:eastAsia="en-CA"/>
              </w:rPr>
              <w:t>999</w:t>
            </w:r>
            <w:r w:rsidR="00C27C93">
              <w:rPr>
                <w:sz w:val="20"/>
                <w:szCs w:val="20"/>
                <w:lang w:val="fr-CA" w:eastAsia="en-CA"/>
              </w:rPr>
              <w:t xml:space="preserve"> </w:t>
            </w:r>
            <w:r w:rsidRPr="005B55FD">
              <w:rPr>
                <w:sz w:val="20"/>
                <w:szCs w:val="20"/>
                <w:lang w:val="fr-CA" w:eastAsia="en-CA"/>
              </w:rPr>
              <w:t>135</w:t>
            </w:r>
          </w:p>
        </w:tc>
        <w:tc>
          <w:tcPr>
            <w:tcW w:w="1433" w:type="dxa"/>
            <w:tcBorders>
              <w:top w:val="nil"/>
              <w:left w:val="nil"/>
              <w:bottom w:val="single" w:sz="4" w:space="0" w:color="auto"/>
              <w:right w:val="single" w:sz="4" w:space="0" w:color="auto"/>
            </w:tcBorders>
            <w:shd w:val="clear" w:color="auto" w:fill="auto"/>
            <w:noWrap/>
            <w:hideMark/>
          </w:tcPr>
          <w:p w14:paraId="0294A20C" w14:textId="30FC4C5C" w:rsidR="000B371B" w:rsidRPr="005B55FD" w:rsidRDefault="000B371B" w:rsidP="001E39EE">
            <w:pPr>
              <w:jc w:val="right"/>
              <w:rPr>
                <w:sz w:val="20"/>
                <w:szCs w:val="20"/>
                <w:lang w:val="fr-CA"/>
              </w:rPr>
            </w:pPr>
            <w:r w:rsidRPr="005B55FD">
              <w:rPr>
                <w:sz w:val="20"/>
                <w:szCs w:val="20"/>
                <w:lang w:val="fr-CA"/>
              </w:rPr>
              <w:t>198</w:t>
            </w:r>
            <w:r w:rsidR="00C27C93">
              <w:rPr>
                <w:sz w:val="20"/>
                <w:szCs w:val="20"/>
                <w:lang w:val="fr-CA"/>
              </w:rPr>
              <w:t xml:space="preserve"> </w:t>
            </w:r>
            <w:r w:rsidRPr="005B55FD">
              <w:rPr>
                <w:sz w:val="20"/>
                <w:szCs w:val="20"/>
                <w:lang w:val="fr-CA"/>
              </w:rPr>
              <w:t>222</w:t>
            </w:r>
            <w:r w:rsidR="00C27C93">
              <w:rPr>
                <w:sz w:val="20"/>
                <w:szCs w:val="20"/>
                <w:lang w:val="fr-CA"/>
              </w:rPr>
              <w:t xml:space="preserve"> </w:t>
            </w:r>
            <w:r w:rsidRPr="005B55FD">
              <w:rPr>
                <w:sz w:val="20"/>
                <w:szCs w:val="20"/>
                <w:lang w:val="fr-CA"/>
              </w:rPr>
              <w:t>122</w:t>
            </w:r>
          </w:p>
        </w:tc>
        <w:tc>
          <w:tcPr>
            <w:tcW w:w="1216" w:type="dxa"/>
            <w:tcBorders>
              <w:top w:val="nil"/>
              <w:left w:val="nil"/>
              <w:bottom w:val="single" w:sz="4" w:space="0" w:color="auto"/>
              <w:right w:val="single" w:sz="4" w:space="0" w:color="auto"/>
            </w:tcBorders>
            <w:shd w:val="clear" w:color="auto" w:fill="auto"/>
            <w:noWrap/>
            <w:hideMark/>
          </w:tcPr>
          <w:p w14:paraId="1B196288" w14:textId="48E3BE1A" w:rsidR="000B371B" w:rsidRPr="005B55FD" w:rsidRDefault="000B371B" w:rsidP="001E39EE">
            <w:pPr>
              <w:jc w:val="right"/>
              <w:rPr>
                <w:sz w:val="20"/>
                <w:szCs w:val="20"/>
                <w:lang w:val="fr-CA"/>
              </w:rPr>
            </w:pPr>
            <w:r w:rsidRPr="005B55FD">
              <w:rPr>
                <w:sz w:val="20"/>
                <w:szCs w:val="20"/>
                <w:lang w:val="fr-CA"/>
              </w:rPr>
              <w:t>3</w:t>
            </w:r>
            <w:r w:rsidR="00C27C93">
              <w:rPr>
                <w:sz w:val="20"/>
                <w:szCs w:val="20"/>
                <w:lang w:val="fr-CA"/>
              </w:rPr>
              <w:t xml:space="preserve"> </w:t>
            </w:r>
            <w:r w:rsidRPr="005B55FD">
              <w:rPr>
                <w:sz w:val="20"/>
                <w:szCs w:val="20"/>
                <w:lang w:val="fr-CA"/>
              </w:rPr>
              <w:t>777</w:t>
            </w:r>
            <w:r w:rsidR="00C27C93">
              <w:rPr>
                <w:sz w:val="20"/>
                <w:szCs w:val="20"/>
                <w:lang w:val="fr-CA"/>
              </w:rPr>
              <w:t xml:space="preserve"> </w:t>
            </w:r>
            <w:r w:rsidRPr="005B55FD">
              <w:rPr>
                <w:sz w:val="20"/>
                <w:szCs w:val="20"/>
                <w:lang w:val="fr-CA"/>
              </w:rPr>
              <w:t>013</w:t>
            </w:r>
          </w:p>
        </w:tc>
        <w:tc>
          <w:tcPr>
            <w:tcW w:w="1138" w:type="dxa"/>
            <w:tcBorders>
              <w:top w:val="nil"/>
              <w:left w:val="nil"/>
              <w:bottom w:val="single" w:sz="4" w:space="0" w:color="auto"/>
              <w:right w:val="single" w:sz="4" w:space="0" w:color="auto"/>
            </w:tcBorders>
            <w:shd w:val="clear" w:color="auto" w:fill="auto"/>
            <w:noWrap/>
            <w:hideMark/>
          </w:tcPr>
          <w:p w14:paraId="37E5A96A" w14:textId="77777777" w:rsidR="000B371B" w:rsidRPr="005B55FD" w:rsidRDefault="000B371B" w:rsidP="001E39EE">
            <w:pPr>
              <w:jc w:val="right"/>
              <w:rPr>
                <w:sz w:val="20"/>
                <w:szCs w:val="20"/>
                <w:lang w:val="fr-CA"/>
              </w:rPr>
            </w:pPr>
            <w:r w:rsidRPr="005B55FD">
              <w:rPr>
                <w:sz w:val="20"/>
                <w:szCs w:val="20"/>
                <w:lang w:val="fr-CA"/>
              </w:rPr>
              <w:t>98</w:t>
            </w:r>
          </w:p>
        </w:tc>
      </w:tr>
      <w:tr w:rsidR="0053267C" w:rsidRPr="005B55FD" w14:paraId="156137AB"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4143FC99" w14:textId="77777777" w:rsidR="000B371B" w:rsidRPr="005B55FD" w:rsidRDefault="000B371B" w:rsidP="001E39EE">
            <w:pPr>
              <w:jc w:val="left"/>
              <w:rPr>
                <w:sz w:val="20"/>
                <w:szCs w:val="20"/>
                <w:lang w:val="fr-CA" w:eastAsia="en-CA"/>
              </w:rPr>
            </w:pPr>
            <w:r w:rsidRPr="005B55FD">
              <w:rPr>
                <w:sz w:val="20"/>
                <w:szCs w:val="20"/>
                <w:lang w:val="fr-CA" w:eastAsia="en-CA"/>
              </w:rPr>
              <w:t>2012</w:t>
            </w:r>
          </w:p>
        </w:tc>
        <w:tc>
          <w:tcPr>
            <w:tcW w:w="1066" w:type="dxa"/>
            <w:tcBorders>
              <w:top w:val="nil"/>
              <w:left w:val="nil"/>
              <w:bottom w:val="single" w:sz="4" w:space="0" w:color="auto"/>
              <w:right w:val="single" w:sz="4" w:space="0" w:color="auto"/>
            </w:tcBorders>
            <w:shd w:val="clear" w:color="auto" w:fill="auto"/>
            <w:noWrap/>
            <w:hideMark/>
          </w:tcPr>
          <w:p w14:paraId="683E53A5" w14:textId="77777777" w:rsidR="000B371B" w:rsidRPr="005B55FD" w:rsidRDefault="000B371B" w:rsidP="001E39EE">
            <w:pPr>
              <w:jc w:val="right"/>
              <w:rPr>
                <w:sz w:val="20"/>
                <w:szCs w:val="20"/>
                <w:lang w:val="fr-CA" w:eastAsia="en-CA"/>
              </w:rPr>
            </w:pPr>
            <w:r w:rsidRPr="005B55FD">
              <w:rPr>
                <w:sz w:val="20"/>
                <w:szCs w:val="20"/>
                <w:lang w:val="fr-CA" w:eastAsia="en-CA"/>
              </w:rPr>
              <w:t>182</w:t>
            </w:r>
          </w:p>
        </w:tc>
        <w:tc>
          <w:tcPr>
            <w:tcW w:w="1143" w:type="dxa"/>
            <w:tcBorders>
              <w:top w:val="nil"/>
              <w:left w:val="nil"/>
              <w:bottom w:val="single" w:sz="4" w:space="0" w:color="auto"/>
              <w:right w:val="single" w:sz="4" w:space="0" w:color="auto"/>
            </w:tcBorders>
            <w:shd w:val="clear" w:color="auto" w:fill="auto"/>
            <w:noWrap/>
            <w:hideMark/>
          </w:tcPr>
          <w:p w14:paraId="3A1BD2FC" w14:textId="77777777" w:rsidR="000B371B" w:rsidRPr="005B55FD" w:rsidRDefault="000B371B" w:rsidP="001E39EE">
            <w:pPr>
              <w:jc w:val="right"/>
              <w:rPr>
                <w:sz w:val="20"/>
                <w:szCs w:val="20"/>
                <w:lang w:val="fr-CA" w:eastAsia="en-CA"/>
              </w:rPr>
            </w:pPr>
            <w:r w:rsidRPr="005B55FD">
              <w:rPr>
                <w:sz w:val="20"/>
                <w:szCs w:val="20"/>
                <w:lang w:val="fr-CA" w:eastAsia="en-CA"/>
              </w:rPr>
              <w:t>167</w:t>
            </w:r>
          </w:p>
        </w:tc>
        <w:tc>
          <w:tcPr>
            <w:tcW w:w="1170" w:type="dxa"/>
            <w:tcBorders>
              <w:top w:val="nil"/>
              <w:left w:val="nil"/>
              <w:bottom w:val="single" w:sz="4" w:space="0" w:color="auto"/>
              <w:right w:val="single" w:sz="4" w:space="0" w:color="auto"/>
            </w:tcBorders>
            <w:shd w:val="clear" w:color="auto" w:fill="auto"/>
            <w:noWrap/>
            <w:hideMark/>
          </w:tcPr>
          <w:p w14:paraId="5879D28E" w14:textId="77777777" w:rsidR="000B371B" w:rsidRPr="005B55FD" w:rsidRDefault="000B371B" w:rsidP="001E39EE">
            <w:pPr>
              <w:jc w:val="right"/>
              <w:rPr>
                <w:sz w:val="20"/>
                <w:szCs w:val="20"/>
                <w:lang w:val="fr-CA" w:eastAsia="en-CA"/>
              </w:rPr>
            </w:pPr>
            <w:r w:rsidRPr="005B55FD">
              <w:rPr>
                <w:sz w:val="20"/>
                <w:szCs w:val="20"/>
                <w:lang w:val="fr-CA" w:eastAsia="en-CA"/>
              </w:rPr>
              <w:t>92</w:t>
            </w:r>
          </w:p>
        </w:tc>
        <w:tc>
          <w:tcPr>
            <w:tcW w:w="1433" w:type="dxa"/>
            <w:tcBorders>
              <w:top w:val="nil"/>
              <w:left w:val="nil"/>
              <w:bottom w:val="single" w:sz="4" w:space="0" w:color="auto"/>
              <w:right w:val="single" w:sz="4" w:space="0" w:color="auto"/>
            </w:tcBorders>
            <w:shd w:val="clear" w:color="auto" w:fill="auto"/>
            <w:noWrap/>
            <w:hideMark/>
          </w:tcPr>
          <w:p w14:paraId="548F7697" w14:textId="49165385" w:rsidR="000B371B" w:rsidRPr="005B55FD" w:rsidRDefault="000B371B" w:rsidP="001E39EE">
            <w:pPr>
              <w:jc w:val="right"/>
              <w:rPr>
                <w:sz w:val="20"/>
                <w:szCs w:val="20"/>
                <w:lang w:val="fr-CA" w:eastAsia="en-CA"/>
              </w:rPr>
            </w:pPr>
            <w:r w:rsidRPr="005B55FD">
              <w:rPr>
                <w:sz w:val="20"/>
                <w:szCs w:val="20"/>
                <w:lang w:val="fr-CA" w:eastAsia="en-CA"/>
              </w:rPr>
              <w:t>101</w:t>
            </w:r>
            <w:r w:rsidR="00C27C93">
              <w:rPr>
                <w:sz w:val="20"/>
                <w:szCs w:val="20"/>
                <w:lang w:val="fr-CA" w:eastAsia="en-CA"/>
              </w:rPr>
              <w:t xml:space="preserve"> </w:t>
            </w:r>
            <w:r w:rsidRPr="005B55FD">
              <w:rPr>
                <w:sz w:val="20"/>
                <w:szCs w:val="20"/>
                <w:lang w:val="fr-CA" w:eastAsia="en-CA"/>
              </w:rPr>
              <w:t>122</w:t>
            </w:r>
            <w:r w:rsidR="00C27C93">
              <w:rPr>
                <w:sz w:val="20"/>
                <w:szCs w:val="20"/>
                <w:lang w:val="fr-CA" w:eastAsia="en-CA"/>
              </w:rPr>
              <w:t xml:space="preserve"> </w:t>
            </w:r>
            <w:r w:rsidRPr="005B55FD">
              <w:rPr>
                <w:sz w:val="20"/>
                <w:szCs w:val="20"/>
                <w:lang w:val="fr-CA" w:eastAsia="en-CA"/>
              </w:rPr>
              <w:t>995</w:t>
            </w:r>
          </w:p>
        </w:tc>
        <w:tc>
          <w:tcPr>
            <w:tcW w:w="1433" w:type="dxa"/>
            <w:tcBorders>
              <w:top w:val="nil"/>
              <w:left w:val="nil"/>
              <w:bottom w:val="single" w:sz="4" w:space="0" w:color="auto"/>
              <w:right w:val="single" w:sz="4" w:space="0" w:color="auto"/>
            </w:tcBorders>
            <w:shd w:val="clear" w:color="auto" w:fill="auto"/>
            <w:noWrap/>
            <w:hideMark/>
          </w:tcPr>
          <w:p w14:paraId="1EC55301" w14:textId="34DF7D3E" w:rsidR="000B371B" w:rsidRPr="005B55FD" w:rsidRDefault="000B371B" w:rsidP="001E39EE">
            <w:pPr>
              <w:jc w:val="right"/>
              <w:rPr>
                <w:sz w:val="20"/>
                <w:szCs w:val="20"/>
                <w:lang w:val="fr-CA"/>
              </w:rPr>
            </w:pPr>
            <w:r w:rsidRPr="005B55FD">
              <w:rPr>
                <w:sz w:val="20"/>
                <w:szCs w:val="20"/>
                <w:lang w:val="fr-CA"/>
              </w:rPr>
              <w:t>97</w:t>
            </w:r>
            <w:r w:rsidR="00C27C93">
              <w:rPr>
                <w:sz w:val="20"/>
                <w:szCs w:val="20"/>
                <w:lang w:val="fr-CA"/>
              </w:rPr>
              <w:t xml:space="preserve"> </w:t>
            </w:r>
            <w:r w:rsidRPr="005B55FD">
              <w:rPr>
                <w:sz w:val="20"/>
                <w:szCs w:val="20"/>
                <w:lang w:val="fr-CA"/>
              </w:rPr>
              <w:t>886</w:t>
            </w:r>
            <w:r w:rsidR="00C27C93">
              <w:rPr>
                <w:sz w:val="20"/>
                <w:szCs w:val="20"/>
                <w:lang w:val="fr-CA"/>
              </w:rPr>
              <w:t xml:space="preserve"> </w:t>
            </w:r>
            <w:r w:rsidRPr="005B55FD">
              <w:rPr>
                <w:sz w:val="20"/>
                <w:szCs w:val="20"/>
                <w:lang w:val="fr-CA"/>
              </w:rPr>
              <w:t>875</w:t>
            </w:r>
          </w:p>
        </w:tc>
        <w:tc>
          <w:tcPr>
            <w:tcW w:w="1216" w:type="dxa"/>
            <w:tcBorders>
              <w:top w:val="nil"/>
              <w:left w:val="nil"/>
              <w:bottom w:val="single" w:sz="4" w:space="0" w:color="auto"/>
              <w:right w:val="single" w:sz="4" w:space="0" w:color="auto"/>
            </w:tcBorders>
            <w:shd w:val="clear" w:color="auto" w:fill="auto"/>
            <w:noWrap/>
            <w:hideMark/>
          </w:tcPr>
          <w:p w14:paraId="130E002B" w14:textId="2C675D89" w:rsidR="000B371B" w:rsidRPr="005B55FD" w:rsidRDefault="000B371B" w:rsidP="001E39EE">
            <w:pPr>
              <w:jc w:val="right"/>
              <w:rPr>
                <w:sz w:val="20"/>
                <w:szCs w:val="20"/>
                <w:lang w:val="fr-CA"/>
              </w:rPr>
            </w:pPr>
            <w:r w:rsidRPr="005B55FD">
              <w:rPr>
                <w:sz w:val="20"/>
                <w:szCs w:val="20"/>
                <w:lang w:val="fr-CA"/>
              </w:rPr>
              <w:t>3</w:t>
            </w:r>
            <w:r w:rsidR="00C27C93">
              <w:rPr>
                <w:sz w:val="20"/>
                <w:szCs w:val="20"/>
                <w:lang w:val="fr-CA"/>
              </w:rPr>
              <w:t xml:space="preserve"> </w:t>
            </w:r>
            <w:r w:rsidRPr="005B55FD">
              <w:rPr>
                <w:sz w:val="20"/>
                <w:szCs w:val="20"/>
                <w:lang w:val="fr-CA"/>
              </w:rPr>
              <w:t>236</w:t>
            </w:r>
            <w:r w:rsidR="00C27C93">
              <w:rPr>
                <w:sz w:val="20"/>
                <w:szCs w:val="20"/>
                <w:lang w:val="fr-CA"/>
              </w:rPr>
              <w:t xml:space="preserve"> </w:t>
            </w:r>
            <w:r w:rsidRPr="005B55FD">
              <w:rPr>
                <w:sz w:val="20"/>
                <w:szCs w:val="20"/>
                <w:lang w:val="fr-CA"/>
              </w:rPr>
              <w:t>121</w:t>
            </w:r>
          </w:p>
        </w:tc>
        <w:tc>
          <w:tcPr>
            <w:tcW w:w="1138" w:type="dxa"/>
            <w:tcBorders>
              <w:top w:val="nil"/>
              <w:left w:val="nil"/>
              <w:bottom w:val="single" w:sz="4" w:space="0" w:color="auto"/>
              <w:right w:val="single" w:sz="4" w:space="0" w:color="auto"/>
            </w:tcBorders>
            <w:shd w:val="clear" w:color="auto" w:fill="auto"/>
            <w:noWrap/>
            <w:hideMark/>
          </w:tcPr>
          <w:p w14:paraId="1B292AF2" w14:textId="77777777" w:rsidR="000B371B" w:rsidRPr="005B55FD" w:rsidRDefault="000B371B" w:rsidP="001E39EE">
            <w:pPr>
              <w:jc w:val="right"/>
              <w:rPr>
                <w:sz w:val="20"/>
                <w:szCs w:val="20"/>
                <w:lang w:val="fr-CA"/>
              </w:rPr>
            </w:pPr>
            <w:r w:rsidRPr="005B55FD">
              <w:rPr>
                <w:sz w:val="20"/>
                <w:szCs w:val="20"/>
                <w:lang w:val="fr-CA"/>
              </w:rPr>
              <w:t>97</w:t>
            </w:r>
          </w:p>
        </w:tc>
      </w:tr>
      <w:tr w:rsidR="0053267C" w:rsidRPr="005B55FD" w14:paraId="42C42F5A"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4DA165F9" w14:textId="77777777" w:rsidR="000B371B" w:rsidRPr="005B55FD" w:rsidRDefault="000B371B" w:rsidP="001E39EE">
            <w:pPr>
              <w:jc w:val="left"/>
              <w:rPr>
                <w:sz w:val="20"/>
                <w:szCs w:val="20"/>
                <w:lang w:val="fr-CA" w:eastAsia="en-CA"/>
              </w:rPr>
            </w:pPr>
            <w:r w:rsidRPr="005B55FD">
              <w:rPr>
                <w:sz w:val="20"/>
                <w:szCs w:val="20"/>
                <w:lang w:val="fr-CA" w:eastAsia="en-CA"/>
              </w:rPr>
              <w:t>2013</w:t>
            </w:r>
          </w:p>
        </w:tc>
        <w:tc>
          <w:tcPr>
            <w:tcW w:w="1066" w:type="dxa"/>
            <w:tcBorders>
              <w:top w:val="nil"/>
              <w:left w:val="nil"/>
              <w:bottom w:val="single" w:sz="4" w:space="0" w:color="auto"/>
              <w:right w:val="single" w:sz="4" w:space="0" w:color="auto"/>
            </w:tcBorders>
            <w:shd w:val="clear" w:color="auto" w:fill="auto"/>
            <w:noWrap/>
            <w:hideMark/>
          </w:tcPr>
          <w:p w14:paraId="43D1ECE7" w14:textId="77777777" w:rsidR="000B371B" w:rsidRPr="005B55FD" w:rsidRDefault="000B371B" w:rsidP="001E39EE">
            <w:pPr>
              <w:jc w:val="right"/>
              <w:rPr>
                <w:sz w:val="20"/>
                <w:szCs w:val="20"/>
                <w:lang w:val="fr-CA" w:eastAsia="en-CA"/>
              </w:rPr>
            </w:pPr>
            <w:r w:rsidRPr="005B55FD">
              <w:rPr>
                <w:sz w:val="20"/>
                <w:szCs w:val="20"/>
                <w:lang w:val="fr-CA" w:eastAsia="en-CA"/>
              </w:rPr>
              <w:t>184</w:t>
            </w:r>
          </w:p>
        </w:tc>
        <w:tc>
          <w:tcPr>
            <w:tcW w:w="1143" w:type="dxa"/>
            <w:tcBorders>
              <w:top w:val="nil"/>
              <w:left w:val="nil"/>
              <w:bottom w:val="single" w:sz="4" w:space="0" w:color="auto"/>
              <w:right w:val="single" w:sz="4" w:space="0" w:color="auto"/>
            </w:tcBorders>
            <w:shd w:val="clear" w:color="auto" w:fill="auto"/>
            <w:noWrap/>
            <w:hideMark/>
          </w:tcPr>
          <w:p w14:paraId="677A45E3" w14:textId="77777777" w:rsidR="000B371B" w:rsidRPr="005B55FD" w:rsidRDefault="000B371B" w:rsidP="001E39EE">
            <w:pPr>
              <w:jc w:val="right"/>
              <w:rPr>
                <w:sz w:val="20"/>
                <w:szCs w:val="20"/>
                <w:lang w:val="fr-CA" w:eastAsia="en-CA"/>
              </w:rPr>
            </w:pPr>
            <w:r w:rsidRPr="005B55FD">
              <w:rPr>
                <w:sz w:val="20"/>
                <w:szCs w:val="20"/>
                <w:lang w:val="fr-CA" w:eastAsia="en-CA"/>
              </w:rPr>
              <w:t>179</w:t>
            </w:r>
          </w:p>
        </w:tc>
        <w:tc>
          <w:tcPr>
            <w:tcW w:w="1170" w:type="dxa"/>
            <w:tcBorders>
              <w:top w:val="nil"/>
              <w:left w:val="nil"/>
              <w:bottom w:val="single" w:sz="4" w:space="0" w:color="auto"/>
              <w:right w:val="single" w:sz="4" w:space="0" w:color="auto"/>
            </w:tcBorders>
            <w:shd w:val="clear" w:color="auto" w:fill="auto"/>
            <w:noWrap/>
            <w:hideMark/>
          </w:tcPr>
          <w:p w14:paraId="58D80BDA" w14:textId="77777777" w:rsidR="000B371B" w:rsidRPr="005B55FD" w:rsidRDefault="000B371B" w:rsidP="001E39EE">
            <w:pPr>
              <w:jc w:val="right"/>
              <w:rPr>
                <w:sz w:val="20"/>
                <w:szCs w:val="20"/>
                <w:lang w:val="fr-CA" w:eastAsia="en-CA"/>
              </w:rPr>
            </w:pPr>
            <w:r w:rsidRPr="005B55FD">
              <w:rPr>
                <w:sz w:val="20"/>
                <w:szCs w:val="20"/>
                <w:lang w:val="fr-CA" w:eastAsia="en-CA"/>
              </w:rPr>
              <w:t>97</w:t>
            </w:r>
          </w:p>
        </w:tc>
        <w:tc>
          <w:tcPr>
            <w:tcW w:w="1433" w:type="dxa"/>
            <w:tcBorders>
              <w:top w:val="nil"/>
              <w:left w:val="nil"/>
              <w:bottom w:val="single" w:sz="4" w:space="0" w:color="auto"/>
              <w:right w:val="single" w:sz="4" w:space="0" w:color="auto"/>
            </w:tcBorders>
            <w:shd w:val="clear" w:color="auto" w:fill="auto"/>
            <w:noWrap/>
            <w:hideMark/>
          </w:tcPr>
          <w:p w14:paraId="734B83BB" w14:textId="23FEA8AB" w:rsidR="000B371B" w:rsidRPr="005B55FD" w:rsidRDefault="000B371B" w:rsidP="001E39EE">
            <w:pPr>
              <w:jc w:val="right"/>
              <w:rPr>
                <w:sz w:val="20"/>
                <w:szCs w:val="20"/>
                <w:lang w:val="fr-CA" w:eastAsia="en-CA"/>
              </w:rPr>
            </w:pPr>
            <w:r w:rsidRPr="005B55FD">
              <w:rPr>
                <w:sz w:val="20"/>
                <w:szCs w:val="20"/>
                <w:lang w:val="fr-CA" w:eastAsia="en-CA"/>
              </w:rPr>
              <w:t>125</w:t>
            </w:r>
            <w:r w:rsidR="00C27C93">
              <w:rPr>
                <w:sz w:val="20"/>
                <w:szCs w:val="20"/>
                <w:lang w:val="fr-CA" w:eastAsia="en-CA"/>
              </w:rPr>
              <w:t xml:space="preserve"> </w:t>
            </w:r>
            <w:r w:rsidRPr="005B55FD">
              <w:rPr>
                <w:sz w:val="20"/>
                <w:szCs w:val="20"/>
                <w:lang w:val="fr-CA" w:eastAsia="en-CA"/>
              </w:rPr>
              <w:t>617</w:t>
            </w:r>
            <w:r w:rsidR="00C27C93">
              <w:rPr>
                <w:sz w:val="20"/>
                <w:szCs w:val="20"/>
                <w:lang w:val="fr-CA" w:eastAsia="en-CA"/>
              </w:rPr>
              <w:t xml:space="preserve"> </w:t>
            </w:r>
            <w:r w:rsidRPr="005B55FD">
              <w:rPr>
                <w:sz w:val="20"/>
                <w:szCs w:val="20"/>
                <w:lang w:val="fr-CA" w:eastAsia="en-CA"/>
              </w:rPr>
              <w:t>302</w:t>
            </w:r>
          </w:p>
        </w:tc>
        <w:tc>
          <w:tcPr>
            <w:tcW w:w="1433" w:type="dxa"/>
            <w:tcBorders>
              <w:top w:val="nil"/>
              <w:left w:val="nil"/>
              <w:bottom w:val="single" w:sz="4" w:space="0" w:color="auto"/>
              <w:right w:val="single" w:sz="4" w:space="0" w:color="auto"/>
            </w:tcBorders>
            <w:shd w:val="clear" w:color="auto" w:fill="auto"/>
            <w:noWrap/>
            <w:hideMark/>
          </w:tcPr>
          <w:p w14:paraId="33099F76" w14:textId="4C40FCF6" w:rsidR="000B371B" w:rsidRPr="005B55FD" w:rsidRDefault="000B371B" w:rsidP="001E39EE">
            <w:pPr>
              <w:jc w:val="right"/>
              <w:rPr>
                <w:sz w:val="20"/>
                <w:szCs w:val="20"/>
                <w:lang w:val="fr-CA"/>
              </w:rPr>
            </w:pPr>
            <w:r w:rsidRPr="005B55FD">
              <w:rPr>
                <w:sz w:val="20"/>
                <w:szCs w:val="20"/>
                <w:lang w:val="fr-CA"/>
              </w:rPr>
              <w:t>124</w:t>
            </w:r>
            <w:r w:rsidR="00C27C93">
              <w:rPr>
                <w:sz w:val="20"/>
                <w:szCs w:val="20"/>
                <w:lang w:val="fr-CA"/>
              </w:rPr>
              <w:t xml:space="preserve"> </w:t>
            </w:r>
            <w:r w:rsidRPr="005B55FD">
              <w:rPr>
                <w:sz w:val="20"/>
                <w:szCs w:val="20"/>
                <w:lang w:val="fr-CA"/>
              </w:rPr>
              <w:t>063</w:t>
            </w:r>
            <w:r w:rsidR="00C27C93">
              <w:rPr>
                <w:sz w:val="20"/>
                <w:szCs w:val="20"/>
                <w:lang w:val="fr-CA"/>
              </w:rPr>
              <w:t xml:space="preserve"> </w:t>
            </w:r>
            <w:r w:rsidRPr="005B55FD">
              <w:rPr>
                <w:sz w:val="20"/>
                <w:szCs w:val="20"/>
                <w:lang w:val="fr-CA"/>
              </w:rPr>
              <w:t>191</w:t>
            </w:r>
          </w:p>
        </w:tc>
        <w:tc>
          <w:tcPr>
            <w:tcW w:w="1216" w:type="dxa"/>
            <w:tcBorders>
              <w:top w:val="nil"/>
              <w:left w:val="nil"/>
              <w:bottom w:val="single" w:sz="4" w:space="0" w:color="auto"/>
              <w:right w:val="single" w:sz="4" w:space="0" w:color="auto"/>
            </w:tcBorders>
            <w:shd w:val="clear" w:color="auto" w:fill="auto"/>
            <w:noWrap/>
            <w:hideMark/>
          </w:tcPr>
          <w:p w14:paraId="13373588" w14:textId="008C1164" w:rsidR="000B371B" w:rsidRPr="005B55FD" w:rsidRDefault="000B371B" w:rsidP="001E39EE">
            <w:pPr>
              <w:jc w:val="right"/>
              <w:rPr>
                <w:sz w:val="20"/>
                <w:szCs w:val="20"/>
                <w:lang w:val="fr-CA"/>
              </w:rPr>
            </w:pPr>
            <w:r w:rsidRPr="005B55FD">
              <w:rPr>
                <w:sz w:val="20"/>
                <w:szCs w:val="20"/>
                <w:lang w:val="fr-CA"/>
              </w:rPr>
              <w:t>1</w:t>
            </w:r>
            <w:r w:rsidR="00C27C93">
              <w:rPr>
                <w:sz w:val="20"/>
                <w:szCs w:val="20"/>
                <w:lang w:val="fr-CA"/>
              </w:rPr>
              <w:t xml:space="preserve"> </w:t>
            </w:r>
            <w:r w:rsidRPr="005B55FD">
              <w:rPr>
                <w:sz w:val="20"/>
                <w:szCs w:val="20"/>
                <w:lang w:val="fr-CA"/>
              </w:rPr>
              <w:t>554</w:t>
            </w:r>
            <w:r w:rsidR="00C27C93">
              <w:rPr>
                <w:sz w:val="20"/>
                <w:szCs w:val="20"/>
                <w:lang w:val="fr-CA"/>
              </w:rPr>
              <w:t xml:space="preserve"> </w:t>
            </w:r>
            <w:r w:rsidRPr="005B55FD">
              <w:rPr>
                <w:sz w:val="20"/>
                <w:szCs w:val="20"/>
                <w:lang w:val="fr-CA"/>
              </w:rPr>
              <w:t>110</w:t>
            </w:r>
          </w:p>
        </w:tc>
        <w:tc>
          <w:tcPr>
            <w:tcW w:w="1138" w:type="dxa"/>
            <w:tcBorders>
              <w:top w:val="nil"/>
              <w:left w:val="nil"/>
              <w:bottom w:val="single" w:sz="4" w:space="0" w:color="auto"/>
              <w:right w:val="single" w:sz="4" w:space="0" w:color="auto"/>
            </w:tcBorders>
            <w:shd w:val="clear" w:color="auto" w:fill="auto"/>
            <w:noWrap/>
            <w:hideMark/>
          </w:tcPr>
          <w:p w14:paraId="480D56B5" w14:textId="77777777" w:rsidR="000B371B" w:rsidRPr="005B55FD" w:rsidRDefault="000B371B" w:rsidP="001E39EE">
            <w:pPr>
              <w:jc w:val="right"/>
              <w:rPr>
                <w:sz w:val="20"/>
                <w:szCs w:val="20"/>
                <w:lang w:val="fr-CA"/>
              </w:rPr>
            </w:pPr>
            <w:r w:rsidRPr="005B55FD">
              <w:rPr>
                <w:sz w:val="20"/>
                <w:szCs w:val="20"/>
                <w:lang w:val="fr-CA"/>
              </w:rPr>
              <w:t>99</w:t>
            </w:r>
          </w:p>
        </w:tc>
      </w:tr>
      <w:tr w:rsidR="0053267C" w:rsidRPr="005B55FD" w14:paraId="32E92046" w14:textId="77777777" w:rsidTr="006735F6">
        <w:trPr>
          <w:trHeight w:val="88"/>
        </w:trPr>
        <w:tc>
          <w:tcPr>
            <w:tcW w:w="761" w:type="dxa"/>
            <w:tcBorders>
              <w:top w:val="nil"/>
              <w:left w:val="single" w:sz="4" w:space="0" w:color="auto"/>
              <w:bottom w:val="single" w:sz="4" w:space="0" w:color="auto"/>
              <w:right w:val="single" w:sz="4" w:space="0" w:color="auto"/>
            </w:tcBorders>
            <w:shd w:val="clear" w:color="auto" w:fill="auto"/>
            <w:noWrap/>
            <w:hideMark/>
          </w:tcPr>
          <w:p w14:paraId="7B59621D" w14:textId="77777777" w:rsidR="000B371B" w:rsidRPr="005B55FD" w:rsidRDefault="000B371B" w:rsidP="001E39EE">
            <w:pPr>
              <w:jc w:val="left"/>
              <w:rPr>
                <w:sz w:val="20"/>
                <w:szCs w:val="20"/>
                <w:lang w:val="fr-CA" w:eastAsia="en-CA"/>
              </w:rPr>
            </w:pPr>
            <w:r w:rsidRPr="005B55FD">
              <w:rPr>
                <w:sz w:val="20"/>
                <w:szCs w:val="20"/>
                <w:lang w:val="fr-CA" w:eastAsia="en-CA"/>
              </w:rPr>
              <w:t>2014</w:t>
            </w:r>
          </w:p>
        </w:tc>
        <w:tc>
          <w:tcPr>
            <w:tcW w:w="1066" w:type="dxa"/>
            <w:tcBorders>
              <w:top w:val="nil"/>
              <w:left w:val="nil"/>
              <w:bottom w:val="single" w:sz="4" w:space="0" w:color="auto"/>
              <w:right w:val="single" w:sz="4" w:space="0" w:color="auto"/>
            </w:tcBorders>
            <w:shd w:val="clear" w:color="auto" w:fill="auto"/>
            <w:noWrap/>
            <w:hideMark/>
          </w:tcPr>
          <w:p w14:paraId="2F15EB3F" w14:textId="77777777" w:rsidR="000B371B" w:rsidRPr="005B55FD" w:rsidRDefault="000B371B" w:rsidP="001E39EE">
            <w:pPr>
              <w:jc w:val="right"/>
              <w:rPr>
                <w:sz w:val="20"/>
                <w:szCs w:val="20"/>
                <w:lang w:val="fr-CA" w:eastAsia="en-CA"/>
              </w:rPr>
            </w:pPr>
            <w:r w:rsidRPr="005B55FD">
              <w:rPr>
                <w:sz w:val="20"/>
                <w:szCs w:val="20"/>
                <w:lang w:val="fr-CA" w:eastAsia="en-CA"/>
              </w:rPr>
              <w:t>223</w:t>
            </w:r>
          </w:p>
        </w:tc>
        <w:tc>
          <w:tcPr>
            <w:tcW w:w="1143" w:type="dxa"/>
            <w:tcBorders>
              <w:top w:val="nil"/>
              <w:left w:val="nil"/>
              <w:bottom w:val="single" w:sz="4" w:space="0" w:color="auto"/>
              <w:right w:val="single" w:sz="4" w:space="0" w:color="auto"/>
            </w:tcBorders>
            <w:shd w:val="clear" w:color="auto" w:fill="auto"/>
            <w:noWrap/>
            <w:hideMark/>
          </w:tcPr>
          <w:p w14:paraId="76EE9B56" w14:textId="77777777" w:rsidR="000B371B" w:rsidRPr="005B55FD" w:rsidRDefault="000B371B" w:rsidP="001E39EE">
            <w:pPr>
              <w:jc w:val="right"/>
              <w:rPr>
                <w:sz w:val="20"/>
                <w:szCs w:val="20"/>
                <w:lang w:val="fr-CA" w:eastAsia="en-CA"/>
              </w:rPr>
            </w:pPr>
            <w:r w:rsidRPr="005B55FD">
              <w:rPr>
                <w:sz w:val="20"/>
                <w:szCs w:val="20"/>
                <w:lang w:val="fr-CA" w:eastAsia="en-CA"/>
              </w:rPr>
              <w:t>202</w:t>
            </w:r>
          </w:p>
        </w:tc>
        <w:tc>
          <w:tcPr>
            <w:tcW w:w="1170" w:type="dxa"/>
            <w:tcBorders>
              <w:top w:val="nil"/>
              <w:left w:val="nil"/>
              <w:bottom w:val="single" w:sz="4" w:space="0" w:color="auto"/>
              <w:right w:val="single" w:sz="4" w:space="0" w:color="auto"/>
            </w:tcBorders>
            <w:shd w:val="clear" w:color="auto" w:fill="auto"/>
            <w:noWrap/>
            <w:hideMark/>
          </w:tcPr>
          <w:p w14:paraId="3ACA2F13" w14:textId="77777777" w:rsidR="000B371B" w:rsidRPr="005B55FD" w:rsidRDefault="000B371B" w:rsidP="001E39EE">
            <w:pPr>
              <w:jc w:val="right"/>
              <w:rPr>
                <w:sz w:val="20"/>
                <w:szCs w:val="20"/>
                <w:lang w:val="fr-CA" w:eastAsia="en-CA"/>
              </w:rPr>
            </w:pPr>
            <w:r w:rsidRPr="005B55FD">
              <w:rPr>
                <w:sz w:val="20"/>
                <w:szCs w:val="20"/>
                <w:lang w:val="fr-CA" w:eastAsia="en-CA"/>
              </w:rPr>
              <w:t>91</w:t>
            </w:r>
          </w:p>
        </w:tc>
        <w:tc>
          <w:tcPr>
            <w:tcW w:w="1433" w:type="dxa"/>
            <w:tcBorders>
              <w:top w:val="nil"/>
              <w:left w:val="nil"/>
              <w:bottom w:val="single" w:sz="4" w:space="0" w:color="auto"/>
              <w:right w:val="single" w:sz="4" w:space="0" w:color="auto"/>
            </w:tcBorders>
            <w:shd w:val="clear" w:color="auto" w:fill="auto"/>
            <w:noWrap/>
            <w:hideMark/>
          </w:tcPr>
          <w:p w14:paraId="797CB70D" w14:textId="6121C655" w:rsidR="000B371B" w:rsidRPr="005B55FD" w:rsidRDefault="000B371B" w:rsidP="001E39EE">
            <w:pPr>
              <w:jc w:val="right"/>
              <w:rPr>
                <w:sz w:val="20"/>
                <w:szCs w:val="20"/>
                <w:lang w:val="fr-CA" w:eastAsia="en-CA"/>
              </w:rPr>
            </w:pPr>
            <w:r w:rsidRPr="005B55FD">
              <w:rPr>
                <w:sz w:val="20"/>
                <w:szCs w:val="20"/>
                <w:lang w:val="fr-CA" w:eastAsia="en-CA"/>
              </w:rPr>
              <w:t>92</w:t>
            </w:r>
            <w:r w:rsidR="00C27C93">
              <w:rPr>
                <w:sz w:val="20"/>
                <w:szCs w:val="20"/>
                <w:lang w:val="fr-CA" w:eastAsia="en-CA"/>
              </w:rPr>
              <w:t xml:space="preserve"> </w:t>
            </w:r>
            <w:r w:rsidRPr="005B55FD">
              <w:rPr>
                <w:sz w:val="20"/>
                <w:szCs w:val="20"/>
                <w:lang w:val="fr-CA" w:eastAsia="en-CA"/>
              </w:rPr>
              <w:t>524</w:t>
            </w:r>
            <w:r w:rsidR="00C27C93">
              <w:rPr>
                <w:sz w:val="20"/>
                <w:szCs w:val="20"/>
                <w:lang w:val="fr-CA" w:eastAsia="en-CA"/>
              </w:rPr>
              <w:t xml:space="preserve"> </w:t>
            </w:r>
            <w:r w:rsidRPr="005B55FD">
              <w:rPr>
                <w:sz w:val="20"/>
                <w:szCs w:val="20"/>
                <w:lang w:val="fr-CA" w:eastAsia="en-CA"/>
              </w:rPr>
              <w:t>185</w:t>
            </w:r>
          </w:p>
        </w:tc>
        <w:tc>
          <w:tcPr>
            <w:tcW w:w="1433" w:type="dxa"/>
            <w:tcBorders>
              <w:top w:val="nil"/>
              <w:left w:val="nil"/>
              <w:bottom w:val="single" w:sz="4" w:space="0" w:color="auto"/>
              <w:right w:val="single" w:sz="4" w:space="0" w:color="auto"/>
            </w:tcBorders>
            <w:shd w:val="clear" w:color="auto" w:fill="auto"/>
            <w:noWrap/>
            <w:hideMark/>
          </w:tcPr>
          <w:p w14:paraId="4087750B" w14:textId="5C151800" w:rsidR="000B371B" w:rsidRPr="005B55FD" w:rsidRDefault="000B371B" w:rsidP="001E39EE">
            <w:pPr>
              <w:jc w:val="right"/>
              <w:rPr>
                <w:sz w:val="20"/>
                <w:szCs w:val="20"/>
                <w:lang w:val="fr-CA"/>
              </w:rPr>
            </w:pPr>
            <w:r w:rsidRPr="005B55FD">
              <w:rPr>
                <w:sz w:val="20"/>
                <w:szCs w:val="20"/>
                <w:lang w:val="fr-CA"/>
              </w:rPr>
              <w:t>89</w:t>
            </w:r>
            <w:r w:rsidR="00C27C93">
              <w:rPr>
                <w:sz w:val="20"/>
                <w:szCs w:val="20"/>
                <w:lang w:val="fr-CA"/>
              </w:rPr>
              <w:t xml:space="preserve"> </w:t>
            </w:r>
            <w:r w:rsidRPr="005B55FD">
              <w:rPr>
                <w:sz w:val="20"/>
                <w:szCs w:val="20"/>
                <w:lang w:val="fr-CA"/>
              </w:rPr>
              <w:t>430</w:t>
            </w:r>
            <w:r w:rsidR="00C27C93">
              <w:rPr>
                <w:sz w:val="20"/>
                <w:szCs w:val="20"/>
                <w:lang w:val="fr-CA"/>
              </w:rPr>
              <w:t xml:space="preserve"> </w:t>
            </w:r>
            <w:r w:rsidRPr="005B55FD">
              <w:rPr>
                <w:sz w:val="20"/>
                <w:szCs w:val="20"/>
                <w:lang w:val="fr-CA"/>
              </w:rPr>
              <w:t>544</w:t>
            </w:r>
          </w:p>
        </w:tc>
        <w:tc>
          <w:tcPr>
            <w:tcW w:w="1216" w:type="dxa"/>
            <w:tcBorders>
              <w:top w:val="nil"/>
              <w:left w:val="nil"/>
              <w:bottom w:val="single" w:sz="4" w:space="0" w:color="auto"/>
              <w:right w:val="single" w:sz="4" w:space="0" w:color="auto"/>
            </w:tcBorders>
            <w:shd w:val="clear" w:color="auto" w:fill="auto"/>
            <w:noWrap/>
            <w:hideMark/>
          </w:tcPr>
          <w:p w14:paraId="27A202A3" w14:textId="7CC2D0E3" w:rsidR="000B371B" w:rsidRPr="005B55FD" w:rsidRDefault="000B371B" w:rsidP="001E39EE">
            <w:pPr>
              <w:jc w:val="right"/>
              <w:rPr>
                <w:sz w:val="20"/>
                <w:szCs w:val="20"/>
                <w:lang w:val="fr-CA"/>
              </w:rPr>
            </w:pPr>
            <w:r w:rsidRPr="005B55FD">
              <w:rPr>
                <w:sz w:val="20"/>
                <w:szCs w:val="20"/>
                <w:lang w:val="fr-CA"/>
              </w:rPr>
              <w:t>3</w:t>
            </w:r>
            <w:r w:rsidR="00C27C93">
              <w:rPr>
                <w:sz w:val="20"/>
                <w:szCs w:val="20"/>
                <w:lang w:val="fr-CA"/>
              </w:rPr>
              <w:t xml:space="preserve"> </w:t>
            </w:r>
            <w:r w:rsidRPr="005B55FD">
              <w:rPr>
                <w:sz w:val="20"/>
                <w:szCs w:val="20"/>
                <w:lang w:val="fr-CA"/>
              </w:rPr>
              <w:t>093</w:t>
            </w:r>
            <w:r w:rsidR="00C27C93">
              <w:rPr>
                <w:sz w:val="20"/>
                <w:szCs w:val="20"/>
                <w:lang w:val="fr-CA"/>
              </w:rPr>
              <w:t xml:space="preserve"> </w:t>
            </w:r>
            <w:r w:rsidRPr="005B55FD">
              <w:rPr>
                <w:sz w:val="20"/>
                <w:szCs w:val="20"/>
                <w:lang w:val="fr-CA"/>
              </w:rPr>
              <w:t>641</w:t>
            </w:r>
          </w:p>
        </w:tc>
        <w:tc>
          <w:tcPr>
            <w:tcW w:w="1138" w:type="dxa"/>
            <w:tcBorders>
              <w:top w:val="nil"/>
              <w:left w:val="nil"/>
              <w:bottom w:val="single" w:sz="4" w:space="0" w:color="auto"/>
              <w:right w:val="single" w:sz="4" w:space="0" w:color="auto"/>
            </w:tcBorders>
            <w:shd w:val="clear" w:color="auto" w:fill="auto"/>
            <w:noWrap/>
            <w:hideMark/>
          </w:tcPr>
          <w:p w14:paraId="0D4BE050" w14:textId="77777777" w:rsidR="000B371B" w:rsidRPr="005B55FD" w:rsidRDefault="000B371B" w:rsidP="001E39EE">
            <w:pPr>
              <w:jc w:val="right"/>
              <w:rPr>
                <w:sz w:val="20"/>
                <w:szCs w:val="20"/>
                <w:lang w:val="fr-CA"/>
              </w:rPr>
            </w:pPr>
            <w:r w:rsidRPr="005B55FD">
              <w:rPr>
                <w:sz w:val="20"/>
                <w:szCs w:val="20"/>
                <w:lang w:val="fr-CA"/>
              </w:rPr>
              <w:t>97</w:t>
            </w:r>
          </w:p>
        </w:tc>
      </w:tr>
      <w:tr w:rsidR="0053267C" w:rsidRPr="005B55FD" w14:paraId="2D7913E5"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3487F4A6" w14:textId="77777777" w:rsidR="000B371B" w:rsidRPr="005B55FD" w:rsidRDefault="000B371B" w:rsidP="001E39EE">
            <w:pPr>
              <w:jc w:val="left"/>
              <w:rPr>
                <w:sz w:val="20"/>
                <w:szCs w:val="20"/>
                <w:lang w:val="fr-CA" w:eastAsia="en-CA"/>
              </w:rPr>
            </w:pPr>
            <w:r w:rsidRPr="005B55FD">
              <w:rPr>
                <w:sz w:val="20"/>
                <w:szCs w:val="20"/>
                <w:lang w:val="fr-CA" w:eastAsia="en-CA"/>
              </w:rPr>
              <w:t>2015</w:t>
            </w:r>
          </w:p>
        </w:tc>
        <w:tc>
          <w:tcPr>
            <w:tcW w:w="1066" w:type="dxa"/>
            <w:tcBorders>
              <w:top w:val="nil"/>
              <w:left w:val="nil"/>
              <w:bottom w:val="single" w:sz="4" w:space="0" w:color="auto"/>
              <w:right w:val="single" w:sz="4" w:space="0" w:color="auto"/>
            </w:tcBorders>
            <w:shd w:val="clear" w:color="auto" w:fill="auto"/>
            <w:noWrap/>
            <w:hideMark/>
          </w:tcPr>
          <w:p w14:paraId="5EC14843" w14:textId="77777777" w:rsidR="000B371B" w:rsidRPr="005B55FD" w:rsidRDefault="000B371B" w:rsidP="001E39EE">
            <w:pPr>
              <w:jc w:val="right"/>
              <w:rPr>
                <w:sz w:val="20"/>
                <w:szCs w:val="20"/>
                <w:lang w:val="fr-CA" w:eastAsia="en-CA"/>
              </w:rPr>
            </w:pPr>
            <w:r w:rsidRPr="005B55FD">
              <w:rPr>
                <w:sz w:val="20"/>
                <w:szCs w:val="20"/>
                <w:lang w:val="fr-CA" w:eastAsia="en-CA"/>
              </w:rPr>
              <w:t>379</w:t>
            </w:r>
          </w:p>
        </w:tc>
        <w:tc>
          <w:tcPr>
            <w:tcW w:w="1143" w:type="dxa"/>
            <w:tcBorders>
              <w:top w:val="nil"/>
              <w:left w:val="nil"/>
              <w:bottom w:val="single" w:sz="4" w:space="0" w:color="auto"/>
              <w:right w:val="single" w:sz="4" w:space="0" w:color="auto"/>
            </w:tcBorders>
            <w:shd w:val="clear" w:color="auto" w:fill="auto"/>
            <w:noWrap/>
            <w:hideMark/>
          </w:tcPr>
          <w:p w14:paraId="37FE28E1" w14:textId="77777777" w:rsidR="000B371B" w:rsidRPr="005B55FD" w:rsidRDefault="000B371B" w:rsidP="001E39EE">
            <w:pPr>
              <w:jc w:val="right"/>
              <w:rPr>
                <w:sz w:val="20"/>
                <w:szCs w:val="20"/>
                <w:lang w:val="fr-CA" w:eastAsia="en-CA"/>
              </w:rPr>
            </w:pPr>
            <w:r w:rsidRPr="005B55FD">
              <w:rPr>
                <w:sz w:val="20"/>
                <w:szCs w:val="20"/>
                <w:lang w:val="fr-CA" w:eastAsia="en-CA"/>
              </w:rPr>
              <w:t>340</w:t>
            </w:r>
          </w:p>
        </w:tc>
        <w:tc>
          <w:tcPr>
            <w:tcW w:w="1170" w:type="dxa"/>
            <w:tcBorders>
              <w:top w:val="nil"/>
              <w:left w:val="nil"/>
              <w:bottom w:val="single" w:sz="4" w:space="0" w:color="auto"/>
              <w:right w:val="single" w:sz="4" w:space="0" w:color="auto"/>
            </w:tcBorders>
            <w:shd w:val="clear" w:color="auto" w:fill="auto"/>
            <w:noWrap/>
            <w:hideMark/>
          </w:tcPr>
          <w:p w14:paraId="2C7300DA" w14:textId="77777777" w:rsidR="000B371B" w:rsidRPr="005B55FD" w:rsidRDefault="000B371B" w:rsidP="001E39EE">
            <w:pPr>
              <w:jc w:val="right"/>
              <w:rPr>
                <w:sz w:val="20"/>
                <w:szCs w:val="20"/>
                <w:lang w:val="fr-CA" w:eastAsia="en-CA"/>
              </w:rPr>
            </w:pPr>
            <w:r w:rsidRPr="005B55FD">
              <w:rPr>
                <w:sz w:val="20"/>
                <w:szCs w:val="20"/>
                <w:lang w:val="fr-CA" w:eastAsia="en-CA"/>
              </w:rPr>
              <w:t>90</w:t>
            </w:r>
          </w:p>
        </w:tc>
        <w:tc>
          <w:tcPr>
            <w:tcW w:w="1433" w:type="dxa"/>
            <w:tcBorders>
              <w:top w:val="nil"/>
              <w:left w:val="nil"/>
              <w:bottom w:val="single" w:sz="4" w:space="0" w:color="auto"/>
              <w:right w:val="single" w:sz="4" w:space="0" w:color="auto"/>
            </w:tcBorders>
            <w:shd w:val="clear" w:color="auto" w:fill="auto"/>
            <w:noWrap/>
            <w:hideMark/>
          </w:tcPr>
          <w:p w14:paraId="52F47F1D" w14:textId="10682340" w:rsidR="000B371B" w:rsidRPr="005B55FD" w:rsidRDefault="000B371B" w:rsidP="001E39EE">
            <w:pPr>
              <w:jc w:val="right"/>
              <w:rPr>
                <w:sz w:val="20"/>
                <w:szCs w:val="20"/>
                <w:lang w:val="fr-CA" w:eastAsia="en-CA"/>
              </w:rPr>
            </w:pPr>
            <w:r w:rsidRPr="005B55FD">
              <w:rPr>
                <w:sz w:val="20"/>
                <w:szCs w:val="20"/>
                <w:lang w:val="fr-CA" w:eastAsia="en-CA"/>
              </w:rPr>
              <w:t>160</w:t>
            </w:r>
            <w:r w:rsidR="00C27C93">
              <w:rPr>
                <w:sz w:val="20"/>
                <w:szCs w:val="20"/>
                <w:lang w:val="fr-CA" w:eastAsia="en-CA"/>
              </w:rPr>
              <w:t xml:space="preserve"> </w:t>
            </w:r>
            <w:r w:rsidRPr="005B55FD">
              <w:rPr>
                <w:sz w:val="20"/>
                <w:szCs w:val="20"/>
                <w:lang w:val="fr-CA" w:eastAsia="en-CA"/>
              </w:rPr>
              <w:t>139</w:t>
            </w:r>
            <w:r w:rsidR="00C27C93">
              <w:rPr>
                <w:sz w:val="20"/>
                <w:szCs w:val="20"/>
                <w:lang w:val="fr-CA" w:eastAsia="en-CA"/>
              </w:rPr>
              <w:t xml:space="preserve"> </w:t>
            </w:r>
            <w:r w:rsidRPr="005B55FD">
              <w:rPr>
                <w:sz w:val="20"/>
                <w:szCs w:val="20"/>
                <w:lang w:val="fr-CA" w:eastAsia="en-CA"/>
              </w:rPr>
              <w:t>228</w:t>
            </w:r>
          </w:p>
        </w:tc>
        <w:tc>
          <w:tcPr>
            <w:tcW w:w="1433" w:type="dxa"/>
            <w:tcBorders>
              <w:top w:val="nil"/>
              <w:left w:val="nil"/>
              <w:bottom w:val="single" w:sz="4" w:space="0" w:color="auto"/>
              <w:right w:val="single" w:sz="4" w:space="0" w:color="auto"/>
            </w:tcBorders>
            <w:shd w:val="clear" w:color="auto" w:fill="auto"/>
            <w:noWrap/>
            <w:hideMark/>
          </w:tcPr>
          <w:p w14:paraId="08BD6629" w14:textId="6C05370D" w:rsidR="000B371B" w:rsidRPr="005B55FD" w:rsidRDefault="000B371B" w:rsidP="001E39EE">
            <w:pPr>
              <w:jc w:val="right"/>
              <w:rPr>
                <w:sz w:val="20"/>
                <w:szCs w:val="20"/>
                <w:lang w:val="fr-CA"/>
              </w:rPr>
            </w:pPr>
            <w:r w:rsidRPr="005B55FD">
              <w:rPr>
                <w:sz w:val="20"/>
                <w:szCs w:val="20"/>
                <w:lang w:val="fr-CA"/>
              </w:rPr>
              <w:t>141</w:t>
            </w:r>
            <w:r w:rsidR="00C27C93">
              <w:rPr>
                <w:sz w:val="20"/>
                <w:szCs w:val="20"/>
                <w:lang w:val="fr-CA"/>
              </w:rPr>
              <w:t xml:space="preserve"> </w:t>
            </w:r>
            <w:r w:rsidRPr="005B55FD">
              <w:rPr>
                <w:sz w:val="20"/>
                <w:szCs w:val="20"/>
                <w:lang w:val="fr-CA"/>
              </w:rPr>
              <w:t>762</w:t>
            </w:r>
            <w:r w:rsidR="00C27C93">
              <w:rPr>
                <w:sz w:val="20"/>
                <w:szCs w:val="20"/>
                <w:lang w:val="fr-CA"/>
              </w:rPr>
              <w:t xml:space="preserve"> </w:t>
            </w:r>
            <w:r w:rsidRPr="005B55FD">
              <w:rPr>
                <w:sz w:val="20"/>
                <w:szCs w:val="20"/>
                <w:lang w:val="fr-CA"/>
              </w:rPr>
              <w:t>893</w:t>
            </w:r>
          </w:p>
        </w:tc>
        <w:tc>
          <w:tcPr>
            <w:tcW w:w="1216" w:type="dxa"/>
            <w:tcBorders>
              <w:top w:val="nil"/>
              <w:left w:val="nil"/>
              <w:bottom w:val="single" w:sz="4" w:space="0" w:color="auto"/>
              <w:right w:val="single" w:sz="4" w:space="0" w:color="auto"/>
            </w:tcBorders>
            <w:shd w:val="clear" w:color="auto" w:fill="auto"/>
            <w:noWrap/>
            <w:hideMark/>
          </w:tcPr>
          <w:p w14:paraId="6504F893" w14:textId="577189C1" w:rsidR="000B371B" w:rsidRPr="005B55FD" w:rsidRDefault="000B371B" w:rsidP="001E39EE">
            <w:pPr>
              <w:jc w:val="right"/>
              <w:rPr>
                <w:sz w:val="20"/>
                <w:szCs w:val="20"/>
                <w:lang w:val="fr-CA"/>
              </w:rPr>
            </w:pPr>
            <w:r w:rsidRPr="005B55FD">
              <w:rPr>
                <w:sz w:val="20"/>
                <w:szCs w:val="20"/>
                <w:lang w:val="fr-CA"/>
              </w:rPr>
              <w:t>18</w:t>
            </w:r>
            <w:r w:rsidR="00C27C93">
              <w:rPr>
                <w:sz w:val="20"/>
                <w:szCs w:val="20"/>
                <w:lang w:val="fr-CA"/>
              </w:rPr>
              <w:t xml:space="preserve"> </w:t>
            </w:r>
            <w:r w:rsidRPr="005B55FD">
              <w:rPr>
                <w:sz w:val="20"/>
                <w:szCs w:val="20"/>
                <w:lang w:val="fr-CA"/>
              </w:rPr>
              <w:t>376</w:t>
            </w:r>
            <w:r w:rsidR="00C27C93">
              <w:rPr>
                <w:sz w:val="20"/>
                <w:szCs w:val="20"/>
                <w:lang w:val="fr-CA"/>
              </w:rPr>
              <w:t xml:space="preserve"> </w:t>
            </w:r>
            <w:r w:rsidRPr="005B55FD">
              <w:rPr>
                <w:sz w:val="20"/>
                <w:szCs w:val="20"/>
                <w:lang w:val="fr-CA"/>
              </w:rPr>
              <w:t>335</w:t>
            </w:r>
          </w:p>
        </w:tc>
        <w:tc>
          <w:tcPr>
            <w:tcW w:w="1138" w:type="dxa"/>
            <w:tcBorders>
              <w:top w:val="nil"/>
              <w:left w:val="nil"/>
              <w:bottom w:val="single" w:sz="4" w:space="0" w:color="auto"/>
              <w:right w:val="single" w:sz="4" w:space="0" w:color="auto"/>
            </w:tcBorders>
            <w:shd w:val="clear" w:color="auto" w:fill="auto"/>
            <w:noWrap/>
            <w:hideMark/>
          </w:tcPr>
          <w:p w14:paraId="0AC11CC3" w14:textId="77777777" w:rsidR="000B371B" w:rsidRPr="005B55FD" w:rsidRDefault="000B371B" w:rsidP="001E39EE">
            <w:pPr>
              <w:jc w:val="right"/>
              <w:rPr>
                <w:sz w:val="20"/>
                <w:szCs w:val="20"/>
                <w:lang w:val="fr-CA"/>
              </w:rPr>
            </w:pPr>
            <w:r w:rsidRPr="005B55FD">
              <w:rPr>
                <w:sz w:val="20"/>
                <w:szCs w:val="20"/>
                <w:lang w:val="fr-CA"/>
              </w:rPr>
              <w:t>89</w:t>
            </w:r>
          </w:p>
        </w:tc>
      </w:tr>
      <w:tr w:rsidR="0053267C" w:rsidRPr="005B55FD" w14:paraId="56422C2D" w14:textId="77777777" w:rsidTr="006735F6">
        <w:trPr>
          <w:trHeight w:val="75"/>
        </w:trPr>
        <w:tc>
          <w:tcPr>
            <w:tcW w:w="761" w:type="dxa"/>
            <w:tcBorders>
              <w:top w:val="nil"/>
              <w:left w:val="single" w:sz="4" w:space="0" w:color="auto"/>
              <w:bottom w:val="single" w:sz="4" w:space="0" w:color="auto"/>
              <w:right w:val="single" w:sz="4" w:space="0" w:color="auto"/>
            </w:tcBorders>
            <w:shd w:val="clear" w:color="auto" w:fill="auto"/>
            <w:noWrap/>
            <w:hideMark/>
          </w:tcPr>
          <w:p w14:paraId="18FD14BB" w14:textId="77777777" w:rsidR="000B371B" w:rsidRPr="005B55FD" w:rsidRDefault="000B371B" w:rsidP="001E39EE">
            <w:pPr>
              <w:jc w:val="left"/>
              <w:rPr>
                <w:sz w:val="20"/>
                <w:szCs w:val="20"/>
                <w:lang w:val="fr-CA" w:eastAsia="en-CA"/>
              </w:rPr>
            </w:pPr>
            <w:r w:rsidRPr="005B55FD">
              <w:rPr>
                <w:sz w:val="20"/>
                <w:szCs w:val="20"/>
                <w:lang w:val="fr-CA" w:eastAsia="en-CA"/>
              </w:rPr>
              <w:t>2016</w:t>
            </w:r>
          </w:p>
        </w:tc>
        <w:tc>
          <w:tcPr>
            <w:tcW w:w="1066" w:type="dxa"/>
            <w:tcBorders>
              <w:top w:val="nil"/>
              <w:left w:val="nil"/>
              <w:bottom w:val="single" w:sz="4" w:space="0" w:color="auto"/>
              <w:right w:val="single" w:sz="4" w:space="0" w:color="auto"/>
            </w:tcBorders>
            <w:shd w:val="clear" w:color="auto" w:fill="auto"/>
            <w:noWrap/>
            <w:hideMark/>
          </w:tcPr>
          <w:p w14:paraId="401109EC" w14:textId="77777777" w:rsidR="000B371B" w:rsidRPr="005B55FD" w:rsidRDefault="000B371B" w:rsidP="001E39EE">
            <w:pPr>
              <w:jc w:val="right"/>
              <w:rPr>
                <w:sz w:val="20"/>
                <w:szCs w:val="20"/>
                <w:lang w:val="fr-CA" w:eastAsia="en-CA"/>
              </w:rPr>
            </w:pPr>
            <w:r w:rsidRPr="005B55FD">
              <w:rPr>
                <w:sz w:val="20"/>
                <w:szCs w:val="20"/>
                <w:lang w:val="fr-CA" w:eastAsia="en-CA"/>
              </w:rPr>
              <w:t>240</w:t>
            </w:r>
          </w:p>
        </w:tc>
        <w:tc>
          <w:tcPr>
            <w:tcW w:w="1143" w:type="dxa"/>
            <w:tcBorders>
              <w:top w:val="nil"/>
              <w:left w:val="nil"/>
              <w:bottom w:val="single" w:sz="4" w:space="0" w:color="auto"/>
              <w:right w:val="single" w:sz="4" w:space="0" w:color="auto"/>
            </w:tcBorders>
            <w:shd w:val="clear" w:color="auto" w:fill="auto"/>
            <w:noWrap/>
            <w:hideMark/>
          </w:tcPr>
          <w:p w14:paraId="68B68137" w14:textId="77777777" w:rsidR="000B371B" w:rsidRPr="005B55FD" w:rsidRDefault="000B371B" w:rsidP="001E39EE">
            <w:pPr>
              <w:jc w:val="right"/>
              <w:rPr>
                <w:sz w:val="20"/>
                <w:szCs w:val="20"/>
                <w:lang w:val="fr-CA" w:eastAsia="en-CA"/>
              </w:rPr>
            </w:pPr>
            <w:r w:rsidRPr="005B55FD">
              <w:rPr>
                <w:sz w:val="20"/>
                <w:szCs w:val="20"/>
                <w:lang w:val="fr-CA" w:eastAsia="en-CA"/>
              </w:rPr>
              <w:t>179</w:t>
            </w:r>
          </w:p>
        </w:tc>
        <w:tc>
          <w:tcPr>
            <w:tcW w:w="1170" w:type="dxa"/>
            <w:tcBorders>
              <w:top w:val="nil"/>
              <w:left w:val="nil"/>
              <w:bottom w:val="single" w:sz="4" w:space="0" w:color="auto"/>
              <w:right w:val="single" w:sz="4" w:space="0" w:color="auto"/>
            </w:tcBorders>
            <w:shd w:val="clear" w:color="auto" w:fill="auto"/>
            <w:noWrap/>
            <w:hideMark/>
          </w:tcPr>
          <w:p w14:paraId="3C881D0E" w14:textId="77777777" w:rsidR="000B371B" w:rsidRPr="005B55FD" w:rsidRDefault="000B371B" w:rsidP="001E39EE">
            <w:pPr>
              <w:jc w:val="right"/>
              <w:rPr>
                <w:sz w:val="20"/>
                <w:szCs w:val="20"/>
                <w:lang w:val="fr-CA" w:eastAsia="en-CA"/>
              </w:rPr>
            </w:pPr>
            <w:r w:rsidRPr="005B55FD">
              <w:rPr>
                <w:sz w:val="20"/>
                <w:szCs w:val="20"/>
                <w:lang w:val="fr-CA" w:eastAsia="en-CA"/>
              </w:rPr>
              <w:t>75</w:t>
            </w:r>
          </w:p>
        </w:tc>
        <w:tc>
          <w:tcPr>
            <w:tcW w:w="1433" w:type="dxa"/>
            <w:tcBorders>
              <w:top w:val="nil"/>
              <w:left w:val="nil"/>
              <w:bottom w:val="single" w:sz="4" w:space="0" w:color="auto"/>
              <w:right w:val="single" w:sz="4" w:space="0" w:color="auto"/>
            </w:tcBorders>
            <w:shd w:val="clear" w:color="auto" w:fill="auto"/>
            <w:noWrap/>
            <w:hideMark/>
          </w:tcPr>
          <w:p w14:paraId="4CCF8883" w14:textId="39E7C8B0" w:rsidR="000B371B" w:rsidRPr="005B55FD" w:rsidRDefault="000B371B" w:rsidP="001E39EE">
            <w:pPr>
              <w:jc w:val="right"/>
              <w:rPr>
                <w:sz w:val="20"/>
                <w:szCs w:val="20"/>
                <w:lang w:val="fr-CA" w:eastAsia="en-CA"/>
              </w:rPr>
            </w:pPr>
            <w:r w:rsidRPr="005B55FD">
              <w:rPr>
                <w:sz w:val="20"/>
                <w:szCs w:val="20"/>
                <w:lang w:val="fr-CA" w:eastAsia="en-CA"/>
              </w:rPr>
              <w:t>115</w:t>
            </w:r>
            <w:r w:rsidR="00C27C93">
              <w:rPr>
                <w:sz w:val="20"/>
                <w:szCs w:val="20"/>
                <w:lang w:val="fr-CA" w:eastAsia="en-CA"/>
              </w:rPr>
              <w:t xml:space="preserve"> </w:t>
            </w:r>
            <w:r w:rsidRPr="005B55FD">
              <w:rPr>
                <w:sz w:val="20"/>
                <w:szCs w:val="20"/>
                <w:lang w:val="fr-CA" w:eastAsia="en-CA"/>
              </w:rPr>
              <w:t>422</w:t>
            </w:r>
            <w:r w:rsidR="00C27C93">
              <w:rPr>
                <w:sz w:val="20"/>
                <w:szCs w:val="20"/>
                <w:lang w:val="fr-CA" w:eastAsia="en-CA"/>
              </w:rPr>
              <w:t xml:space="preserve"> </w:t>
            </w:r>
            <w:r w:rsidRPr="005B55FD">
              <w:rPr>
                <w:sz w:val="20"/>
                <w:szCs w:val="20"/>
                <w:lang w:val="fr-CA" w:eastAsia="en-CA"/>
              </w:rPr>
              <w:t>196</w:t>
            </w:r>
          </w:p>
        </w:tc>
        <w:tc>
          <w:tcPr>
            <w:tcW w:w="1433" w:type="dxa"/>
            <w:tcBorders>
              <w:top w:val="nil"/>
              <w:left w:val="nil"/>
              <w:bottom w:val="single" w:sz="4" w:space="0" w:color="auto"/>
              <w:right w:val="single" w:sz="4" w:space="0" w:color="auto"/>
            </w:tcBorders>
            <w:shd w:val="clear" w:color="auto" w:fill="auto"/>
            <w:noWrap/>
            <w:hideMark/>
          </w:tcPr>
          <w:p w14:paraId="50B4EF0B" w14:textId="5C0589E3" w:rsidR="000B371B" w:rsidRPr="005B55FD" w:rsidRDefault="000B371B" w:rsidP="001E39EE">
            <w:pPr>
              <w:jc w:val="right"/>
              <w:rPr>
                <w:sz w:val="20"/>
                <w:szCs w:val="20"/>
                <w:lang w:val="fr-CA"/>
              </w:rPr>
            </w:pPr>
            <w:r w:rsidRPr="005B55FD">
              <w:rPr>
                <w:sz w:val="20"/>
                <w:szCs w:val="20"/>
                <w:lang w:val="fr-CA"/>
              </w:rPr>
              <w:t>91</w:t>
            </w:r>
            <w:r w:rsidR="00C27C93">
              <w:rPr>
                <w:sz w:val="20"/>
                <w:szCs w:val="20"/>
                <w:lang w:val="fr-CA"/>
              </w:rPr>
              <w:t xml:space="preserve"> </w:t>
            </w:r>
            <w:r w:rsidRPr="005B55FD">
              <w:rPr>
                <w:sz w:val="20"/>
                <w:szCs w:val="20"/>
                <w:lang w:val="fr-CA"/>
              </w:rPr>
              <w:t>695</w:t>
            </w:r>
            <w:r w:rsidR="00C27C93">
              <w:rPr>
                <w:sz w:val="20"/>
                <w:szCs w:val="20"/>
                <w:lang w:val="fr-CA"/>
              </w:rPr>
              <w:t xml:space="preserve"> </w:t>
            </w:r>
            <w:r w:rsidRPr="005B55FD">
              <w:rPr>
                <w:sz w:val="20"/>
                <w:szCs w:val="20"/>
                <w:lang w:val="fr-CA"/>
              </w:rPr>
              <w:t>424</w:t>
            </w:r>
          </w:p>
        </w:tc>
        <w:tc>
          <w:tcPr>
            <w:tcW w:w="1216" w:type="dxa"/>
            <w:tcBorders>
              <w:top w:val="nil"/>
              <w:left w:val="nil"/>
              <w:bottom w:val="single" w:sz="4" w:space="0" w:color="auto"/>
              <w:right w:val="single" w:sz="4" w:space="0" w:color="auto"/>
            </w:tcBorders>
            <w:shd w:val="clear" w:color="auto" w:fill="auto"/>
            <w:noWrap/>
            <w:hideMark/>
          </w:tcPr>
          <w:p w14:paraId="48435096" w14:textId="78E20DBA" w:rsidR="000B371B" w:rsidRPr="005B55FD" w:rsidRDefault="000B371B" w:rsidP="001E39EE">
            <w:pPr>
              <w:jc w:val="right"/>
              <w:rPr>
                <w:sz w:val="20"/>
                <w:szCs w:val="20"/>
                <w:lang w:val="fr-CA"/>
              </w:rPr>
            </w:pPr>
            <w:r w:rsidRPr="005B55FD">
              <w:rPr>
                <w:sz w:val="20"/>
                <w:szCs w:val="20"/>
                <w:lang w:val="fr-CA"/>
              </w:rPr>
              <w:t>23</w:t>
            </w:r>
            <w:r w:rsidR="00C27C93">
              <w:rPr>
                <w:sz w:val="20"/>
                <w:szCs w:val="20"/>
                <w:lang w:val="fr-CA"/>
              </w:rPr>
              <w:t xml:space="preserve"> </w:t>
            </w:r>
            <w:r w:rsidRPr="005B55FD">
              <w:rPr>
                <w:sz w:val="20"/>
                <w:szCs w:val="20"/>
                <w:lang w:val="fr-CA"/>
              </w:rPr>
              <w:t>726</w:t>
            </w:r>
            <w:r w:rsidR="00C27C93">
              <w:rPr>
                <w:sz w:val="20"/>
                <w:szCs w:val="20"/>
                <w:lang w:val="fr-CA"/>
              </w:rPr>
              <w:t xml:space="preserve"> </w:t>
            </w:r>
            <w:r w:rsidRPr="005B55FD">
              <w:rPr>
                <w:sz w:val="20"/>
                <w:szCs w:val="20"/>
                <w:lang w:val="fr-CA"/>
              </w:rPr>
              <w:t>773</w:t>
            </w:r>
          </w:p>
        </w:tc>
        <w:tc>
          <w:tcPr>
            <w:tcW w:w="1138" w:type="dxa"/>
            <w:tcBorders>
              <w:top w:val="nil"/>
              <w:left w:val="nil"/>
              <w:bottom w:val="single" w:sz="4" w:space="0" w:color="auto"/>
              <w:right w:val="single" w:sz="4" w:space="0" w:color="auto"/>
            </w:tcBorders>
            <w:shd w:val="clear" w:color="auto" w:fill="auto"/>
            <w:noWrap/>
            <w:hideMark/>
          </w:tcPr>
          <w:p w14:paraId="5977714B" w14:textId="77777777" w:rsidR="000B371B" w:rsidRPr="005B55FD" w:rsidRDefault="000B371B" w:rsidP="001E39EE">
            <w:pPr>
              <w:jc w:val="right"/>
              <w:rPr>
                <w:sz w:val="20"/>
                <w:szCs w:val="20"/>
                <w:lang w:val="fr-CA"/>
              </w:rPr>
            </w:pPr>
            <w:r w:rsidRPr="005B55FD">
              <w:rPr>
                <w:sz w:val="20"/>
                <w:szCs w:val="20"/>
                <w:lang w:val="fr-CA"/>
              </w:rPr>
              <w:t>79</w:t>
            </w:r>
          </w:p>
        </w:tc>
      </w:tr>
      <w:tr w:rsidR="0053267C" w:rsidRPr="005B55FD" w14:paraId="2449B0A8" w14:textId="77777777" w:rsidTr="006735F6">
        <w:trPr>
          <w:trHeight w:val="120"/>
        </w:trPr>
        <w:tc>
          <w:tcPr>
            <w:tcW w:w="761" w:type="dxa"/>
            <w:tcBorders>
              <w:top w:val="nil"/>
              <w:left w:val="single" w:sz="4" w:space="0" w:color="auto"/>
              <w:bottom w:val="single" w:sz="4" w:space="0" w:color="auto"/>
              <w:right w:val="single" w:sz="4" w:space="0" w:color="auto"/>
            </w:tcBorders>
            <w:shd w:val="clear" w:color="auto" w:fill="auto"/>
            <w:noWrap/>
            <w:hideMark/>
          </w:tcPr>
          <w:p w14:paraId="43A5A3B2" w14:textId="77777777" w:rsidR="000B371B" w:rsidRPr="005B55FD" w:rsidRDefault="000B371B" w:rsidP="001E39EE">
            <w:pPr>
              <w:jc w:val="left"/>
              <w:rPr>
                <w:sz w:val="20"/>
                <w:szCs w:val="20"/>
                <w:lang w:val="fr-CA" w:eastAsia="en-CA"/>
              </w:rPr>
            </w:pPr>
            <w:r w:rsidRPr="005B55FD">
              <w:rPr>
                <w:sz w:val="20"/>
                <w:szCs w:val="20"/>
                <w:lang w:val="fr-CA" w:eastAsia="en-CA"/>
              </w:rPr>
              <w:t>2017</w:t>
            </w:r>
          </w:p>
        </w:tc>
        <w:tc>
          <w:tcPr>
            <w:tcW w:w="1066" w:type="dxa"/>
            <w:tcBorders>
              <w:top w:val="nil"/>
              <w:left w:val="nil"/>
              <w:bottom w:val="single" w:sz="4" w:space="0" w:color="auto"/>
              <w:right w:val="single" w:sz="4" w:space="0" w:color="auto"/>
            </w:tcBorders>
            <w:shd w:val="clear" w:color="auto" w:fill="auto"/>
            <w:noWrap/>
            <w:hideMark/>
          </w:tcPr>
          <w:p w14:paraId="4485CC57" w14:textId="77777777" w:rsidR="000B371B" w:rsidRPr="005B55FD" w:rsidRDefault="000B371B" w:rsidP="001E39EE">
            <w:pPr>
              <w:jc w:val="right"/>
              <w:rPr>
                <w:sz w:val="20"/>
                <w:szCs w:val="20"/>
                <w:lang w:val="fr-CA" w:eastAsia="en-CA"/>
              </w:rPr>
            </w:pPr>
            <w:r w:rsidRPr="005B55FD">
              <w:rPr>
                <w:sz w:val="20"/>
                <w:szCs w:val="20"/>
                <w:lang w:val="fr-CA" w:eastAsia="en-CA"/>
              </w:rPr>
              <w:t>125</w:t>
            </w:r>
          </w:p>
        </w:tc>
        <w:tc>
          <w:tcPr>
            <w:tcW w:w="1143" w:type="dxa"/>
            <w:tcBorders>
              <w:top w:val="nil"/>
              <w:left w:val="nil"/>
              <w:bottom w:val="single" w:sz="4" w:space="0" w:color="auto"/>
              <w:right w:val="single" w:sz="4" w:space="0" w:color="auto"/>
            </w:tcBorders>
            <w:shd w:val="clear" w:color="auto" w:fill="auto"/>
            <w:noWrap/>
            <w:hideMark/>
          </w:tcPr>
          <w:p w14:paraId="5BFCF5ED" w14:textId="77777777" w:rsidR="000B371B" w:rsidRPr="005B55FD" w:rsidRDefault="000B371B" w:rsidP="001E39EE">
            <w:pPr>
              <w:jc w:val="right"/>
              <w:rPr>
                <w:sz w:val="20"/>
                <w:szCs w:val="20"/>
                <w:lang w:val="fr-CA" w:eastAsia="en-CA"/>
              </w:rPr>
            </w:pPr>
            <w:r w:rsidRPr="005B55FD">
              <w:rPr>
                <w:sz w:val="20"/>
                <w:szCs w:val="20"/>
                <w:lang w:val="fr-CA" w:eastAsia="en-CA"/>
              </w:rPr>
              <w:t>77</w:t>
            </w:r>
          </w:p>
        </w:tc>
        <w:tc>
          <w:tcPr>
            <w:tcW w:w="1170" w:type="dxa"/>
            <w:tcBorders>
              <w:top w:val="nil"/>
              <w:left w:val="nil"/>
              <w:bottom w:val="single" w:sz="4" w:space="0" w:color="auto"/>
              <w:right w:val="single" w:sz="4" w:space="0" w:color="auto"/>
            </w:tcBorders>
            <w:shd w:val="clear" w:color="auto" w:fill="auto"/>
            <w:noWrap/>
            <w:hideMark/>
          </w:tcPr>
          <w:p w14:paraId="12737A83" w14:textId="77777777" w:rsidR="000B371B" w:rsidRPr="005B55FD" w:rsidRDefault="000B371B" w:rsidP="001E39EE">
            <w:pPr>
              <w:jc w:val="right"/>
              <w:rPr>
                <w:sz w:val="20"/>
                <w:szCs w:val="20"/>
                <w:lang w:val="fr-CA" w:eastAsia="en-CA"/>
              </w:rPr>
            </w:pPr>
            <w:r w:rsidRPr="005B55FD">
              <w:rPr>
                <w:sz w:val="20"/>
                <w:szCs w:val="20"/>
                <w:lang w:val="fr-CA" w:eastAsia="en-CA"/>
              </w:rPr>
              <w:t>62</w:t>
            </w:r>
          </w:p>
        </w:tc>
        <w:tc>
          <w:tcPr>
            <w:tcW w:w="1433" w:type="dxa"/>
            <w:tcBorders>
              <w:top w:val="nil"/>
              <w:left w:val="nil"/>
              <w:bottom w:val="single" w:sz="4" w:space="0" w:color="auto"/>
              <w:right w:val="single" w:sz="4" w:space="0" w:color="auto"/>
            </w:tcBorders>
            <w:shd w:val="clear" w:color="auto" w:fill="auto"/>
            <w:noWrap/>
            <w:hideMark/>
          </w:tcPr>
          <w:p w14:paraId="732FBF44" w14:textId="275E9BA3" w:rsidR="000B371B" w:rsidRPr="005B55FD" w:rsidRDefault="000B371B" w:rsidP="001E39EE">
            <w:pPr>
              <w:jc w:val="right"/>
              <w:rPr>
                <w:sz w:val="20"/>
                <w:szCs w:val="20"/>
                <w:lang w:val="fr-CA" w:eastAsia="en-CA"/>
              </w:rPr>
            </w:pPr>
            <w:r w:rsidRPr="005B55FD">
              <w:rPr>
                <w:sz w:val="20"/>
                <w:szCs w:val="20"/>
                <w:lang w:val="fr-CA" w:eastAsia="en-CA"/>
              </w:rPr>
              <w:t>64</w:t>
            </w:r>
            <w:r w:rsidR="00C27C93">
              <w:rPr>
                <w:sz w:val="20"/>
                <w:szCs w:val="20"/>
                <w:lang w:val="fr-CA" w:eastAsia="en-CA"/>
              </w:rPr>
              <w:t xml:space="preserve"> </w:t>
            </w:r>
            <w:r w:rsidRPr="005B55FD">
              <w:rPr>
                <w:sz w:val="20"/>
                <w:szCs w:val="20"/>
                <w:lang w:val="fr-CA" w:eastAsia="en-CA"/>
              </w:rPr>
              <w:t>220</w:t>
            </w:r>
            <w:r w:rsidR="00C27C93">
              <w:rPr>
                <w:sz w:val="20"/>
                <w:szCs w:val="20"/>
                <w:lang w:val="fr-CA" w:eastAsia="en-CA"/>
              </w:rPr>
              <w:t xml:space="preserve"> </w:t>
            </w:r>
            <w:r w:rsidRPr="005B55FD">
              <w:rPr>
                <w:sz w:val="20"/>
                <w:szCs w:val="20"/>
                <w:lang w:val="fr-CA" w:eastAsia="en-CA"/>
              </w:rPr>
              <w:t>346</w:t>
            </w:r>
          </w:p>
        </w:tc>
        <w:tc>
          <w:tcPr>
            <w:tcW w:w="1433" w:type="dxa"/>
            <w:tcBorders>
              <w:top w:val="nil"/>
              <w:left w:val="nil"/>
              <w:bottom w:val="single" w:sz="4" w:space="0" w:color="auto"/>
              <w:right w:val="single" w:sz="4" w:space="0" w:color="auto"/>
            </w:tcBorders>
            <w:shd w:val="clear" w:color="auto" w:fill="auto"/>
            <w:noWrap/>
            <w:hideMark/>
          </w:tcPr>
          <w:p w14:paraId="09C97F14" w14:textId="72F02CBF" w:rsidR="000B371B" w:rsidRPr="005B55FD" w:rsidRDefault="000B371B" w:rsidP="001E39EE">
            <w:pPr>
              <w:jc w:val="right"/>
              <w:rPr>
                <w:sz w:val="20"/>
                <w:szCs w:val="20"/>
                <w:lang w:val="fr-CA"/>
              </w:rPr>
            </w:pPr>
            <w:r w:rsidRPr="005B55FD">
              <w:rPr>
                <w:sz w:val="20"/>
                <w:szCs w:val="20"/>
                <w:lang w:val="fr-CA"/>
              </w:rPr>
              <w:t>56</w:t>
            </w:r>
            <w:r w:rsidR="00C27C93">
              <w:rPr>
                <w:sz w:val="20"/>
                <w:szCs w:val="20"/>
                <w:lang w:val="fr-CA"/>
              </w:rPr>
              <w:t xml:space="preserve"> </w:t>
            </w:r>
            <w:r w:rsidRPr="005B55FD">
              <w:rPr>
                <w:sz w:val="20"/>
                <w:szCs w:val="20"/>
                <w:lang w:val="fr-CA"/>
              </w:rPr>
              <w:t>371</w:t>
            </w:r>
            <w:r w:rsidR="00C27C93">
              <w:rPr>
                <w:sz w:val="20"/>
                <w:szCs w:val="20"/>
                <w:lang w:val="fr-CA"/>
              </w:rPr>
              <w:t xml:space="preserve"> </w:t>
            </w:r>
            <w:r w:rsidRPr="005B55FD">
              <w:rPr>
                <w:sz w:val="20"/>
                <w:szCs w:val="20"/>
                <w:lang w:val="fr-CA"/>
              </w:rPr>
              <w:t>561</w:t>
            </w:r>
          </w:p>
        </w:tc>
        <w:tc>
          <w:tcPr>
            <w:tcW w:w="1216" w:type="dxa"/>
            <w:tcBorders>
              <w:top w:val="nil"/>
              <w:left w:val="nil"/>
              <w:bottom w:val="single" w:sz="4" w:space="0" w:color="auto"/>
              <w:right w:val="single" w:sz="4" w:space="0" w:color="auto"/>
            </w:tcBorders>
            <w:shd w:val="clear" w:color="auto" w:fill="auto"/>
            <w:noWrap/>
            <w:hideMark/>
          </w:tcPr>
          <w:p w14:paraId="121CE0FC" w14:textId="1B1EFA58" w:rsidR="000B371B" w:rsidRPr="005B55FD" w:rsidRDefault="000B371B" w:rsidP="001E39EE">
            <w:pPr>
              <w:jc w:val="right"/>
              <w:rPr>
                <w:sz w:val="20"/>
                <w:szCs w:val="20"/>
                <w:lang w:val="fr-CA"/>
              </w:rPr>
            </w:pPr>
            <w:r w:rsidRPr="005B55FD">
              <w:rPr>
                <w:sz w:val="20"/>
                <w:szCs w:val="20"/>
                <w:lang w:val="fr-CA"/>
              </w:rPr>
              <w:t>7</w:t>
            </w:r>
            <w:r w:rsidR="00C27C93">
              <w:rPr>
                <w:sz w:val="20"/>
                <w:szCs w:val="20"/>
                <w:lang w:val="fr-CA"/>
              </w:rPr>
              <w:t xml:space="preserve"> </w:t>
            </w:r>
            <w:r w:rsidRPr="005B55FD">
              <w:rPr>
                <w:sz w:val="20"/>
                <w:szCs w:val="20"/>
                <w:lang w:val="fr-CA"/>
              </w:rPr>
              <w:t>848</w:t>
            </w:r>
            <w:r w:rsidR="00C27C93">
              <w:rPr>
                <w:sz w:val="20"/>
                <w:szCs w:val="20"/>
                <w:lang w:val="fr-CA"/>
              </w:rPr>
              <w:t xml:space="preserve"> </w:t>
            </w:r>
            <w:r w:rsidRPr="005B55FD">
              <w:rPr>
                <w:sz w:val="20"/>
                <w:szCs w:val="20"/>
                <w:lang w:val="fr-CA"/>
              </w:rPr>
              <w:t>785</w:t>
            </w:r>
          </w:p>
        </w:tc>
        <w:tc>
          <w:tcPr>
            <w:tcW w:w="1138" w:type="dxa"/>
            <w:tcBorders>
              <w:top w:val="nil"/>
              <w:left w:val="nil"/>
              <w:bottom w:val="single" w:sz="4" w:space="0" w:color="auto"/>
              <w:right w:val="single" w:sz="4" w:space="0" w:color="auto"/>
            </w:tcBorders>
            <w:shd w:val="clear" w:color="auto" w:fill="auto"/>
            <w:noWrap/>
            <w:hideMark/>
          </w:tcPr>
          <w:p w14:paraId="78EFD84B" w14:textId="77777777" w:rsidR="000B371B" w:rsidRPr="005B55FD" w:rsidRDefault="000B371B" w:rsidP="001E39EE">
            <w:pPr>
              <w:jc w:val="right"/>
              <w:rPr>
                <w:sz w:val="20"/>
                <w:szCs w:val="20"/>
                <w:lang w:val="fr-CA"/>
              </w:rPr>
            </w:pPr>
            <w:r w:rsidRPr="005B55FD">
              <w:rPr>
                <w:sz w:val="20"/>
                <w:szCs w:val="20"/>
                <w:lang w:val="fr-CA"/>
              </w:rPr>
              <w:t>88</w:t>
            </w:r>
          </w:p>
        </w:tc>
      </w:tr>
      <w:tr w:rsidR="0053267C" w:rsidRPr="005B55FD" w14:paraId="4BBF4D7A"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3A0AD6CD" w14:textId="77777777" w:rsidR="000B371B" w:rsidRPr="005B55FD" w:rsidRDefault="000B371B" w:rsidP="001E39EE">
            <w:pPr>
              <w:jc w:val="left"/>
              <w:rPr>
                <w:sz w:val="20"/>
                <w:szCs w:val="20"/>
                <w:lang w:val="fr-CA" w:eastAsia="en-CA"/>
              </w:rPr>
            </w:pPr>
            <w:r w:rsidRPr="005B55FD">
              <w:rPr>
                <w:sz w:val="20"/>
                <w:szCs w:val="20"/>
                <w:lang w:val="fr-CA" w:eastAsia="en-CA"/>
              </w:rPr>
              <w:t>2018</w:t>
            </w:r>
          </w:p>
        </w:tc>
        <w:tc>
          <w:tcPr>
            <w:tcW w:w="1066" w:type="dxa"/>
            <w:tcBorders>
              <w:top w:val="nil"/>
              <w:left w:val="nil"/>
              <w:bottom w:val="single" w:sz="4" w:space="0" w:color="auto"/>
              <w:right w:val="single" w:sz="4" w:space="0" w:color="auto"/>
            </w:tcBorders>
            <w:shd w:val="clear" w:color="auto" w:fill="auto"/>
            <w:noWrap/>
            <w:hideMark/>
          </w:tcPr>
          <w:p w14:paraId="4CDF5209" w14:textId="77777777" w:rsidR="000B371B" w:rsidRPr="005B55FD" w:rsidRDefault="000B371B" w:rsidP="001E39EE">
            <w:pPr>
              <w:jc w:val="right"/>
              <w:rPr>
                <w:sz w:val="20"/>
                <w:szCs w:val="20"/>
                <w:lang w:val="fr-CA" w:eastAsia="en-CA"/>
              </w:rPr>
            </w:pPr>
            <w:r w:rsidRPr="005B55FD">
              <w:rPr>
                <w:sz w:val="20"/>
                <w:szCs w:val="20"/>
                <w:lang w:val="fr-CA" w:eastAsia="en-CA"/>
              </w:rPr>
              <w:t>271</w:t>
            </w:r>
          </w:p>
        </w:tc>
        <w:tc>
          <w:tcPr>
            <w:tcW w:w="1143" w:type="dxa"/>
            <w:tcBorders>
              <w:top w:val="nil"/>
              <w:left w:val="nil"/>
              <w:bottom w:val="single" w:sz="4" w:space="0" w:color="auto"/>
              <w:right w:val="single" w:sz="4" w:space="0" w:color="auto"/>
            </w:tcBorders>
            <w:shd w:val="clear" w:color="auto" w:fill="auto"/>
            <w:noWrap/>
            <w:hideMark/>
          </w:tcPr>
          <w:p w14:paraId="2E5AFBC3" w14:textId="77777777" w:rsidR="000B371B" w:rsidRPr="005B55FD" w:rsidRDefault="000B371B" w:rsidP="001E39EE">
            <w:pPr>
              <w:jc w:val="right"/>
              <w:rPr>
                <w:sz w:val="20"/>
                <w:szCs w:val="20"/>
                <w:lang w:val="fr-CA" w:eastAsia="en-CA"/>
              </w:rPr>
            </w:pPr>
            <w:r w:rsidRPr="005B55FD">
              <w:rPr>
                <w:sz w:val="20"/>
                <w:szCs w:val="20"/>
                <w:lang w:val="fr-CA" w:eastAsia="en-CA"/>
              </w:rPr>
              <w:t>104</w:t>
            </w:r>
          </w:p>
        </w:tc>
        <w:tc>
          <w:tcPr>
            <w:tcW w:w="1170" w:type="dxa"/>
            <w:tcBorders>
              <w:top w:val="nil"/>
              <w:left w:val="nil"/>
              <w:bottom w:val="single" w:sz="4" w:space="0" w:color="auto"/>
              <w:right w:val="single" w:sz="4" w:space="0" w:color="auto"/>
            </w:tcBorders>
            <w:shd w:val="clear" w:color="auto" w:fill="auto"/>
            <w:noWrap/>
            <w:hideMark/>
          </w:tcPr>
          <w:p w14:paraId="73792F2B" w14:textId="77777777" w:rsidR="000B371B" w:rsidRPr="005B55FD" w:rsidRDefault="000B371B" w:rsidP="001E39EE">
            <w:pPr>
              <w:jc w:val="right"/>
              <w:rPr>
                <w:sz w:val="20"/>
                <w:szCs w:val="20"/>
                <w:lang w:val="fr-CA" w:eastAsia="en-CA"/>
              </w:rPr>
            </w:pPr>
            <w:r w:rsidRPr="005B55FD">
              <w:rPr>
                <w:sz w:val="20"/>
                <w:szCs w:val="20"/>
                <w:lang w:val="fr-CA" w:eastAsia="en-CA"/>
              </w:rPr>
              <w:t>38</w:t>
            </w:r>
          </w:p>
        </w:tc>
        <w:tc>
          <w:tcPr>
            <w:tcW w:w="1433" w:type="dxa"/>
            <w:tcBorders>
              <w:top w:val="nil"/>
              <w:left w:val="nil"/>
              <w:bottom w:val="single" w:sz="4" w:space="0" w:color="auto"/>
              <w:right w:val="single" w:sz="4" w:space="0" w:color="auto"/>
            </w:tcBorders>
            <w:shd w:val="clear" w:color="auto" w:fill="auto"/>
            <w:noWrap/>
            <w:hideMark/>
          </w:tcPr>
          <w:p w14:paraId="0B1381D4" w14:textId="0C459AFF" w:rsidR="000B371B" w:rsidRPr="005B55FD" w:rsidRDefault="000B371B" w:rsidP="001E39EE">
            <w:pPr>
              <w:jc w:val="right"/>
              <w:rPr>
                <w:sz w:val="20"/>
                <w:szCs w:val="20"/>
                <w:lang w:val="fr-CA" w:eastAsia="en-CA"/>
              </w:rPr>
            </w:pPr>
            <w:r w:rsidRPr="005B55FD">
              <w:rPr>
                <w:sz w:val="20"/>
                <w:szCs w:val="20"/>
                <w:lang w:val="fr-CA" w:eastAsia="en-CA"/>
              </w:rPr>
              <w:t>122</w:t>
            </w:r>
            <w:r w:rsidR="00C27C93">
              <w:rPr>
                <w:sz w:val="20"/>
                <w:szCs w:val="20"/>
                <w:lang w:val="fr-CA" w:eastAsia="en-CA"/>
              </w:rPr>
              <w:t xml:space="preserve"> </w:t>
            </w:r>
            <w:r w:rsidRPr="005B55FD">
              <w:rPr>
                <w:sz w:val="20"/>
                <w:szCs w:val="20"/>
                <w:lang w:val="fr-CA" w:eastAsia="en-CA"/>
              </w:rPr>
              <w:t>853</w:t>
            </w:r>
            <w:r w:rsidR="00C27C93">
              <w:rPr>
                <w:sz w:val="20"/>
                <w:szCs w:val="20"/>
                <w:lang w:val="fr-CA" w:eastAsia="en-CA"/>
              </w:rPr>
              <w:t xml:space="preserve"> </w:t>
            </w:r>
            <w:r w:rsidRPr="005B55FD">
              <w:rPr>
                <w:sz w:val="20"/>
                <w:szCs w:val="20"/>
                <w:lang w:val="fr-CA" w:eastAsia="en-CA"/>
              </w:rPr>
              <w:t>364</w:t>
            </w:r>
          </w:p>
        </w:tc>
        <w:tc>
          <w:tcPr>
            <w:tcW w:w="1433" w:type="dxa"/>
            <w:tcBorders>
              <w:top w:val="nil"/>
              <w:left w:val="nil"/>
              <w:bottom w:val="single" w:sz="4" w:space="0" w:color="auto"/>
              <w:right w:val="single" w:sz="4" w:space="0" w:color="auto"/>
            </w:tcBorders>
            <w:shd w:val="clear" w:color="auto" w:fill="auto"/>
            <w:noWrap/>
            <w:hideMark/>
          </w:tcPr>
          <w:p w14:paraId="06686993" w14:textId="5E325170" w:rsidR="000B371B" w:rsidRPr="005B55FD" w:rsidRDefault="000B371B" w:rsidP="001E39EE">
            <w:pPr>
              <w:jc w:val="right"/>
              <w:rPr>
                <w:sz w:val="20"/>
                <w:szCs w:val="20"/>
                <w:lang w:val="fr-CA"/>
              </w:rPr>
            </w:pPr>
            <w:r w:rsidRPr="005B55FD">
              <w:rPr>
                <w:sz w:val="20"/>
                <w:szCs w:val="20"/>
                <w:lang w:val="fr-CA"/>
              </w:rPr>
              <w:t>56</w:t>
            </w:r>
            <w:r w:rsidR="00C27C93">
              <w:rPr>
                <w:sz w:val="20"/>
                <w:szCs w:val="20"/>
                <w:lang w:val="fr-CA"/>
              </w:rPr>
              <w:t xml:space="preserve"> </w:t>
            </w:r>
            <w:r w:rsidRPr="005B55FD">
              <w:rPr>
                <w:sz w:val="20"/>
                <w:szCs w:val="20"/>
                <w:lang w:val="fr-CA"/>
              </w:rPr>
              <w:t>425</w:t>
            </w:r>
            <w:r w:rsidR="00C27C93">
              <w:rPr>
                <w:sz w:val="20"/>
                <w:szCs w:val="20"/>
                <w:lang w:val="fr-CA"/>
              </w:rPr>
              <w:t xml:space="preserve"> </w:t>
            </w:r>
            <w:r w:rsidRPr="005B55FD">
              <w:rPr>
                <w:sz w:val="20"/>
                <w:szCs w:val="20"/>
                <w:lang w:val="fr-CA"/>
              </w:rPr>
              <w:t>190</w:t>
            </w:r>
          </w:p>
        </w:tc>
        <w:tc>
          <w:tcPr>
            <w:tcW w:w="1216" w:type="dxa"/>
            <w:tcBorders>
              <w:top w:val="nil"/>
              <w:left w:val="nil"/>
              <w:bottom w:val="single" w:sz="4" w:space="0" w:color="auto"/>
              <w:right w:val="single" w:sz="4" w:space="0" w:color="auto"/>
            </w:tcBorders>
            <w:shd w:val="clear" w:color="auto" w:fill="auto"/>
            <w:noWrap/>
            <w:hideMark/>
          </w:tcPr>
          <w:p w14:paraId="6EA6F1C9" w14:textId="3A735319" w:rsidR="000B371B" w:rsidRPr="005B55FD" w:rsidRDefault="000B371B" w:rsidP="001E39EE">
            <w:pPr>
              <w:jc w:val="right"/>
              <w:rPr>
                <w:sz w:val="20"/>
                <w:szCs w:val="20"/>
                <w:lang w:val="fr-CA"/>
              </w:rPr>
            </w:pPr>
            <w:r w:rsidRPr="005B55FD">
              <w:rPr>
                <w:sz w:val="20"/>
                <w:szCs w:val="20"/>
                <w:lang w:val="fr-CA"/>
              </w:rPr>
              <w:t>66</w:t>
            </w:r>
            <w:r w:rsidR="00C27C93">
              <w:rPr>
                <w:sz w:val="20"/>
                <w:szCs w:val="20"/>
                <w:lang w:val="fr-CA"/>
              </w:rPr>
              <w:t xml:space="preserve"> </w:t>
            </w:r>
            <w:r w:rsidRPr="005B55FD">
              <w:rPr>
                <w:sz w:val="20"/>
                <w:szCs w:val="20"/>
                <w:lang w:val="fr-CA"/>
              </w:rPr>
              <w:t>428</w:t>
            </w:r>
            <w:r w:rsidR="00C27C93">
              <w:rPr>
                <w:sz w:val="20"/>
                <w:szCs w:val="20"/>
                <w:lang w:val="fr-CA"/>
              </w:rPr>
              <w:t xml:space="preserve"> </w:t>
            </w:r>
            <w:r w:rsidRPr="005B55FD">
              <w:rPr>
                <w:sz w:val="20"/>
                <w:szCs w:val="20"/>
                <w:lang w:val="fr-CA"/>
              </w:rPr>
              <w:t>174</w:t>
            </w:r>
          </w:p>
        </w:tc>
        <w:tc>
          <w:tcPr>
            <w:tcW w:w="1138" w:type="dxa"/>
            <w:tcBorders>
              <w:top w:val="nil"/>
              <w:left w:val="nil"/>
              <w:bottom w:val="single" w:sz="4" w:space="0" w:color="auto"/>
              <w:right w:val="single" w:sz="4" w:space="0" w:color="auto"/>
            </w:tcBorders>
            <w:shd w:val="clear" w:color="auto" w:fill="auto"/>
            <w:noWrap/>
            <w:hideMark/>
          </w:tcPr>
          <w:p w14:paraId="15968D81" w14:textId="77777777" w:rsidR="000B371B" w:rsidRPr="005B55FD" w:rsidRDefault="000B371B" w:rsidP="001E39EE">
            <w:pPr>
              <w:jc w:val="right"/>
              <w:rPr>
                <w:sz w:val="20"/>
                <w:szCs w:val="20"/>
                <w:lang w:val="fr-CA"/>
              </w:rPr>
            </w:pPr>
            <w:r w:rsidRPr="005B55FD">
              <w:rPr>
                <w:sz w:val="20"/>
                <w:szCs w:val="20"/>
                <w:lang w:val="fr-CA"/>
              </w:rPr>
              <w:t>46</w:t>
            </w:r>
          </w:p>
        </w:tc>
      </w:tr>
      <w:tr w:rsidR="0053267C" w:rsidRPr="005B55FD" w14:paraId="1961492D"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050C2355" w14:textId="77777777" w:rsidR="000B371B" w:rsidRPr="005B55FD" w:rsidRDefault="000B371B" w:rsidP="001E39EE">
            <w:pPr>
              <w:jc w:val="left"/>
              <w:rPr>
                <w:sz w:val="20"/>
                <w:szCs w:val="20"/>
                <w:lang w:val="fr-CA" w:eastAsia="en-CA"/>
              </w:rPr>
            </w:pPr>
            <w:r w:rsidRPr="005B55FD">
              <w:rPr>
                <w:sz w:val="20"/>
                <w:szCs w:val="20"/>
                <w:lang w:val="fr-CA" w:eastAsia="en-CA"/>
              </w:rPr>
              <w:t>2019</w:t>
            </w:r>
          </w:p>
        </w:tc>
        <w:tc>
          <w:tcPr>
            <w:tcW w:w="1066" w:type="dxa"/>
            <w:tcBorders>
              <w:top w:val="nil"/>
              <w:left w:val="nil"/>
              <w:bottom w:val="single" w:sz="4" w:space="0" w:color="auto"/>
              <w:right w:val="single" w:sz="4" w:space="0" w:color="auto"/>
            </w:tcBorders>
            <w:shd w:val="clear" w:color="auto" w:fill="auto"/>
            <w:noWrap/>
            <w:hideMark/>
          </w:tcPr>
          <w:p w14:paraId="3DB41778" w14:textId="77777777" w:rsidR="000B371B" w:rsidRPr="005B55FD" w:rsidRDefault="000B371B" w:rsidP="001E39EE">
            <w:pPr>
              <w:jc w:val="right"/>
              <w:rPr>
                <w:sz w:val="20"/>
                <w:szCs w:val="20"/>
                <w:lang w:val="fr-CA" w:eastAsia="en-CA"/>
              </w:rPr>
            </w:pPr>
            <w:r w:rsidRPr="005B55FD">
              <w:rPr>
                <w:sz w:val="20"/>
                <w:szCs w:val="20"/>
                <w:lang w:val="fr-CA" w:eastAsia="en-CA"/>
              </w:rPr>
              <w:t>226</w:t>
            </w:r>
          </w:p>
        </w:tc>
        <w:tc>
          <w:tcPr>
            <w:tcW w:w="1143" w:type="dxa"/>
            <w:tcBorders>
              <w:top w:val="nil"/>
              <w:left w:val="nil"/>
              <w:bottom w:val="single" w:sz="4" w:space="0" w:color="auto"/>
              <w:right w:val="single" w:sz="4" w:space="0" w:color="auto"/>
            </w:tcBorders>
            <w:shd w:val="clear" w:color="auto" w:fill="auto"/>
            <w:noWrap/>
            <w:hideMark/>
          </w:tcPr>
          <w:p w14:paraId="40F53B26" w14:textId="77777777" w:rsidR="000B371B" w:rsidRPr="005B55FD" w:rsidRDefault="000B371B" w:rsidP="001E39EE">
            <w:pPr>
              <w:jc w:val="right"/>
              <w:rPr>
                <w:sz w:val="20"/>
                <w:szCs w:val="20"/>
                <w:lang w:val="fr-CA" w:eastAsia="en-CA"/>
              </w:rPr>
            </w:pPr>
            <w:r w:rsidRPr="005B55FD">
              <w:rPr>
                <w:sz w:val="20"/>
                <w:szCs w:val="20"/>
                <w:lang w:val="fr-CA" w:eastAsia="en-CA"/>
              </w:rPr>
              <w:t>17</w:t>
            </w:r>
          </w:p>
        </w:tc>
        <w:tc>
          <w:tcPr>
            <w:tcW w:w="1170" w:type="dxa"/>
            <w:tcBorders>
              <w:top w:val="nil"/>
              <w:left w:val="nil"/>
              <w:bottom w:val="single" w:sz="4" w:space="0" w:color="auto"/>
              <w:right w:val="single" w:sz="4" w:space="0" w:color="auto"/>
            </w:tcBorders>
            <w:shd w:val="clear" w:color="auto" w:fill="auto"/>
            <w:noWrap/>
            <w:hideMark/>
          </w:tcPr>
          <w:p w14:paraId="1AEAF181" w14:textId="77777777" w:rsidR="000B371B" w:rsidRPr="005B55FD" w:rsidRDefault="000B371B" w:rsidP="001E39EE">
            <w:pPr>
              <w:jc w:val="right"/>
              <w:rPr>
                <w:sz w:val="20"/>
                <w:szCs w:val="20"/>
                <w:lang w:val="fr-CA" w:eastAsia="en-CA"/>
              </w:rPr>
            </w:pPr>
            <w:r w:rsidRPr="005B55FD">
              <w:rPr>
                <w:sz w:val="20"/>
                <w:szCs w:val="20"/>
                <w:lang w:val="fr-CA" w:eastAsia="en-CA"/>
              </w:rPr>
              <w:t>8</w:t>
            </w:r>
          </w:p>
        </w:tc>
        <w:tc>
          <w:tcPr>
            <w:tcW w:w="1433" w:type="dxa"/>
            <w:tcBorders>
              <w:top w:val="nil"/>
              <w:left w:val="nil"/>
              <w:bottom w:val="single" w:sz="4" w:space="0" w:color="auto"/>
              <w:right w:val="single" w:sz="4" w:space="0" w:color="auto"/>
            </w:tcBorders>
            <w:shd w:val="clear" w:color="auto" w:fill="auto"/>
            <w:noWrap/>
            <w:hideMark/>
          </w:tcPr>
          <w:p w14:paraId="423FAD64" w14:textId="6D3FCA82" w:rsidR="000B371B" w:rsidRPr="005B55FD" w:rsidRDefault="000B371B" w:rsidP="001E39EE">
            <w:pPr>
              <w:jc w:val="right"/>
              <w:rPr>
                <w:sz w:val="20"/>
                <w:szCs w:val="20"/>
                <w:lang w:val="fr-CA" w:eastAsia="en-CA"/>
              </w:rPr>
            </w:pPr>
            <w:r w:rsidRPr="005B55FD">
              <w:rPr>
                <w:sz w:val="20"/>
                <w:szCs w:val="20"/>
                <w:lang w:val="fr-CA" w:eastAsia="en-CA"/>
              </w:rPr>
              <w:t>53</w:t>
            </w:r>
            <w:r w:rsidR="00C27C93">
              <w:rPr>
                <w:sz w:val="20"/>
                <w:szCs w:val="20"/>
                <w:lang w:val="fr-CA" w:eastAsia="en-CA"/>
              </w:rPr>
              <w:t xml:space="preserve"> </w:t>
            </w:r>
            <w:r w:rsidRPr="005B55FD">
              <w:rPr>
                <w:sz w:val="20"/>
                <w:szCs w:val="20"/>
                <w:lang w:val="fr-CA" w:eastAsia="en-CA"/>
              </w:rPr>
              <w:t>217</w:t>
            </w:r>
            <w:r w:rsidR="00C27C93">
              <w:rPr>
                <w:sz w:val="20"/>
                <w:szCs w:val="20"/>
                <w:lang w:val="fr-CA" w:eastAsia="en-CA"/>
              </w:rPr>
              <w:t xml:space="preserve"> </w:t>
            </w:r>
            <w:r w:rsidRPr="005B55FD">
              <w:rPr>
                <w:sz w:val="20"/>
                <w:szCs w:val="20"/>
                <w:lang w:val="fr-CA" w:eastAsia="en-CA"/>
              </w:rPr>
              <w:t>538</w:t>
            </w:r>
          </w:p>
        </w:tc>
        <w:tc>
          <w:tcPr>
            <w:tcW w:w="1433" w:type="dxa"/>
            <w:tcBorders>
              <w:top w:val="nil"/>
              <w:left w:val="nil"/>
              <w:bottom w:val="single" w:sz="4" w:space="0" w:color="auto"/>
              <w:right w:val="single" w:sz="4" w:space="0" w:color="auto"/>
            </w:tcBorders>
            <w:shd w:val="clear" w:color="auto" w:fill="auto"/>
            <w:noWrap/>
            <w:hideMark/>
          </w:tcPr>
          <w:p w14:paraId="1FEBB2C4" w14:textId="08371FA6" w:rsidR="000B371B" w:rsidRPr="005B55FD" w:rsidRDefault="000B371B" w:rsidP="001E39EE">
            <w:pPr>
              <w:jc w:val="right"/>
              <w:rPr>
                <w:sz w:val="20"/>
                <w:szCs w:val="20"/>
                <w:lang w:val="fr-CA"/>
              </w:rPr>
            </w:pPr>
            <w:r w:rsidRPr="005B55FD">
              <w:rPr>
                <w:sz w:val="20"/>
                <w:szCs w:val="20"/>
                <w:lang w:val="fr-CA"/>
              </w:rPr>
              <w:t>11</w:t>
            </w:r>
            <w:r w:rsidR="00C27C93">
              <w:rPr>
                <w:sz w:val="20"/>
                <w:szCs w:val="20"/>
                <w:lang w:val="fr-CA"/>
              </w:rPr>
              <w:t xml:space="preserve"> </w:t>
            </w:r>
            <w:r w:rsidRPr="005B55FD">
              <w:rPr>
                <w:sz w:val="20"/>
                <w:szCs w:val="20"/>
                <w:lang w:val="fr-CA"/>
              </w:rPr>
              <w:t>538</w:t>
            </w:r>
            <w:r w:rsidR="00C27C93">
              <w:rPr>
                <w:sz w:val="20"/>
                <w:szCs w:val="20"/>
                <w:lang w:val="fr-CA"/>
              </w:rPr>
              <w:t xml:space="preserve"> </w:t>
            </w:r>
            <w:r w:rsidRPr="005B55FD">
              <w:rPr>
                <w:sz w:val="20"/>
                <w:szCs w:val="20"/>
                <w:lang w:val="fr-CA"/>
              </w:rPr>
              <w:t>883</w:t>
            </w:r>
          </w:p>
        </w:tc>
        <w:tc>
          <w:tcPr>
            <w:tcW w:w="1216" w:type="dxa"/>
            <w:tcBorders>
              <w:top w:val="nil"/>
              <w:left w:val="nil"/>
              <w:bottom w:val="single" w:sz="4" w:space="0" w:color="auto"/>
              <w:right w:val="single" w:sz="4" w:space="0" w:color="auto"/>
            </w:tcBorders>
            <w:shd w:val="clear" w:color="auto" w:fill="auto"/>
            <w:noWrap/>
            <w:hideMark/>
          </w:tcPr>
          <w:p w14:paraId="3035D016" w14:textId="1D48DD45" w:rsidR="000B371B" w:rsidRPr="005B55FD" w:rsidRDefault="000B371B" w:rsidP="001E39EE">
            <w:pPr>
              <w:jc w:val="right"/>
              <w:rPr>
                <w:sz w:val="20"/>
                <w:szCs w:val="20"/>
                <w:lang w:val="fr-CA"/>
              </w:rPr>
            </w:pPr>
            <w:r w:rsidRPr="005B55FD">
              <w:rPr>
                <w:sz w:val="20"/>
                <w:szCs w:val="20"/>
                <w:lang w:val="fr-CA"/>
              </w:rPr>
              <w:t>41</w:t>
            </w:r>
            <w:r w:rsidR="00C27C93">
              <w:rPr>
                <w:sz w:val="20"/>
                <w:szCs w:val="20"/>
                <w:lang w:val="fr-CA"/>
              </w:rPr>
              <w:t xml:space="preserve"> </w:t>
            </w:r>
            <w:r w:rsidRPr="005B55FD">
              <w:rPr>
                <w:sz w:val="20"/>
                <w:szCs w:val="20"/>
                <w:lang w:val="fr-CA"/>
              </w:rPr>
              <w:t>678</w:t>
            </w:r>
            <w:r w:rsidR="00C27C93">
              <w:rPr>
                <w:sz w:val="20"/>
                <w:szCs w:val="20"/>
                <w:lang w:val="fr-CA"/>
              </w:rPr>
              <w:t xml:space="preserve"> </w:t>
            </w:r>
            <w:r w:rsidRPr="005B55FD">
              <w:rPr>
                <w:sz w:val="20"/>
                <w:szCs w:val="20"/>
                <w:lang w:val="fr-CA"/>
              </w:rPr>
              <w:t>655</w:t>
            </w:r>
          </w:p>
        </w:tc>
        <w:tc>
          <w:tcPr>
            <w:tcW w:w="1138" w:type="dxa"/>
            <w:tcBorders>
              <w:top w:val="nil"/>
              <w:left w:val="nil"/>
              <w:bottom w:val="single" w:sz="4" w:space="0" w:color="auto"/>
              <w:right w:val="single" w:sz="4" w:space="0" w:color="auto"/>
            </w:tcBorders>
            <w:shd w:val="clear" w:color="auto" w:fill="auto"/>
            <w:noWrap/>
            <w:hideMark/>
          </w:tcPr>
          <w:p w14:paraId="1B7CAF64" w14:textId="77777777" w:rsidR="000B371B" w:rsidRPr="005B55FD" w:rsidRDefault="000B371B" w:rsidP="001E39EE">
            <w:pPr>
              <w:jc w:val="right"/>
              <w:rPr>
                <w:sz w:val="20"/>
                <w:szCs w:val="20"/>
                <w:lang w:val="fr-CA"/>
              </w:rPr>
            </w:pPr>
            <w:r w:rsidRPr="005B55FD">
              <w:rPr>
                <w:sz w:val="20"/>
                <w:szCs w:val="20"/>
                <w:lang w:val="fr-CA"/>
              </w:rPr>
              <w:t>22</w:t>
            </w:r>
          </w:p>
        </w:tc>
      </w:tr>
      <w:tr w:rsidR="0053267C" w:rsidRPr="005B55FD" w14:paraId="119B27AD" w14:textId="77777777" w:rsidTr="006735F6">
        <w:trPr>
          <w:trHeight w:val="103"/>
        </w:trPr>
        <w:tc>
          <w:tcPr>
            <w:tcW w:w="761" w:type="dxa"/>
            <w:tcBorders>
              <w:top w:val="nil"/>
              <w:left w:val="single" w:sz="4" w:space="0" w:color="auto"/>
              <w:bottom w:val="single" w:sz="4" w:space="0" w:color="auto"/>
              <w:right w:val="single" w:sz="4" w:space="0" w:color="auto"/>
            </w:tcBorders>
            <w:shd w:val="clear" w:color="auto" w:fill="auto"/>
            <w:noWrap/>
            <w:hideMark/>
          </w:tcPr>
          <w:p w14:paraId="4440FF84" w14:textId="77777777" w:rsidR="000B371B" w:rsidRPr="005B55FD" w:rsidRDefault="000B371B" w:rsidP="001E39EE">
            <w:pPr>
              <w:jc w:val="left"/>
              <w:rPr>
                <w:sz w:val="20"/>
                <w:szCs w:val="20"/>
                <w:lang w:val="fr-CA" w:eastAsia="en-CA"/>
              </w:rPr>
            </w:pPr>
            <w:r w:rsidRPr="005B55FD">
              <w:rPr>
                <w:sz w:val="20"/>
                <w:szCs w:val="20"/>
                <w:lang w:val="fr-CA" w:eastAsia="en-CA"/>
              </w:rPr>
              <w:t>2020</w:t>
            </w:r>
          </w:p>
        </w:tc>
        <w:tc>
          <w:tcPr>
            <w:tcW w:w="1066" w:type="dxa"/>
            <w:tcBorders>
              <w:top w:val="nil"/>
              <w:left w:val="nil"/>
              <w:bottom w:val="single" w:sz="4" w:space="0" w:color="auto"/>
              <w:right w:val="single" w:sz="4" w:space="0" w:color="auto"/>
            </w:tcBorders>
            <w:shd w:val="clear" w:color="auto" w:fill="auto"/>
            <w:noWrap/>
            <w:hideMark/>
          </w:tcPr>
          <w:p w14:paraId="0C973F53" w14:textId="77777777" w:rsidR="000B371B" w:rsidRPr="005B55FD" w:rsidRDefault="000B371B" w:rsidP="001E39EE">
            <w:pPr>
              <w:jc w:val="right"/>
              <w:rPr>
                <w:sz w:val="20"/>
                <w:szCs w:val="20"/>
                <w:lang w:val="fr-CA" w:eastAsia="en-CA"/>
              </w:rPr>
            </w:pPr>
            <w:r w:rsidRPr="005B55FD">
              <w:rPr>
                <w:sz w:val="20"/>
                <w:szCs w:val="20"/>
                <w:lang w:val="fr-CA" w:eastAsia="en-CA"/>
              </w:rPr>
              <w:t>259</w:t>
            </w:r>
          </w:p>
        </w:tc>
        <w:tc>
          <w:tcPr>
            <w:tcW w:w="1143" w:type="dxa"/>
            <w:tcBorders>
              <w:top w:val="nil"/>
              <w:left w:val="nil"/>
              <w:bottom w:val="single" w:sz="4" w:space="0" w:color="auto"/>
              <w:right w:val="single" w:sz="4" w:space="0" w:color="auto"/>
            </w:tcBorders>
            <w:shd w:val="clear" w:color="auto" w:fill="auto"/>
            <w:noWrap/>
            <w:hideMark/>
          </w:tcPr>
          <w:p w14:paraId="21651ADC" w14:textId="77777777" w:rsidR="000B371B" w:rsidRPr="005B55FD" w:rsidRDefault="000B371B" w:rsidP="001E39EE">
            <w:pPr>
              <w:jc w:val="right"/>
              <w:rPr>
                <w:sz w:val="20"/>
                <w:szCs w:val="20"/>
                <w:lang w:val="fr-CA" w:eastAsia="en-CA"/>
              </w:rPr>
            </w:pPr>
            <w:r w:rsidRPr="005B55FD">
              <w:rPr>
                <w:sz w:val="20"/>
                <w:szCs w:val="20"/>
                <w:lang w:val="fr-CA" w:eastAsia="en-CA"/>
              </w:rPr>
              <w:t>1</w:t>
            </w:r>
          </w:p>
        </w:tc>
        <w:tc>
          <w:tcPr>
            <w:tcW w:w="1170" w:type="dxa"/>
            <w:tcBorders>
              <w:top w:val="nil"/>
              <w:left w:val="nil"/>
              <w:bottom w:val="single" w:sz="4" w:space="0" w:color="auto"/>
              <w:right w:val="single" w:sz="4" w:space="0" w:color="auto"/>
            </w:tcBorders>
            <w:shd w:val="clear" w:color="auto" w:fill="auto"/>
            <w:noWrap/>
            <w:hideMark/>
          </w:tcPr>
          <w:p w14:paraId="3EC43D3E" w14:textId="77777777" w:rsidR="000B371B" w:rsidRPr="005B55FD" w:rsidRDefault="000B371B" w:rsidP="001E39EE">
            <w:pPr>
              <w:jc w:val="right"/>
              <w:rPr>
                <w:sz w:val="20"/>
                <w:szCs w:val="20"/>
                <w:lang w:val="fr-CA" w:eastAsia="en-CA"/>
              </w:rPr>
            </w:pPr>
            <w:r w:rsidRPr="005B55FD">
              <w:rPr>
                <w:sz w:val="20"/>
                <w:szCs w:val="20"/>
                <w:lang w:val="fr-CA" w:eastAsia="en-CA"/>
              </w:rPr>
              <w:t>0</w:t>
            </w:r>
          </w:p>
        </w:tc>
        <w:tc>
          <w:tcPr>
            <w:tcW w:w="1433" w:type="dxa"/>
            <w:tcBorders>
              <w:top w:val="nil"/>
              <w:left w:val="nil"/>
              <w:bottom w:val="single" w:sz="4" w:space="0" w:color="auto"/>
              <w:right w:val="single" w:sz="4" w:space="0" w:color="auto"/>
            </w:tcBorders>
            <w:shd w:val="clear" w:color="auto" w:fill="auto"/>
            <w:noWrap/>
            <w:hideMark/>
          </w:tcPr>
          <w:p w14:paraId="096E4CC4" w14:textId="6DB61D09" w:rsidR="000B371B" w:rsidRPr="005B55FD" w:rsidRDefault="000B371B" w:rsidP="001E39EE">
            <w:pPr>
              <w:jc w:val="right"/>
              <w:rPr>
                <w:sz w:val="20"/>
                <w:szCs w:val="20"/>
                <w:lang w:val="fr-CA" w:eastAsia="en-CA"/>
              </w:rPr>
            </w:pPr>
            <w:r w:rsidRPr="005B55FD">
              <w:rPr>
                <w:sz w:val="20"/>
                <w:szCs w:val="20"/>
                <w:lang w:val="fr-CA" w:eastAsia="en-CA"/>
              </w:rPr>
              <w:t>71</w:t>
            </w:r>
            <w:r w:rsidR="00C27C93">
              <w:rPr>
                <w:sz w:val="20"/>
                <w:szCs w:val="20"/>
                <w:lang w:val="fr-CA" w:eastAsia="en-CA"/>
              </w:rPr>
              <w:t xml:space="preserve"> </w:t>
            </w:r>
            <w:r w:rsidRPr="005B55FD">
              <w:rPr>
                <w:sz w:val="20"/>
                <w:szCs w:val="20"/>
                <w:lang w:val="fr-CA" w:eastAsia="en-CA"/>
              </w:rPr>
              <w:t>897</w:t>
            </w:r>
            <w:r w:rsidR="00C27C93">
              <w:rPr>
                <w:sz w:val="20"/>
                <w:szCs w:val="20"/>
                <w:lang w:val="fr-CA" w:eastAsia="en-CA"/>
              </w:rPr>
              <w:t xml:space="preserve"> </w:t>
            </w:r>
            <w:r w:rsidRPr="005B55FD">
              <w:rPr>
                <w:sz w:val="20"/>
                <w:szCs w:val="20"/>
                <w:lang w:val="fr-CA" w:eastAsia="en-CA"/>
              </w:rPr>
              <w:t>896</w:t>
            </w:r>
          </w:p>
        </w:tc>
        <w:tc>
          <w:tcPr>
            <w:tcW w:w="1433" w:type="dxa"/>
            <w:tcBorders>
              <w:top w:val="nil"/>
              <w:left w:val="nil"/>
              <w:bottom w:val="single" w:sz="4" w:space="0" w:color="auto"/>
              <w:right w:val="single" w:sz="4" w:space="0" w:color="auto"/>
            </w:tcBorders>
            <w:shd w:val="clear" w:color="auto" w:fill="auto"/>
            <w:noWrap/>
            <w:hideMark/>
          </w:tcPr>
          <w:p w14:paraId="6783BB7D" w14:textId="400CD4AF" w:rsidR="000B371B" w:rsidRPr="005B55FD" w:rsidRDefault="000B371B" w:rsidP="001E39EE">
            <w:pPr>
              <w:jc w:val="right"/>
              <w:rPr>
                <w:sz w:val="20"/>
                <w:szCs w:val="20"/>
                <w:lang w:val="fr-CA"/>
              </w:rPr>
            </w:pPr>
            <w:r w:rsidRPr="005B55FD">
              <w:rPr>
                <w:sz w:val="20"/>
                <w:szCs w:val="20"/>
                <w:lang w:val="fr-CA"/>
              </w:rPr>
              <w:t>15</w:t>
            </w:r>
            <w:r w:rsidR="00C27C93">
              <w:rPr>
                <w:sz w:val="20"/>
                <w:szCs w:val="20"/>
                <w:lang w:val="fr-CA"/>
              </w:rPr>
              <w:t xml:space="preserve"> </w:t>
            </w:r>
            <w:r w:rsidRPr="005B55FD">
              <w:rPr>
                <w:sz w:val="20"/>
                <w:szCs w:val="20"/>
                <w:lang w:val="fr-CA"/>
              </w:rPr>
              <w:t>537</w:t>
            </w:r>
            <w:r w:rsidR="00C27C93">
              <w:rPr>
                <w:sz w:val="20"/>
                <w:szCs w:val="20"/>
                <w:lang w:val="fr-CA"/>
              </w:rPr>
              <w:t xml:space="preserve"> </w:t>
            </w:r>
            <w:r w:rsidRPr="005B55FD">
              <w:rPr>
                <w:sz w:val="20"/>
                <w:szCs w:val="20"/>
                <w:lang w:val="fr-CA"/>
              </w:rPr>
              <w:t>716</w:t>
            </w:r>
          </w:p>
        </w:tc>
        <w:tc>
          <w:tcPr>
            <w:tcW w:w="1216" w:type="dxa"/>
            <w:tcBorders>
              <w:top w:val="nil"/>
              <w:left w:val="nil"/>
              <w:bottom w:val="single" w:sz="4" w:space="0" w:color="auto"/>
              <w:right w:val="single" w:sz="4" w:space="0" w:color="auto"/>
            </w:tcBorders>
            <w:shd w:val="clear" w:color="auto" w:fill="auto"/>
            <w:noWrap/>
            <w:hideMark/>
          </w:tcPr>
          <w:p w14:paraId="43BCA4C5" w14:textId="08DAD4E0" w:rsidR="000B371B" w:rsidRPr="005B55FD" w:rsidRDefault="000B371B" w:rsidP="001E39EE">
            <w:pPr>
              <w:jc w:val="right"/>
              <w:rPr>
                <w:sz w:val="20"/>
                <w:szCs w:val="20"/>
                <w:lang w:val="fr-CA"/>
              </w:rPr>
            </w:pPr>
            <w:r w:rsidRPr="005B55FD">
              <w:rPr>
                <w:sz w:val="20"/>
                <w:szCs w:val="20"/>
                <w:lang w:val="fr-CA"/>
              </w:rPr>
              <w:t>56</w:t>
            </w:r>
            <w:r w:rsidR="00C27C93">
              <w:rPr>
                <w:sz w:val="20"/>
                <w:szCs w:val="20"/>
                <w:lang w:val="fr-CA"/>
              </w:rPr>
              <w:t xml:space="preserve"> </w:t>
            </w:r>
            <w:r w:rsidRPr="005B55FD">
              <w:rPr>
                <w:sz w:val="20"/>
                <w:szCs w:val="20"/>
                <w:lang w:val="fr-CA"/>
              </w:rPr>
              <w:t>360</w:t>
            </w:r>
            <w:r w:rsidR="00C27C93">
              <w:rPr>
                <w:sz w:val="20"/>
                <w:szCs w:val="20"/>
                <w:lang w:val="fr-CA"/>
              </w:rPr>
              <w:t xml:space="preserve"> </w:t>
            </w:r>
            <w:r w:rsidRPr="005B55FD">
              <w:rPr>
                <w:sz w:val="20"/>
                <w:szCs w:val="20"/>
                <w:lang w:val="fr-CA"/>
              </w:rPr>
              <w:t>180</w:t>
            </w:r>
          </w:p>
        </w:tc>
        <w:tc>
          <w:tcPr>
            <w:tcW w:w="1138" w:type="dxa"/>
            <w:tcBorders>
              <w:top w:val="nil"/>
              <w:left w:val="nil"/>
              <w:bottom w:val="single" w:sz="4" w:space="0" w:color="auto"/>
              <w:right w:val="single" w:sz="4" w:space="0" w:color="auto"/>
            </w:tcBorders>
            <w:shd w:val="clear" w:color="auto" w:fill="auto"/>
            <w:noWrap/>
            <w:hideMark/>
          </w:tcPr>
          <w:p w14:paraId="3709E4CC" w14:textId="77777777" w:rsidR="000B371B" w:rsidRPr="005B55FD" w:rsidRDefault="000B371B" w:rsidP="001E39EE">
            <w:pPr>
              <w:jc w:val="right"/>
              <w:rPr>
                <w:sz w:val="20"/>
                <w:szCs w:val="20"/>
                <w:lang w:val="fr-CA"/>
              </w:rPr>
            </w:pPr>
            <w:r w:rsidRPr="005B55FD">
              <w:rPr>
                <w:sz w:val="20"/>
                <w:szCs w:val="20"/>
                <w:lang w:val="fr-CA"/>
              </w:rPr>
              <w:t>22</w:t>
            </w:r>
          </w:p>
        </w:tc>
      </w:tr>
      <w:tr w:rsidR="0053267C" w:rsidRPr="005B55FD" w14:paraId="63670C4B" w14:textId="77777777" w:rsidTr="006735F6">
        <w:trPr>
          <w:trHeight w:val="58"/>
        </w:trPr>
        <w:tc>
          <w:tcPr>
            <w:tcW w:w="761" w:type="dxa"/>
            <w:tcBorders>
              <w:top w:val="nil"/>
              <w:left w:val="single" w:sz="4" w:space="0" w:color="auto"/>
              <w:bottom w:val="single" w:sz="4" w:space="0" w:color="auto"/>
              <w:right w:val="single" w:sz="4" w:space="0" w:color="auto"/>
            </w:tcBorders>
            <w:shd w:val="clear" w:color="auto" w:fill="auto"/>
            <w:noWrap/>
            <w:hideMark/>
          </w:tcPr>
          <w:p w14:paraId="084DC8DB" w14:textId="77777777" w:rsidR="000B371B" w:rsidRPr="005B55FD" w:rsidRDefault="000B371B" w:rsidP="001E39EE">
            <w:pPr>
              <w:jc w:val="left"/>
              <w:rPr>
                <w:b/>
                <w:bCs/>
                <w:sz w:val="20"/>
                <w:szCs w:val="20"/>
                <w:lang w:val="fr-CA" w:eastAsia="en-CA"/>
              </w:rPr>
            </w:pPr>
            <w:r w:rsidRPr="005B55FD">
              <w:rPr>
                <w:b/>
                <w:bCs/>
                <w:sz w:val="20"/>
                <w:szCs w:val="20"/>
                <w:lang w:val="fr-CA" w:eastAsia="en-CA"/>
              </w:rPr>
              <w:t>Total</w:t>
            </w:r>
          </w:p>
        </w:tc>
        <w:tc>
          <w:tcPr>
            <w:tcW w:w="1066" w:type="dxa"/>
            <w:tcBorders>
              <w:top w:val="nil"/>
              <w:left w:val="nil"/>
              <w:bottom w:val="single" w:sz="4" w:space="0" w:color="auto"/>
              <w:right w:val="single" w:sz="4" w:space="0" w:color="auto"/>
            </w:tcBorders>
            <w:shd w:val="clear" w:color="auto" w:fill="auto"/>
            <w:noWrap/>
            <w:hideMark/>
          </w:tcPr>
          <w:p w14:paraId="2B1F2518" w14:textId="0A0F065A" w:rsidR="000B371B" w:rsidRPr="005B55FD" w:rsidRDefault="000B371B" w:rsidP="001E39EE">
            <w:pPr>
              <w:jc w:val="right"/>
              <w:rPr>
                <w:b/>
                <w:bCs/>
                <w:sz w:val="20"/>
                <w:szCs w:val="20"/>
                <w:lang w:val="fr-CA" w:eastAsia="en-CA"/>
              </w:rPr>
            </w:pPr>
            <w:r w:rsidRPr="005B55FD">
              <w:rPr>
                <w:b/>
                <w:bCs/>
                <w:sz w:val="20"/>
                <w:szCs w:val="20"/>
                <w:lang w:val="fr-CA" w:eastAsia="en-CA"/>
              </w:rPr>
              <w:t>8</w:t>
            </w:r>
            <w:r w:rsidR="00C27C93">
              <w:rPr>
                <w:b/>
                <w:bCs/>
                <w:sz w:val="20"/>
                <w:szCs w:val="20"/>
                <w:lang w:val="fr-CA" w:eastAsia="en-CA"/>
              </w:rPr>
              <w:t xml:space="preserve"> </w:t>
            </w:r>
            <w:r w:rsidRPr="005B55FD">
              <w:rPr>
                <w:b/>
                <w:bCs/>
                <w:sz w:val="20"/>
                <w:szCs w:val="20"/>
                <w:lang w:val="fr-CA" w:eastAsia="en-CA"/>
              </w:rPr>
              <w:t>664</w:t>
            </w:r>
          </w:p>
        </w:tc>
        <w:tc>
          <w:tcPr>
            <w:tcW w:w="1143" w:type="dxa"/>
            <w:tcBorders>
              <w:top w:val="nil"/>
              <w:left w:val="nil"/>
              <w:bottom w:val="single" w:sz="4" w:space="0" w:color="auto"/>
              <w:right w:val="single" w:sz="4" w:space="0" w:color="auto"/>
            </w:tcBorders>
            <w:shd w:val="clear" w:color="auto" w:fill="auto"/>
            <w:noWrap/>
            <w:hideMark/>
          </w:tcPr>
          <w:p w14:paraId="64DED1A6" w14:textId="4BD9E7B6" w:rsidR="000B371B" w:rsidRPr="005B55FD" w:rsidRDefault="000B371B" w:rsidP="001E39EE">
            <w:pPr>
              <w:jc w:val="right"/>
              <w:rPr>
                <w:b/>
                <w:bCs/>
                <w:sz w:val="20"/>
                <w:szCs w:val="20"/>
                <w:lang w:val="fr-CA" w:eastAsia="en-CA"/>
              </w:rPr>
            </w:pPr>
            <w:r w:rsidRPr="005B55FD">
              <w:rPr>
                <w:b/>
                <w:bCs/>
                <w:sz w:val="20"/>
                <w:szCs w:val="20"/>
                <w:lang w:val="fr-CA" w:eastAsia="en-CA"/>
              </w:rPr>
              <w:t>7</w:t>
            </w:r>
            <w:r w:rsidR="00C27C93">
              <w:rPr>
                <w:b/>
                <w:bCs/>
                <w:sz w:val="20"/>
                <w:szCs w:val="20"/>
                <w:lang w:val="fr-CA" w:eastAsia="en-CA"/>
              </w:rPr>
              <w:t xml:space="preserve"> </w:t>
            </w:r>
            <w:r w:rsidRPr="005B55FD">
              <w:rPr>
                <w:b/>
                <w:bCs/>
                <w:sz w:val="20"/>
                <w:szCs w:val="20"/>
                <w:lang w:val="fr-CA" w:eastAsia="en-CA"/>
              </w:rPr>
              <w:t>833</w:t>
            </w:r>
          </w:p>
        </w:tc>
        <w:tc>
          <w:tcPr>
            <w:tcW w:w="1170" w:type="dxa"/>
            <w:tcBorders>
              <w:top w:val="nil"/>
              <w:left w:val="nil"/>
              <w:bottom w:val="single" w:sz="4" w:space="0" w:color="auto"/>
              <w:right w:val="single" w:sz="4" w:space="0" w:color="auto"/>
            </w:tcBorders>
            <w:shd w:val="clear" w:color="auto" w:fill="auto"/>
            <w:noWrap/>
            <w:hideMark/>
          </w:tcPr>
          <w:p w14:paraId="531DB587" w14:textId="77777777" w:rsidR="000B371B" w:rsidRPr="005B55FD" w:rsidRDefault="000B371B" w:rsidP="001E39EE">
            <w:pPr>
              <w:jc w:val="right"/>
              <w:rPr>
                <w:b/>
                <w:bCs/>
                <w:sz w:val="20"/>
                <w:szCs w:val="20"/>
                <w:lang w:val="fr-CA" w:eastAsia="en-CA"/>
              </w:rPr>
            </w:pPr>
            <w:r w:rsidRPr="005B55FD">
              <w:rPr>
                <w:b/>
                <w:bCs/>
                <w:sz w:val="20"/>
                <w:szCs w:val="20"/>
                <w:lang w:val="fr-CA" w:eastAsia="en-CA"/>
              </w:rPr>
              <w:t>90</w:t>
            </w:r>
          </w:p>
        </w:tc>
        <w:tc>
          <w:tcPr>
            <w:tcW w:w="1433" w:type="dxa"/>
            <w:tcBorders>
              <w:top w:val="nil"/>
              <w:left w:val="nil"/>
              <w:bottom w:val="single" w:sz="4" w:space="0" w:color="auto"/>
              <w:right w:val="single" w:sz="4" w:space="0" w:color="auto"/>
            </w:tcBorders>
            <w:shd w:val="clear" w:color="auto" w:fill="auto"/>
            <w:noWrap/>
            <w:hideMark/>
          </w:tcPr>
          <w:p w14:paraId="35C9EF49" w14:textId="764B5592" w:rsidR="000B371B" w:rsidRPr="005B55FD" w:rsidRDefault="000B371B" w:rsidP="001E39EE">
            <w:pPr>
              <w:jc w:val="right"/>
              <w:rPr>
                <w:b/>
                <w:bCs/>
                <w:sz w:val="20"/>
                <w:szCs w:val="20"/>
                <w:lang w:val="fr-CA" w:eastAsia="en-CA"/>
              </w:rPr>
            </w:pPr>
            <w:r w:rsidRPr="005B55FD">
              <w:rPr>
                <w:b/>
                <w:bCs/>
                <w:sz w:val="20"/>
                <w:szCs w:val="20"/>
                <w:lang w:val="fr-CA" w:eastAsia="en-CA"/>
              </w:rPr>
              <w:t>3</w:t>
            </w:r>
            <w:r w:rsidR="00C27C93">
              <w:rPr>
                <w:b/>
                <w:bCs/>
                <w:sz w:val="20"/>
                <w:szCs w:val="20"/>
                <w:lang w:val="fr-CA" w:eastAsia="en-CA"/>
              </w:rPr>
              <w:t xml:space="preserve"> </w:t>
            </w:r>
            <w:r w:rsidRPr="005B55FD">
              <w:rPr>
                <w:b/>
                <w:bCs/>
                <w:sz w:val="20"/>
                <w:szCs w:val="20"/>
                <w:lang w:val="fr-CA" w:eastAsia="en-CA"/>
              </w:rPr>
              <w:t>384</w:t>
            </w:r>
            <w:r w:rsidR="00C27C93">
              <w:rPr>
                <w:b/>
                <w:bCs/>
                <w:sz w:val="20"/>
                <w:szCs w:val="20"/>
                <w:lang w:val="fr-CA" w:eastAsia="en-CA"/>
              </w:rPr>
              <w:t xml:space="preserve"> </w:t>
            </w:r>
            <w:r w:rsidRPr="005B55FD">
              <w:rPr>
                <w:b/>
                <w:bCs/>
                <w:sz w:val="20"/>
                <w:szCs w:val="20"/>
                <w:lang w:val="fr-CA" w:eastAsia="en-CA"/>
              </w:rPr>
              <w:t>321</w:t>
            </w:r>
            <w:r w:rsidR="00C27C93">
              <w:rPr>
                <w:b/>
                <w:bCs/>
                <w:sz w:val="20"/>
                <w:szCs w:val="20"/>
                <w:lang w:val="fr-CA" w:eastAsia="en-CA"/>
              </w:rPr>
              <w:t xml:space="preserve"> </w:t>
            </w:r>
            <w:r w:rsidRPr="005B55FD">
              <w:rPr>
                <w:b/>
                <w:bCs/>
                <w:sz w:val="20"/>
                <w:szCs w:val="20"/>
                <w:lang w:val="fr-CA" w:eastAsia="en-CA"/>
              </w:rPr>
              <w:t>153</w:t>
            </w:r>
          </w:p>
        </w:tc>
        <w:tc>
          <w:tcPr>
            <w:tcW w:w="1433" w:type="dxa"/>
            <w:tcBorders>
              <w:top w:val="nil"/>
              <w:left w:val="nil"/>
              <w:bottom w:val="single" w:sz="4" w:space="0" w:color="auto"/>
              <w:right w:val="single" w:sz="4" w:space="0" w:color="auto"/>
            </w:tcBorders>
            <w:shd w:val="clear" w:color="auto" w:fill="auto"/>
            <w:noWrap/>
            <w:hideMark/>
          </w:tcPr>
          <w:p w14:paraId="1EED84EF" w14:textId="5A643419" w:rsidR="000B371B" w:rsidRPr="005B55FD" w:rsidRDefault="000B371B" w:rsidP="001E39EE">
            <w:pPr>
              <w:jc w:val="right"/>
              <w:rPr>
                <w:b/>
                <w:bCs/>
                <w:sz w:val="20"/>
                <w:szCs w:val="20"/>
                <w:lang w:val="fr-CA"/>
              </w:rPr>
            </w:pPr>
            <w:r w:rsidRPr="005B55FD">
              <w:rPr>
                <w:b/>
                <w:bCs/>
                <w:sz w:val="20"/>
                <w:szCs w:val="20"/>
                <w:lang w:val="fr-CA"/>
              </w:rPr>
              <w:t>3</w:t>
            </w:r>
            <w:r w:rsidR="00C27C93">
              <w:rPr>
                <w:b/>
                <w:bCs/>
                <w:sz w:val="20"/>
                <w:szCs w:val="20"/>
                <w:lang w:val="fr-CA"/>
              </w:rPr>
              <w:t xml:space="preserve"> </w:t>
            </w:r>
            <w:r w:rsidRPr="005B55FD">
              <w:rPr>
                <w:b/>
                <w:bCs/>
                <w:sz w:val="20"/>
                <w:szCs w:val="20"/>
                <w:lang w:val="fr-CA"/>
              </w:rPr>
              <w:t>156</w:t>
            </w:r>
            <w:r w:rsidR="00C27C93">
              <w:rPr>
                <w:b/>
                <w:bCs/>
                <w:sz w:val="20"/>
                <w:szCs w:val="20"/>
                <w:lang w:val="fr-CA"/>
              </w:rPr>
              <w:t xml:space="preserve"> </w:t>
            </w:r>
            <w:r w:rsidRPr="005B55FD">
              <w:rPr>
                <w:b/>
                <w:bCs/>
                <w:sz w:val="20"/>
                <w:szCs w:val="20"/>
                <w:lang w:val="fr-CA"/>
              </w:rPr>
              <w:t>297</w:t>
            </w:r>
            <w:r w:rsidR="00C27C93">
              <w:rPr>
                <w:b/>
                <w:bCs/>
                <w:sz w:val="20"/>
                <w:szCs w:val="20"/>
                <w:lang w:val="fr-CA"/>
              </w:rPr>
              <w:t xml:space="preserve"> </w:t>
            </w:r>
            <w:r w:rsidRPr="005B55FD">
              <w:rPr>
                <w:b/>
                <w:bCs/>
                <w:sz w:val="20"/>
                <w:szCs w:val="20"/>
                <w:lang w:val="fr-CA"/>
              </w:rPr>
              <w:t>187</w:t>
            </w:r>
          </w:p>
        </w:tc>
        <w:tc>
          <w:tcPr>
            <w:tcW w:w="1216" w:type="dxa"/>
            <w:tcBorders>
              <w:top w:val="nil"/>
              <w:left w:val="nil"/>
              <w:bottom w:val="single" w:sz="4" w:space="0" w:color="auto"/>
              <w:right w:val="single" w:sz="4" w:space="0" w:color="auto"/>
            </w:tcBorders>
            <w:shd w:val="clear" w:color="auto" w:fill="auto"/>
            <w:noWrap/>
            <w:hideMark/>
          </w:tcPr>
          <w:p w14:paraId="19118E42" w14:textId="39C33724" w:rsidR="000B371B" w:rsidRPr="005B55FD" w:rsidRDefault="000B371B" w:rsidP="001E39EE">
            <w:pPr>
              <w:jc w:val="right"/>
              <w:rPr>
                <w:b/>
                <w:bCs/>
                <w:sz w:val="20"/>
                <w:szCs w:val="20"/>
                <w:lang w:val="fr-CA"/>
              </w:rPr>
            </w:pPr>
            <w:r w:rsidRPr="005B55FD">
              <w:rPr>
                <w:b/>
                <w:bCs/>
                <w:sz w:val="20"/>
                <w:szCs w:val="20"/>
                <w:lang w:val="fr-CA"/>
              </w:rPr>
              <w:t>228</w:t>
            </w:r>
            <w:r w:rsidR="00C27C93">
              <w:rPr>
                <w:b/>
                <w:bCs/>
                <w:sz w:val="20"/>
                <w:szCs w:val="20"/>
                <w:lang w:val="fr-CA"/>
              </w:rPr>
              <w:t xml:space="preserve"> </w:t>
            </w:r>
            <w:r w:rsidRPr="005B55FD">
              <w:rPr>
                <w:b/>
                <w:bCs/>
                <w:sz w:val="20"/>
                <w:szCs w:val="20"/>
                <w:lang w:val="fr-CA"/>
              </w:rPr>
              <w:t>023</w:t>
            </w:r>
            <w:r w:rsidR="00C27C93">
              <w:rPr>
                <w:b/>
                <w:bCs/>
                <w:sz w:val="20"/>
                <w:szCs w:val="20"/>
                <w:lang w:val="fr-CA"/>
              </w:rPr>
              <w:t xml:space="preserve"> </w:t>
            </w:r>
            <w:r w:rsidRPr="005B55FD">
              <w:rPr>
                <w:b/>
                <w:bCs/>
                <w:sz w:val="20"/>
                <w:szCs w:val="20"/>
                <w:lang w:val="fr-CA"/>
              </w:rPr>
              <w:t>965</w:t>
            </w:r>
          </w:p>
        </w:tc>
        <w:tc>
          <w:tcPr>
            <w:tcW w:w="1138" w:type="dxa"/>
            <w:tcBorders>
              <w:top w:val="nil"/>
              <w:left w:val="nil"/>
              <w:bottom w:val="single" w:sz="4" w:space="0" w:color="auto"/>
              <w:right w:val="single" w:sz="4" w:space="0" w:color="auto"/>
            </w:tcBorders>
            <w:shd w:val="clear" w:color="auto" w:fill="auto"/>
            <w:noWrap/>
            <w:hideMark/>
          </w:tcPr>
          <w:p w14:paraId="518B2DC0" w14:textId="77777777" w:rsidR="000B371B" w:rsidRPr="005B55FD" w:rsidRDefault="000B371B" w:rsidP="001E39EE">
            <w:pPr>
              <w:jc w:val="right"/>
              <w:rPr>
                <w:b/>
                <w:bCs/>
                <w:sz w:val="20"/>
                <w:szCs w:val="20"/>
                <w:lang w:val="fr-CA"/>
              </w:rPr>
            </w:pPr>
            <w:r w:rsidRPr="005B55FD">
              <w:rPr>
                <w:b/>
                <w:bCs/>
                <w:sz w:val="20"/>
                <w:szCs w:val="20"/>
                <w:lang w:val="fr-CA"/>
              </w:rPr>
              <w:t>93</w:t>
            </w:r>
          </w:p>
        </w:tc>
      </w:tr>
    </w:tbl>
    <w:p w14:paraId="25CE2ACB" w14:textId="77777777" w:rsidR="006735F6" w:rsidRPr="00B4063A" w:rsidRDefault="006735F6" w:rsidP="006735F6">
      <w:pPr>
        <w:rPr>
          <w:sz w:val="19"/>
          <w:szCs w:val="19"/>
          <w:lang w:val="fr-CA"/>
        </w:rPr>
      </w:pPr>
      <w:r w:rsidRPr="00EF62E4">
        <w:rPr>
          <w:sz w:val="19"/>
          <w:szCs w:val="19"/>
          <w:lang w:val="fr-CA"/>
        </w:rPr>
        <w:t xml:space="preserve">* </w:t>
      </w:r>
      <w:r w:rsidRPr="00B4063A">
        <w:rPr>
          <w:sz w:val="19"/>
          <w:szCs w:val="19"/>
          <w:lang w:val="fr-CA"/>
        </w:rPr>
        <w:t>Ne comprend pas les projets fermés et transférés.</w:t>
      </w:r>
    </w:p>
    <w:p w14:paraId="1D34FFAE" w14:textId="714C63C4" w:rsidR="00D631A9" w:rsidRPr="005B55FD" w:rsidRDefault="006735F6" w:rsidP="006735F6">
      <w:pPr>
        <w:rPr>
          <w:sz w:val="19"/>
          <w:szCs w:val="19"/>
          <w:lang w:val="fr-CA"/>
        </w:rPr>
      </w:pPr>
      <w:r w:rsidRPr="00B4063A">
        <w:rPr>
          <w:sz w:val="19"/>
          <w:szCs w:val="19"/>
          <w:lang w:val="fr-CA"/>
        </w:rPr>
        <w:t>** Ne comprend pas les coûts d’appui au</w:t>
      </w:r>
      <w:r>
        <w:rPr>
          <w:sz w:val="19"/>
          <w:szCs w:val="19"/>
          <w:lang w:val="fr-CA"/>
        </w:rPr>
        <w:t>x agences</w:t>
      </w:r>
      <w:r w:rsidRPr="00EF62E4">
        <w:rPr>
          <w:sz w:val="19"/>
          <w:szCs w:val="19"/>
          <w:lang w:val="fr-CA"/>
        </w:rPr>
        <w:t>.</w:t>
      </w:r>
      <w:r w:rsidR="00D631A9" w:rsidRPr="005B55FD">
        <w:rPr>
          <w:sz w:val="19"/>
          <w:szCs w:val="19"/>
          <w:lang w:val="fr-CA"/>
        </w:rPr>
        <w:t xml:space="preserve"> </w:t>
      </w:r>
    </w:p>
    <w:p w14:paraId="154173E2" w14:textId="77777777" w:rsidR="00D631A9" w:rsidRPr="006735F6" w:rsidRDefault="00D631A9" w:rsidP="001E39EE">
      <w:pPr>
        <w:rPr>
          <w:lang w:val="fr-CA"/>
        </w:rPr>
      </w:pPr>
    </w:p>
    <w:p w14:paraId="0B075C07" w14:textId="76BD509B" w:rsidR="00D631A9" w:rsidRPr="006735F6" w:rsidRDefault="006735F6" w:rsidP="001E39EE">
      <w:pPr>
        <w:pStyle w:val="a--"/>
        <w:keepNext/>
        <w:tabs>
          <w:tab w:val="clear" w:pos="-720"/>
          <w:tab w:val="clear" w:pos="0"/>
          <w:tab w:val="clear" w:pos="720"/>
          <w:tab w:val="clear" w:pos="1440"/>
          <w:tab w:val="clear" w:pos="2160"/>
          <w:tab w:val="clear" w:pos="2880"/>
          <w:tab w:val="clear" w:pos="3600"/>
        </w:tabs>
        <w:rPr>
          <w:caps/>
          <w:spacing w:val="-3"/>
          <w:sz w:val="22"/>
          <w:szCs w:val="22"/>
          <w:lang w:val="fr-CA"/>
        </w:rPr>
      </w:pPr>
      <w:r>
        <w:rPr>
          <w:caps/>
          <w:spacing w:val="-3"/>
          <w:sz w:val="22"/>
          <w:szCs w:val="22"/>
          <w:lang w:val="fr-CA"/>
        </w:rPr>
        <w:t>PROJETS ACHEVÉS</w:t>
      </w:r>
      <w:r w:rsidR="00D631A9" w:rsidRPr="006735F6">
        <w:rPr>
          <w:rStyle w:val="FootnoteReference"/>
          <w:caps/>
          <w:spacing w:val="-3"/>
          <w:sz w:val="22"/>
          <w:szCs w:val="22"/>
          <w:lang w:val="fr-CA"/>
        </w:rPr>
        <w:footnoteReference w:id="17"/>
      </w:r>
    </w:p>
    <w:p w14:paraId="3462317D" w14:textId="77777777" w:rsidR="00D631A9" w:rsidRPr="006735F6" w:rsidRDefault="00D631A9" w:rsidP="001E39EE">
      <w:pPr>
        <w:pStyle w:val="a--"/>
        <w:keepNext/>
        <w:tabs>
          <w:tab w:val="clear" w:pos="-720"/>
          <w:tab w:val="clear" w:pos="0"/>
          <w:tab w:val="clear" w:pos="720"/>
          <w:tab w:val="clear" w:pos="1440"/>
          <w:tab w:val="clear" w:pos="2160"/>
          <w:tab w:val="clear" w:pos="2880"/>
          <w:tab w:val="clear" w:pos="3600"/>
        </w:tabs>
        <w:rPr>
          <w:b w:val="0"/>
          <w:caps/>
          <w:spacing w:val="-3"/>
          <w:sz w:val="22"/>
          <w:szCs w:val="22"/>
          <w:lang w:val="fr-CA"/>
        </w:rPr>
      </w:pPr>
    </w:p>
    <w:p w14:paraId="3611640C" w14:textId="61A8BFC3" w:rsidR="00D631A9" w:rsidRPr="006735F6" w:rsidRDefault="006735F6" w:rsidP="001E39EE">
      <w:pPr>
        <w:pStyle w:val="Heading1"/>
        <w:rPr>
          <w:lang w:val="fr-CA"/>
        </w:rPr>
      </w:pPr>
      <w:r>
        <w:rPr>
          <w:lang w:val="fr-CA"/>
        </w:rPr>
        <w:t>Au total, 99,7 p. cent des sommes approuvées pour les projets d’investissement achevés ont été décaissées</w:t>
      </w:r>
      <w:r w:rsidR="00D631A9" w:rsidRPr="006735F6">
        <w:rPr>
          <w:lang w:val="fr-CA"/>
        </w:rPr>
        <w:t>.</w:t>
      </w:r>
      <w:r w:rsidR="00D631A9" w:rsidRPr="006735F6">
        <w:rPr>
          <w:rStyle w:val="FootnoteReference"/>
          <w:lang w:val="fr-CA"/>
        </w:rPr>
        <w:footnoteReference w:id="18"/>
      </w:r>
      <w:r w:rsidR="00D631A9" w:rsidRPr="006735F6">
        <w:rPr>
          <w:lang w:val="fr-CA"/>
        </w:rPr>
        <w:t xml:space="preserve"> </w:t>
      </w:r>
    </w:p>
    <w:p w14:paraId="5437FFD1" w14:textId="7B1EFB7B" w:rsidR="00D631A9" w:rsidRPr="006735F6" w:rsidRDefault="006735F6" w:rsidP="001E39EE">
      <w:pPr>
        <w:keepNext/>
        <w:rPr>
          <w:b/>
          <w:lang w:val="fr-CA"/>
        </w:rPr>
      </w:pPr>
      <w:r>
        <w:rPr>
          <w:b/>
          <w:lang w:val="fr-CA"/>
        </w:rPr>
        <w:t>Projets d’investissement achevés</w:t>
      </w:r>
    </w:p>
    <w:p w14:paraId="035DDE81" w14:textId="77777777" w:rsidR="00D631A9" w:rsidRPr="006735F6" w:rsidRDefault="00D631A9" w:rsidP="001E39EE">
      <w:pPr>
        <w:keepNext/>
        <w:rPr>
          <w:lang w:val="fr-CA"/>
        </w:rPr>
      </w:pPr>
    </w:p>
    <w:p w14:paraId="432DABB7" w14:textId="6D71F917" w:rsidR="00D631A9" w:rsidRPr="006735F6" w:rsidRDefault="006735F6" w:rsidP="001E39EE">
      <w:pPr>
        <w:pStyle w:val="Heading1"/>
        <w:rPr>
          <w:lang w:val="fr-CA"/>
        </w:rPr>
      </w:pPr>
      <w:r>
        <w:rPr>
          <w:lang w:val="fr-CA"/>
        </w:rPr>
        <w:t>Le tableau 4 présente des informations sur les projets d’investissement achevés depuis 1991. Le tableau présente des données totales, suivies des données par région, secteur, caractéristique de mise en œuvre et mode de décaissement</w:t>
      </w:r>
      <w:r w:rsidR="00D631A9" w:rsidRPr="006735F6">
        <w:rPr>
          <w:lang w:val="fr-CA"/>
        </w:rPr>
        <w:t>.</w:t>
      </w:r>
    </w:p>
    <w:p w14:paraId="4A2175CE" w14:textId="3D6FABC1" w:rsidR="00D631A9" w:rsidRPr="006735F6" w:rsidRDefault="00D631A9" w:rsidP="001E39EE">
      <w:pPr>
        <w:keepNext/>
        <w:keepLines/>
        <w:rPr>
          <w:b/>
          <w:lang w:val="fr-CA"/>
        </w:rPr>
      </w:pPr>
      <w:r w:rsidRPr="006735F6">
        <w:rPr>
          <w:b/>
          <w:lang w:val="fr-CA"/>
        </w:rPr>
        <w:t>Table</w:t>
      </w:r>
      <w:r w:rsidR="0045030F">
        <w:rPr>
          <w:b/>
          <w:lang w:val="fr-CA"/>
        </w:rPr>
        <w:t>au</w:t>
      </w:r>
      <w:r w:rsidRPr="006735F6">
        <w:rPr>
          <w:b/>
          <w:lang w:val="fr-CA"/>
        </w:rPr>
        <w:t xml:space="preserve"> 4. </w:t>
      </w:r>
      <w:r w:rsidR="0045030F">
        <w:rPr>
          <w:b/>
          <w:lang w:val="fr-CA"/>
        </w:rPr>
        <w:t>Cumul des projets d’investissement achevés</w:t>
      </w:r>
    </w:p>
    <w:tbl>
      <w:tblPr>
        <w:tblW w:w="10075" w:type="dxa"/>
        <w:tblInd w:w="-147" w:type="dxa"/>
        <w:tblLayout w:type="fixed"/>
        <w:tblLook w:val="04A0" w:firstRow="1" w:lastRow="0" w:firstColumn="1" w:lastColumn="0" w:noHBand="0" w:noVBand="1"/>
      </w:tblPr>
      <w:tblGrid>
        <w:gridCol w:w="1446"/>
        <w:gridCol w:w="856"/>
        <w:gridCol w:w="1251"/>
        <w:gridCol w:w="967"/>
        <w:gridCol w:w="1009"/>
        <w:gridCol w:w="992"/>
        <w:gridCol w:w="1134"/>
        <w:gridCol w:w="1240"/>
        <w:gridCol w:w="1180"/>
      </w:tblGrid>
      <w:tr w:rsidR="0045030F" w:rsidRPr="003D423A" w14:paraId="2CD30325" w14:textId="77777777" w:rsidTr="00EB283F">
        <w:trPr>
          <w:trHeight w:val="684"/>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0B13003" w14:textId="236EF584" w:rsidR="0045030F" w:rsidRPr="006735F6" w:rsidRDefault="0045030F" w:rsidP="0045030F">
            <w:pPr>
              <w:jc w:val="left"/>
              <w:rPr>
                <w:b/>
                <w:bCs/>
                <w:sz w:val="18"/>
                <w:szCs w:val="18"/>
                <w:lang w:val="fr-CA" w:eastAsia="en-CA"/>
              </w:rPr>
            </w:pPr>
            <w:r w:rsidRPr="00BE1B2C">
              <w:rPr>
                <w:b/>
                <w:bCs/>
                <w:sz w:val="18"/>
                <w:szCs w:val="18"/>
                <w:lang w:val="fr-CA" w:eastAsia="en-CA"/>
              </w:rPr>
              <w:t>Élément</w:t>
            </w:r>
          </w:p>
        </w:tc>
        <w:tc>
          <w:tcPr>
            <w:tcW w:w="85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88BA434" w14:textId="51678B68" w:rsidR="0045030F" w:rsidRPr="006735F6" w:rsidRDefault="0045030F" w:rsidP="0045030F">
            <w:pPr>
              <w:jc w:val="center"/>
              <w:rPr>
                <w:b/>
                <w:bCs/>
                <w:sz w:val="18"/>
                <w:szCs w:val="18"/>
                <w:lang w:val="fr-CA" w:eastAsia="en-CA"/>
              </w:rPr>
            </w:pPr>
            <w:r w:rsidRPr="00BE1B2C">
              <w:rPr>
                <w:b/>
                <w:bCs/>
                <w:sz w:val="18"/>
                <w:szCs w:val="18"/>
                <w:lang w:val="fr-CA" w:eastAsia="en-CA"/>
              </w:rPr>
              <w:t>Nombre</w:t>
            </w:r>
            <w:r w:rsidRPr="00BE1B2C">
              <w:rPr>
                <w:b/>
                <w:bCs/>
                <w:sz w:val="18"/>
                <w:szCs w:val="18"/>
                <w:lang w:val="fr-CA" w:eastAsia="en-CA"/>
              </w:rPr>
              <w:br/>
              <w:t>de</w:t>
            </w:r>
            <w:r w:rsidRPr="00BE1B2C">
              <w:rPr>
                <w:b/>
                <w:bCs/>
                <w:sz w:val="18"/>
                <w:szCs w:val="18"/>
                <w:lang w:val="fr-CA" w:eastAsia="en-CA"/>
              </w:rPr>
              <w:br/>
              <w:t>projets</w:t>
            </w:r>
          </w:p>
        </w:tc>
        <w:tc>
          <w:tcPr>
            <w:tcW w:w="12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02732D1" w14:textId="3EDB100E" w:rsidR="0045030F" w:rsidRPr="006735F6" w:rsidRDefault="0045030F" w:rsidP="0045030F">
            <w:pPr>
              <w:jc w:val="center"/>
              <w:rPr>
                <w:b/>
                <w:bCs/>
                <w:sz w:val="18"/>
                <w:szCs w:val="18"/>
                <w:lang w:val="fr-CA" w:eastAsia="en-CA"/>
              </w:rPr>
            </w:pPr>
            <w:r w:rsidRPr="00BE1B2C">
              <w:rPr>
                <w:b/>
                <w:bCs/>
                <w:sz w:val="18"/>
                <w:szCs w:val="18"/>
                <w:lang w:val="fr-CA" w:eastAsia="en-CA"/>
              </w:rPr>
              <w:t>Sommes approuvées plus les rajustements ($US)</w:t>
            </w:r>
          </w:p>
        </w:tc>
        <w:tc>
          <w:tcPr>
            <w:tcW w:w="9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AD52553" w14:textId="29ADAE8D" w:rsidR="0045030F" w:rsidRPr="006735F6" w:rsidRDefault="0045030F" w:rsidP="0045030F">
            <w:pPr>
              <w:jc w:val="center"/>
              <w:rPr>
                <w:b/>
                <w:bCs/>
                <w:sz w:val="18"/>
                <w:szCs w:val="18"/>
                <w:lang w:val="fr-CA" w:eastAsia="en-CA"/>
              </w:rPr>
            </w:pPr>
            <w:r w:rsidRPr="00BE1B2C">
              <w:rPr>
                <w:b/>
                <w:bCs/>
                <w:sz w:val="18"/>
                <w:szCs w:val="18"/>
                <w:lang w:val="fr-CA" w:eastAsia="en-CA"/>
              </w:rPr>
              <w:t>% des sommes décaissées</w:t>
            </w:r>
          </w:p>
        </w:tc>
        <w:tc>
          <w:tcPr>
            <w:tcW w:w="10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E05B57B" w14:textId="43EDA1F9" w:rsidR="0045030F" w:rsidRPr="006735F6" w:rsidRDefault="0045030F" w:rsidP="0045030F">
            <w:pPr>
              <w:jc w:val="center"/>
              <w:rPr>
                <w:b/>
                <w:bCs/>
                <w:sz w:val="18"/>
                <w:szCs w:val="18"/>
                <w:lang w:val="fr-CA" w:eastAsia="en-CA"/>
              </w:rPr>
            </w:pPr>
            <w:proofErr w:type="spellStart"/>
            <w:r w:rsidRPr="00BE1B2C">
              <w:rPr>
                <w:b/>
                <w:bCs/>
                <w:sz w:val="18"/>
                <w:szCs w:val="18"/>
                <w:lang w:val="fr-CA" w:eastAsia="en-CA"/>
              </w:rPr>
              <w:t>Consomma-tion</w:t>
            </w:r>
            <w:proofErr w:type="spellEnd"/>
            <w:r w:rsidRPr="00BE1B2C">
              <w:rPr>
                <w:b/>
                <w:bCs/>
                <w:sz w:val="18"/>
                <w:szCs w:val="18"/>
                <w:lang w:val="fr-CA" w:eastAsia="en-CA"/>
              </w:rPr>
              <w:t xml:space="preserve"> (tonnes PAO éliminées*) </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C102D69" w14:textId="500142AE" w:rsidR="0045030F" w:rsidRPr="006735F6" w:rsidRDefault="0045030F" w:rsidP="0045030F">
            <w:pPr>
              <w:jc w:val="center"/>
              <w:rPr>
                <w:b/>
                <w:bCs/>
                <w:sz w:val="18"/>
                <w:szCs w:val="18"/>
                <w:lang w:val="fr-CA" w:eastAsia="en-CA"/>
              </w:rPr>
            </w:pPr>
            <w:r w:rsidRPr="00BE1B2C">
              <w:rPr>
                <w:b/>
                <w:bCs/>
                <w:sz w:val="18"/>
                <w:szCs w:val="18"/>
                <w:lang w:val="fr-CA" w:eastAsia="en-CA"/>
              </w:rPr>
              <w:t>Production (tonnes PAO éliminées*)</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F538A26" w14:textId="77777777" w:rsidR="0045030F" w:rsidRPr="00BE1B2C" w:rsidRDefault="0045030F" w:rsidP="0045030F">
            <w:pPr>
              <w:ind w:left="-164" w:right="-149"/>
              <w:jc w:val="center"/>
              <w:rPr>
                <w:b/>
                <w:bCs/>
                <w:sz w:val="18"/>
                <w:szCs w:val="18"/>
                <w:lang w:val="fr-CA" w:eastAsia="en-CA"/>
              </w:rPr>
            </w:pPr>
            <w:r w:rsidRPr="00BE1B2C">
              <w:rPr>
                <w:b/>
                <w:bCs/>
                <w:sz w:val="18"/>
                <w:szCs w:val="18"/>
                <w:lang w:val="fr-CA" w:eastAsia="en-CA"/>
              </w:rPr>
              <w:t>N</w:t>
            </w:r>
            <w:r w:rsidRPr="00BE1B2C">
              <w:rPr>
                <w:b/>
                <w:bCs/>
                <w:sz w:val="18"/>
                <w:szCs w:val="18"/>
                <w:vertAlign w:val="superscript"/>
                <w:lang w:val="fr-CA" w:eastAsia="en-CA"/>
              </w:rPr>
              <w:t>bre</w:t>
            </w:r>
            <w:r w:rsidRPr="00BE1B2C">
              <w:rPr>
                <w:b/>
                <w:bCs/>
                <w:sz w:val="18"/>
                <w:szCs w:val="18"/>
                <w:lang w:val="fr-CA" w:eastAsia="en-CA"/>
              </w:rPr>
              <w:t xml:space="preserve"> moyen de </w:t>
            </w:r>
            <w:r w:rsidRPr="00BE1B2C">
              <w:rPr>
                <w:b/>
                <w:bCs/>
                <w:sz w:val="18"/>
                <w:szCs w:val="18"/>
                <w:lang w:val="fr-CA" w:eastAsia="en-CA"/>
              </w:rPr>
              <w:br/>
              <w:t>mois entre l’approbation</w:t>
            </w:r>
          </w:p>
          <w:p w14:paraId="43AB0D8E" w14:textId="02E7AF99" w:rsidR="0045030F" w:rsidRPr="006735F6" w:rsidRDefault="0045030F" w:rsidP="0045030F">
            <w:pPr>
              <w:ind w:left="-113" w:right="-109"/>
              <w:jc w:val="center"/>
              <w:rPr>
                <w:b/>
                <w:bCs/>
                <w:sz w:val="18"/>
                <w:szCs w:val="18"/>
                <w:lang w:val="fr-CA" w:eastAsia="en-CA"/>
              </w:rPr>
            </w:pPr>
            <w:r w:rsidRPr="00BE1B2C">
              <w:rPr>
                <w:b/>
                <w:bCs/>
                <w:sz w:val="18"/>
                <w:szCs w:val="18"/>
                <w:lang w:val="fr-CA" w:eastAsia="en-CA"/>
              </w:rPr>
              <w:t>et le premier</w:t>
            </w:r>
            <w:r w:rsidRPr="00BE1B2C">
              <w:rPr>
                <w:b/>
                <w:bCs/>
                <w:sz w:val="18"/>
                <w:szCs w:val="18"/>
                <w:lang w:val="fr-CA" w:eastAsia="en-CA"/>
              </w:rPr>
              <w:br/>
              <w:t>décaissement</w:t>
            </w:r>
          </w:p>
        </w:tc>
        <w:tc>
          <w:tcPr>
            <w:tcW w:w="124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3307596" w14:textId="77777777" w:rsidR="0045030F" w:rsidRPr="00BE1B2C" w:rsidRDefault="0045030F" w:rsidP="0045030F">
            <w:pPr>
              <w:ind w:left="-164" w:right="-149"/>
              <w:jc w:val="center"/>
              <w:rPr>
                <w:b/>
                <w:bCs/>
                <w:sz w:val="18"/>
                <w:szCs w:val="18"/>
                <w:lang w:val="fr-CA" w:eastAsia="en-CA"/>
              </w:rPr>
            </w:pPr>
            <w:r w:rsidRPr="00BE1B2C">
              <w:rPr>
                <w:b/>
                <w:bCs/>
                <w:sz w:val="18"/>
                <w:szCs w:val="18"/>
                <w:lang w:val="fr-CA" w:eastAsia="en-CA"/>
              </w:rPr>
              <w:t>N</w:t>
            </w:r>
            <w:r w:rsidRPr="00BE1B2C">
              <w:rPr>
                <w:b/>
                <w:bCs/>
                <w:sz w:val="18"/>
                <w:szCs w:val="18"/>
                <w:vertAlign w:val="superscript"/>
                <w:lang w:val="fr-CA" w:eastAsia="en-CA"/>
              </w:rPr>
              <w:t>bre</w:t>
            </w:r>
            <w:r w:rsidRPr="00BE1B2C">
              <w:rPr>
                <w:b/>
                <w:bCs/>
                <w:sz w:val="18"/>
                <w:szCs w:val="18"/>
                <w:lang w:val="fr-CA" w:eastAsia="en-CA"/>
              </w:rPr>
              <w:t xml:space="preserve"> moyen de </w:t>
            </w:r>
            <w:r w:rsidRPr="00BE1B2C">
              <w:rPr>
                <w:b/>
                <w:bCs/>
                <w:sz w:val="18"/>
                <w:szCs w:val="18"/>
                <w:lang w:val="fr-CA" w:eastAsia="en-CA"/>
              </w:rPr>
              <w:br/>
              <w:t>mois entre l’approbation</w:t>
            </w:r>
          </w:p>
          <w:p w14:paraId="1433D688" w14:textId="151BC417" w:rsidR="0045030F" w:rsidRPr="006735F6" w:rsidRDefault="0045030F" w:rsidP="0045030F">
            <w:pPr>
              <w:jc w:val="center"/>
              <w:rPr>
                <w:b/>
                <w:bCs/>
                <w:sz w:val="18"/>
                <w:szCs w:val="18"/>
                <w:lang w:val="fr-CA" w:eastAsia="en-CA"/>
              </w:rPr>
            </w:pPr>
            <w:r w:rsidRPr="00BE1B2C">
              <w:rPr>
                <w:b/>
                <w:bCs/>
                <w:sz w:val="18"/>
                <w:szCs w:val="18"/>
                <w:lang w:val="fr-CA" w:eastAsia="en-CA"/>
              </w:rPr>
              <w:t xml:space="preserve">et </w:t>
            </w:r>
            <w:r w:rsidRPr="00BE1B2C">
              <w:rPr>
                <w:b/>
                <w:bCs/>
                <w:sz w:val="18"/>
                <w:szCs w:val="18"/>
                <w:lang w:val="fr-CA" w:eastAsia="en-CA"/>
              </w:rPr>
              <w:br/>
              <w:t>l’achèvement</w:t>
            </w:r>
          </w:p>
        </w:tc>
        <w:tc>
          <w:tcPr>
            <w:tcW w:w="118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3B9DFFF" w14:textId="278E3982" w:rsidR="0045030F" w:rsidRPr="006735F6" w:rsidRDefault="0045030F" w:rsidP="0045030F">
            <w:pPr>
              <w:jc w:val="center"/>
              <w:rPr>
                <w:b/>
                <w:bCs/>
                <w:sz w:val="18"/>
                <w:szCs w:val="18"/>
                <w:lang w:val="fr-CA" w:eastAsia="en-CA"/>
              </w:rPr>
            </w:pPr>
            <w:r>
              <w:rPr>
                <w:b/>
                <w:bCs/>
                <w:sz w:val="18"/>
                <w:szCs w:val="18"/>
                <w:lang w:val="fr-CA" w:eastAsia="en-CA"/>
              </w:rPr>
              <w:t xml:space="preserve">Rapport </w:t>
            </w:r>
            <w:r w:rsidRPr="00BE1B2C">
              <w:rPr>
                <w:b/>
                <w:bCs/>
                <w:sz w:val="18"/>
                <w:szCs w:val="18"/>
                <w:lang w:val="fr-CA" w:eastAsia="en-CA"/>
              </w:rPr>
              <w:br/>
              <w:t xml:space="preserve">coût-efficacité </w:t>
            </w:r>
            <w:r>
              <w:rPr>
                <w:b/>
                <w:bCs/>
                <w:sz w:val="18"/>
                <w:szCs w:val="18"/>
                <w:lang w:val="fr-CA" w:eastAsia="en-CA"/>
              </w:rPr>
              <w:t xml:space="preserve">global </w:t>
            </w:r>
            <w:r w:rsidRPr="00BE1B2C">
              <w:rPr>
                <w:b/>
                <w:bCs/>
                <w:sz w:val="18"/>
                <w:szCs w:val="18"/>
                <w:lang w:val="fr-CA" w:eastAsia="en-CA"/>
              </w:rPr>
              <w:t xml:space="preserve">pour le </w:t>
            </w:r>
            <w:r w:rsidRPr="00BE1B2C">
              <w:rPr>
                <w:b/>
                <w:bCs/>
                <w:sz w:val="18"/>
                <w:szCs w:val="18"/>
                <w:lang w:val="fr-CA" w:eastAsia="en-CA"/>
              </w:rPr>
              <w:br/>
              <w:t>Fonds</w:t>
            </w:r>
            <w:r>
              <w:rPr>
                <w:b/>
                <w:bCs/>
                <w:sz w:val="18"/>
                <w:szCs w:val="18"/>
                <w:lang w:val="fr-CA" w:eastAsia="en-CA"/>
              </w:rPr>
              <w:br/>
              <w:t xml:space="preserve"> ($US/kg</w:t>
            </w:r>
            <w:r w:rsidRPr="00BE1B2C">
              <w:rPr>
                <w:b/>
                <w:bCs/>
                <w:sz w:val="18"/>
                <w:szCs w:val="18"/>
                <w:lang w:val="fr-CA" w:eastAsia="en-CA"/>
              </w:rPr>
              <w:t>)</w:t>
            </w:r>
          </w:p>
        </w:tc>
      </w:tr>
      <w:tr w:rsidR="00CC2107" w:rsidRPr="006735F6" w14:paraId="02B59ABE"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362C5D30" w14:textId="77777777" w:rsidR="00CC2107" w:rsidRPr="006735F6" w:rsidRDefault="00CC2107" w:rsidP="001E39EE">
            <w:pPr>
              <w:jc w:val="left"/>
              <w:rPr>
                <w:b/>
                <w:bCs/>
                <w:sz w:val="18"/>
                <w:szCs w:val="18"/>
                <w:lang w:val="fr-CA" w:eastAsia="en-CA"/>
              </w:rPr>
            </w:pPr>
            <w:r w:rsidRPr="006735F6">
              <w:rPr>
                <w:b/>
                <w:bCs/>
                <w:sz w:val="18"/>
                <w:szCs w:val="18"/>
                <w:lang w:val="fr-CA" w:eastAsia="en-CA"/>
              </w:rPr>
              <w:t>TOTAL</w:t>
            </w:r>
          </w:p>
        </w:tc>
        <w:tc>
          <w:tcPr>
            <w:tcW w:w="856" w:type="dxa"/>
            <w:tcBorders>
              <w:top w:val="nil"/>
              <w:left w:val="nil"/>
              <w:bottom w:val="single" w:sz="4" w:space="0" w:color="auto"/>
              <w:right w:val="single" w:sz="4" w:space="0" w:color="auto"/>
            </w:tcBorders>
            <w:shd w:val="clear" w:color="auto" w:fill="auto"/>
            <w:noWrap/>
            <w:hideMark/>
          </w:tcPr>
          <w:p w14:paraId="5EFFBD7F" w14:textId="2BE3AE2A" w:rsidR="00CC2107" w:rsidRPr="006735F6" w:rsidRDefault="00CC2107" w:rsidP="001E39EE">
            <w:pPr>
              <w:jc w:val="right"/>
              <w:rPr>
                <w:b/>
                <w:bCs/>
                <w:sz w:val="18"/>
                <w:szCs w:val="18"/>
                <w:lang w:val="fr-CA" w:eastAsia="en-CA"/>
              </w:rPr>
            </w:pPr>
            <w:r w:rsidRPr="006735F6">
              <w:rPr>
                <w:b/>
                <w:bCs/>
                <w:sz w:val="18"/>
                <w:szCs w:val="18"/>
                <w:lang w:val="fr-CA" w:eastAsia="en-CA"/>
              </w:rPr>
              <w:t>2</w:t>
            </w:r>
            <w:r w:rsidR="00A1660F">
              <w:rPr>
                <w:b/>
                <w:bCs/>
                <w:sz w:val="18"/>
                <w:szCs w:val="18"/>
                <w:lang w:val="fr-CA" w:eastAsia="en-CA"/>
              </w:rPr>
              <w:t xml:space="preserve"> </w:t>
            </w:r>
            <w:r w:rsidRPr="006735F6">
              <w:rPr>
                <w:b/>
                <w:bCs/>
                <w:sz w:val="18"/>
                <w:szCs w:val="18"/>
                <w:lang w:val="fr-CA" w:eastAsia="en-CA"/>
              </w:rPr>
              <w:t>864</w:t>
            </w:r>
          </w:p>
        </w:tc>
        <w:tc>
          <w:tcPr>
            <w:tcW w:w="1251" w:type="dxa"/>
            <w:tcBorders>
              <w:top w:val="nil"/>
              <w:left w:val="nil"/>
              <w:bottom w:val="single" w:sz="4" w:space="0" w:color="auto"/>
              <w:right w:val="single" w:sz="4" w:space="0" w:color="auto"/>
            </w:tcBorders>
            <w:shd w:val="clear" w:color="auto" w:fill="auto"/>
            <w:noWrap/>
            <w:hideMark/>
          </w:tcPr>
          <w:p w14:paraId="1415A0C8" w14:textId="55C30279" w:rsidR="00CC2107" w:rsidRPr="006735F6" w:rsidRDefault="00CC2107" w:rsidP="001E39EE">
            <w:pPr>
              <w:jc w:val="right"/>
              <w:rPr>
                <w:b/>
                <w:bCs/>
                <w:sz w:val="18"/>
                <w:szCs w:val="18"/>
                <w:lang w:val="fr-CA" w:eastAsia="en-CA"/>
              </w:rPr>
            </w:pPr>
            <w:r w:rsidRPr="006735F6">
              <w:rPr>
                <w:b/>
                <w:bCs/>
                <w:sz w:val="18"/>
                <w:szCs w:val="18"/>
                <w:lang w:val="fr-CA" w:eastAsia="en-CA"/>
              </w:rPr>
              <w:t>2</w:t>
            </w:r>
            <w:r w:rsidR="00A1660F">
              <w:rPr>
                <w:b/>
                <w:bCs/>
                <w:sz w:val="18"/>
                <w:szCs w:val="18"/>
                <w:lang w:val="fr-CA" w:eastAsia="en-CA"/>
              </w:rPr>
              <w:t xml:space="preserve"> </w:t>
            </w:r>
            <w:r w:rsidRPr="006735F6">
              <w:rPr>
                <w:b/>
                <w:bCs/>
                <w:sz w:val="18"/>
                <w:szCs w:val="18"/>
                <w:lang w:val="fr-CA" w:eastAsia="en-CA"/>
              </w:rPr>
              <w:t>319</w:t>
            </w:r>
            <w:r w:rsidR="00A1660F">
              <w:rPr>
                <w:b/>
                <w:bCs/>
                <w:sz w:val="18"/>
                <w:szCs w:val="18"/>
                <w:lang w:val="fr-CA" w:eastAsia="en-CA"/>
              </w:rPr>
              <w:t xml:space="preserve"> </w:t>
            </w:r>
            <w:r w:rsidRPr="006735F6">
              <w:rPr>
                <w:b/>
                <w:bCs/>
                <w:sz w:val="18"/>
                <w:szCs w:val="18"/>
                <w:lang w:val="fr-CA" w:eastAsia="en-CA"/>
              </w:rPr>
              <w:t>105</w:t>
            </w:r>
            <w:r w:rsidR="00A1660F">
              <w:rPr>
                <w:b/>
                <w:bCs/>
                <w:sz w:val="18"/>
                <w:szCs w:val="18"/>
                <w:lang w:val="fr-CA" w:eastAsia="en-CA"/>
              </w:rPr>
              <w:t xml:space="preserve"> </w:t>
            </w:r>
            <w:r w:rsidRPr="006735F6">
              <w:rPr>
                <w:b/>
                <w:bCs/>
                <w:sz w:val="18"/>
                <w:szCs w:val="18"/>
                <w:lang w:val="fr-CA" w:eastAsia="en-CA"/>
              </w:rPr>
              <w:t>803</w:t>
            </w:r>
          </w:p>
        </w:tc>
        <w:tc>
          <w:tcPr>
            <w:tcW w:w="967" w:type="dxa"/>
            <w:tcBorders>
              <w:top w:val="nil"/>
              <w:left w:val="nil"/>
              <w:bottom w:val="single" w:sz="4" w:space="0" w:color="auto"/>
              <w:right w:val="single" w:sz="4" w:space="0" w:color="auto"/>
            </w:tcBorders>
            <w:shd w:val="clear" w:color="auto" w:fill="auto"/>
            <w:noWrap/>
            <w:hideMark/>
          </w:tcPr>
          <w:p w14:paraId="1CC5E4DC" w14:textId="77777777" w:rsidR="00CC2107" w:rsidRPr="006735F6" w:rsidRDefault="000E1B54" w:rsidP="001E39EE">
            <w:pPr>
              <w:jc w:val="right"/>
              <w:rPr>
                <w:b/>
                <w:bCs/>
                <w:sz w:val="18"/>
                <w:szCs w:val="18"/>
                <w:lang w:val="fr-CA" w:eastAsia="en-CA"/>
              </w:rPr>
            </w:pPr>
            <w:r w:rsidRPr="006735F6">
              <w:rPr>
                <w:b/>
                <w:bCs/>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6EE99B58" w14:textId="5C113B99" w:rsidR="00CC2107" w:rsidRPr="006735F6" w:rsidRDefault="00CC2107" w:rsidP="001E39EE">
            <w:pPr>
              <w:jc w:val="right"/>
              <w:rPr>
                <w:b/>
                <w:bCs/>
                <w:sz w:val="18"/>
                <w:szCs w:val="18"/>
                <w:lang w:val="fr-CA" w:eastAsia="en-CA"/>
              </w:rPr>
            </w:pPr>
            <w:r w:rsidRPr="006735F6">
              <w:rPr>
                <w:b/>
                <w:bCs/>
                <w:sz w:val="18"/>
                <w:szCs w:val="18"/>
                <w:lang w:val="fr-CA" w:eastAsia="en-CA"/>
              </w:rPr>
              <w:t>271</w:t>
            </w:r>
            <w:r w:rsidR="00A1660F">
              <w:rPr>
                <w:b/>
                <w:bCs/>
                <w:sz w:val="18"/>
                <w:szCs w:val="18"/>
                <w:lang w:val="fr-CA" w:eastAsia="en-CA"/>
              </w:rPr>
              <w:t xml:space="preserve"> </w:t>
            </w:r>
            <w:r w:rsidRPr="006735F6">
              <w:rPr>
                <w:b/>
                <w:bCs/>
                <w:sz w:val="18"/>
                <w:szCs w:val="18"/>
                <w:lang w:val="fr-CA" w:eastAsia="en-CA"/>
              </w:rPr>
              <w:t>724</w:t>
            </w:r>
          </w:p>
        </w:tc>
        <w:tc>
          <w:tcPr>
            <w:tcW w:w="992" w:type="dxa"/>
            <w:tcBorders>
              <w:top w:val="nil"/>
              <w:left w:val="nil"/>
              <w:bottom w:val="single" w:sz="4" w:space="0" w:color="auto"/>
              <w:right w:val="single" w:sz="4" w:space="0" w:color="auto"/>
            </w:tcBorders>
            <w:shd w:val="clear" w:color="auto" w:fill="auto"/>
            <w:noWrap/>
            <w:hideMark/>
          </w:tcPr>
          <w:p w14:paraId="12F96D7E" w14:textId="4FD066FB" w:rsidR="00CC2107" w:rsidRPr="006735F6" w:rsidRDefault="00CC2107" w:rsidP="001E39EE">
            <w:pPr>
              <w:jc w:val="right"/>
              <w:rPr>
                <w:b/>
                <w:bCs/>
                <w:sz w:val="18"/>
                <w:szCs w:val="18"/>
                <w:lang w:val="fr-CA" w:eastAsia="en-CA"/>
              </w:rPr>
            </w:pPr>
            <w:r w:rsidRPr="006735F6">
              <w:rPr>
                <w:b/>
                <w:bCs/>
                <w:sz w:val="18"/>
                <w:szCs w:val="18"/>
                <w:lang w:val="fr-CA" w:eastAsia="en-CA"/>
              </w:rPr>
              <w:t>204</w:t>
            </w:r>
            <w:r w:rsidR="00A1660F">
              <w:rPr>
                <w:b/>
                <w:bCs/>
                <w:sz w:val="18"/>
                <w:szCs w:val="18"/>
                <w:lang w:val="fr-CA" w:eastAsia="en-CA"/>
              </w:rPr>
              <w:t xml:space="preserve"> </w:t>
            </w:r>
            <w:r w:rsidRPr="006735F6">
              <w:rPr>
                <w:b/>
                <w:bCs/>
                <w:sz w:val="18"/>
                <w:szCs w:val="18"/>
                <w:lang w:val="fr-CA" w:eastAsia="en-CA"/>
              </w:rPr>
              <w:t>189</w:t>
            </w:r>
          </w:p>
        </w:tc>
        <w:tc>
          <w:tcPr>
            <w:tcW w:w="1134" w:type="dxa"/>
            <w:tcBorders>
              <w:top w:val="nil"/>
              <w:left w:val="nil"/>
              <w:bottom w:val="single" w:sz="4" w:space="0" w:color="auto"/>
              <w:right w:val="single" w:sz="4" w:space="0" w:color="auto"/>
            </w:tcBorders>
            <w:shd w:val="clear" w:color="auto" w:fill="auto"/>
            <w:noWrap/>
            <w:hideMark/>
          </w:tcPr>
          <w:p w14:paraId="05EA2B42" w14:textId="77777777" w:rsidR="00CC2107" w:rsidRPr="006735F6" w:rsidRDefault="00CC2107" w:rsidP="001E39EE">
            <w:pPr>
              <w:jc w:val="right"/>
              <w:rPr>
                <w:b/>
                <w:bCs/>
                <w:sz w:val="18"/>
                <w:szCs w:val="18"/>
                <w:lang w:val="fr-CA" w:eastAsia="en-CA"/>
              </w:rPr>
            </w:pPr>
            <w:r w:rsidRPr="006735F6">
              <w:rPr>
                <w:b/>
                <w:bCs/>
                <w:sz w:val="18"/>
                <w:szCs w:val="18"/>
                <w:lang w:val="fr-CA" w:eastAsia="en-CA"/>
              </w:rPr>
              <w:t>14</w:t>
            </w:r>
          </w:p>
        </w:tc>
        <w:tc>
          <w:tcPr>
            <w:tcW w:w="1240" w:type="dxa"/>
            <w:tcBorders>
              <w:top w:val="nil"/>
              <w:left w:val="nil"/>
              <w:bottom w:val="single" w:sz="4" w:space="0" w:color="auto"/>
              <w:right w:val="single" w:sz="4" w:space="0" w:color="auto"/>
            </w:tcBorders>
            <w:shd w:val="clear" w:color="auto" w:fill="auto"/>
            <w:noWrap/>
            <w:hideMark/>
          </w:tcPr>
          <w:p w14:paraId="038A2419" w14:textId="77777777" w:rsidR="00CC2107" w:rsidRPr="006735F6" w:rsidRDefault="00CC2107" w:rsidP="001E39EE">
            <w:pPr>
              <w:jc w:val="right"/>
              <w:rPr>
                <w:b/>
                <w:bCs/>
                <w:sz w:val="18"/>
                <w:szCs w:val="18"/>
                <w:lang w:val="fr-CA" w:eastAsia="en-CA"/>
              </w:rPr>
            </w:pPr>
            <w:r w:rsidRPr="006735F6">
              <w:rPr>
                <w:b/>
                <w:bCs/>
                <w:sz w:val="18"/>
                <w:szCs w:val="18"/>
                <w:lang w:val="fr-CA" w:eastAsia="en-CA"/>
              </w:rPr>
              <w:t>37</w:t>
            </w:r>
          </w:p>
        </w:tc>
        <w:tc>
          <w:tcPr>
            <w:tcW w:w="1180" w:type="dxa"/>
            <w:tcBorders>
              <w:top w:val="nil"/>
              <w:left w:val="nil"/>
              <w:bottom w:val="single" w:sz="4" w:space="0" w:color="auto"/>
              <w:right w:val="single" w:sz="4" w:space="0" w:color="auto"/>
            </w:tcBorders>
            <w:shd w:val="clear" w:color="auto" w:fill="auto"/>
            <w:noWrap/>
            <w:hideMark/>
          </w:tcPr>
          <w:p w14:paraId="6597917F" w14:textId="338B6B45" w:rsidR="00CC2107" w:rsidRPr="006735F6" w:rsidRDefault="00CC2107" w:rsidP="001E39EE">
            <w:pPr>
              <w:jc w:val="right"/>
              <w:rPr>
                <w:b/>
                <w:bCs/>
                <w:sz w:val="18"/>
                <w:szCs w:val="18"/>
                <w:lang w:val="fr-CA" w:eastAsia="en-CA"/>
              </w:rPr>
            </w:pPr>
            <w:r w:rsidRPr="006735F6">
              <w:rPr>
                <w:b/>
                <w:bCs/>
                <w:sz w:val="18"/>
                <w:szCs w:val="18"/>
                <w:lang w:val="fr-CA" w:eastAsia="en-CA"/>
              </w:rPr>
              <w:t>4</w:t>
            </w:r>
            <w:r w:rsidR="00A1660F">
              <w:rPr>
                <w:b/>
                <w:bCs/>
                <w:sz w:val="18"/>
                <w:szCs w:val="18"/>
                <w:lang w:val="fr-CA" w:eastAsia="en-CA"/>
              </w:rPr>
              <w:t>,</w:t>
            </w:r>
            <w:r w:rsidRPr="006735F6">
              <w:rPr>
                <w:b/>
                <w:bCs/>
                <w:sz w:val="18"/>
                <w:szCs w:val="18"/>
                <w:lang w:val="fr-CA" w:eastAsia="en-CA"/>
              </w:rPr>
              <w:t xml:space="preserve">87 </w:t>
            </w:r>
          </w:p>
        </w:tc>
      </w:tr>
      <w:tr w:rsidR="00CC2107" w:rsidRPr="006735F6" w14:paraId="2DA603E3" w14:textId="77777777" w:rsidTr="00CC2107">
        <w:trPr>
          <w:trHeight w:val="204"/>
        </w:trPr>
        <w:tc>
          <w:tcPr>
            <w:tcW w:w="1446" w:type="dxa"/>
            <w:tcBorders>
              <w:top w:val="nil"/>
              <w:left w:val="single" w:sz="4" w:space="0" w:color="auto"/>
              <w:bottom w:val="nil"/>
              <w:right w:val="nil"/>
            </w:tcBorders>
            <w:shd w:val="clear" w:color="auto" w:fill="auto"/>
            <w:noWrap/>
            <w:hideMark/>
          </w:tcPr>
          <w:p w14:paraId="0BFE2A31" w14:textId="6254E1D3" w:rsidR="00CC2107" w:rsidRPr="006735F6" w:rsidRDefault="0045030F" w:rsidP="001E39EE">
            <w:pPr>
              <w:jc w:val="left"/>
              <w:rPr>
                <w:b/>
                <w:bCs/>
                <w:sz w:val="18"/>
                <w:szCs w:val="18"/>
                <w:lang w:val="fr-CA" w:eastAsia="en-CA"/>
              </w:rPr>
            </w:pPr>
            <w:r>
              <w:rPr>
                <w:b/>
                <w:bCs/>
                <w:sz w:val="18"/>
                <w:szCs w:val="18"/>
                <w:lang w:val="fr-CA" w:eastAsia="en-CA"/>
              </w:rPr>
              <w:t>Région</w:t>
            </w:r>
          </w:p>
        </w:tc>
        <w:tc>
          <w:tcPr>
            <w:tcW w:w="856" w:type="dxa"/>
            <w:tcBorders>
              <w:top w:val="nil"/>
              <w:left w:val="nil"/>
              <w:bottom w:val="nil"/>
              <w:right w:val="nil"/>
            </w:tcBorders>
            <w:shd w:val="clear" w:color="auto" w:fill="auto"/>
            <w:noWrap/>
            <w:hideMark/>
          </w:tcPr>
          <w:p w14:paraId="30A55200" w14:textId="77777777" w:rsidR="00CC2107" w:rsidRPr="006735F6" w:rsidRDefault="00CC2107" w:rsidP="001E39EE">
            <w:pPr>
              <w:jc w:val="left"/>
              <w:rPr>
                <w:b/>
                <w:bCs/>
                <w:sz w:val="18"/>
                <w:szCs w:val="18"/>
                <w:lang w:val="fr-CA" w:eastAsia="en-CA"/>
              </w:rPr>
            </w:pPr>
          </w:p>
        </w:tc>
        <w:tc>
          <w:tcPr>
            <w:tcW w:w="1251" w:type="dxa"/>
            <w:tcBorders>
              <w:top w:val="nil"/>
              <w:left w:val="nil"/>
              <w:bottom w:val="nil"/>
              <w:right w:val="nil"/>
            </w:tcBorders>
            <w:shd w:val="clear" w:color="auto" w:fill="auto"/>
            <w:noWrap/>
            <w:hideMark/>
          </w:tcPr>
          <w:p w14:paraId="51479D4F" w14:textId="77777777" w:rsidR="00CC2107" w:rsidRPr="006735F6" w:rsidRDefault="00CC2107" w:rsidP="001E39EE">
            <w:pPr>
              <w:jc w:val="left"/>
              <w:rPr>
                <w:sz w:val="18"/>
                <w:szCs w:val="18"/>
                <w:lang w:val="fr-CA" w:eastAsia="en-CA"/>
              </w:rPr>
            </w:pPr>
          </w:p>
        </w:tc>
        <w:tc>
          <w:tcPr>
            <w:tcW w:w="967" w:type="dxa"/>
            <w:tcBorders>
              <w:top w:val="nil"/>
              <w:left w:val="nil"/>
              <w:bottom w:val="nil"/>
              <w:right w:val="nil"/>
            </w:tcBorders>
            <w:shd w:val="clear" w:color="auto" w:fill="auto"/>
            <w:noWrap/>
            <w:hideMark/>
          </w:tcPr>
          <w:p w14:paraId="436AD00E" w14:textId="77777777" w:rsidR="00CC2107" w:rsidRPr="006735F6" w:rsidRDefault="00CC2107" w:rsidP="001E39EE">
            <w:pPr>
              <w:jc w:val="left"/>
              <w:rPr>
                <w:sz w:val="18"/>
                <w:szCs w:val="18"/>
                <w:lang w:val="fr-CA" w:eastAsia="en-CA"/>
              </w:rPr>
            </w:pPr>
          </w:p>
        </w:tc>
        <w:tc>
          <w:tcPr>
            <w:tcW w:w="1009" w:type="dxa"/>
            <w:tcBorders>
              <w:top w:val="nil"/>
              <w:left w:val="nil"/>
              <w:bottom w:val="nil"/>
              <w:right w:val="nil"/>
            </w:tcBorders>
            <w:shd w:val="clear" w:color="auto" w:fill="auto"/>
            <w:noWrap/>
            <w:hideMark/>
          </w:tcPr>
          <w:p w14:paraId="73BC7DE7" w14:textId="77777777" w:rsidR="00CC2107" w:rsidRPr="006735F6" w:rsidRDefault="00CC2107" w:rsidP="001E39EE">
            <w:pPr>
              <w:jc w:val="left"/>
              <w:rPr>
                <w:sz w:val="18"/>
                <w:szCs w:val="18"/>
                <w:lang w:val="fr-CA" w:eastAsia="en-CA"/>
              </w:rPr>
            </w:pPr>
          </w:p>
        </w:tc>
        <w:tc>
          <w:tcPr>
            <w:tcW w:w="992" w:type="dxa"/>
            <w:tcBorders>
              <w:top w:val="nil"/>
              <w:left w:val="nil"/>
              <w:bottom w:val="nil"/>
              <w:right w:val="nil"/>
            </w:tcBorders>
            <w:shd w:val="clear" w:color="auto" w:fill="auto"/>
            <w:noWrap/>
            <w:hideMark/>
          </w:tcPr>
          <w:p w14:paraId="2136F870" w14:textId="77777777" w:rsidR="00CC2107" w:rsidRPr="006735F6" w:rsidRDefault="00CC2107" w:rsidP="001E39EE">
            <w:pPr>
              <w:jc w:val="left"/>
              <w:rPr>
                <w:sz w:val="18"/>
                <w:szCs w:val="18"/>
                <w:lang w:val="fr-CA" w:eastAsia="en-CA"/>
              </w:rPr>
            </w:pPr>
          </w:p>
        </w:tc>
        <w:tc>
          <w:tcPr>
            <w:tcW w:w="1134" w:type="dxa"/>
            <w:tcBorders>
              <w:top w:val="nil"/>
              <w:left w:val="nil"/>
              <w:bottom w:val="nil"/>
              <w:right w:val="nil"/>
            </w:tcBorders>
            <w:shd w:val="clear" w:color="auto" w:fill="auto"/>
            <w:noWrap/>
            <w:hideMark/>
          </w:tcPr>
          <w:p w14:paraId="54E59B5B" w14:textId="77777777" w:rsidR="00CC2107" w:rsidRPr="006735F6" w:rsidRDefault="00CC2107" w:rsidP="001E39EE">
            <w:pPr>
              <w:jc w:val="left"/>
              <w:rPr>
                <w:sz w:val="18"/>
                <w:szCs w:val="18"/>
                <w:lang w:val="fr-CA" w:eastAsia="en-CA"/>
              </w:rPr>
            </w:pPr>
          </w:p>
        </w:tc>
        <w:tc>
          <w:tcPr>
            <w:tcW w:w="1240" w:type="dxa"/>
            <w:tcBorders>
              <w:top w:val="nil"/>
              <w:left w:val="nil"/>
              <w:bottom w:val="nil"/>
              <w:right w:val="nil"/>
            </w:tcBorders>
            <w:shd w:val="clear" w:color="auto" w:fill="auto"/>
            <w:noWrap/>
            <w:hideMark/>
          </w:tcPr>
          <w:p w14:paraId="0785D485" w14:textId="77777777" w:rsidR="00CC2107" w:rsidRPr="006735F6" w:rsidRDefault="00CC2107" w:rsidP="001E39EE">
            <w:pPr>
              <w:jc w:val="right"/>
              <w:rPr>
                <w:sz w:val="18"/>
                <w:szCs w:val="18"/>
                <w:lang w:val="fr-CA" w:eastAsia="en-CA"/>
              </w:rPr>
            </w:pPr>
          </w:p>
        </w:tc>
        <w:tc>
          <w:tcPr>
            <w:tcW w:w="1180" w:type="dxa"/>
            <w:tcBorders>
              <w:top w:val="nil"/>
              <w:left w:val="nil"/>
              <w:bottom w:val="nil"/>
              <w:right w:val="single" w:sz="4" w:space="0" w:color="auto"/>
            </w:tcBorders>
            <w:shd w:val="clear" w:color="auto" w:fill="auto"/>
            <w:noWrap/>
            <w:hideMark/>
          </w:tcPr>
          <w:p w14:paraId="3436995B" w14:textId="77777777" w:rsidR="00CC2107" w:rsidRPr="006735F6" w:rsidRDefault="00CC2107" w:rsidP="001E39EE">
            <w:pPr>
              <w:jc w:val="right"/>
              <w:rPr>
                <w:sz w:val="18"/>
                <w:szCs w:val="18"/>
                <w:lang w:val="fr-CA" w:eastAsia="en-CA"/>
              </w:rPr>
            </w:pPr>
            <w:r w:rsidRPr="006735F6">
              <w:rPr>
                <w:sz w:val="18"/>
                <w:szCs w:val="18"/>
                <w:lang w:val="fr-CA" w:eastAsia="en-CA"/>
              </w:rPr>
              <w:t> </w:t>
            </w:r>
          </w:p>
        </w:tc>
      </w:tr>
      <w:tr w:rsidR="00CC2107" w:rsidRPr="006735F6" w14:paraId="20CBF007" w14:textId="77777777" w:rsidTr="00CC2107">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54EFEE69" w14:textId="5628C2C8" w:rsidR="00CC2107" w:rsidRPr="006735F6" w:rsidRDefault="0045030F" w:rsidP="001E39EE">
            <w:pPr>
              <w:jc w:val="left"/>
              <w:rPr>
                <w:sz w:val="18"/>
                <w:szCs w:val="18"/>
                <w:lang w:val="fr-CA" w:eastAsia="en-CA"/>
              </w:rPr>
            </w:pPr>
            <w:r>
              <w:rPr>
                <w:sz w:val="18"/>
                <w:szCs w:val="18"/>
                <w:lang w:val="fr-CA" w:eastAsia="en-CA"/>
              </w:rPr>
              <w:t>Afrique</w:t>
            </w:r>
          </w:p>
        </w:tc>
        <w:tc>
          <w:tcPr>
            <w:tcW w:w="856" w:type="dxa"/>
            <w:tcBorders>
              <w:top w:val="single" w:sz="4" w:space="0" w:color="auto"/>
              <w:left w:val="nil"/>
              <w:bottom w:val="single" w:sz="4" w:space="0" w:color="auto"/>
              <w:right w:val="single" w:sz="4" w:space="0" w:color="auto"/>
            </w:tcBorders>
            <w:shd w:val="clear" w:color="auto" w:fill="auto"/>
            <w:noWrap/>
            <w:hideMark/>
          </w:tcPr>
          <w:p w14:paraId="139A0EE9" w14:textId="77777777" w:rsidR="00CC2107" w:rsidRPr="006735F6" w:rsidRDefault="00CC2107" w:rsidP="001E39EE">
            <w:pPr>
              <w:jc w:val="right"/>
              <w:rPr>
                <w:sz w:val="18"/>
                <w:szCs w:val="18"/>
                <w:lang w:val="fr-CA" w:eastAsia="en-CA"/>
              </w:rPr>
            </w:pPr>
            <w:r w:rsidRPr="006735F6">
              <w:rPr>
                <w:sz w:val="18"/>
                <w:szCs w:val="18"/>
                <w:lang w:val="fr-CA" w:eastAsia="en-CA"/>
              </w:rPr>
              <w:t>486</w:t>
            </w:r>
          </w:p>
        </w:tc>
        <w:tc>
          <w:tcPr>
            <w:tcW w:w="1251" w:type="dxa"/>
            <w:tcBorders>
              <w:top w:val="single" w:sz="4" w:space="0" w:color="auto"/>
              <w:left w:val="nil"/>
              <w:bottom w:val="single" w:sz="4" w:space="0" w:color="auto"/>
              <w:right w:val="single" w:sz="4" w:space="0" w:color="auto"/>
            </w:tcBorders>
            <w:shd w:val="clear" w:color="auto" w:fill="auto"/>
            <w:noWrap/>
            <w:hideMark/>
          </w:tcPr>
          <w:p w14:paraId="183AAF2E" w14:textId="31DC00AF" w:rsidR="00CC2107" w:rsidRPr="006735F6" w:rsidRDefault="00CC2107" w:rsidP="001E39EE">
            <w:pPr>
              <w:jc w:val="right"/>
              <w:rPr>
                <w:sz w:val="18"/>
                <w:szCs w:val="18"/>
                <w:lang w:val="fr-CA" w:eastAsia="en-CA"/>
              </w:rPr>
            </w:pPr>
            <w:r w:rsidRPr="006735F6">
              <w:rPr>
                <w:sz w:val="18"/>
                <w:szCs w:val="18"/>
                <w:lang w:val="fr-CA" w:eastAsia="en-CA"/>
              </w:rPr>
              <w:t>163</w:t>
            </w:r>
            <w:r w:rsidR="00A1660F">
              <w:rPr>
                <w:sz w:val="18"/>
                <w:szCs w:val="18"/>
                <w:lang w:val="fr-CA" w:eastAsia="en-CA"/>
              </w:rPr>
              <w:t xml:space="preserve"> </w:t>
            </w:r>
            <w:r w:rsidRPr="006735F6">
              <w:rPr>
                <w:sz w:val="18"/>
                <w:szCs w:val="18"/>
                <w:lang w:val="fr-CA" w:eastAsia="en-CA"/>
              </w:rPr>
              <w:t>268</w:t>
            </w:r>
            <w:r w:rsidR="00A1660F">
              <w:rPr>
                <w:sz w:val="18"/>
                <w:szCs w:val="18"/>
                <w:lang w:val="fr-CA" w:eastAsia="en-CA"/>
              </w:rPr>
              <w:t xml:space="preserve"> </w:t>
            </w:r>
            <w:r w:rsidRPr="006735F6">
              <w:rPr>
                <w:sz w:val="18"/>
                <w:szCs w:val="18"/>
                <w:lang w:val="fr-CA" w:eastAsia="en-CA"/>
              </w:rPr>
              <w:t>189</w:t>
            </w:r>
          </w:p>
        </w:tc>
        <w:tc>
          <w:tcPr>
            <w:tcW w:w="967" w:type="dxa"/>
            <w:tcBorders>
              <w:top w:val="single" w:sz="4" w:space="0" w:color="auto"/>
              <w:left w:val="nil"/>
              <w:bottom w:val="single" w:sz="4" w:space="0" w:color="auto"/>
              <w:right w:val="single" w:sz="4" w:space="0" w:color="auto"/>
            </w:tcBorders>
            <w:shd w:val="clear" w:color="auto" w:fill="auto"/>
            <w:noWrap/>
            <w:hideMark/>
          </w:tcPr>
          <w:p w14:paraId="1E5F2379"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42E08F6E" w14:textId="525BEF0A" w:rsidR="00CC2107" w:rsidRPr="006735F6" w:rsidRDefault="00CC2107" w:rsidP="001E39EE">
            <w:pPr>
              <w:jc w:val="right"/>
              <w:rPr>
                <w:sz w:val="18"/>
                <w:szCs w:val="18"/>
                <w:lang w:val="fr-CA" w:eastAsia="en-CA"/>
              </w:rPr>
            </w:pPr>
            <w:r w:rsidRPr="006735F6">
              <w:rPr>
                <w:sz w:val="18"/>
                <w:szCs w:val="18"/>
                <w:lang w:val="fr-CA" w:eastAsia="en-CA"/>
              </w:rPr>
              <w:t>18</w:t>
            </w:r>
            <w:r w:rsidR="00A1660F">
              <w:rPr>
                <w:sz w:val="18"/>
                <w:szCs w:val="18"/>
                <w:lang w:val="fr-CA" w:eastAsia="en-CA"/>
              </w:rPr>
              <w:t xml:space="preserve"> </w:t>
            </w:r>
            <w:r w:rsidRPr="006735F6">
              <w:rPr>
                <w:sz w:val="18"/>
                <w:szCs w:val="18"/>
                <w:lang w:val="fr-CA" w:eastAsia="en-CA"/>
              </w:rPr>
              <w:t>286</w:t>
            </w:r>
          </w:p>
        </w:tc>
        <w:tc>
          <w:tcPr>
            <w:tcW w:w="992" w:type="dxa"/>
            <w:tcBorders>
              <w:top w:val="single" w:sz="4" w:space="0" w:color="auto"/>
              <w:left w:val="nil"/>
              <w:bottom w:val="single" w:sz="4" w:space="0" w:color="auto"/>
              <w:right w:val="single" w:sz="4" w:space="0" w:color="auto"/>
            </w:tcBorders>
            <w:shd w:val="clear" w:color="auto" w:fill="auto"/>
            <w:noWrap/>
            <w:hideMark/>
          </w:tcPr>
          <w:p w14:paraId="3BEB4AD3"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4CA24EA7" w14:textId="77777777" w:rsidR="00CC2107" w:rsidRPr="006735F6" w:rsidRDefault="00CC2107" w:rsidP="001E39EE">
            <w:pPr>
              <w:jc w:val="right"/>
              <w:rPr>
                <w:sz w:val="18"/>
                <w:szCs w:val="18"/>
                <w:lang w:val="fr-CA" w:eastAsia="en-CA"/>
              </w:rPr>
            </w:pPr>
            <w:r w:rsidRPr="006735F6">
              <w:rPr>
                <w:sz w:val="18"/>
                <w:szCs w:val="18"/>
                <w:lang w:val="fr-CA" w:eastAsia="en-CA"/>
              </w:rPr>
              <w:t>12</w:t>
            </w:r>
          </w:p>
        </w:tc>
        <w:tc>
          <w:tcPr>
            <w:tcW w:w="1240" w:type="dxa"/>
            <w:tcBorders>
              <w:top w:val="single" w:sz="4" w:space="0" w:color="auto"/>
              <w:left w:val="nil"/>
              <w:bottom w:val="single" w:sz="4" w:space="0" w:color="auto"/>
              <w:right w:val="single" w:sz="4" w:space="0" w:color="auto"/>
            </w:tcBorders>
            <w:shd w:val="clear" w:color="auto" w:fill="auto"/>
            <w:noWrap/>
            <w:hideMark/>
          </w:tcPr>
          <w:p w14:paraId="09B039E2" w14:textId="77777777" w:rsidR="00CC2107" w:rsidRPr="006735F6" w:rsidRDefault="00CC2107" w:rsidP="001E39EE">
            <w:pPr>
              <w:jc w:val="right"/>
              <w:rPr>
                <w:sz w:val="18"/>
                <w:szCs w:val="18"/>
                <w:lang w:val="fr-CA" w:eastAsia="en-CA"/>
              </w:rPr>
            </w:pPr>
            <w:r w:rsidRPr="006735F6">
              <w:rPr>
                <w:sz w:val="18"/>
                <w:szCs w:val="18"/>
                <w:lang w:val="fr-CA" w:eastAsia="en-CA"/>
              </w:rPr>
              <w:t>39</w:t>
            </w:r>
          </w:p>
        </w:tc>
        <w:tc>
          <w:tcPr>
            <w:tcW w:w="1180" w:type="dxa"/>
            <w:tcBorders>
              <w:top w:val="single" w:sz="4" w:space="0" w:color="auto"/>
              <w:left w:val="nil"/>
              <w:bottom w:val="single" w:sz="4" w:space="0" w:color="auto"/>
              <w:right w:val="single" w:sz="4" w:space="0" w:color="auto"/>
            </w:tcBorders>
            <w:shd w:val="clear" w:color="auto" w:fill="auto"/>
            <w:noWrap/>
            <w:hideMark/>
          </w:tcPr>
          <w:p w14:paraId="48A94514" w14:textId="204D2C37" w:rsidR="00CC2107" w:rsidRPr="006735F6" w:rsidRDefault="00CC2107" w:rsidP="001E39EE">
            <w:pPr>
              <w:jc w:val="right"/>
              <w:rPr>
                <w:sz w:val="18"/>
                <w:szCs w:val="18"/>
                <w:lang w:val="fr-CA" w:eastAsia="en-CA"/>
              </w:rPr>
            </w:pPr>
            <w:r w:rsidRPr="006735F6">
              <w:rPr>
                <w:sz w:val="18"/>
                <w:szCs w:val="18"/>
                <w:lang w:val="fr-CA" w:eastAsia="en-CA"/>
              </w:rPr>
              <w:t>8</w:t>
            </w:r>
            <w:r w:rsidR="00A1660F">
              <w:rPr>
                <w:sz w:val="18"/>
                <w:szCs w:val="18"/>
                <w:lang w:val="fr-CA" w:eastAsia="en-CA"/>
              </w:rPr>
              <w:t>,</w:t>
            </w:r>
            <w:r w:rsidRPr="006735F6">
              <w:rPr>
                <w:sz w:val="18"/>
                <w:szCs w:val="18"/>
                <w:lang w:val="fr-CA" w:eastAsia="en-CA"/>
              </w:rPr>
              <w:t xml:space="preserve">93 </w:t>
            </w:r>
          </w:p>
        </w:tc>
      </w:tr>
      <w:tr w:rsidR="00CC2107" w:rsidRPr="006735F6" w14:paraId="455E7F66"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4AC3F543" w14:textId="5BD52EE0" w:rsidR="00CC2107" w:rsidRPr="006735F6" w:rsidRDefault="00E55AED" w:rsidP="0045030F">
            <w:pPr>
              <w:jc w:val="left"/>
              <w:rPr>
                <w:sz w:val="18"/>
                <w:szCs w:val="18"/>
                <w:lang w:val="fr-CA" w:eastAsia="en-CA"/>
              </w:rPr>
            </w:pPr>
            <w:r>
              <w:rPr>
                <w:sz w:val="18"/>
                <w:szCs w:val="18"/>
                <w:lang w:val="fr-CA" w:eastAsia="en-CA"/>
              </w:rPr>
              <w:t>Asie</w:t>
            </w:r>
            <w:r w:rsidR="00CC2107" w:rsidRPr="006735F6">
              <w:rPr>
                <w:sz w:val="18"/>
                <w:szCs w:val="18"/>
                <w:lang w:val="fr-CA" w:eastAsia="en-CA"/>
              </w:rPr>
              <w:t xml:space="preserve"> </w:t>
            </w:r>
            <w:r w:rsidR="0045030F">
              <w:rPr>
                <w:sz w:val="18"/>
                <w:szCs w:val="18"/>
                <w:lang w:val="fr-CA" w:eastAsia="en-CA"/>
              </w:rPr>
              <w:t>et Pacifique</w:t>
            </w:r>
          </w:p>
        </w:tc>
        <w:tc>
          <w:tcPr>
            <w:tcW w:w="856" w:type="dxa"/>
            <w:tcBorders>
              <w:top w:val="nil"/>
              <w:left w:val="nil"/>
              <w:bottom w:val="single" w:sz="4" w:space="0" w:color="auto"/>
              <w:right w:val="single" w:sz="4" w:space="0" w:color="auto"/>
            </w:tcBorders>
            <w:shd w:val="clear" w:color="auto" w:fill="auto"/>
            <w:noWrap/>
            <w:hideMark/>
          </w:tcPr>
          <w:p w14:paraId="5AA4F86F" w14:textId="6B8BCB5C" w:rsidR="00CC2107" w:rsidRPr="006735F6" w:rsidRDefault="00CC2107" w:rsidP="001E39EE">
            <w:pPr>
              <w:jc w:val="right"/>
              <w:rPr>
                <w:sz w:val="18"/>
                <w:szCs w:val="18"/>
                <w:lang w:val="fr-CA" w:eastAsia="en-CA"/>
              </w:rPr>
            </w:pPr>
            <w:r w:rsidRPr="006735F6">
              <w:rPr>
                <w:sz w:val="18"/>
                <w:szCs w:val="18"/>
                <w:lang w:val="fr-CA" w:eastAsia="en-CA"/>
              </w:rPr>
              <w:t>1</w:t>
            </w:r>
            <w:r w:rsidR="00A1660F">
              <w:rPr>
                <w:sz w:val="18"/>
                <w:szCs w:val="18"/>
                <w:lang w:val="fr-CA" w:eastAsia="en-CA"/>
              </w:rPr>
              <w:t xml:space="preserve"> </w:t>
            </w:r>
            <w:r w:rsidRPr="006735F6">
              <w:rPr>
                <w:sz w:val="18"/>
                <w:szCs w:val="18"/>
                <w:lang w:val="fr-CA" w:eastAsia="en-CA"/>
              </w:rPr>
              <w:t>525</w:t>
            </w:r>
          </w:p>
        </w:tc>
        <w:tc>
          <w:tcPr>
            <w:tcW w:w="1251" w:type="dxa"/>
            <w:tcBorders>
              <w:top w:val="nil"/>
              <w:left w:val="nil"/>
              <w:bottom w:val="single" w:sz="4" w:space="0" w:color="auto"/>
              <w:right w:val="single" w:sz="4" w:space="0" w:color="auto"/>
            </w:tcBorders>
            <w:shd w:val="clear" w:color="auto" w:fill="auto"/>
            <w:noWrap/>
            <w:hideMark/>
          </w:tcPr>
          <w:p w14:paraId="05DBA626" w14:textId="4F4673BC" w:rsidR="00CC2107" w:rsidRPr="006735F6" w:rsidRDefault="00CC2107" w:rsidP="001E39EE">
            <w:pPr>
              <w:jc w:val="right"/>
              <w:rPr>
                <w:sz w:val="18"/>
                <w:szCs w:val="18"/>
                <w:lang w:val="fr-CA" w:eastAsia="en-CA"/>
              </w:rPr>
            </w:pPr>
            <w:r w:rsidRPr="006735F6">
              <w:rPr>
                <w:sz w:val="18"/>
                <w:szCs w:val="18"/>
                <w:lang w:val="fr-CA" w:eastAsia="en-CA"/>
              </w:rPr>
              <w:t>1</w:t>
            </w:r>
            <w:r w:rsidR="00A1660F">
              <w:rPr>
                <w:sz w:val="18"/>
                <w:szCs w:val="18"/>
                <w:lang w:val="fr-CA" w:eastAsia="en-CA"/>
              </w:rPr>
              <w:t xml:space="preserve"> </w:t>
            </w:r>
            <w:r w:rsidRPr="006735F6">
              <w:rPr>
                <w:sz w:val="18"/>
                <w:szCs w:val="18"/>
                <w:lang w:val="fr-CA" w:eastAsia="en-CA"/>
              </w:rPr>
              <w:t>681</w:t>
            </w:r>
            <w:r w:rsidR="00A1660F">
              <w:rPr>
                <w:sz w:val="18"/>
                <w:szCs w:val="18"/>
                <w:lang w:val="fr-CA" w:eastAsia="en-CA"/>
              </w:rPr>
              <w:t xml:space="preserve"> </w:t>
            </w:r>
            <w:r w:rsidRPr="006735F6">
              <w:rPr>
                <w:sz w:val="18"/>
                <w:szCs w:val="18"/>
                <w:lang w:val="fr-CA" w:eastAsia="en-CA"/>
              </w:rPr>
              <w:t>472</w:t>
            </w:r>
            <w:r w:rsidR="00A1660F">
              <w:rPr>
                <w:sz w:val="18"/>
                <w:szCs w:val="18"/>
                <w:lang w:val="fr-CA" w:eastAsia="en-CA"/>
              </w:rPr>
              <w:t xml:space="preserve"> </w:t>
            </w:r>
            <w:r w:rsidRPr="006735F6">
              <w:rPr>
                <w:sz w:val="18"/>
                <w:szCs w:val="18"/>
                <w:lang w:val="fr-CA" w:eastAsia="en-CA"/>
              </w:rPr>
              <w:t>968</w:t>
            </w:r>
          </w:p>
        </w:tc>
        <w:tc>
          <w:tcPr>
            <w:tcW w:w="967" w:type="dxa"/>
            <w:tcBorders>
              <w:top w:val="nil"/>
              <w:left w:val="nil"/>
              <w:bottom w:val="single" w:sz="4" w:space="0" w:color="auto"/>
              <w:right w:val="single" w:sz="4" w:space="0" w:color="auto"/>
            </w:tcBorders>
            <w:shd w:val="clear" w:color="auto" w:fill="auto"/>
            <w:noWrap/>
            <w:hideMark/>
          </w:tcPr>
          <w:p w14:paraId="5681C1E4"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4AF8299C" w14:textId="1EAA02AA" w:rsidR="00CC2107" w:rsidRPr="006735F6" w:rsidRDefault="00CC2107" w:rsidP="001E39EE">
            <w:pPr>
              <w:jc w:val="right"/>
              <w:rPr>
                <w:sz w:val="18"/>
                <w:szCs w:val="18"/>
                <w:lang w:val="fr-CA" w:eastAsia="en-CA"/>
              </w:rPr>
            </w:pPr>
            <w:r w:rsidRPr="006735F6">
              <w:rPr>
                <w:sz w:val="18"/>
                <w:szCs w:val="18"/>
                <w:lang w:val="fr-CA" w:eastAsia="en-CA"/>
              </w:rPr>
              <w:t>210</w:t>
            </w:r>
            <w:r w:rsidR="00A1660F">
              <w:rPr>
                <w:sz w:val="18"/>
                <w:szCs w:val="18"/>
                <w:lang w:val="fr-CA" w:eastAsia="en-CA"/>
              </w:rPr>
              <w:t xml:space="preserve"> </w:t>
            </w:r>
            <w:r w:rsidRPr="006735F6">
              <w:rPr>
                <w:sz w:val="18"/>
                <w:szCs w:val="18"/>
                <w:lang w:val="fr-CA" w:eastAsia="en-CA"/>
              </w:rPr>
              <w:t>775</w:t>
            </w:r>
          </w:p>
        </w:tc>
        <w:tc>
          <w:tcPr>
            <w:tcW w:w="992" w:type="dxa"/>
            <w:tcBorders>
              <w:top w:val="nil"/>
              <w:left w:val="nil"/>
              <w:bottom w:val="single" w:sz="4" w:space="0" w:color="auto"/>
              <w:right w:val="single" w:sz="4" w:space="0" w:color="auto"/>
            </w:tcBorders>
            <w:shd w:val="clear" w:color="auto" w:fill="auto"/>
            <w:noWrap/>
            <w:hideMark/>
          </w:tcPr>
          <w:p w14:paraId="2D612116" w14:textId="39E7DFD4" w:rsidR="00CC2107" w:rsidRPr="006735F6" w:rsidRDefault="00CC2107" w:rsidP="001E39EE">
            <w:pPr>
              <w:jc w:val="right"/>
              <w:rPr>
                <w:sz w:val="18"/>
                <w:szCs w:val="18"/>
                <w:lang w:val="fr-CA" w:eastAsia="en-CA"/>
              </w:rPr>
            </w:pPr>
            <w:r w:rsidRPr="006735F6">
              <w:rPr>
                <w:sz w:val="18"/>
                <w:szCs w:val="18"/>
                <w:lang w:val="fr-CA" w:eastAsia="en-CA"/>
              </w:rPr>
              <w:t>184</w:t>
            </w:r>
            <w:r w:rsidR="00A1660F">
              <w:rPr>
                <w:sz w:val="18"/>
                <w:szCs w:val="18"/>
                <w:lang w:val="fr-CA" w:eastAsia="en-CA"/>
              </w:rPr>
              <w:t xml:space="preserve"> </w:t>
            </w:r>
            <w:r w:rsidRPr="006735F6">
              <w:rPr>
                <w:sz w:val="18"/>
                <w:szCs w:val="18"/>
                <w:lang w:val="fr-CA" w:eastAsia="en-CA"/>
              </w:rPr>
              <w:t>239</w:t>
            </w:r>
          </w:p>
        </w:tc>
        <w:tc>
          <w:tcPr>
            <w:tcW w:w="1134" w:type="dxa"/>
            <w:tcBorders>
              <w:top w:val="nil"/>
              <w:left w:val="nil"/>
              <w:bottom w:val="single" w:sz="4" w:space="0" w:color="auto"/>
              <w:right w:val="single" w:sz="4" w:space="0" w:color="auto"/>
            </w:tcBorders>
            <w:shd w:val="clear" w:color="auto" w:fill="auto"/>
            <w:noWrap/>
            <w:hideMark/>
          </w:tcPr>
          <w:p w14:paraId="023F138D" w14:textId="77777777" w:rsidR="00CC2107" w:rsidRPr="006735F6" w:rsidRDefault="00CC2107" w:rsidP="001E39EE">
            <w:pPr>
              <w:jc w:val="right"/>
              <w:rPr>
                <w:sz w:val="18"/>
                <w:szCs w:val="18"/>
                <w:lang w:val="fr-CA" w:eastAsia="en-CA"/>
              </w:rPr>
            </w:pPr>
            <w:r w:rsidRPr="006735F6">
              <w:rPr>
                <w:sz w:val="18"/>
                <w:szCs w:val="18"/>
                <w:lang w:val="fr-CA" w:eastAsia="en-CA"/>
              </w:rPr>
              <w:t>16</w:t>
            </w:r>
          </w:p>
        </w:tc>
        <w:tc>
          <w:tcPr>
            <w:tcW w:w="1240" w:type="dxa"/>
            <w:tcBorders>
              <w:top w:val="nil"/>
              <w:left w:val="nil"/>
              <w:bottom w:val="single" w:sz="4" w:space="0" w:color="auto"/>
              <w:right w:val="single" w:sz="4" w:space="0" w:color="auto"/>
            </w:tcBorders>
            <w:shd w:val="clear" w:color="auto" w:fill="auto"/>
            <w:noWrap/>
            <w:hideMark/>
          </w:tcPr>
          <w:p w14:paraId="48DDB16F" w14:textId="77777777" w:rsidR="00CC2107" w:rsidRPr="006735F6" w:rsidRDefault="00CC2107" w:rsidP="001E39EE">
            <w:pPr>
              <w:jc w:val="right"/>
              <w:rPr>
                <w:sz w:val="18"/>
                <w:szCs w:val="18"/>
                <w:lang w:val="fr-CA" w:eastAsia="en-CA"/>
              </w:rPr>
            </w:pPr>
            <w:r w:rsidRPr="006735F6">
              <w:rPr>
                <w:sz w:val="18"/>
                <w:szCs w:val="18"/>
                <w:lang w:val="fr-CA" w:eastAsia="en-CA"/>
              </w:rPr>
              <w:t>37</w:t>
            </w:r>
          </w:p>
        </w:tc>
        <w:tc>
          <w:tcPr>
            <w:tcW w:w="1180" w:type="dxa"/>
            <w:tcBorders>
              <w:top w:val="nil"/>
              <w:left w:val="nil"/>
              <w:bottom w:val="single" w:sz="4" w:space="0" w:color="auto"/>
              <w:right w:val="single" w:sz="4" w:space="0" w:color="auto"/>
            </w:tcBorders>
            <w:shd w:val="clear" w:color="auto" w:fill="auto"/>
            <w:noWrap/>
            <w:hideMark/>
          </w:tcPr>
          <w:p w14:paraId="7BECC56A" w14:textId="3CCAA71B" w:rsidR="00CC2107" w:rsidRPr="006735F6" w:rsidRDefault="00CC2107" w:rsidP="001E39EE">
            <w:pPr>
              <w:jc w:val="right"/>
              <w:rPr>
                <w:sz w:val="18"/>
                <w:szCs w:val="18"/>
                <w:lang w:val="fr-CA" w:eastAsia="en-CA"/>
              </w:rPr>
            </w:pPr>
            <w:r w:rsidRPr="006735F6">
              <w:rPr>
                <w:sz w:val="18"/>
                <w:szCs w:val="18"/>
                <w:lang w:val="fr-CA" w:eastAsia="en-CA"/>
              </w:rPr>
              <w:t>4</w:t>
            </w:r>
            <w:r w:rsidR="00A1660F">
              <w:rPr>
                <w:sz w:val="18"/>
                <w:szCs w:val="18"/>
                <w:lang w:val="fr-CA" w:eastAsia="en-CA"/>
              </w:rPr>
              <w:t>,</w:t>
            </w:r>
            <w:r w:rsidRPr="006735F6">
              <w:rPr>
                <w:sz w:val="18"/>
                <w:szCs w:val="18"/>
                <w:lang w:val="fr-CA" w:eastAsia="en-CA"/>
              </w:rPr>
              <w:t xml:space="preserve">26 </w:t>
            </w:r>
          </w:p>
        </w:tc>
      </w:tr>
      <w:tr w:rsidR="00CC2107" w:rsidRPr="006735F6" w14:paraId="54052C53"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554A4AB0" w14:textId="77777777" w:rsidR="00CC2107" w:rsidRPr="006735F6" w:rsidRDefault="00CC2107" w:rsidP="001E39EE">
            <w:pPr>
              <w:jc w:val="left"/>
              <w:rPr>
                <w:sz w:val="18"/>
                <w:szCs w:val="18"/>
                <w:lang w:val="fr-CA" w:eastAsia="en-CA"/>
              </w:rPr>
            </w:pPr>
            <w:r w:rsidRPr="006735F6">
              <w:rPr>
                <w:sz w:val="18"/>
                <w:szCs w:val="18"/>
                <w:lang w:val="fr-CA" w:eastAsia="en-CA"/>
              </w:rPr>
              <w:t>Europe</w:t>
            </w:r>
          </w:p>
        </w:tc>
        <w:tc>
          <w:tcPr>
            <w:tcW w:w="856" w:type="dxa"/>
            <w:tcBorders>
              <w:top w:val="nil"/>
              <w:left w:val="nil"/>
              <w:bottom w:val="single" w:sz="4" w:space="0" w:color="auto"/>
              <w:right w:val="single" w:sz="4" w:space="0" w:color="auto"/>
            </w:tcBorders>
            <w:shd w:val="clear" w:color="auto" w:fill="auto"/>
            <w:noWrap/>
            <w:hideMark/>
          </w:tcPr>
          <w:p w14:paraId="1E202B97" w14:textId="77777777" w:rsidR="00CC2107" w:rsidRPr="006735F6" w:rsidRDefault="00CC2107" w:rsidP="001E39EE">
            <w:pPr>
              <w:jc w:val="right"/>
              <w:rPr>
                <w:sz w:val="18"/>
                <w:szCs w:val="18"/>
                <w:lang w:val="fr-CA" w:eastAsia="en-CA"/>
              </w:rPr>
            </w:pPr>
            <w:r w:rsidRPr="006735F6">
              <w:rPr>
                <w:sz w:val="18"/>
                <w:szCs w:val="18"/>
                <w:lang w:val="fr-CA" w:eastAsia="en-CA"/>
              </w:rPr>
              <w:t>150</w:t>
            </w:r>
          </w:p>
        </w:tc>
        <w:tc>
          <w:tcPr>
            <w:tcW w:w="1251" w:type="dxa"/>
            <w:tcBorders>
              <w:top w:val="nil"/>
              <w:left w:val="nil"/>
              <w:bottom w:val="single" w:sz="4" w:space="0" w:color="auto"/>
              <w:right w:val="single" w:sz="4" w:space="0" w:color="auto"/>
            </w:tcBorders>
            <w:shd w:val="clear" w:color="auto" w:fill="auto"/>
            <w:noWrap/>
            <w:hideMark/>
          </w:tcPr>
          <w:p w14:paraId="5334F7AD" w14:textId="7037EE47" w:rsidR="00CC2107" w:rsidRPr="006735F6" w:rsidRDefault="00CC2107" w:rsidP="001E39EE">
            <w:pPr>
              <w:jc w:val="right"/>
              <w:rPr>
                <w:sz w:val="18"/>
                <w:szCs w:val="18"/>
                <w:lang w:val="fr-CA" w:eastAsia="en-CA"/>
              </w:rPr>
            </w:pPr>
            <w:r w:rsidRPr="006735F6">
              <w:rPr>
                <w:sz w:val="18"/>
                <w:szCs w:val="18"/>
                <w:lang w:val="fr-CA" w:eastAsia="en-CA"/>
              </w:rPr>
              <w:t>71</w:t>
            </w:r>
            <w:r w:rsidR="00A1660F">
              <w:rPr>
                <w:sz w:val="18"/>
                <w:szCs w:val="18"/>
                <w:lang w:val="fr-CA" w:eastAsia="en-CA"/>
              </w:rPr>
              <w:t xml:space="preserve"> </w:t>
            </w:r>
            <w:r w:rsidRPr="006735F6">
              <w:rPr>
                <w:sz w:val="18"/>
                <w:szCs w:val="18"/>
                <w:lang w:val="fr-CA" w:eastAsia="en-CA"/>
              </w:rPr>
              <w:t>853</w:t>
            </w:r>
            <w:r w:rsidR="00A1660F">
              <w:rPr>
                <w:sz w:val="18"/>
                <w:szCs w:val="18"/>
                <w:lang w:val="fr-CA" w:eastAsia="en-CA"/>
              </w:rPr>
              <w:t xml:space="preserve"> </w:t>
            </w:r>
            <w:r w:rsidRPr="006735F6">
              <w:rPr>
                <w:sz w:val="18"/>
                <w:szCs w:val="18"/>
                <w:lang w:val="fr-CA" w:eastAsia="en-CA"/>
              </w:rPr>
              <w:t>737</w:t>
            </w:r>
          </w:p>
        </w:tc>
        <w:tc>
          <w:tcPr>
            <w:tcW w:w="967" w:type="dxa"/>
            <w:tcBorders>
              <w:top w:val="nil"/>
              <w:left w:val="nil"/>
              <w:bottom w:val="single" w:sz="4" w:space="0" w:color="auto"/>
              <w:right w:val="single" w:sz="4" w:space="0" w:color="auto"/>
            </w:tcBorders>
            <w:shd w:val="clear" w:color="auto" w:fill="auto"/>
            <w:noWrap/>
            <w:hideMark/>
          </w:tcPr>
          <w:p w14:paraId="320E8E0D"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736C5945" w14:textId="693FCF8F" w:rsidR="00CC2107" w:rsidRPr="006735F6" w:rsidRDefault="00CC2107" w:rsidP="001E39EE">
            <w:pPr>
              <w:jc w:val="right"/>
              <w:rPr>
                <w:sz w:val="18"/>
                <w:szCs w:val="18"/>
                <w:lang w:val="fr-CA" w:eastAsia="en-CA"/>
              </w:rPr>
            </w:pPr>
            <w:r w:rsidRPr="006735F6">
              <w:rPr>
                <w:sz w:val="18"/>
                <w:szCs w:val="18"/>
                <w:lang w:val="fr-CA" w:eastAsia="en-CA"/>
              </w:rPr>
              <w:t>8</w:t>
            </w:r>
            <w:r w:rsidR="00A1660F">
              <w:rPr>
                <w:sz w:val="18"/>
                <w:szCs w:val="18"/>
                <w:lang w:val="fr-CA" w:eastAsia="en-CA"/>
              </w:rPr>
              <w:t xml:space="preserve"> </w:t>
            </w:r>
            <w:r w:rsidRPr="006735F6">
              <w:rPr>
                <w:sz w:val="18"/>
                <w:szCs w:val="18"/>
                <w:lang w:val="fr-CA" w:eastAsia="en-CA"/>
              </w:rPr>
              <w:t>048</w:t>
            </w:r>
          </w:p>
        </w:tc>
        <w:tc>
          <w:tcPr>
            <w:tcW w:w="992" w:type="dxa"/>
            <w:tcBorders>
              <w:top w:val="nil"/>
              <w:left w:val="nil"/>
              <w:bottom w:val="single" w:sz="4" w:space="0" w:color="auto"/>
              <w:right w:val="single" w:sz="4" w:space="0" w:color="auto"/>
            </w:tcBorders>
            <w:shd w:val="clear" w:color="auto" w:fill="auto"/>
            <w:noWrap/>
            <w:hideMark/>
          </w:tcPr>
          <w:p w14:paraId="1EA99006" w14:textId="77777777" w:rsidR="00CC2107" w:rsidRPr="006735F6" w:rsidRDefault="00CC2107" w:rsidP="001E39EE">
            <w:pPr>
              <w:jc w:val="right"/>
              <w:rPr>
                <w:sz w:val="18"/>
                <w:szCs w:val="18"/>
                <w:lang w:val="fr-CA" w:eastAsia="en-CA"/>
              </w:rPr>
            </w:pPr>
            <w:r w:rsidRPr="006735F6">
              <w:rPr>
                <w:sz w:val="18"/>
                <w:szCs w:val="18"/>
                <w:lang w:val="fr-CA" w:eastAsia="en-CA"/>
              </w:rPr>
              <w:t>175</w:t>
            </w:r>
          </w:p>
        </w:tc>
        <w:tc>
          <w:tcPr>
            <w:tcW w:w="1134" w:type="dxa"/>
            <w:tcBorders>
              <w:top w:val="nil"/>
              <w:left w:val="nil"/>
              <w:bottom w:val="single" w:sz="4" w:space="0" w:color="auto"/>
              <w:right w:val="single" w:sz="4" w:space="0" w:color="auto"/>
            </w:tcBorders>
            <w:shd w:val="clear" w:color="auto" w:fill="auto"/>
            <w:noWrap/>
            <w:hideMark/>
          </w:tcPr>
          <w:p w14:paraId="6A06F5A4" w14:textId="77777777" w:rsidR="00CC2107" w:rsidRPr="006735F6" w:rsidRDefault="00CC2107" w:rsidP="001E39EE">
            <w:pPr>
              <w:jc w:val="right"/>
              <w:rPr>
                <w:sz w:val="18"/>
                <w:szCs w:val="18"/>
                <w:lang w:val="fr-CA" w:eastAsia="en-CA"/>
              </w:rPr>
            </w:pPr>
            <w:r w:rsidRPr="006735F6">
              <w:rPr>
                <w:sz w:val="18"/>
                <w:szCs w:val="18"/>
                <w:lang w:val="fr-CA" w:eastAsia="en-CA"/>
              </w:rPr>
              <w:t>10</w:t>
            </w:r>
          </w:p>
        </w:tc>
        <w:tc>
          <w:tcPr>
            <w:tcW w:w="1240" w:type="dxa"/>
            <w:tcBorders>
              <w:top w:val="nil"/>
              <w:left w:val="nil"/>
              <w:bottom w:val="single" w:sz="4" w:space="0" w:color="auto"/>
              <w:right w:val="single" w:sz="4" w:space="0" w:color="auto"/>
            </w:tcBorders>
            <w:shd w:val="clear" w:color="auto" w:fill="auto"/>
            <w:noWrap/>
            <w:hideMark/>
          </w:tcPr>
          <w:p w14:paraId="280A8F03" w14:textId="77777777" w:rsidR="00CC2107" w:rsidRPr="006735F6" w:rsidRDefault="00CC2107" w:rsidP="001E39EE">
            <w:pPr>
              <w:jc w:val="right"/>
              <w:rPr>
                <w:sz w:val="18"/>
                <w:szCs w:val="18"/>
                <w:lang w:val="fr-CA" w:eastAsia="en-CA"/>
              </w:rPr>
            </w:pPr>
            <w:r w:rsidRPr="006735F6">
              <w:rPr>
                <w:sz w:val="18"/>
                <w:szCs w:val="18"/>
                <w:lang w:val="fr-CA" w:eastAsia="en-CA"/>
              </w:rPr>
              <w:t>34</w:t>
            </w:r>
          </w:p>
        </w:tc>
        <w:tc>
          <w:tcPr>
            <w:tcW w:w="1180" w:type="dxa"/>
            <w:tcBorders>
              <w:top w:val="nil"/>
              <w:left w:val="nil"/>
              <w:bottom w:val="single" w:sz="4" w:space="0" w:color="auto"/>
              <w:right w:val="single" w:sz="4" w:space="0" w:color="auto"/>
            </w:tcBorders>
            <w:shd w:val="clear" w:color="auto" w:fill="auto"/>
            <w:noWrap/>
            <w:hideMark/>
          </w:tcPr>
          <w:p w14:paraId="381D3849" w14:textId="61563D01" w:rsidR="00CC2107" w:rsidRPr="006735F6" w:rsidRDefault="00CC2107" w:rsidP="001E39EE">
            <w:pPr>
              <w:jc w:val="right"/>
              <w:rPr>
                <w:sz w:val="18"/>
                <w:szCs w:val="18"/>
                <w:lang w:val="fr-CA" w:eastAsia="en-CA"/>
              </w:rPr>
            </w:pPr>
            <w:r w:rsidRPr="006735F6">
              <w:rPr>
                <w:sz w:val="18"/>
                <w:szCs w:val="18"/>
                <w:lang w:val="fr-CA" w:eastAsia="en-CA"/>
              </w:rPr>
              <w:t>8</w:t>
            </w:r>
            <w:r w:rsidR="00A1660F">
              <w:rPr>
                <w:sz w:val="18"/>
                <w:szCs w:val="18"/>
                <w:lang w:val="fr-CA" w:eastAsia="en-CA"/>
              </w:rPr>
              <w:t>,</w:t>
            </w:r>
            <w:r w:rsidRPr="006735F6">
              <w:rPr>
                <w:sz w:val="18"/>
                <w:szCs w:val="18"/>
                <w:lang w:val="fr-CA" w:eastAsia="en-CA"/>
              </w:rPr>
              <w:t xml:space="preserve">74 </w:t>
            </w:r>
          </w:p>
        </w:tc>
      </w:tr>
      <w:tr w:rsidR="00CC2107" w:rsidRPr="006735F6" w14:paraId="3AA8F463"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658243E4" w14:textId="7D225284" w:rsidR="00CC2107" w:rsidRPr="006735F6" w:rsidRDefault="0045030F" w:rsidP="001E39EE">
            <w:pPr>
              <w:jc w:val="left"/>
              <w:rPr>
                <w:sz w:val="18"/>
                <w:szCs w:val="18"/>
                <w:lang w:val="fr-CA" w:eastAsia="en-CA"/>
              </w:rPr>
            </w:pPr>
            <w:r>
              <w:rPr>
                <w:sz w:val="18"/>
                <w:szCs w:val="18"/>
                <w:lang w:val="fr-CA" w:eastAsia="en-CA"/>
              </w:rPr>
              <w:lastRenderedPageBreak/>
              <w:t>Amérique latine et Caraïbes</w:t>
            </w:r>
          </w:p>
        </w:tc>
        <w:tc>
          <w:tcPr>
            <w:tcW w:w="856" w:type="dxa"/>
            <w:tcBorders>
              <w:top w:val="nil"/>
              <w:left w:val="nil"/>
              <w:bottom w:val="single" w:sz="4" w:space="0" w:color="auto"/>
              <w:right w:val="single" w:sz="4" w:space="0" w:color="auto"/>
            </w:tcBorders>
            <w:shd w:val="clear" w:color="auto" w:fill="auto"/>
            <w:noWrap/>
            <w:hideMark/>
          </w:tcPr>
          <w:p w14:paraId="51737691" w14:textId="77777777" w:rsidR="00CC2107" w:rsidRPr="006735F6" w:rsidRDefault="00CC2107" w:rsidP="001E39EE">
            <w:pPr>
              <w:jc w:val="right"/>
              <w:rPr>
                <w:sz w:val="18"/>
                <w:szCs w:val="18"/>
                <w:lang w:val="fr-CA" w:eastAsia="en-CA"/>
              </w:rPr>
            </w:pPr>
            <w:r w:rsidRPr="006735F6">
              <w:rPr>
                <w:sz w:val="18"/>
                <w:szCs w:val="18"/>
                <w:lang w:val="fr-CA" w:eastAsia="en-CA"/>
              </w:rPr>
              <w:t>703</w:t>
            </w:r>
          </w:p>
        </w:tc>
        <w:tc>
          <w:tcPr>
            <w:tcW w:w="1251" w:type="dxa"/>
            <w:tcBorders>
              <w:top w:val="nil"/>
              <w:left w:val="nil"/>
              <w:bottom w:val="single" w:sz="4" w:space="0" w:color="auto"/>
              <w:right w:val="single" w:sz="4" w:space="0" w:color="auto"/>
            </w:tcBorders>
            <w:shd w:val="clear" w:color="auto" w:fill="auto"/>
            <w:noWrap/>
            <w:hideMark/>
          </w:tcPr>
          <w:p w14:paraId="5598725D" w14:textId="5D79B9BF" w:rsidR="00CC2107" w:rsidRPr="006735F6" w:rsidRDefault="00CC2107" w:rsidP="001E39EE">
            <w:pPr>
              <w:jc w:val="right"/>
              <w:rPr>
                <w:sz w:val="18"/>
                <w:szCs w:val="18"/>
                <w:lang w:val="fr-CA" w:eastAsia="en-CA"/>
              </w:rPr>
            </w:pPr>
            <w:r w:rsidRPr="006735F6">
              <w:rPr>
                <w:sz w:val="18"/>
                <w:szCs w:val="18"/>
                <w:lang w:val="fr-CA" w:eastAsia="en-CA"/>
              </w:rPr>
              <w:t>402</w:t>
            </w:r>
            <w:r w:rsidR="00A1660F">
              <w:rPr>
                <w:sz w:val="18"/>
                <w:szCs w:val="18"/>
                <w:lang w:val="fr-CA" w:eastAsia="en-CA"/>
              </w:rPr>
              <w:t xml:space="preserve"> </w:t>
            </w:r>
            <w:r w:rsidRPr="006735F6">
              <w:rPr>
                <w:sz w:val="18"/>
                <w:szCs w:val="18"/>
                <w:lang w:val="fr-CA" w:eastAsia="en-CA"/>
              </w:rPr>
              <w:t>510</w:t>
            </w:r>
            <w:r w:rsidR="00A1660F">
              <w:rPr>
                <w:sz w:val="18"/>
                <w:szCs w:val="18"/>
                <w:lang w:val="fr-CA" w:eastAsia="en-CA"/>
              </w:rPr>
              <w:t xml:space="preserve"> </w:t>
            </w:r>
            <w:r w:rsidRPr="006735F6">
              <w:rPr>
                <w:sz w:val="18"/>
                <w:szCs w:val="18"/>
                <w:lang w:val="fr-CA" w:eastAsia="en-CA"/>
              </w:rPr>
              <w:t>909</w:t>
            </w:r>
          </w:p>
        </w:tc>
        <w:tc>
          <w:tcPr>
            <w:tcW w:w="967" w:type="dxa"/>
            <w:tcBorders>
              <w:top w:val="nil"/>
              <w:left w:val="nil"/>
              <w:bottom w:val="single" w:sz="4" w:space="0" w:color="auto"/>
              <w:right w:val="single" w:sz="4" w:space="0" w:color="auto"/>
            </w:tcBorders>
            <w:shd w:val="clear" w:color="auto" w:fill="auto"/>
            <w:noWrap/>
            <w:hideMark/>
          </w:tcPr>
          <w:p w14:paraId="546843E2" w14:textId="77777777" w:rsidR="00CC2107" w:rsidRPr="006735F6" w:rsidRDefault="00CC2107" w:rsidP="001E39EE">
            <w:pPr>
              <w:jc w:val="right"/>
              <w:rPr>
                <w:sz w:val="18"/>
                <w:szCs w:val="18"/>
                <w:lang w:val="fr-CA" w:eastAsia="en-CA"/>
              </w:rPr>
            </w:pPr>
            <w:r w:rsidRPr="006735F6">
              <w:rPr>
                <w:sz w:val="18"/>
                <w:szCs w:val="18"/>
                <w:lang w:val="fr-CA" w:eastAsia="en-CA"/>
              </w:rPr>
              <w:t>99</w:t>
            </w:r>
          </w:p>
        </w:tc>
        <w:tc>
          <w:tcPr>
            <w:tcW w:w="1009" w:type="dxa"/>
            <w:tcBorders>
              <w:top w:val="nil"/>
              <w:left w:val="nil"/>
              <w:bottom w:val="single" w:sz="4" w:space="0" w:color="auto"/>
              <w:right w:val="single" w:sz="4" w:space="0" w:color="auto"/>
            </w:tcBorders>
            <w:shd w:val="clear" w:color="auto" w:fill="auto"/>
            <w:noWrap/>
            <w:hideMark/>
          </w:tcPr>
          <w:p w14:paraId="3F0116BC" w14:textId="6E4BAA50" w:rsidR="00CC2107" w:rsidRPr="006735F6" w:rsidRDefault="00CC2107" w:rsidP="001E39EE">
            <w:pPr>
              <w:jc w:val="right"/>
              <w:rPr>
                <w:sz w:val="18"/>
                <w:szCs w:val="18"/>
                <w:lang w:val="fr-CA" w:eastAsia="en-CA"/>
              </w:rPr>
            </w:pPr>
            <w:r w:rsidRPr="006735F6">
              <w:rPr>
                <w:sz w:val="18"/>
                <w:szCs w:val="18"/>
                <w:lang w:val="fr-CA" w:eastAsia="en-CA"/>
              </w:rPr>
              <w:t>34</w:t>
            </w:r>
            <w:r w:rsidR="00A1660F">
              <w:rPr>
                <w:sz w:val="18"/>
                <w:szCs w:val="18"/>
                <w:lang w:val="fr-CA" w:eastAsia="en-CA"/>
              </w:rPr>
              <w:t xml:space="preserve"> </w:t>
            </w:r>
            <w:r w:rsidRPr="006735F6">
              <w:rPr>
                <w:sz w:val="18"/>
                <w:szCs w:val="18"/>
                <w:lang w:val="fr-CA" w:eastAsia="en-CA"/>
              </w:rPr>
              <w:t>614</w:t>
            </w:r>
          </w:p>
        </w:tc>
        <w:tc>
          <w:tcPr>
            <w:tcW w:w="992" w:type="dxa"/>
            <w:tcBorders>
              <w:top w:val="nil"/>
              <w:left w:val="nil"/>
              <w:bottom w:val="single" w:sz="4" w:space="0" w:color="auto"/>
              <w:right w:val="single" w:sz="4" w:space="0" w:color="auto"/>
            </w:tcBorders>
            <w:shd w:val="clear" w:color="auto" w:fill="auto"/>
            <w:noWrap/>
            <w:hideMark/>
          </w:tcPr>
          <w:p w14:paraId="27D1F7C6" w14:textId="71536B86" w:rsidR="00CC2107" w:rsidRPr="006735F6" w:rsidRDefault="00CC2107" w:rsidP="001E39EE">
            <w:pPr>
              <w:jc w:val="right"/>
              <w:rPr>
                <w:sz w:val="18"/>
                <w:szCs w:val="18"/>
                <w:lang w:val="fr-CA" w:eastAsia="en-CA"/>
              </w:rPr>
            </w:pPr>
            <w:r w:rsidRPr="006735F6">
              <w:rPr>
                <w:sz w:val="18"/>
                <w:szCs w:val="18"/>
                <w:lang w:val="fr-CA" w:eastAsia="en-CA"/>
              </w:rPr>
              <w:t>19</w:t>
            </w:r>
            <w:r w:rsidR="00A1660F">
              <w:rPr>
                <w:sz w:val="18"/>
                <w:szCs w:val="18"/>
                <w:lang w:val="fr-CA" w:eastAsia="en-CA"/>
              </w:rPr>
              <w:t xml:space="preserve"> </w:t>
            </w:r>
            <w:r w:rsidRPr="006735F6">
              <w:rPr>
                <w:sz w:val="18"/>
                <w:szCs w:val="18"/>
                <w:lang w:val="fr-CA" w:eastAsia="en-CA"/>
              </w:rPr>
              <w:t>775</w:t>
            </w:r>
          </w:p>
        </w:tc>
        <w:tc>
          <w:tcPr>
            <w:tcW w:w="1134" w:type="dxa"/>
            <w:tcBorders>
              <w:top w:val="nil"/>
              <w:left w:val="nil"/>
              <w:bottom w:val="single" w:sz="4" w:space="0" w:color="auto"/>
              <w:right w:val="single" w:sz="4" w:space="0" w:color="auto"/>
            </w:tcBorders>
            <w:shd w:val="clear" w:color="auto" w:fill="auto"/>
            <w:noWrap/>
            <w:hideMark/>
          </w:tcPr>
          <w:p w14:paraId="3D1B39BA" w14:textId="77777777" w:rsidR="00CC2107" w:rsidRPr="006735F6" w:rsidRDefault="00CC2107" w:rsidP="001E39EE">
            <w:pPr>
              <w:jc w:val="right"/>
              <w:rPr>
                <w:sz w:val="18"/>
                <w:szCs w:val="18"/>
                <w:lang w:val="fr-CA" w:eastAsia="en-CA"/>
              </w:rPr>
            </w:pPr>
            <w:r w:rsidRPr="006735F6">
              <w:rPr>
                <w:sz w:val="18"/>
                <w:szCs w:val="18"/>
                <w:lang w:val="fr-CA" w:eastAsia="en-CA"/>
              </w:rPr>
              <w:t>14</w:t>
            </w:r>
          </w:p>
        </w:tc>
        <w:tc>
          <w:tcPr>
            <w:tcW w:w="1240" w:type="dxa"/>
            <w:tcBorders>
              <w:top w:val="nil"/>
              <w:left w:val="nil"/>
              <w:bottom w:val="single" w:sz="4" w:space="0" w:color="auto"/>
              <w:right w:val="single" w:sz="4" w:space="0" w:color="auto"/>
            </w:tcBorders>
            <w:shd w:val="clear" w:color="auto" w:fill="auto"/>
            <w:noWrap/>
            <w:hideMark/>
          </w:tcPr>
          <w:p w14:paraId="58826365" w14:textId="77777777" w:rsidR="00CC2107" w:rsidRPr="006735F6" w:rsidRDefault="00CC2107" w:rsidP="001E39EE">
            <w:pPr>
              <w:jc w:val="right"/>
              <w:rPr>
                <w:sz w:val="18"/>
                <w:szCs w:val="18"/>
                <w:lang w:val="fr-CA" w:eastAsia="en-CA"/>
              </w:rPr>
            </w:pPr>
            <w:r w:rsidRPr="006735F6">
              <w:rPr>
                <w:sz w:val="18"/>
                <w:szCs w:val="18"/>
                <w:lang w:val="fr-CA" w:eastAsia="en-CA"/>
              </w:rPr>
              <w:t>37</w:t>
            </w:r>
          </w:p>
        </w:tc>
        <w:tc>
          <w:tcPr>
            <w:tcW w:w="1180" w:type="dxa"/>
            <w:tcBorders>
              <w:top w:val="nil"/>
              <w:left w:val="nil"/>
              <w:bottom w:val="single" w:sz="4" w:space="0" w:color="auto"/>
              <w:right w:val="single" w:sz="4" w:space="0" w:color="auto"/>
            </w:tcBorders>
            <w:shd w:val="clear" w:color="auto" w:fill="auto"/>
            <w:noWrap/>
            <w:hideMark/>
          </w:tcPr>
          <w:p w14:paraId="1D2BF6D4" w14:textId="7A134476" w:rsidR="00CC2107" w:rsidRPr="006735F6" w:rsidRDefault="00CC2107" w:rsidP="001E39EE">
            <w:pPr>
              <w:jc w:val="right"/>
              <w:rPr>
                <w:sz w:val="18"/>
                <w:szCs w:val="18"/>
                <w:lang w:val="fr-CA" w:eastAsia="en-CA"/>
              </w:rPr>
            </w:pPr>
            <w:r w:rsidRPr="006735F6">
              <w:rPr>
                <w:sz w:val="18"/>
                <w:szCs w:val="18"/>
                <w:lang w:val="fr-CA" w:eastAsia="en-CA"/>
              </w:rPr>
              <w:t>7</w:t>
            </w:r>
            <w:r w:rsidR="00A1660F">
              <w:rPr>
                <w:sz w:val="18"/>
                <w:szCs w:val="18"/>
                <w:lang w:val="fr-CA" w:eastAsia="en-CA"/>
              </w:rPr>
              <w:t>,</w:t>
            </w:r>
            <w:r w:rsidRPr="006735F6">
              <w:rPr>
                <w:sz w:val="18"/>
                <w:szCs w:val="18"/>
                <w:lang w:val="fr-CA" w:eastAsia="en-CA"/>
              </w:rPr>
              <w:t xml:space="preserve">40 </w:t>
            </w:r>
          </w:p>
        </w:tc>
      </w:tr>
      <w:tr w:rsidR="00CC2107" w:rsidRPr="006735F6" w14:paraId="355497F8"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7EB45DD7" w14:textId="30F2C5CF" w:rsidR="00CC2107" w:rsidRPr="006735F6" w:rsidRDefault="0045030F" w:rsidP="001E39EE">
            <w:pPr>
              <w:jc w:val="left"/>
              <w:rPr>
                <w:sz w:val="18"/>
                <w:szCs w:val="18"/>
                <w:lang w:val="fr-CA" w:eastAsia="en-CA"/>
              </w:rPr>
            </w:pPr>
            <w:r>
              <w:rPr>
                <w:sz w:val="18"/>
                <w:szCs w:val="18"/>
                <w:lang w:val="fr-CA" w:eastAsia="en-CA"/>
              </w:rPr>
              <w:t>Mondial</w:t>
            </w:r>
          </w:p>
        </w:tc>
        <w:tc>
          <w:tcPr>
            <w:tcW w:w="856" w:type="dxa"/>
            <w:tcBorders>
              <w:top w:val="nil"/>
              <w:left w:val="nil"/>
              <w:bottom w:val="single" w:sz="4" w:space="0" w:color="auto"/>
              <w:right w:val="single" w:sz="4" w:space="0" w:color="auto"/>
            </w:tcBorders>
            <w:shd w:val="clear" w:color="auto" w:fill="auto"/>
            <w:noWrap/>
            <w:hideMark/>
          </w:tcPr>
          <w:p w14:paraId="6881062D" w14:textId="392D4AD2" w:rsidR="00CC2107" w:rsidRPr="006735F6" w:rsidRDefault="00A1660F" w:rsidP="001E39EE">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51" w:type="dxa"/>
            <w:tcBorders>
              <w:top w:val="nil"/>
              <w:left w:val="nil"/>
              <w:bottom w:val="single" w:sz="4" w:space="0" w:color="auto"/>
              <w:right w:val="single" w:sz="4" w:space="0" w:color="auto"/>
            </w:tcBorders>
            <w:shd w:val="clear" w:color="auto" w:fill="auto"/>
            <w:noWrap/>
            <w:hideMark/>
          </w:tcPr>
          <w:p w14:paraId="38D6DCF7"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967" w:type="dxa"/>
            <w:tcBorders>
              <w:top w:val="nil"/>
              <w:left w:val="nil"/>
              <w:bottom w:val="single" w:sz="4" w:space="0" w:color="auto"/>
              <w:right w:val="single" w:sz="4" w:space="0" w:color="auto"/>
            </w:tcBorders>
            <w:shd w:val="clear" w:color="auto" w:fill="auto"/>
            <w:noWrap/>
            <w:hideMark/>
          </w:tcPr>
          <w:p w14:paraId="25E7C9CC"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009" w:type="dxa"/>
            <w:tcBorders>
              <w:top w:val="nil"/>
              <w:left w:val="nil"/>
              <w:bottom w:val="single" w:sz="4" w:space="0" w:color="auto"/>
              <w:right w:val="single" w:sz="4" w:space="0" w:color="auto"/>
            </w:tcBorders>
            <w:shd w:val="clear" w:color="auto" w:fill="auto"/>
            <w:noWrap/>
            <w:hideMark/>
          </w:tcPr>
          <w:p w14:paraId="48355753"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992" w:type="dxa"/>
            <w:tcBorders>
              <w:top w:val="nil"/>
              <w:left w:val="nil"/>
              <w:bottom w:val="single" w:sz="4" w:space="0" w:color="auto"/>
              <w:right w:val="single" w:sz="4" w:space="0" w:color="auto"/>
            </w:tcBorders>
            <w:shd w:val="clear" w:color="auto" w:fill="auto"/>
            <w:noWrap/>
            <w:hideMark/>
          </w:tcPr>
          <w:p w14:paraId="4163D82E"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2E692C10" w14:textId="175235A1" w:rsidR="00CC2107" w:rsidRPr="006735F6" w:rsidRDefault="00A1660F" w:rsidP="001E39EE">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40" w:type="dxa"/>
            <w:tcBorders>
              <w:top w:val="nil"/>
              <w:left w:val="nil"/>
              <w:bottom w:val="single" w:sz="4" w:space="0" w:color="auto"/>
              <w:right w:val="single" w:sz="4" w:space="0" w:color="auto"/>
            </w:tcBorders>
            <w:shd w:val="clear" w:color="auto" w:fill="auto"/>
            <w:noWrap/>
            <w:hideMark/>
          </w:tcPr>
          <w:p w14:paraId="13CC2301" w14:textId="7DF53258" w:rsidR="00CC2107" w:rsidRPr="006735F6" w:rsidRDefault="00A1660F" w:rsidP="001E39EE">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80" w:type="dxa"/>
            <w:tcBorders>
              <w:top w:val="nil"/>
              <w:left w:val="nil"/>
              <w:bottom w:val="single" w:sz="4" w:space="0" w:color="auto"/>
              <w:right w:val="single" w:sz="4" w:space="0" w:color="auto"/>
            </w:tcBorders>
            <w:shd w:val="clear" w:color="auto" w:fill="auto"/>
            <w:noWrap/>
            <w:hideMark/>
          </w:tcPr>
          <w:p w14:paraId="196791E4" w14:textId="0D8A39BD" w:rsidR="00CC2107" w:rsidRPr="006735F6" w:rsidRDefault="00A1660F" w:rsidP="001E39EE">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CC2107" w:rsidRPr="006735F6" w14:paraId="5C62283D" w14:textId="77777777" w:rsidTr="00CC2107">
        <w:trPr>
          <w:trHeight w:val="204"/>
        </w:trPr>
        <w:tc>
          <w:tcPr>
            <w:tcW w:w="1446" w:type="dxa"/>
            <w:tcBorders>
              <w:top w:val="nil"/>
              <w:left w:val="single" w:sz="4" w:space="0" w:color="auto"/>
              <w:bottom w:val="nil"/>
              <w:right w:val="nil"/>
            </w:tcBorders>
            <w:shd w:val="clear" w:color="auto" w:fill="auto"/>
            <w:noWrap/>
            <w:hideMark/>
          </w:tcPr>
          <w:p w14:paraId="0956CB28" w14:textId="1F1264BE" w:rsidR="00CC2107" w:rsidRPr="006735F6" w:rsidRDefault="0045030F" w:rsidP="001E39EE">
            <w:pPr>
              <w:jc w:val="left"/>
              <w:rPr>
                <w:b/>
                <w:bCs/>
                <w:sz w:val="18"/>
                <w:szCs w:val="18"/>
                <w:lang w:val="fr-CA" w:eastAsia="en-CA"/>
              </w:rPr>
            </w:pPr>
            <w:r>
              <w:rPr>
                <w:b/>
                <w:bCs/>
                <w:sz w:val="18"/>
                <w:szCs w:val="18"/>
                <w:lang w:val="fr-CA" w:eastAsia="en-CA"/>
              </w:rPr>
              <w:t>Secteur</w:t>
            </w:r>
          </w:p>
        </w:tc>
        <w:tc>
          <w:tcPr>
            <w:tcW w:w="856" w:type="dxa"/>
            <w:tcBorders>
              <w:top w:val="nil"/>
              <w:left w:val="nil"/>
              <w:bottom w:val="nil"/>
              <w:right w:val="nil"/>
            </w:tcBorders>
            <w:shd w:val="clear" w:color="auto" w:fill="auto"/>
            <w:noWrap/>
            <w:hideMark/>
          </w:tcPr>
          <w:p w14:paraId="61BC6AA3" w14:textId="77777777" w:rsidR="00CC2107" w:rsidRPr="006735F6" w:rsidRDefault="00CC2107" w:rsidP="001E39EE">
            <w:pPr>
              <w:jc w:val="left"/>
              <w:rPr>
                <w:b/>
                <w:bCs/>
                <w:sz w:val="18"/>
                <w:szCs w:val="18"/>
                <w:lang w:val="fr-CA" w:eastAsia="en-CA"/>
              </w:rPr>
            </w:pPr>
          </w:p>
        </w:tc>
        <w:tc>
          <w:tcPr>
            <w:tcW w:w="1251" w:type="dxa"/>
            <w:tcBorders>
              <w:top w:val="nil"/>
              <w:left w:val="nil"/>
              <w:bottom w:val="nil"/>
              <w:right w:val="nil"/>
            </w:tcBorders>
            <w:shd w:val="clear" w:color="auto" w:fill="auto"/>
            <w:noWrap/>
            <w:hideMark/>
          </w:tcPr>
          <w:p w14:paraId="1453D665" w14:textId="77777777" w:rsidR="00CC2107" w:rsidRPr="006735F6" w:rsidRDefault="00CC2107" w:rsidP="001E39EE">
            <w:pPr>
              <w:jc w:val="left"/>
              <w:rPr>
                <w:sz w:val="18"/>
                <w:szCs w:val="18"/>
                <w:lang w:val="fr-CA" w:eastAsia="en-CA"/>
              </w:rPr>
            </w:pPr>
          </w:p>
        </w:tc>
        <w:tc>
          <w:tcPr>
            <w:tcW w:w="967" w:type="dxa"/>
            <w:tcBorders>
              <w:top w:val="nil"/>
              <w:left w:val="nil"/>
              <w:bottom w:val="nil"/>
              <w:right w:val="nil"/>
            </w:tcBorders>
            <w:shd w:val="clear" w:color="auto" w:fill="auto"/>
            <w:noWrap/>
            <w:hideMark/>
          </w:tcPr>
          <w:p w14:paraId="6F5498BC" w14:textId="77777777" w:rsidR="00CC2107" w:rsidRPr="006735F6" w:rsidRDefault="00CC2107" w:rsidP="001E39EE">
            <w:pPr>
              <w:jc w:val="left"/>
              <w:rPr>
                <w:sz w:val="18"/>
                <w:szCs w:val="18"/>
                <w:lang w:val="fr-CA" w:eastAsia="en-CA"/>
              </w:rPr>
            </w:pPr>
          </w:p>
        </w:tc>
        <w:tc>
          <w:tcPr>
            <w:tcW w:w="1009" w:type="dxa"/>
            <w:tcBorders>
              <w:top w:val="nil"/>
              <w:left w:val="nil"/>
              <w:bottom w:val="nil"/>
              <w:right w:val="nil"/>
            </w:tcBorders>
            <w:shd w:val="clear" w:color="auto" w:fill="auto"/>
            <w:noWrap/>
            <w:hideMark/>
          </w:tcPr>
          <w:p w14:paraId="1B745F68" w14:textId="77777777" w:rsidR="00CC2107" w:rsidRPr="006735F6" w:rsidRDefault="00CC2107" w:rsidP="001E39EE">
            <w:pPr>
              <w:jc w:val="left"/>
              <w:rPr>
                <w:sz w:val="18"/>
                <w:szCs w:val="18"/>
                <w:lang w:val="fr-CA" w:eastAsia="en-CA"/>
              </w:rPr>
            </w:pPr>
          </w:p>
        </w:tc>
        <w:tc>
          <w:tcPr>
            <w:tcW w:w="992" w:type="dxa"/>
            <w:tcBorders>
              <w:top w:val="nil"/>
              <w:left w:val="nil"/>
              <w:bottom w:val="nil"/>
              <w:right w:val="nil"/>
            </w:tcBorders>
            <w:shd w:val="clear" w:color="auto" w:fill="auto"/>
            <w:noWrap/>
            <w:hideMark/>
          </w:tcPr>
          <w:p w14:paraId="5A7CDD0A" w14:textId="77777777" w:rsidR="00CC2107" w:rsidRPr="006735F6" w:rsidRDefault="00CC2107" w:rsidP="001E39EE">
            <w:pPr>
              <w:jc w:val="left"/>
              <w:rPr>
                <w:sz w:val="18"/>
                <w:szCs w:val="18"/>
                <w:lang w:val="fr-CA" w:eastAsia="en-CA"/>
              </w:rPr>
            </w:pPr>
          </w:p>
        </w:tc>
        <w:tc>
          <w:tcPr>
            <w:tcW w:w="1134" w:type="dxa"/>
            <w:tcBorders>
              <w:top w:val="nil"/>
              <w:left w:val="nil"/>
              <w:bottom w:val="nil"/>
              <w:right w:val="nil"/>
            </w:tcBorders>
            <w:shd w:val="clear" w:color="auto" w:fill="auto"/>
            <w:noWrap/>
            <w:hideMark/>
          </w:tcPr>
          <w:p w14:paraId="0338B4AF" w14:textId="77777777" w:rsidR="00CC2107" w:rsidRPr="006735F6" w:rsidRDefault="00CC2107" w:rsidP="001E39EE">
            <w:pPr>
              <w:jc w:val="left"/>
              <w:rPr>
                <w:sz w:val="18"/>
                <w:szCs w:val="18"/>
                <w:lang w:val="fr-CA" w:eastAsia="en-CA"/>
              </w:rPr>
            </w:pPr>
          </w:p>
        </w:tc>
        <w:tc>
          <w:tcPr>
            <w:tcW w:w="1240" w:type="dxa"/>
            <w:tcBorders>
              <w:top w:val="nil"/>
              <w:left w:val="nil"/>
              <w:bottom w:val="nil"/>
              <w:right w:val="nil"/>
            </w:tcBorders>
            <w:shd w:val="clear" w:color="auto" w:fill="auto"/>
            <w:noWrap/>
            <w:hideMark/>
          </w:tcPr>
          <w:p w14:paraId="31784E34" w14:textId="77777777" w:rsidR="00CC2107" w:rsidRPr="006735F6" w:rsidRDefault="00CC2107" w:rsidP="001E39EE">
            <w:pPr>
              <w:jc w:val="right"/>
              <w:rPr>
                <w:sz w:val="18"/>
                <w:szCs w:val="18"/>
                <w:lang w:val="fr-CA" w:eastAsia="en-CA"/>
              </w:rPr>
            </w:pPr>
          </w:p>
        </w:tc>
        <w:tc>
          <w:tcPr>
            <w:tcW w:w="1180" w:type="dxa"/>
            <w:tcBorders>
              <w:top w:val="nil"/>
              <w:left w:val="nil"/>
              <w:bottom w:val="nil"/>
              <w:right w:val="single" w:sz="4" w:space="0" w:color="auto"/>
            </w:tcBorders>
            <w:shd w:val="clear" w:color="auto" w:fill="auto"/>
            <w:noWrap/>
            <w:hideMark/>
          </w:tcPr>
          <w:p w14:paraId="6F5CF64F" w14:textId="77777777" w:rsidR="00CC2107" w:rsidRPr="006735F6" w:rsidRDefault="00CC2107" w:rsidP="001E39EE">
            <w:pPr>
              <w:jc w:val="right"/>
              <w:rPr>
                <w:sz w:val="18"/>
                <w:szCs w:val="18"/>
                <w:lang w:val="fr-CA" w:eastAsia="en-CA"/>
              </w:rPr>
            </w:pPr>
            <w:r w:rsidRPr="006735F6">
              <w:rPr>
                <w:sz w:val="18"/>
                <w:szCs w:val="18"/>
                <w:lang w:val="fr-CA" w:eastAsia="en-CA"/>
              </w:rPr>
              <w:t> </w:t>
            </w:r>
          </w:p>
        </w:tc>
      </w:tr>
      <w:tr w:rsidR="00CC2107" w:rsidRPr="006735F6" w14:paraId="70BCF0DD" w14:textId="77777777" w:rsidTr="00CC2107">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3CAE8999" w14:textId="2D4E643D" w:rsidR="00CC2107" w:rsidRPr="006735F6" w:rsidRDefault="00CC2107" w:rsidP="001E39EE">
            <w:pPr>
              <w:jc w:val="left"/>
              <w:rPr>
                <w:sz w:val="18"/>
                <w:szCs w:val="18"/>
                <w:lang w:val="fr-CA" w:eastAsia="en-CA"/>
              </w:rPr>
            </w:pPr>
            <w:r w:rsidRPr="006735F6">
              <w:rPr>
                <w:sz w:val="18"/>
                <w:szCs w:val="18"/>
                <w:lang w:val="fr-CA" w:eastAsia="en-CA"/>
              </w:rPr>
              <w:t>A</w:t>
            </w:r>
            <w:r w:rsidR="0045030F">
              <w:rPr>
                <w:sz w:val="18"/>
                <w:szCs w:val="18"/>
                <w:lang w:val="fr-CA" w:eastAsia="en-CA"/>
              </w:rPr>
              <w:t>érosols</w:t>
            </w:r>
          </w:p>
        </w:tc>
        <w:tc>
          <w:tcPr>
            <w:tcW w:w="856" w:type="dxa"/>
            <w:tcBorders>
              <w:top w:val="single" w:sz="4" w:space="0" w:color="auto"/>
              <w:left w:val="nil"/>
              <w:bottom w:val="single" w:sz="4" w:space="0" w:color="auto"/>
              <w:right w:val="single" w:sz="4" w:space="0" w:color="auto"/>
            </w:tcBorders>
            <w:shd w:val="clear" w:color="auto" w:fill="auto"/>
            <w:noWrap/>
            <w:hideMark/>
          </w:tcPr>
          <w:p w14:paraId="0EE17978" w14:textId="77777777" w:rsidR="00CC2107" w:rsidRPr="006735F6" w:rsidRDefault="00CC2107" w:rsidP="001E39EE">
            <w:pPr>
              <w:jc w:val="right"/>
              <w:rPr>
                <w:sz w:val="18"/>
                <w:szCs w:val="18"/>
                <w:lang w:val="fr-CA" w:eastAsia="en-CA"/>
              </w:rPr>
            </w:pPr>
            <w:r w:rsidRPr="006735F6">
              <w:rPr>
                <w:sz w:val="18"/>
                <w:szCs w:val="18"/>
                <w:lang w:val="fr-CA" w:eastAsia="en-CA"/>
              </w:rPr>
              <w:t>127</w:t>
            </w:r>
          </w:p>
        </w:tc>
        <w:tc>
          <w:tcPr>
            <w:tcW w:w="1251" w:type="dxa"/>
            <w:tcBorders>
              <w:top w:val="single" w:sz="4" w:space="0" w:color="auto"/>
              <w:left w:val="nil"/>
              <w:bottom w:val="single" w:sz="4" w:space="0" w:color="auto"/>
              <w:right w:val="single" w:sz="4" w:space="0" w:color="auto"/>
            </w:tcBorders>
            <w:shd w:val="clear" w:color="auto" w:fill="auto"/>
            <w:noWrap/>
            <w:hideMark/>
          </w:tcPr>
          <w:p w14:paraId="7AFD9D9F" w14:textId="35EDB157" w:rsidR="00CC2107" w:rsidRPr="006735F6" w:rsidRDefault="00CC2107" w:rsidP="001E39EE">
            <w:pPr>
              <w:jc w:val="right"/>
              <w:rPr>
                <w:sz w:val="18"/>
                <w:szCs w:val="18"/>
                <w:lang w:val="fr-CA" w:eastAsia="en-CA"/>
              </w:rPr>
            </w:pPr>
            <w:r w:rsidRPr="006735F6">
              <w:rPr>
                <w:sz w:val="18"/>
                <w:szCs w:val="18"/>
                <w:lang w:val="fr-CA" w:eastAsia="en-CA"/>
              </w:rPr>
              <w:t>82</w:t>
            </w:r>
            <w:r w:rsidR="00A1660F">
              <w:rPr>
                <w:sz w:val="18"/>
                <w:szCs w:val="18"/>
                <w:lang w:val="fr-CA" w:eastAsia="en-CA"/>
              </w:rPr>
              <w:t xml:space="preserve"> </w:t>
            </w:r>
            <w:r w:rsidRPr="006735F6">
              <w:rPr>
                <w:sz w:val="18"/>
                <w:szCs w:val="18"/>
                <w:lang w:val="fr-CA" w:eastAsia="en-CA"/>
              </w:rPr>
              <w:t>517</w:t>
            </w:r>
            <w:r w:rsidR="00A1660F">
              <w:rPr>
                <w:sz w:val="18"/>
                <w:szCs w:val="18"/>
                <w:lang w:val="fr-CA" w:eastAsia="en-CA"/>
              </w:rPr>
              <w:t xml:space="preserve"> </w:t>
            </w:r>
            <w:r w:rsidRPr="006735F6">
              <w:rPr>
                <w:sz w:val="18"/>
                <w:szCs w:val="18"/>
                <w:lang w:val="fr-CA" w:eastAsia="en-CA"/>
              </w:rPr>
              <w:t>299</w:t>
            </w:r>
          </w:p>
        </w:tc>
        <w:tc>
          <w:tcPr>
            <w:tcW w:w="967" w:type="dxa"/>
            <w:tcBorders>
              <w:top w:val="single" w:sz="4" w:space="0" w:color="auto"/>
              <w:left w:val="nil"/>
              <w:bottom w:val="single" w:sz="4" w:space="0" w:color="auto"/>
              <w:right w:val="single" w:sz="4" w:space="0" w:color="auto"/>
            </w:tcBorders>
            <w:shd w:val="clear" w:color="auto" w:fill="auto"/>
            <w:noWrap/>
            <w:hideMark/>
          </w:tcPr>
          <w:p w14:paraId="6E94E355"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60E21668" w14:textId="2C5C4468" w:rsidR="00CC2107" w:rsidRPr="006735F6" w:rsidRDefault="00CC2107" w:rsidP="001E39EE">
            <w:pPr>
              <w:jc w:val="right"/>
              <w:rPr>
                <w:sz w:val="18"/>
                <w:szCs w:val="18"/>
                <w:lang w:val="fr-CA" w:eastAsia="en-CA"/>
              </w:rPr>
            </w:pPr>
            <w:r w:rsidRPr="006735F6">
              <w:rPr>
                <w:sz w:val="18"/>
                <w:szCs w:val="18"/>
                <w:lang w:val="fr-CA" w:eastAsia="en-CA"/>
              </w:rPr>
              <w:t>27</w:t>
            </w:r>
            <w:r w:rsidR="00A1660F">
              <w:rPr>
                <w:sz w:val="18"/>
                <w:szCs w:val="18"/>
                <w:lang w:val="fr-CA" w:eastAsia="en-CA"/>
              </w:rPr>
              <w:t xml:space="preserve"> </w:t>
            </w:r>
            <w:r w:rsidRPr="006735F6">
              <w:rPr>
                <w:sz w:val="18"/>
                <w:szCs w:val="18"/>
                <w:lang w:val="fr-CA" w:eastAsia="en-CA"/>
              </w:rPr>
              <w:t>449</w:t>
            </w:r>
          </w:p>
        </w:tc>
        <w:tc>
          <w:tcPr>
            <w:tcW w:w="992" w:type="dxa"/>
            <w:tcBorders>
              <w:top w:val="single" w:sz="4" w:space="0" w:color="auto"/>
              <w:left w:val="nil"/>
              <w:bottom w:val="single" w:sz="4" w:space="0" w:color="auto"/>
              <w:right w:val="single" w:sz="4" w:space="0" w:color="auto"/>
            </w:tcBorders>
            <w:shd w:val="clear" w:color="auto" w:fill="auto"/>
            <w:noWrap/>
            <w:hideMark/>
          </w:tcPr>
          <w:p w14:paraId="5C828E96"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17A50588" w14:textId="77777777" w:rsidR="00CC2107" w:rsidRPr="006735F6" w:rsidRDefault="00CC2107" w:rsidP="001E39EE">
            <w:pPr>
              <w:jc w:val="right"/>
              <w:rPr>
                <w:sz w:val="18"/>
                <w:szCs w:val="18"/>
                <w:lang w:val="fr-CA" w:eastAsia="en-CA"/>
              </w:rPr>
            </w:pPr>
            <w:r w:rsidRPr="006735F6">
              <w:rPr>
                <w:sz w:val="18"/>
                <w:szCs w:val="18"/>
                <w:lang w:val="fr-CA" w:eastAsia="en-CA"/>
              </w:rPr>
              <w:t>16</w:t>
            </w:r>
          </w:p>
        </w:tc>
        <w:tc>
          <w:tcPr>
            <w:tcW w:w="1240" w:type="dxa"/>
            <w:tcBorders>
              <w:top w:val="single" w:sz="4" w:space="0" w:color="auto"/>
              <w:left w:val="nil"/>
              <w:bottom w:val="single" w:sz="4" w:space="0" w:color="auto"/>
              <w:right w:val="single" w:sz="4" w:space="0" w:color="auto"/>
            </w:tcBorders>
            <w:shd w:val="clear" w:color="auto" w:fill="auto"/>
            <w:noWrap/>
            <w:hideMark/>
          </w:tcPr>
          <w:p w14:paraId="30D2019B" w14:textId="77777777" w:rsidR="00CC2107" w:rsidRPr="006735F6" w:rsidRDefault="00CC2107" w:rsidP="001E39EE">
            <w:pPr>
              <w:jc w:val="right"/>
              <w:rPr>
                <w:sz w:val="18"/>
                <w:szCs w:val="18"/>
                <w:lang w:val="fr-CA" w:eastAsia="en-CA"/>
              </w:rPr>
            </w:pPr>
            <w:r w:rsidRPr="006735F6">
              <w:rPr>
                <w:sz w:val="18"/>
                <w:szCs w:val="18"/>
                <w:lang w:val="fr-CA" w:eastAsia="en-CA"/>
              </w:rPr>
              <w:t>43</w:t>
            </w:r>
          </w:p>
        </w:tc>
        <w:tc>
          <w:tcPr>
            <w:tcW w:w="1180" w:type="dxa"/>
            <w:tcBorders>
              <w:top w:val="single" w:sz="4" w:space="0" w:color="auto"/>
              <w:left w:val="nil"/>
              <w:bottom w:val="single" w:sz="4" w:space="0" w:color="auto"/>
              <w:right w:val="single" w:sz="4" w:space="0" w:color="auto"/>
            </w:tcBorders>
            <w:shd w:val="clear" w:color="auto" w:fill="auto"/>
            <w:noWrap/>
            <w:hideMark/>
          </w:tcPr>
          <w:p w14:paraId="039470ED" w14:textId="50782763" w:rsidR="00CC2107" w:rsidRPr="006735F6" w:rsidRDefault="00CC2107" w:rsidP="001E39EE">
            <w:pPr>
              <w:jc w:val="right"/>
              <w:rPr>
                <w:sz w:val="18"/>
                <w:szCs w:val="18"/>
                <w:lang w:val="fr-CA" w:eastAsia="en-CA"/>
              </w:rPr>
            </w:pPr>
            <w:r w:rsidRPr="006735F6">
              <w:rPr>
                <w:sz w:val="18"/>
                <w:szCs w:val="18"/>
                <w:lang w:val="fr-CA" w:eastAsia="en-CA"/>
              </w:rPr>
              <w:t>3</w:t>
            </w:r>
            <w:r w:rsidR="00A1660F">
              <w:rPr>
                <w:sz w:val="18"/>
                <w:szCs w:val="18"/>
                <w:lang w:val="fr-CA" w:eastAsia="en-CA"/>
              </w:rPr>
              <w:t>,</w:t>
            </w:r>
            <w:r w:rsidRPr="006735F6">
              <w:rPr>
                <w:sz w:val="18"/>
                <w:szCs w:val="18"/>
                <w:lang w:val="fr-CA" w:eastAsia="en-CA"/>
              </w:rPr>
              <w:t xml:space="preserve">01 </w:t>
            </w:r>
          </w:p>
        </w:tc>
      </w:tr>
      <w:tr w:rsidR="00CC2107" w:rsidRPr="006735F6" w14:paraId="7435FA64"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1B71340A" w14:textId="77777777" w:rsidR="00CC2107" w:rsidRPr="006735F6" w:rsidRDefault="00CC2107" w:rsidP="001E39EE">
            <w:pPr>
              <w:jc w:val="left"/>
              <w:rPr>
                <w:sz w:val="18"/>
                <w:szCs w:val="18"/>
                <w:lang w:val="fr-CA" w:eastAsia="en-CA"/>
              </w:rPr>
            </w:pPr>
            <w:r w:rsidRPr="006735F6">
              <w:rPr>
                <w:sz w:val="18"/>
                <w:szCs w:val="18"/>
                <w:lang w:val="fr-CA" w:eastAsia="en-CA"/>
              </w:rPr>
              <w:t>Destruction</w:t>
            </w:r>
          </w:p>
        </w:tc>
        <w:tc>
          <w:tcPr>
            <w:tcW w:w="856" w:type="dxa"/>
            <w:tcBorders>
              <w:top w:val="nil"/>
              <w:left w:val="nil"/>
              <w:bottom w:val="single" w:sz="4" w:space="0" w:color="auto"/>
              <w:right w:val="single" w:sz="4" w:space="0" w:color="auto"/>
            </w:tcBorders>
            <w:shd w:val="clear" w:color="auto" w:fill="auto"/>
            <w:noWrap/>
            <w:hideMark/>
          </w:tcPr>
          <w:p w14:paraId="60E630E2"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251" w:type="dxa"/>
            <w:tcBorders>
              <w:top w:val="nil"/>
              <w:left w:val="nil"/>
              <w:bottom w:val="single" w:sz="4" w:space="0" w:color="auto"/>
              <w:right w:val="single" w:sz="4" w:space="0" w:color="auto"/>
            </w:tcBorders>
            <w:shd w:val="clear" w:color="auto" w:fill="auto"/>
            <w:noWrap/>
            <w:hideMark/>
          </w:tcPr>
          <w:p w14:paraId="79EE325A"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967" w:type="dxa"/>
            <w:tcBorders>
              <w:top w:val="nil"/>
              <w:left w:val="nil"/>
              <w:bottom w:val="single" w:sz="4" w:space="0" w:color="auto"/>
              <w:right w:val="single" w:sz="4" w:space="0" w:color="auto"/>
            </w:tcBorders>
            <w:shd w:val="clear" w:color="auto" w:fill="auto"/>
            <w:noWrap/>
            <w:hideMark/>
          </w:tcPr>
          <w:p w14:paraId="420EA83F"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009" w:type="dxa"/>
            <w:tcBorders>
              <w:top w:val="nil"/>
              <w:left w:val="nil"/>
              <w:bottom w:val="single" w:sz="4" w:space="0" w:color="auto"/>
              <w:right w:val="single" w:sz="4" w:space="0" w:color="auto"/>
            </w:tcBorders>
            <w:shd w:val="clear" w:color="auto" w:fill="auto"/>
            <w:noWrap/>
            <w:hideMark/>
          </w:tcPr>
          <w:p w14:paraId="475954F9"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992" w:type="dxa"/>
            <w:tcBorders>
              <w:top w:val="nil"/>
              <w:left w:val="nil"/>
              <w:bottom w:val="single" w:sz="4" w:space="0" w:color="auto"/>
              <w:right w:val="single" w:sz="4" w:space="0" w:color="auto"/>
            </w:tcBorders>
            <w:shd w:val="clear" w:color="auto" w:fill="auto"/>
            <w:noWrap/>
            <w:hideMark/>
          </w:tcPr>
          <w:p w14:paraId="491DB75D"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14103BA3" w14:textId="4500194F" w:rsidR="00CC2107" w:rsidRPr="006735F6" w:rsidRDefault="00A1660F" w:rsidP="001E39EE">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40" w:type="dxa"/>
            <w:tcBorders>
              <w:top w:val="nil"/>
              <w:left w:val="nil"/>
              <w:bottom w:val="single" w:sz="4" w:space="0" w:color="auto"/>
              <w:right w:val="single" w:sz="4" w:space="0" w:color="auto"/>
            </w:tcBorders>
            <w:shd w:val="clear" w:color="auto" w:fill="auto"/>
            <w:noWrap/>
            <w:hideMark/>
          </w:tcPr>
          <w:p w14:paraId="4DCC8F51" w14:textId="0368F4D1" w:rsidR="00CC2107" w:rsidRPr="006735F6" w:rsidRDefault="00A1660F" w:rsidP="001E39EE">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80" w:type="dxa"/>
            <w:tcBorders>
              <w:top w:val="nil"/>
              <w:left w:val="nil"/>
              <w:bottom w:val="single" w:sz="4" w:space="0" w:color="auto"/>
              <w:right w:val="single" w:sz="4" w:space="0" w:color="auto"/>
            </w:tcBorders>
            <w:shd w:val="clear" w:color="auto" w:fill="auto"/>
            <w:noWrap/>
            <w:hideMark/>
          </w:tcPr>
          <w:p w14:paraId="3BA2EB9F" w14:textId="3A383103" w:rsidR="00CC2107" w:rsidRPr="006735F6" w:rsidRDefault="00A1660F" w:rsidP="001E39EE">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CC2107" w:rsidRPr="006735F6" w14:paraId="48D40D4F"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55D3C10B" w14:textId="03056EE8" w:rsidR="00CC2107" w:rsidRPr="006735F6" w:rsidRDefault="0045030F" w:rsidP="001E39EE">
            <w:pPr>
              <w:jc w:val="left"/>
              <w:rPr>
                <w:sz w:val="18"/>
                <w:szCs w:val="18"/>
                <w:lang w:val="fr-CA" w:eastAsia="en-CA"/>
              </w:rPr>
            </w:pPr>
            <w:r>
              <w:rPr>
                <w:sz w:val="18"/>
                <w:szCs w:val="18"/>
                <w:lang w:val="fr-CA" w:eastAsia="en-CA"/>
              </w:rPr>
              <w:t>Lutte contre les incendies</w:t>
            </w:r>
          </w:p>
        </w:tc>
        <w:tc>
          <w:tcPr>
            <w:tcW w:w="856" w:type="dxa"/>
            <w:tcBorders>
              <w:top w:val="nil"/>
              <w:left w:val="nil"/>
              <w:bottom w:val="single" w:sz="4" w:space="0" w:color="auto"/>
              <w:right w:val="single" w:sz="4" w:space="0" w:color="auto"/>
            </w:tcBorders>
            <w:shd w:val="clear" w:color="auto" w:fill="auto"/>
            <w:noWrap/>
            <w:hideMark/>
          </w:tcPr>
          <w:p w14:paraId="37A1A06F"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251" w:type="dxa"/>
            <w:tcBorders>
              <w:top w:val="nil"/>
              <w:left w:val="nil"/>
              <w:bottom w:val="single" w:sz="4" w:space="0" w:color="auto"/>
              <w:right w:val="single" w:sz="4" w:space="0" w:color="auto"/>
            </w:tcBorders>
            <w:shd w:val="clear" w:color="auto" w:fill="auto"/>
            <w:noWrap/>
            <w:hideMark/>
          </w:tcPr>
          <w:p w14:paraId="4E948935"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967" w:type="dxa"/>
            <w:tcBorders>
              <w:top w:val="nil"/>
              <w:left w:val="nil"/>
              <w:bottom w:val="single" w:sz="4" w:space="0" w:color="auto"/>
              <w:right w:val="single" w:sz="4" w:space="0" w:color="auto"/>
            </w:tcBorders>
            <w:shd w:val="clear" w:color="auto" w:fill="auto"/>
            <w:noWrap/>
            <w:hideMark/>
          </w:tcPr>
          <w:p w14:paraId="336089A6"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009" w:type="dxa"/>
            <w:tcBorders>
              <w:top w:val="nil"/>
              <w:left w:val="nil"/>
              <w:bottom w:val="single" w:sz="4" w:space="0" w:color="auto"/>
              <w:right w:val="single" w:sz="4" w:space="0" w:color="auto"/>
            </w:tcBorders>
            <w:shd w:val="clear" w:color="auto" w:fill="auto"/>
            <w:noWrap/>
            <w:hideMark/>
          </w:tcPr>
          <w:p w14:paraId="198D8584"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992" w:type="dxa"/>
            <w:tcBorders>
              <w:top w:val="nil"/>
              <w:left w:val="nil"/>
              <w:bottom w:val="single" w:sz="4" w:space="0" w:color="auto"/>
              <w:right w:val="single" w:sz="4" w:space="0" w:color="auto"/>
            </w:tcBorders>
            <w:shd w:val="clear" w:color="auto" w:fill="auto"/>
            <w:noWrap/>
            <w:hideMark/>
          </w:tcPr>
          <w:p w14:paraId="6547D51E"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0FC7DAA2" w14:textId="269BF389" w:rsidR="00CC2107" w:rsidRPr="006735F6" w:rsidRDefault="00A1660F" w:rsidP="001E39EE">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40" w:type="dxa"/>
            <w:tcBorders>
              <w:top w:val="nil"/>
              <w:left w:val="nil"/>
              <w:bottom w:val="single" w:sz="4" w:space="0" w:color="auto"/>
              <w:right w:val="single" w:sz="4" w:space="0" w:color="auto"/>
            </w:tcBorders>
            <w:shd w:val="clear" w:color="auto" w:fill="auto"/>
            <w:noWrap/>
            <w:hideMark/>
          </w:tcPr>
          <w:p w14:paraId="011B4090" w14:textId="27FF5751" w:rsidR="00CC2107" w:rsidRPr="006735F6" w:rsidRDefault="00A1660F" w:rsidP="001E39EE">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80" w:type="dxa"/>
            <w:tcBorders>
              <w:top w:val="nil"/>
              <w:left w:val="nil"/>
              <w:bottom w:val="single" w:sz="4" w:space="0" w:color="auto"/>
              <w:right w:val="single" w:sz="4" w:space="0" w:color="auto"/>
            </w:tcBorders>
            <w:shd w:val="clear" w:color="auto" w:fill="auto"/>
            <w:noWrap/>
            <w:hideMark/>
          </w:tcPr>
          <w:p w14:paraId="0D888146" w14:textId="76FA3939" w:rsidR="00CC2107" w:rsidRPr="006735F6" w:rsidRDefault="00A1660F" w:rsidP="001E39EE">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CC2107" w:rsidRPr="006735F6" w14:paraId="19121706"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A0F5B7E" w14:textId="7860B61C" w:rsidR="00CC2107" w:rsidRPr="006735F6" w:rsidRDefault="0045030F" w:rsidP="001E39EE">
            <w:pPr>
              <w:jc w:val="left"/>
              <w:rPr>
                <w:sz w:val="18"/>
                <w:szCs w:val="18"/>
                <w:lang w:val="fr-CA" w:eastAsia="en-CA"/>
              </w:rPr>
            </w:pPr>
            <w:r>
              <w:rPr>
                <w:sz w:val="18"/>
                <w:szCs w:val="18"/>
                <w:lang w:val="fr-CA" w:eastAsia="en-CA"/>
              </w:rPr>
              <w:t>Mousses</w:t>
            </w:r>
          </w:p>
        </w:tc>
        <w:tc>
          <w:tcPr>
            <w:tcW w:w="856" w:type="dxa"/>
            <w:tcBorders>
              <w:top w:val="nil"/>
              <w:left w:val="nil"/>
              <w:bottom w:val="single" w:sz="4" w:space="0" w:color="auto"/>
              <w:right w:val="single" w:sz="4" w:space="0" w:color="auto"/>
            </w:tcBorders>
            <w:shd w:val="clear" w:color="auto" w:fill="auto"/>
            <w:noWrap/>
            <w:hideMark/>
          </w:tcPr>
          <w:p w14:paraId="0A35AD05" w14:textId="5BE8D8D0" w:rsidR="00CC2107" w:rsidRPr="006735F6" w:rsidRDefault="00CC2107" w:rsidP="001E39EE">
            <w:pPr>
              <w:jc w:val="right"/>
              <w:rPr>
                <w:sz w:val="18"/>
                <w:szCs w:val="18"/>
                <w:lang w:val="fr-CA" w:eastAsia="en-CA"/>
              </w:rPr>
            </w:pPr>
            <w:r w:rsidRPr="006735F6">
              <w:rPr>
                <w:sz w:val="18"/>
                <w:szCs w:val="18"/>
                <w:lang w:val="fr-CA" w:eastAsia="en-CA"/>
              </w:rPr>
              <w:t>1</w:t>
            </w:r>
            <w:r w:rsidR="00A1660F">
              <w:rPr>
                <w:sz w:val="18"/>
                <w:szCs w:val="18"/>
                <w:lang w:val="fr-CA" w:eastAsia="en-CA"/>
              </w:rPr>
              <w:t xml:space="preserve"> </w:t>
            </w:r>
            <w:r w:rsidRPr="006735F6">
              <w:rPr>
                <w:sz w:val="18"/>
                <w:szCs w:val="18"/>
                <w:lang w:val="fr-CA" w:eastAsia="en-CA"/>
              </w:rPr>
              <w:t>003</w:t>
            </w:r>
          </w:p>
        </w:tc>
        <w:tc>
          <w:tcPr>
            <w:tcW w:w="1251" w:type="dxa"/>
            <w:tcBorders>
              <w:top w:val="nil"/>
              <w:left w:val="nil"/>
              <w:bottom w:val="single" w:sz="4" w:space="0" w:color="auto"/>
              <w:right w:val="single" w:sz="4" w:space="0" w:color="auto"/>
            </w:tcBorders>
            <w:shd w:val="clear" w:color="auto" w:fill="auto"/>
            <w:noWrap/>
            <w:hideMark/>
          </w:tcPr>
          <w:p w14:paraId="483B4DCA" w14:textId="212C0496" w:rsidR="00CC2107" w:rsidRPr="006735F6" w:rsidRDefault="00CC2107" w:rsidP="001E39EE">
            <w:pPr>
              <w:jc w:val="right"/>
              <w:rPr>
                <w:sz w:val="18"/>
                <w:szCs w:val="18"/>
                <w:lang w:val="fr-CA" w:eastAsia="en-CA"/>
              </w:rPr>
            </w:pPr>
            <w:r w:rsidRPr="006735F6">
              <w:rPr>
                <w:sz w:val="18"/>
                <w:szCs w:val="18"/>
                <w:lang w:val="fr-CA" w:eastAsia="en-CA"/>
              </w:rPr>
              <w:t>376</w:t>
            </w:r>
            <w:r w:rsidR="00A1660F">
              <w:rPr>
                <w:sz w:val="18"/>
                <w:szCs w:val="18"/>
                <w:lang w:val="fr-CA" w:eastAsia="en-CA"/>
              </w:rPr>
              <w:t xml:space="preserve"> </w:t>
            </w:r>
            <w:r w:rsidRPr="006735F6">
              <w:rPr>
                <w:sz w:val="18"/>
                <w:szCs w:val="18"/>
                <w:lang w:val="fr-CA" w:eastAsia="en-CA"/>
              </w:rPr>
              <w:t>083</w:t>
            </w:r>
            <w:r w:rsidR="00A1660F">
              <w:rPr>
                <w:sz w:val="18"/>
                <w:szCs w:val="18"/>
                <w:lang w:val="fr-CA" w:eastAsia="en-CA"/>
              </w:rPr>
              <w:t xml:space="preserve"> </w:t>
            </w:r>
            <w:r w:rsidRPr="006735F6">
              <w:rPr>
                <w:sz w:val="18"/>
                <w:szCs w:val="18"/>
                <w:lang w:val="fr-CA" w:eastAsia="en-CA"/>
              </w:rPr>
              <w:t>231</w:t>
            </w:r>
          </w:p>
        </w:tc>
        <w:tc>
          <w:tcPr>
            <w:tcW w:w="967" w:type="dxa"/>
            <w:tcBorders>
              <w:top w:val="nil"/>
              <w:left w:val="nil"/>
              <w:bottom w:val="single" w:sz="4" w:space="0" w:color="auto"/>
              <w:right w:val="single" w:sz="4" w:space="0" w:color="auto"/>
            </w:tcBorders>
            <w:shd w:val="clear" w:color="auto" w:fill="auto"/>
            <w:noWrap/>
            <w:hideMark/>
          </w:tcPr>
          <w:p w14:paraId="26242855"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542C1893" w14:textId="3955144C" w:rsidR="00CC2107" w:rsidRPr="006735F6" w:rsidRDefault="00CC2107" w:rsidP="001E39EE">
            <w:pPr>
              <w:jc w:val="right"/>
              <w:rPr>
                <w:sz w:val="18"/>
                <w:szCs w:val="18"/>
                <w:lang w:val="fr-CA" w:eastAsia="en-CA"/>
              </w:rPr>
            </w:pPr>
            <w:r w:rsidRPr="006735F6">
              <w:rPr>
                <w:sz w:val="18"/>
                <w:szCs w:val="18"/>
                <w:lang w:val="fr-CA" w:eastAsia="en-CA"/>
              </w:rPr>
              <w:t>69</w:t>
            </w:r>
            <w:r w:rsidR="00A1660F">
              <w:rPr>
                <w:sz w:val="18"/>
                <w:szCs w:val="18"/>
                <w:lang w:val="fr-CA" w:eastAsia="en-CA"/>
              </w:rPr>
              <w:t xml:space="preserve"> </w:t>
            </w:r>
            <w:r w:rsidRPr="006735F6">
              <w:rPr>
                <w:sz w:val="18"/>
                <w:szCs w:val="18"/>
                <w:lang w:val="fr-CA" w:eastAsia="en-CA"/>
              </w:rPr>
              <w:t>420</w:t>
            </w:r>
          </w:p>
        </w:tc>
        <w:tc>
          <w:tcPr>
            <w:tcW w:w="992" w:type="dxa"/>
            <w:tcBorders>
              <w:top w:val="nil"/>
              <w:left w:val="nil"/>
              <w:bottom w:val="single" w:sz="4" w:space="0" w:color="auto"/>
              <w:right w:val="single" w:sz="4" w:space="0" w:color="auto"/>
            </w:tcBorders>
            <w:shd w:val="clear" w:color="auto" w:fill="auto"/>
            <w:noWrap/>
            <w:hideMark/>
          </w:tcPr>
          <w:p w14:paraId="3AB7951F"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2FE0984F" w14:textId="77777777" w:rsidR="00CC2107" w:rsidRPr="006735F6" w:rsidRDefault="00CC2107" w:rsidP="001E39EE">
            <w:pPr>
              <w:jc w:val="right"/>
              <w:rPr>
                <w:sz w:val="18"/>
                <w:szCs w:val="18"/>
                <w:lang w:val="fr-CA" w:eastAsia="en-CA"/>
              </w:rPr>
            </w:pPr>
            <w:r w:rsidRPr="006735F6">
              <w:rPr>
                <w:sz w:val="18"/>
                <w:szCs w:val="18"/>
                <w:lang w:val="fr-CA" w:eastAsia="en-CA"/>
              </w:rPr>
              <w:t>15</w:t>
            </w:r>
          </w:p>
        </w:tc>
        <w:tc>
          <w:tcPr>
            <w:tcW w:w="1240" w:type="dxa"/>
            <w:tcBorders>
              <w:top w:val="nil"/>
              <w:left w:val="nil"/>
              <w:bottom w:val="single" w:sz="4" w:space="0" w:color="auto"/>
              <w:right w:val="single" w:sz="4" w:space="0" w:color="auto"/>
            </w:tcBorders>
            <w:shd w:val="clear" w:color="auto" w:fill="auto"/>
            <w:noWrap/>
            <w:hideMark/>
          </w:tcPr>
          <w:p w14:paraId="563FE491" w14:textId="77777777" w:rsidR="00CC2107" w:rsidRPr="006735F6" w:rsidRDefault="00CC2107" w:rsidP="001E39EE">
            <w:pPr>
              <w:jc w:val="right"/>
              <w:rPr>
                <w:sz w:val="18"/>
                <w:szCs w:val="18"/>
                <w:lang w:val="fr-CA" w:eastAsia="en-CA"/>
              </w:rPr>
            </w:pPr>
            <w:r w:rsidRPr="006735F6">
              <w:rPr>
                <w:sz w:val="18"/>
                <w:szCs w:val="18"/>
                <w:lang w:val="fr-CA" w:eastAsia="en-CA"/>
              </w:rPr>
              <w:t>34</w:t>
            </w:r>
          </w:p>
        </w:tc>
        <w:tc>
          <w:tcPr>
            <w:tcW w:w="1180" w:type="dxa"/>
            <w:tcBorders>
              <w:top w:val="nil"/>
              <w:left w:val="nil"/>
              <w:bottom w:val="single" w:sz="4" w:space="0" w:color="auto"/>
              <w:right w:val="single" w:sz="4" w:space="0" w:color="auto"/>
            </w:tcBorders>
            <w:shd w:val="clear" w:color="auto" w:fill="auto"/>
            <w:noWrap/>
            <w:hideMark/>
          </w:tcPr>
          <w:p w14:paraId="6C306EA8" w14:textId="0E4CEBE1" w:rsidR="00CC2107" w:rsidRPr="006735F6" w:rsidRDefault="00CC2107" w:rsidP="001E39EE">
            <w:pPr>
              <w:jc w:val="right"/>
              <w:rPr>
                <w:sz w:val="18"/>
                <w:szCs w:val="18"/>
                <w:lang w:val="fr-CA" w:eastAsia="en-CA"/>
              </w:rPr>
            </w:pPr>
            <w:r w:rsidRPr="006735F6">
              <w:rPr>
                <w:sz w:val="18"/>
                <w:szCs w:val="18"/>
                <w:lang w:val="fr-CA" w:eastAsia="en-CA"/>
              </w:rPr>
              <w:t>5</w:t>
            </w:r>
            <w:r w:rsidR="00A1660F">
              <w:rPr>
                <w:sz w:val="18"/>
                <w:szCs w:val="18"/>
                <w:lang w:val="fr-CA" w:eastAsia="en-CA"/>
              </w:rPr>
              <w:t>,</w:t>
            </w:r>
            <w:r w:rsidRPr="006735F6">
              <w:rPr>
                <w:sz w:val="18"/>
                <w:szCs w:val="18"/>
                <w:lang w:val="fr-CA" w:eastAsia="en-CA"/>
              </w:rPr>
              <w:t xml:space="preserve">42 </w:t>
            </w:r>
          </w:p>
        </w:tc>
      </w:tr>
      <w:tr w:rsidR="00CC2107" w:rsidRPr="006735F6" w14:paraId="3D126698"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6609FB8C" w14:textId="6372BC5D" w:rsidR="00CC2107" w:rsidRPr="006735F6" w:rsidRDefault="0045030F" w:rsidP="0045030F">
            <w:pPr>
              <w:jc w:val="left"/>
              <w:rPr>
                <w:sz w:val="18"/>
                <w:szCs w:val="18"/>
                <w:lang w:val="fr-CA" w:eastAsia="en-CA"/>
              </w:rPr>
            </w:pPr>
            <w:r>
              <w:rPr>
                <w:sz w:val="18"/>
                <w:szCs w:val="18"/>
                <w:lang w:val="fr-CA" w:eastAsia="en-CA"/>
              </w:rPr>
              <w:t>Fumigènes</w:t>
            </w:r>
          </w:p>
        </w:tc>
        <w:tc>
          <w:tcPr>
            <w:tcW w:w="856" w:type="dxa"/>
            <w:tcBorders>
              <w:top w:val="nil"/>
              <w:left w:val="nil"/>
              <w:bottom w:val="single" w:sz="4" w:space="0" w:color="auto"/>
              <w:right w:val="single" w:sz="4" w:space="0" w:color="auto"/>
            </w:tcBorders>
            <w:shd w:val="clear" w:color="auto" w:fill="auto"/>
            <w:noWrap/>
            <w:hideMark/>
          </w:tcPr>
          <w:p w14:paraId="280416CF" w14:textId="77777777" w:rsidR="00CC2107" w:rsidRPr="006735F6" w:rsidRDefault="00CC2107" w:rsidP="001E39EE">
            <w:pPr>
              <w:jc w:val="right"/>
              <w:rPr>
                <w:sz w:val="18"/>
                <w:szCs w:val="18"/>
                <w:lang w:val="fr-CA" w:eastAsia="en-CA"/>
              </w:rPr>
            </w:pPr>
            <w:r w:rsidRPr="006735F6">
              <w:rPr>
                <w:sz w:val="18"/>
                <w:szCs w:val="18"/>
                <w:lang w:val="fr-CA" w:eastAsia="en-CA"/>
              </w:rPr>
              <w:t>123</w:t>
            </w:r>
          </w:p>
        </w:tc>
        <w:tc>
          <w:tcPr>
            <w:tcW w:w="1251" w:type="dxa"/>
            <w:tcBorders>
              <w:top w:val="nil"/>
              <w:left w:val="nil"/>
              <w:bottom w:val="single" w:sz="4" w:space="0" w:color="auto"/>
              <w:right w:val="single" w:sz="4" w:space="0" w:color="auto"/>
            </w:tcBorders>
            <w:shd w:val="clear" w:color="auto" w:fill="auto"/>
            <w:noWrap/>
            <w:hideMark/>
          </w:tcPr>
          <w:p w14:paraId="3FEBBAB9" w14:textId="5E71BB37" w:rsidR="00CC2107" w:rsidRPr="006735F6" w:rsidRDefault="00CC2107" w:rsidP="001E39EE">
            <w:pPr>
              <w:jc w:val="right"/>
              <w:rPr>
                <w:sz w:val="18"/>
                <w:szCs w:val="18"/>
                <w:lang w:val="fr-CA" w:eastAsia="en-CA"/>
              </w:rPr>
            </w:pPr>
            <w:r w:rsidRPr="006735F6">
              <w:rPr>
                <w:sz w:val="18"/>
                <w:szCs w:val="18"/>
                <w:lang w:val="fr-CA" w:eastAsia="en-CA"/>
              </w:rPr>
              <w:t>99</w:t>
            </w:r>
            <w:r w:rsidR="00A1660F">
              <w:rPr>
                <w:sz w:val="18"/>
                <w:szCs w:val="18"/>
                <w:lang w:val="fr-CA" w:eastAsia="en-CA"/>
              </w:rPr>
              <w:t xml:space="preserve"> </w:t>
            </w:r>
            <w:r w:rsidRPr="006735F6">
              <w:rPr>
                <w:sz w:val="18"/>
                <w:szCs w:val="18"/>
                <w:lang w:val="fr-CA" w:eastAsia="en-CA"/>
              </w:rPr>
              <w:t>900</w:t>
            </w:r>
            <w:r w:rsidR="00A1660F">
              <w:rPr>
                <w:sz w:val="18"/>
                <w:szCs w:val="18"/>
                <w:lang w:val="fr-CA" w:eastAsia="en-CA"/>
              </w:rPr>
              <w:t xml:space="preserve"> </w:t>
            </w:r>
            <w:r w:rsidRPr="006735F6">
              <w:rPr>
                <w:sz w:val="18"/>
                <w:szCs w:val="18"/>
                <w:lang w:val="fr-CA" w:eastAsia="en-CA"/>
              </w:rPr>
              <w:t>005</w:t>
            </w:r>
          </w:p>
        </w:tc>
        <w:tc>
          <w:tcPr>
            <w:tcW w:w="967" w:type="dxa"/>
            <w:tcBorders>
              <w:top w:val="nil"/>
              <w:left w:val="nil"/>
              <w:bottom w:val="single" w:sz="4" w:space="0" w:color="auto"/>
              <w:right w:val="single" w:sz="4" w:space="0" w:color="auto"/>
            </w:tcBorders>
            <w:shd w:val="clear" w:color="auto" w:fill="auto"/>
            <w:noWrap/>
            <w:hideMark/>
          </w:tcPr>
          <w:p w14:paraId="51671589"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7AB209CC" w14:textId="36557B11" w:rsidR="00CC2107" w:rsidRPr="006735F6" w:rsidRDefault="00CC2107" w:rsidP="001E39EE">
            <w:pPr>
              <w:jc w:val="right"/>
              <w:rPr>
                <w:sz w:val="18"/>
                <w:szCs w:val="18"/>
                <w:lang w:val="fr-CA" w:eastAsia="en-CA"/>
              </w:rPr>
            </w:pPr>
            <w:r w:rsidRPr="006735F6">
              <w:rPr>
                <w:sz w:val="18"/>
                <w:szCs w:val="18"/>
                <w:lang w:val="fr-CA" w:eastAsia="en-CA"/>
              </w:rPr>
              <w:t>7</w:t>
            </w:r>
            <w:r w:rsidR="00A1660F">
              <w:rPr>
                <w:sz w:val="18"/>
                <w:szCs w:val="18"/>
                <w:lang w:val="fr-CA" w:eastAsia="en-CA"/>
              </w:rPr>
              <w:t xml:space="preserve"> </w:t>
            </w:r>
            <w:r w:rsidRPr="006735F6">
              <w:rPr>
                <w:sz w:val="18"/>
                <w:szCs w:val="18"/>
                <w:lang w:val="fr-CA" w:eastAsia="en-CA"/>
              </w:rPr>
              <w:t>993</w:t>
            </w:r>
          </w:p>
        </w:tc>
        <w:tc>
          <w:tcPr>
            <w:tcW w:w="992" w:type="dxa"/>
            <w:tcBorders>
              <w:top w:val="nil"/>
              <w:left w:val="nil"/>
              <w:bottom w:val="single" w:sz="4" w:space="0" w:color="auto"/>
              <w:right w:val="single" w:sz="4" w:space="0" w:color="auto"/>
            </w:tcBorders>
            <w:shd w:val="clear" w:color="auto" w:fill="auto"/>
            <w:noWrap/>
            <w:hideMark/>
          </w:tcPr>
          <w:p w14:paraId="1B2EDFEE"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70517B02" w14:textId="77777777" w:rsidR="00CC2107" w:rsidRPr="006735F6" w:rsidRDefault="00CC2107" w:rsidP="001E39EE">
            <w:pPr>
              <w:jc w:val="right"/>
              <w:rPr>
                <w:sz w:val="18"/>
                <w:szCs w:val="18"/>
                <w:lang w:val="fr-CA" w:eastAsia="en-CA"/>
              </w:rPr>
            </w:pPr>
            <w:r w:rsidRPr="006735F6">
              <w:rPr>
                <w:sz w:val="18"/>
                <w:szCs w:val="18"/>
                <w:lang w:val="fr-CA" w:eastAsia="en-CA"/>
              </w:rPr>
              <w:t>10</w:t>
            </w:r>
          </w:p>
        </w:tc>
        <w:tc>
          <w:tcPr>
            <w:tcW w:w="1240" w:type="dxa"/>
            <w:tcBorders>
              <w:top w:val="nil"/>
              <w:left w:val="nil"/>
              <w:bottom w:val="single" w:sz="4" w:space="0" w:color="auto"/>
              <w:right w:val="single" w:sz="4" w:space="0" w:color="auto"/>
            </w:tcBorders>
            <w:shd w:val="clear" w:color="auto" w:fill="auto"/>
            <w:noWrap/>
            <w:hideMark/>
          </w:tcPr>
          <w:p w14:paraId="00E8FBDC" w14:textId="77777777" w:rsidR="00CC2107" w:rsidRPr="006735F6" w:rsidRDefault="00CC2107" w:rsidP="001E39EE">
            <w:pPr>
              <w:jc w:val="right"/>
              <w:rPr>
                <w:sz w:val="18"/>
                <w:szCs w:val="18"/>
                <w:lang w:val="fr-CA" w:eastAsia="en-CA"/>
              </w:rPr>
            </w:pPr>
            <w:r w:rsidRPr="006735F6">
              <w:rPr>
                <w:sz w:val="18"/>
                <w:szCs w:val="18"/>
                <w:lang w:val="fr-CA" w:eastAsia="en-CA"/>
              </w:rPr>
              <w:t>49</w:t>
            </w:r>
          </w:p>
        </w:tc>
        <w:tc>
          <w:tcPr>
            <w:tcW w:w="1180" w:type="dxa"/>
            <w:tcBorders>
              <w:top w:val="nil"/>
              <w:left w:val="nil"/>
              <w:bottom w:val="single" w:sz="4" w:space="0" w:color="auto"/>
              <w:right w:val="single" w:sz="4" w:space="0" w:color="auto"/>
            </w:tcBorders>
            <w:shd w:val="clear" w:color="auto" w:fill="auto"/>
            <w:noWrap/>
            <w:hideMark/>
          </w:tcPr>
          <w:p w14:paraId="0512CB6A" w14:textId="38CE451C" w:rsidR="00CC2107" w:rsidRPr="006735F6" w:rsidRDefault="00CC2107" w:rsidP="001E39EE">
            <w:pPr>
              <w:jc w:val="right"/>
              <w:rPr>
                <w:sz w:val="18"/>
                <w:szCs w:val="18"/>
                <w:lang w:val="fr-CA" w:eastAsia="en-CA"/>
              </w:rPr>
            </w:pPr>
            <w:r w:rsidRPr="006735F6">
              <w:rPr>
                <w:sz w:val="18"/>
                <w:szCs w:val="18"/>
                <w:lang w:val="fr-CA" w:eastAsia="en-CA"/>
              </w:rPr>
              <w:t>12</w:t>
            </w:r>
            <w:r w:rsidR="00A1660F">
              <w:rPr>
                <w:sz w:val="18"/>
                <w:szCs w:val="18"/>
                <w:lang w:val="fr-CA" w:eastAsia="en-CA"/>
              </w:rPr>
              <w:t>,</w:t>
            </w:r>
            <w:r w:rsidRPr="006735F6">
              <w:rPr>
                <w:sz w:val="18"/>
                <w:szCs w:val="18"/>
                <w:lang w:val="fr-CA" w:eastAsia="en-CA"/>
              </w:rPr>
              <w:t xml:space="preserve">50 </w:t>
            </w:r>
          </w:p>
        </w:tc>
      </w:tr>
      <w:tr w:rsidR="00CC2107" w:rsidRPr="006735F6" w14:paraId="44F9B0CC"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5F6A654" w14:textId="43B1353E" w:rsidR="00CC2107" w:rsidRPr="006735F6" w:rsidRDefault="00CC2107" w:rsidP="001E39EE">
            <w:pPr>
              <w:jc w:val="left"/>
              <w:rPr>
                <w:sz w:val="18"/>
                <w:szCs w:val="18"/>
                <w:lang w:val="fr-CA" w:eastAsia="en-CA"/>
              </w:rPr>
            </w:pPr>
            <w:r w:rsidRPr="006735F6">
              <w:rPr>
                <w:sz w:val="18"/>
                <w:szCs w:val="18"/>
                <w:lang w:val="fr-CA" w:eastAsia="en-CA"/>
              </w:rPr>
              <w:t>Halon</w:t>
            </w:r>
            <w:r w:rsidR="0045030F">
              <w:rPr>
                <w:sz w:val="18"/>
                <w:szCs w:val="18"/>
                <w:lang w:val="fr-CA" w:eastAsia="en-CA"/>
              </w:rPr>
              <w:t>s</w:t>
            </w:r>
          </w:p>
        </w:tc>
        <w:tc>
          <w:tcPr>
            <w:tcW w:w="856" w:type="dxa"/>
            <w:tcBorders>
              <w:top w:val="nil"/>
              <w:left w:val="nil"/>
              <w:bottom w:val="single" w:sz="4" w:space="0" w:color="auto"/>
              <w:right w:val="single" w:sz="4" w:space="0" w:color="auto"/>
            </w:tcBorders>
            <w:shd w:val="clear" w:color="auto" w:fill="auto"/>
            <w:noWrap/>
            <w:hideMark/>
          </w:tcPr>
          <w:p w14:paraId="62579538" w14:textId="77777777" w:rsidR="00CC2107" w:rsidRPr="006735F6" w:rsidRDefault="00CC2107" w:rsidP="001E39EE">
            <w:pPr>
              <w:jc w:val="right"/>
              <w:rPr>
                <w:sz w:val="18"/>
                <w:szCs w:val="18"/>
                <w:lang w:val="fr-CA" w:eastAsia="en-CA"/>
              </w:rPr>
            </w:pPr>
            <w:r w:rsidRPr="006735F6">
              <w:rPr>
                <w:sz w:val="18"/>
                <w:szCs w:val="18"/>
                <w:lang w:val="fr-CA" w:eastAsia="en-CA"/>
              </w:rPr>
              <w:t>39</w:t>
            </w:r>
          </w:p>
        </w:tc>
        <w:tc>
          <w:tcPr>
            <w:tcW w:w="1251" w:type="dxa"/>
            <w:tcBorders>
              <w:top w:val="nil"/>
              <w:left w:val="nil"/>
              <w:bottom w:val="single" w:sz="4" w:space="0" w:color="auto"/>
              <w:right w:val="single" w:sz="4" w:space="0" w:color="auto"/>
            </w:tcBorders>
            <w:shd w:val="clear" w:color="auto" w:fill="auto"/>
            <w:noWrap/>
            <w:hideMark/>
          </w:tcPr>
          <w:p w14:paraId="550461BB" w14:textId="6E9237A9" w:rsidR="00CC2107" w:rsidRPr="006735F6" w:rsidRDefault="00CC2107" w:rsidP="001E39EE">
            <w:pPr>
              <w:jc w:val="right"/>
              <w:rPr>
                <w:sz w:val="18"/>
                <w:szCs w:val="18"/>
                <w:lang w:val="fr-CA" w:eastAsia="en-CA"/>
              </w:rPr>
            </w:pPr>
            <w:r w:rsidRPr="006735F6">
              <w:rPr>
                <w:sz w:val="18"/>
                <w:szCs w:val="18"/>
                <w:lang w:val="fr-CA" w:eastAsia="en-CA"/>
              </w:rPr>
              <w:t>71</w:t>
            </w:r>
            <w:r w:rsidR="00A1660F">
              <w:rPr>
                <w:sz w:val="18"/>
                <w:szCs w:val="18"/>
                <w:lang w:val="fr-CA" w:eastAsia="en-CA"/>
              </w:rPr>
              <w:t xml:space="preserve"> </w:t>
            </w:r>
            <w:r w:rsidRPr="006735F6">
              <w:rPr>
                <w:sz w:val="18"/>
                <w:szCs w:val="18"/>
                <w:lang w:val="fr-CA" w:eastAsia="en-CA"/>
              </w:rPr>
              <w:t>476</w:t>
            </w:r>
            <w:r w:rsidR="00A1660F">
              <w:rPr>
                <w:sz w:val="18"/>
                <w:szCs w:val="18"/>
                <w:lang w:val="fr-CA" w:eastAsia="en-CA"/>
              </w:rPr>
              <w:t xml:space="preserve"> </w:t>
            </w:r>
            <w:r w:rsidRPr="006735F6">
              <w:rPr>
                <w:sz w:val="18"/>
                <w:szCs w:val="18"/>
                <w:lang w:val="fr-CA" w:eastAsia="en-CA"/>
              </w:rPr>
              <w:t>177</w:t>
            </w:r>
          </w:p>
        </w:tc>
        <w:tc>
          <w:tcPr>
            <w:tcW w:w="967" w:type="dxa"/>
            <w:tcBorders>
              <w:top w:val="nil"/>
              <w:left w:val="nil"/>
              <w:bottom w:val="single" w:sz="4" w:space="0" w:color="auto"/>
              <w:right w:val="single" w:sz="4" w:space="0" w:color="auto"/>
            </w:tcBorders>
            <w:shd w:val="clear" w:color="auto" w:fill="auto"/>
            <w:noWrap/>
            <w:hideMark/>
          </w:tcPr>
          <w:p w14:paraId="24261B5A"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64F40C0F" w14:textId="74DB548D" w:rsidR="00CC2107" w:rsidRPr="006735F6" w:rsidRDefault="00CC2107" w:rsidP="001E39EE">
            <w:pPr>
              <w:jc w:val="right"/>
              <w:rPr>
                <w:sz w:val="18"/>
                <w:szCs w:val="18"/>
                <w:lang w:val="fr-CA" w:eastAsia="en-CA"/>
              </w:rPr>
            </w:pPr>
            <w:r w:rsidRPr="006735F6">
              <w:rPr>
                <w:sz w:val="18"/>
                <w:szCs w:val="18"/>
                <w:lang w:val="fr-CA" w:eastAsia="en-CA"/>
              </w:rPr>
              <w:t>42</w:t>
            </w:r>
            <w:r w:rsidR="00A1660F">
              <w:rPr>
                <w:sz w:val="18"/>
                <w:szCs w:val="18"/>
                <w:lang w:val="fr-CA" w:eastAsia="en-CA"/>
              </w:rPr>
              <w:t xml:space="preserve"> </w:t>
            </w:r>
            <w:r w:rsidRPr="006735F6">
              <w:rPr>
                <w:sz w:val="18"/>
                <w:szCs w:val="18"/>
                <w:lang w:val="fr-CA" w:eastAsia="en-CA"/>
              </w:rPr>
              <w:t>111</w:t>
            </w:r>
          </w:p>
        </w:tc>
        <w:tc>
          <w:tcPr>
            <w:tcW w:w="992" w:type="dxa"/>
            <w:tcBorders>
              <w:top w:val="nil"/>
              <w:left w:val="nil"/>
              <w:bottom w:val="single" w:sz="4" w:space="0" w:color="auto"/>
              <w:right w:val="single" w:sz="4" w:space="0" w:color="auto"/>
            </w:tcBorders>
            <w:shd w:val="clear" w:color="auto" w:fill="auto"/>
            <w:noWrap/>
            <w:hideMark/>
          </w:tcPr>
          <w:p w14:paraId="017F766B" w14:textId="5DEA77A4" w:rsidR="00CC2107" w:rsidRPr="006735F6" w:rsidRDefault="00CC2107" w:rsidP="001E39EE">
            <w:pPr>
              <w:jc w:val="right"/>
              <w:rPr>
                <w:sz w:val="18"/>
                <w:szCs w:val="18"/>
                <w:lang w:val="fr-CA" w:eastAsia="en-CA"/>
              </w:rPr>
            </w:pPr>
            <w:r w:rsidRPr="006735F6">
              <w:rPr>
                <w:sz w:val="18"/>
                <w:szCs w:val="18"/>
                <w:lang w:val="fr-CA" w:eastAsia="en-CA"/>
              </w:rPr>
              <w:t>41</w:t>
            </w:r>
            <w:r w:rsidR="00A1660F">
              <w:rPr>
                <w:sz w:val="18"/>
                <w:szCs w:val="18"/>
                <w:lang w:val="fr-CA" w:eastAsia="en-CA"/>
              </w:rPr>
              <w:t xml:space="preserve"> </w:t>
            </w:r>
            <w:r w:rsidRPr="006735F6">
              <w:rPr>
                <w:sz w:val="18"/>
                <w:szCs w:val="18"/>
                <w:lang w:val="fr-CA" w:eastAsia="en-CA"/>
              </w:rPr>
              <w:t>958</w:t>
            </w:r>
          </w:p>
        </w:tc>
        <w:tc>
          <w:tcPr>
            <w:tcW w:w="1134" w:type="dxa"/>
            <w:tcBorders>
              <w:top w:val="nil"/>
              <w:left w:val="nil"/>
              <w:bottom w:val="single" w:sz="4" w:space="0" w:color="auto"/>
              <w:right w:val="single" w:sz="4" w:space="0" w:color="auto"/>
            </w:tcBorders>
            <w:shd w:val="clear" w:color="auto" w:fill="auto"/>
            <w:noWrap/>
            <w:hideMark/>
          </w:tcPr>
          <w:p w14:paraId="11EE879E" w14:textId="77777777" w:rsidR="00CC2107" w:rsidRPr="006735F6" w:rsidRDefault="00CC2107" w:rsidP="001E39EE">
            <w:pPr>
              <w:jc w:val="right"/>
              <w:rPr>
                <w:sz w:val="18"/>
                <w:szCs w:val="18"/>
                <w:lang w:val="fr-CA" w:eastAsia="en-CA"/>
              </w:rPr>
            </w:pPr>
            <w:r w:rsidRPr="006735F6">
              <w:rPr>
                <w:sz w:val="18"/>
                <w:szCs w:val="18"/>
                <w:lang w:val="fr-CA" w:eastAsia="en-CA"/>
              </w:rPr>
              <w:t>17</w:t>
            </w:r>
          </w:p>
        </w:tc>
        <w:tc>
          <w:tcPr>
            <w:tcW w:w="1240" w:type="dxa"/>
            <w:tcBorders>
              <w:top w:val="nil"/>
              <w:left w:val="nil"/>
              <w:bottom w:val="single" w:sz="4" w:space="0" w:color="auto"/>
              <w:right w:val="single" w:sz="4" w:space="0" w:color="auto"/>
            </w:tcBorders>
            <w:shd w:val="clear" w:color="auto" w:fill="auto"/>
            <w:noWrap/>
            <w:hideMark/>
          </w:tcPr>
          <w:p w14:paraId="06D57A57" w14:textId="77777777" w:rsidR="00CC2107" w:rsidRPr="006735F6" w:rsidRDefault="00CC2107" w:rsidP="001E39EE">
            <w:pPr>
              <w:jc w:val="right"/>
              <w:rPr>
                <w:sz w:val="18"/>
                <w:szCs w:val="18"/>
                <w:lang w:val="fr-CA" w:eastAsia="en-CA"/>
              </w:rPr>
            </w:pPr>
            <w:r w:rsidRPr="006735F6">
              <w:rPr>
                <w:sz w:val="18"/>
                <w:szCs w:val="18"/>
                <w:lang w:val="fr-CA" w:eastAsia="en-CA"/>
              </w:rPr>
              <w:t>30</w:t>
            </w:r>
          </w:p>
        </w:tc>
        <w:tc>
          <w:tcPr>
            <w:tcW w:w="1180" w:type="dxa"/>
            <w:tcBorders>
              <w:top w:val="nil"/>
              <w:left w:val="nil"/>
              <w:bottom w:val="single" w:sz="4" w:space="0" w:color="auto"/>
              <w:right w:val="single" w:sz="4" w:space="0" w:color="auto"/>
            </w:tcBorders>
            <w:shd w:val="clear" w:color="auto" w:fill="auto"/>
            <w:noWrap/>
            <w:hideMark/>
          </w:tcPr>
          <w:p w14:paraId="46C31497" w14:textId="53708A58" w:rsidR="00CC2107" w:rsidRPr="006735F6" w:rsidRDefault="00CC2107" w:rsidP="001E39EE">
            <w:pPr>
              <w:jc w:val="right"/>
              <w:rPr>
                <w:sz w:val="18"/>
                <w:szCs w:val="18"/>
                <w:lang w:val="fr-CA" w:eastAsia="en-CA"/>
              </w:rPr>
            </w:pPr>
            <w:r w:rsidRPr="006735F6">
              <w:rPr>
                <w:sz w:val="18"/>
                <w:szCs w:val="18"/>
                <w:lang w:val="fr-CA" w:eastAsia="en-CA"/>
              </w:rPr>
              <w:t>0</w:t>
            </w:r>
            <w:r w:rsidR="00A1660F">
              <w:rPr>
                <w:sz w:val="18"/>
                <w:szCs w:val="18"/>
                <w:lang w:val="fr-CA" w:eastAsia="en-CA"/>
              </w:rPr>
              <w:t>,</w:t>
            </w:r>
            <w:r w:rsidRPr="006735F6">
              <w:rPr>
                <w:sz w:val="18"/>
                <w:szCs w:val="18"/>
                <w:lang w:val="fr-CA" w:eastAsia="en-CA"/>
              </w:rPr>
              <w:t xml:space="preserve">85 </w:t>
            </w:r>
          </w:p>
        </w:tc>
      </w:tr>
      <w:tr w:rsidR="00CC2107" w:rsidRPr="006735F6" w14:paraId="44273605"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3A004C4A" w14:textId="0F57E235" w:rsidR="00CC2107" w:rsidRPr="006735F6" w:rsidRDefault="00CC2107" w:rsidP="0045030F">
            <w:pPr>
              <w:jc w:val="left"/>
              <w:rPr>
                <w:sz w:val="18"/>
                <w:szCs w:val="18"/>
                <w:lang w:val="fr-CA" w:eastAsia="en-CA"/>
              </w:rPr>
            </w:pPr>
            <w:r w:rsidRPr="006735F6">
              <w:rPr>
                <w:sz w:val="18"/>
                <w:szCs w:val="18"/>
                <w:lang w:val="fr-CA" w:eastAsia="en-CA"/>
              </w:rPr>
              <w:t>Multiple</w:t>
            </w:r>
            <w:r w:rsidR="0045030F">
              <w:rPr>
                <w:sz w:val="18"/>
                <w:szCs w:val="18"/>
                <w:lang w:val="fr-CA" w:eastAsia="en-CA"/>
              </w:rPr>
              <w:t>s secteurs</w:t>
            </w:r>
          </w:p>
        </w:tc>
        <w:tc>
          <w:tcPr>
            <w:tcW w:w="856" w:type="dxa"/>
            <w:tcBorders>
              <w:top w:val="nil"/>
              <w:left w:val="nil"/>
              <w:bottom w:val="single" w:sz="4" w:space="0" w:color="auto"/>
              <w:right w:val="single" w:sz="4" w:space="0" w:color="auto"/>
            </w:tcBorders>
            <w:shd w:val="clear" w:color="auto" w:fill="auto"/>
            <w:noWrap/>
            <w:hideMark/>
          </w:tcPr>
          <w:p w14:paraId="387B85FB" w14:textId="77777777" w:rsidR="00CC2107" w:rsidRPr="006735F6" w:rsidRDefault="00CC2107" w:rsidP="001E39EE">
            <w:pPr>
              <w:jc w:val="right"/>
              <w:rPr>
                <w:sz w:val="18"/>
                <w:szCs w:val="18"/>
                <w:lang w:val="fr-CA" w:eastAsia="en-CA"/>
              </w:rPr>
            </w:pPr>
            <w:r w:rsidRPr="006735F6">
              <w:rPr>
                <w:sz w:val="18"/>
                <w:szCs w:val="18"/>
                <w:lang w:val="fr-CA" w:eastAsia="en-CA"/>
              </w:rPr>
              <w:t>4</w:t>
            </w:r>
          </w:p>
        </w:tc>
        <w:tc>
          <w:tcPr>
            <w:tcW w:w="1251" w:type="dxa"/>
            <w:tcBorders>
              <w:top w:val="nil"/>
              <w:left w:val="nil"/>
              <w:bottom w:val="single" w:sz="4" w:space="0" w:color="auto"/>
              <w:right w:val="single" w:sz="4" w:space="0" w:color="auto"/>
            </w:tcBorders>
            <w:shd w:val="clear" w:color="auto" w:fill="auto"/>
            <w:noWrap/>
            <w:hideMark/>
          </w:tcPr>
          <w:p w14:paraId="75CFB284" w14:textId="4937BEED" w:rsidR="00CC2107" w:rsidRPr="006735F6" w:rsidRDefault="00CC2107" w:rsidP="001E39EE">
            <w:pPr>
              <w:jc w:val="right"/>
              <w:rPr>
                <w:sz w:val="18"/>
                <w:szCs w:val="18"/>
                <w:lang w:val="fr-CA" w:eastAsia="en-CA"/>
              </w:rPr>
            </w:pPr>
            <w:r w:rsidRPr="006735F6">
              <w:rPr>
                <w:sz w:val="18"/>
                <w:szCs w:val="18"/>
                <w:lang w:val="fr-CA" w:eastAsia="en-CA"/>
              </w:rPr>
              <w:t>2</w:t>
            </w:r>
            <w:r w:rsidR="00A1660F">
              <w:rPr>
                <w:sz w:val="18"/>
                <w:szCs w:val="18"/>
                <w:lang w:val="fr-CA" w:eastAsia="en-CA"/>
              </w:rPr>
              <w:t xml:space="preserve"> </w:t>
            </w:r>
            <w:r w:rsidRPr="006735F6">
              <w:rPr>
                <w:sz w:val="18"/>
                <w:szCs w:val="18"/>
                <w:lang w:val="fr-CA" w:eastAsia="en-CA"/>
              </w:rPr>
              <w:t>287</w:t>
            </w:r>
            <w:r w:rsidR="00A1660F">
              <w:rPr>
                <w:sz w:val="18"/>
                <w:szCs w:val="18"/>
                <w:lang w:val="fr-CA" w:eastAsia="en-CA"/>
              </w:rPr>
              <w:t xml:space="preserve"> </w:t>
            </w:r>
            <w:r w:rsidRPr="006735F6">
              <w:rPr>
                <w:sz w:val="18"/>
                <w:szCs w:val="18"/>
                <w:lang w:val="fr-CA" w:eastAsia="en-CA"/>
              </w:rPr>
              <w:t>376</w:t>
            </w:r>
          </w:p>
        </w:tc>
        <w:tc>
          <w:tcPr>
            <w:tcW w:w="967" w:type="dxa"/>
            <w:tcBorders>
              <w:top w:val="nil"/>
              <w:left w:val="nil"/>
              <w:bottom w:val="single" w:sz="4" w:space="0" w:color="auto"/>
              <w:right w:val="single" w:sz="4" w:space="0" w:color="auto"/>
            </w:tcBorders>
            <w:shd w:val="clear" w:color="auto" w:fill="auto"/>
            <w:noWrap/>
            <w:hideMark/>
          </w:tcPr>
          <w:p w14:paraId="3C0064F8"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762E5109" w14:textId="77777777" w:rsidR="00CC2107" w:rsidRPr="006735F6" w:rsidRDefault="00CC2107" w:rsidP="001E39EE">
            <w:pPr>
              <w:jc w:val="right"/>
              <w:rPr>
                <w:sz w:val="18"/>
                <w:szCs w:val="18"/>
                <w:lang w:val="fr-CA" w:eastAsia="en-CA"/>
              </w:rPr>
            </w:pPr>
            <w:r w:rsidRPr="006735F6">
              <w:rPr>
                <w:sz w:val="18"/>
                <w:szCs w:val="18"/>
                <w:lang w:val="fr-CA" w:eastAsia="en-CA"/>
              </w:rPr>
              <w:t>419</w:t>
            </w:r>
          </w:p>
        </w:tc>
        <w:tc>
          <w:tcPr>
            <w:tcW w:w="992" w:type="dxa"/>
            <w:tcBorders>
              <w:top w:val="nil"/>
              <w:left w:val="nil"/>
              <w:bottom w:val="single" w:sz="4" w:space="0" w:color="auto"/>
              <w:right w:val="single" w:sz="4" w:space="0" w:color="auto"/>
            </w:tcBorders>
            <w:shd w:val="clear" w:color="auto" w:fill="auto"/>
            <w:noWrap/>
            <w:hideMark/>
          </w:tcPr>
          <w:p w14:paraId="69E7C964"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7C25FCBB" w14:textId="77777777" w:rsidR="00CC2107" w:rsidRPr="006735F6" w:rsidRDefault="00CC2107" w:rsidP="001E39EE">
            <w:pPr>
              <w:jc w:val="right"/>
              <w:rPr>
                <w:sz w:val="18"/>
                <w:szCs w:val="18"/>
                <w:lang w:val="fr-CA" w:eastAsia="en-CA"/>
              </w:rPr>
            </w:pPr>
            <w:r w:rsidRPr="006735F6">
              <w:rPr>
                <w:sz w:val="18"/>
                <w:szCs w:val="18"/>
                <w:lang w:val="fr-CA" w:eastAsia="en-CA"/>
              </w:rPr>
              <w:t>28</w:t>
            </w:r>
          </w:p>
        </w:tc>
        <w:tc>
          <w:tcPr>
            <w:tcW w:w="1240" w:type="dxa"/>
            <w:tcBorders>
              <w:top w:val="nil"/>
              <w:left w:val="nil"/>
              <w:bottom w:val="single" w:sz="4" w:space="0" w:color="auto"/>
              <w:right w:val="single" w:sz="4" w:space="0" w:color="auto"/>
            </w:tcBorders>
            <w:shd w:val="clear" w:color="auto" w:fill="auto"/>
            <w:noWrap/>
            <w:hideMark/>
          </w:tcPr>
          <w:p w14:paraId="585D985B" w14:textId="77777777" w:rsidR="00CC2107" w:rsidRPr="006735F6" w:rsidRDefault="00CC2107" w:rsidP="001E39EE">
            <w:pPr>
              <w:jc w:val="right"/>
              <w:rPr>
                <w:sz w:val="18"/>
                <w:szCs w:val="18"/>
                <w:lang w:val="fr-CA" w:eastAsia="en-CA"/>
              </w:rPr>
            </w:pPr>
            <w:r w:rsidRPr="006735F6">
              <w:rPr>
                <w:sz w:val="18"/>
                <w:szCs w:val="18"/>
                <w:lang w:val="fr-CA" w:eastAsia="en-CA"/>
              </w:rPr>
              <w:t>78</w:t>
            </w:r>
          </w:p>
        </w:tc>
        <w:tc>
          <w:tcPr>
            <w:tcW w:w="1180" w:type="dxa"/>
            <w:tcBorders>
              <w:top w:val="nil"/>
              <w:left w:val="nil"/>
              <w:bottom w:val="single" w:sz="4" w:space="0" w:color="auto"/>
              <w:right w:val="single" w:sz="4" w:space="0" w:color="auto"/>
            </w:tcBorders>
            <w:shd w:val="clear" w:color="auto" w:fill="auto"/>
            <w:noWrap/>
            <w:hideMark/>
          </w:tcPr>
          <w:p w14:paraId="19AAAFCE" w14:textId="5EA5E7D9" w:rsidR="00CC2107" w:rsidRPr="006735F6" w:rsidRDefault="00CC2107" w:rsidP="001E39EE">
            <w:pPr>
              <w:jc w:val="right"/>
              <w:rPr>
                <w:sz w:val="18"/>
                <w:szCs w:val="18"/>
                <w:lang w:val="fr-CA" w:eastAsia="en-CA"/>
              </w:rPr>
            </w:pPr>
            <w:r w:rsidRPr="006735F6">
              <w:rPr>
                <w:sz w:val="18"/>
                <w:szCs w:val="18"/>
                <w:lang w:val="fr-CA" w:eastAsia="en-CA"/>
              </w:rPr>
              <w:t>5</w:t>
            </w:r>
            <w:r w:rsidR="00A1660F">
              <w:rPr>
                <w:sz w:val="18"/>
                <w:szCs w:val="18"/>
                <w:lang w:val="fr-CA" w:eastAsia="en-CA"/>
              </w:rPr>
              <w:t>,</w:t>
            </w:r>
            <w:r w:rsidRPr="006735F6">
              <w:rPr>
                <w:sz w:val="18"/>
                <w:szCs w:val="18"/>
                <w:lang w:val="fr-CA" w:eastAsia="en-CA"/>
              </w:rPr>
              <w:t xml:space="preserve">46 </w:t>
            </w:r>
          </w:p>
        </w:tc>
      </w:tr>
      <w:tr w:rsidR="00CC2107" w:rsidRPr="006735F6" w14:paraId="649D7AE8"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2F5042E5" w14:textId="0C3170C0" w:rsidR="00CC2107" w:rsidRPr="006735F6" w:rsidRDefault="0045030F" w:rsidP="001E39EE">
            <w:pPr>
              <w:jc w:val="left"/>
              <w:rPr>
                <w:sz w:val="18"/>
                <w:szCs w:val="18"/>
                <w:lang w:val="fr-CA" w:eastAsia="en-CA"/>
              </w:rPr>
            </w:pPr>
            <w:r>
              <w:rPr>
                <w:sz w:val="18"/>
                <w:szCs w:val="18"/>
                <w:lang w:val="fr-CA" w:eastAsia="en-CA"/>
              </w:rPr>
              <w:t>Autre</w:t>
            </w:r>
          </w:p>
        </w:tc>
        <w:tc>
          <w:tcPr>
            <w:tcW w:w="856" w:type="dxa"/>
            <w:tcBorders>
              <w:top w:val="nil"/>
              <w:left w:val="nil"/>
              <w:bottom w:val="single" w:sz="4" w:space="0" w:color="auto"/>
              <w:right w:val="single" w:sz="4" w:space="0" w:color="auto"/>
            </w:tcBorders>
            <w:shd w:val="clear" w:color="auto" w:fill="auto"/>
            <w:noWrap/>
            <w:hideMark/>
          </w:tcPr>
          <w:p w14:paraId="3523264E" w14:textId="77777777" w:rsidR="00CC2107" w:rsidRPr="006735F6" w:rsidRDefault="00CC2107" w:rsidP="001E39EE">
            <w:pPr>
              <w:jc w:val="right"/>
              <w:rPr>
                <w:sz w:val="18"/>
                <w:szCs w:val="18"/>
                <w:lang w:val="fr-CA" w:eastAsia="en-CA"/>
              </w:rPr>
            </w:pPr>
            <w:r w:rsidRPr="006735F6">
              <w:rPr>
                <w:sz w:val="18"/>
                <w:szCs w:val="18"/>
                <w:lang w:val="fr-CA" w:eastAsia="en-CA"/>
              </w:rPr>
              <w:t>8</w:t>
            </w:r>
          </w:p>
        </w:tc>
        <w:tc>
          <w:tcPr>
            <w:tcW w:w="1251" w:type="dxa"/>
            <w:tcBorders>
              <w:top w:val="nil"/>
              <w:left w:val="nil"/>
              <w:bottom w:val="single" w:sz="4" w:space="0" w:color="auto"/>
              <w:right w:val="single" w:sz="4" w:space="0" w:color="auto"/>
            </w:tcBorders>
            <w:shd w:val="clear" w:color="auto" w:fill="auto"/>
            <w:noWrap/>
            <w:hideMark/>
          </w:tcPr>
          <w:p w14:paraId="20815362" w14:textId="295A4D85" w:rsidR="00CC2107" w:rsidRPr="006735F6" w:rsidRDefault="00CC2107" w:rsidP="001E39EE">
            <w:pPr>
              <w:jc w:val="right"/>
              <w:rPr>
                <w:sz w:val="18"/>
                <w:szCs w:val="18"/>
                <w:lang w:val="fr-CA" w:eastAsia="en-CA"/>
              </w:rPr>
            </w:pPr>
            <w:r w:rsidRPr="006735F6">
              <w:rPr>
                <w:sz w:val="18"/>
                <w:szCs w:val="18"/>
                <w:lang w:val="fr-CA" w:eastAsia="en-CA"/>
              </w:rPr>
              <w:t>16</w:t>
            </w:r>
            <w:r w:rsidR="00A1660F">
              <w:rPr>
                <w:sz w:val="18"/>
                <w:szCs w:val="18"/>
                <w:lang w:val="fr-CA" w:eastAsia="en-CA"/>
              </w:rPr>
              <w:t xml:space="preserve"> </w:t>
            </w:r>
            <w:r w:rsidRPr="006735F6">
              <w:rPr>
                <w:sz w:val="18"/>
                <w:szCs w:val="18"/>
                <w:lang w:val="fr-CA" w:eastAsia="en-CA"/>
              </w:rPr>
              <w:t>059</w:t>
            </w:r>
            <w:r w:rsidR="00A1660F">
              <w:rPr>
                <w:sz w:val="18"/>
                <w:szCs w:val="18"/>
                <w:lang w:val="fr-CA" w:eastAsia="en-CA"/>
              </w:rPr>
              <w:t xml:space="preserve"> </w:t>
            </w:r>
            <w:r w:rsidRPr="006735F6">
              <w:rPr>
                <w:sz w:val="18"/>
                <w:szCs w:val="18"/>
                <w:lang w:val="fr-CA" w:eastAsia="en-CA"/>
              </w:rPr>
              <w:t>360</w:t>
            </w:r>
          </w:p>
        </w:tc>
        <w:tc>
          <w:tcPr>
            <w:tcW w:w="967" w:type="dxa"/>
            <w:tcBorders>
              <w:top w:val="nil"/>
              <w:left w:val="nil"/>
              <w:bottom w:val="single" w:sz="4" w:space="0" w:color="auto"/>
              <w:right w:val="single" w:sz="4" w:space="0" w:color="auto"/>
            </w:tcBorders>
            <w:shd w:val="clear" w:color="auto" w:fill="auto"/>
            <w:noWrap/>
            <w:hideMark/>
          </w:tcPr>
          <w:p w14:paraId="1C68904D"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72748833" w14:textId="669C4D88" w:rsidR="00CC2107" w:rsidRPr="006735F6" w:rsidRDefault="00CC2107" w:rsidP="001E39EE">
            <w:pPr>
              <w:jc w:val="right"/>
              <w:rPr>
                <w:sz w:val="18"/>
                <w:szCs w:val="18"/>
                <w:lang w:val="fr-CA" w:eastAsia="en-CA"/>
              </w:rPr>
            </w:pPr>
            <w:r w:rsidRPr="006735F6">
              <w:rPr>
                <w:sz w:val="18"/>
                <w:szCs w:val="18"/>
                <w:lang w:val="fr-CA" w:eastAsia="en-CA"/>
              </w:rPr>
              <w:t>1</w:t>
            </w:r>
            <w:r w:rsidR="00A1660F">
              <w:rPr>
                <w:sz w:val="18"/>
                <w:szCs w:val="18"/>
                <w:lang w:val="fr-CA" w:eastAsia="en-CA"/>
              </w:rPr>
              <w:t xml:space="preserve"> </w:t>
            </w:r>
            <w:r w:rsidRPr="006735F6">
              <w:rPr>
                <w:sz w:val="18"/>
                <w:szCs w:val="18"/>
                <w:lang w:val="fr-CA" w:eastAsia="en-CA"/>
              </w:rPr>
              <w:t>574</w:t>
            </w:r>
          </w:p>
        </w:tc>
        <w:tc>
          <w:tcPr>
            <w:tcW w:w="992" w:type="dxa"/>
            <w:tcBorders>
              <w:top w:val="nil"/>
              <w:left w:val="nil"/>
              <w:bottom w:val="single" w:sz="4" w:space="0" w:color="auto"/>
              <w:right w:val="single" w:sz="4" w:space="0" w:color="auto"/>
            </w:tcBorders>
            <w:shd w:val="clear" w:color="auto" w:fill="auto"/>
            <w:noWrap/>
            <w:hideMark/>
          </w:tcPr>
          <w:p w14:paraId="7B9A0F80"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60518ED2" w14:textId="77777777" w:rsidR="00CC2107" w:rsidRPr="006735F6" w:rsidRDefault="00CC2107" w:rsidP="001E39EE">
            <w:pPr>
              <w:jc w:val="right"/>
              <w:rPr>
                <w:sz w:val="18"/>
                <w:szCs w:val="18"/>
                <w:lang w:val="fr-CA" w:eastAsia="en-CA"/>
              </w:rPr>
            </w:pPr>
            <w:r w:rsidRPr="006735F6">
              <w:rPr>
                <w:sz w:val="18"/>
                <w:szCs w:val="18"/>
                <w:lang w:val="fr-CA" w:eastAsia="en-CA"/>
              </w:rPr>
              <w:t>12</w:t>
            </w:r>
          </w:p>
        </w:tc>
        <w:tc>
          <w:tcPr>
            <w:tcW w:w="1240" w:type="dxa"/>
            <w:tcBorders>
              <w:top w:val="nil"/>
              <w:left w:val="nil"/>
              <w:bottom w:val="single" w:sz="4" w:space="0" w:color="auto"/>
              <w:right w:val="single" w:sz="4" w:space="0" w:color="auto"/>
            </w:tcBorders>
            <w:shd w:val="clear" w:color="auto" w:fill="auto"/>
            <w:noWrap/>
            <w:hideMark/>
          </w:tcPr>
          <w:p w14:paraId="33E0E8BB" w14:textId="77777777" w:rsidR="00CC2107" w:rsidRPr="006735F6" w:rsidRDefault="00CC2107" w:rsidP="001E39EE">
            <w:pPr>
              <w:jc w:val="right"/>
              <w:rPr>
                <w:sz w:val="18"/>
                <w:szCs w:val="18"/>
                <w:lang w:val="fr-CA" w:eastAsia="en-CA"/>
              </w:rPr>
            </w:pPr>
            <w:r w:rsidRPr="006735F6">
              <w:rPr>
                <w:sz w:val="18"/>
                <w:szCs w:val="18"/>
                <w:lang w:val="fr-CA" w:eastAsia="en-CA"/>
              </w:rPr>
              <w:t>20</w:t>
            </w:r>
          </w:p>
        </w:tc>
        <w:tc>
          <w:tcPr>
            <w:tcW w:w="1180" w:type="dxa"/>
            <w:tcBorders>
              <w:top w:val="nil"/>
              <w:left w:val="nil"/>
              <w:bottom w:val="single" w:sz="4" w:space="0" w:color="auto"/>
              <w:right w:val="single" w:sz="4" w:space="0" w:color="auto"/>
            </w:tcBorders>
            <w:shd w:val="clear" w:color="auto" w:fill="auto"/>
            <w:noWrap/>
            <w:hideMark/>
          </w:tcPr>
          <w:p w14:paraId="564D0AA0" w14:textId="5AED4275" w:rsidR="00CC2107" w:rsidRPr="006735F6" w:rsidRDefault="00CC2107" w:rsidP="001E39EE">
            <w:pPr>
              <w:jc w:val="right"/>
              <w:rPr>
                <w:sz w:val="18"/>
                <w:szCs w:val="18"/>
                <w:lang w:val="fr-CA" w:eastAsia="en-CA"/>
              </w:rPr>
            </w:pPr>
            <w:r w:rsidRPr="006735F6">
              <w:rPr>
                <w:sz w:val="18"/>
                <w:szCs w:val="18"/>
                <w:lang w:val="fr-CA" w:eastAsia="en-CA"/>
              </w:rPr>
              <w:t>10</w:t>
            </w:r>
            <w:r w:rsidR="00A1660F">
              <w:rPr>
                <w:sz w:val="18"/>
                <w:szCs w:val="18"/>
                <w:lang w:val="fr-CA" w:eastAsia="en-CA"/>
              </w:rPr>
              <w:t>,</w:t>
            </w:r>
            <w:r w:rsidRPr="006735F6">
              <w:rPr>
                <w:sz w:val="18"/>
                <w:szCs w:val="18"/>
                <w:lang w:val="fr-CA" w:eastAsia="en-CA"/>
              </w:rPr>
              <w:t xml:space="preserve">20 </w:t>
            </w:r>
          </w:p>
        </w:tc>
      </w:tr>
      <w:tr w:rsidR="00CC2107" w:rsidRPr="006735F6" w14:paraId="177D5776"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8810DDF" w14:textId="746FB0A1" w:rsidR="00CC2107" w:rsidRPr="006735F6" w:rsidRDefault="0045030F" w:rsidP="0045030F">
            <w:pPr>
              <w:jc w:val="left"/>
              <w:rPr>
                <w:sz w:val="18"/>
                <w:szCs w:val="18"/>
                <w:lang w:val="fr-CA" w:eastAsia="en-CA"/>
              </w:rPr>
            </w:pPr>
            <w:r>
              <w:rPr>
                <w:sz w:val="18"/>
                <w:szCs w:val="18"/>
                <w:lang w:val="fr-CA" w:eastAsia="en-CA"/>
              </w:rPr>
              <w:t>Plan d’élimination</w:t>
            </w:r>
          </w:p>
        </w:tc>
        <w:tc>
          <w:tcPr>
            <w:tcW w:w="856" w:type="dxa"/>
            <w:tcBorders>
              <w:top w:val="nil"/>
              <w:left w:val="nil"/>
              <w:bottom w:val="single" w:sz="4" w:space="0" w:color="auto"/>
              <w:right w:val="single" w:sz="4" w:space="0" w:color="auto"/>
            </w:tcBorders>
            <w:shd w:val="clear" w:color="auto" w:fill="auto"/>
            <w:noWrap/>
            <w:hideMark/>
          </w:tcPr>
          <w:p w14:paraId="59FDD397" w14:textId="77777777" w:rsidR="00CC2107" w:rsidRPr="006735F6" w:rsidRDefault="00CC2107" w:rsidP="001E39EE">
            <w:pPr>
              <w:jc w:val="right"/>
              <w:rPr>
                <w:sz w:val="18"/>
                <w:szCs w:val="18"/>
                <w:lang w:val="fr-CA" w:eastAsia="en-CA"/>
              </w:rPr>
            </w:pPr>
            <w:r w:rsidRPr="006735F6">
              <w:rPr>
                <w:sz w:val="18"/>
                <w:szCs w:val="18"/>
                <w:lang w:val="fr-CA" w:eastAsia="en-CA"/>
              </w:rPr>
              <w:t>722</w:t>
            </w:r>
          </w:p>
        </w:tc>
        <w:tc>
          <w:tcPr>
            <w:tcW w:w="1251" w:type="dxa"/>
            <w:tcBorders>
              <w:top w:val="nil"/>
              <w:left w:val="nil"/>
              <w:bottom w:val="single" w:sz="4" w:space="0" w:color="auto"/>
              <w:right w:val="single" w:sz="4" w:space="0" w:color="auto"/>
            </w:tcBorders>
            <w:shd w:val="clear" w:color="auto" w:fill="auto"/>
            <w:noWrap/>
            <w:hideMark/>
          </w:tcPr>
          <w:p w14:paraId="79AB2ECE" w14:textId="7666D06C" w:rsidR="00CC2107" w:rsidRPr="006735F6" w:rsidRDefault="00CC2107" w:rsidP="001E39EE">
            <w:pPr>
              <w:jc w:val="right"/>
              <w:rPr>
                <w:sz w:val="18"/>
                <w:szCs w:val="18"/>
                <w:lang w:val="fr-CA" w:eastAsia="en-CA"/>
              </w:rPr>
            </w:pPr>
            <w:r w:rsidRPr="006735F6">
              <w:rPr>
                <w:sz w:val="18"/>
                <w:szCs w:val="18"/>
                <w:lang w:val="fr-CA" w:eastAsia="en-CA"/>
              </w:rPr>
              <w:t>600</w:t>
            </w:r>
            <w:r w:rsidR="00A1660F">
              <w:rPr>
                <w:sz w:val="18"/>
                <w:szCs w:val="18"/>
                <w:lang w:val="fr-CA" w:eastAsia="en-CA"/>
              </w:rPr>
              <w:t xml:space="preserve"> </w:t>
            </w:r>
            <w:r w:rsidRPr="006735F6">
              <w:rPr>
                <w:sz w:val="18"/>
                <w:szCs w:val="18"/>
                <w:lang w:val="fr-CA" w:eastAsia="en-CA"/>
              </w:rPr>
              <w:t>658</w:t>
            </w:r>
            <w:r w:rsidR="00A1660F">
              <w:rPr>
                <w:sz w:val="18"/>
                <w:szCs w:val="18"/>
                <w:lang w:val="fr-CA" w:eastAsia="en-CA"/>
              </w:rPr>
              <w:t xml:space="preserve"> </w:t>
            </w:r>
            <w:r w:rsidRPr="006735F6">
              <w:rPr>
                <w:sz w:val="18"/>
                <w:szCs w:val="18"/>
                <w:lang w:val="fr-CA" w:eastAsia="en-CA"/>
              </w:rPr>
              <w:t>874</w:t>
            </w:r>
          </w:p>
        </w:tc>
        <w:tc>
          <w:tcPr>
            <w:tcW w:w="967" w:type="dxa"/>
            <w:tcBorders>
              <w:top w:val="nil"/>
              <w:left w:val="nil"/>
              <w:bottom w:val="single" w:sz="4" w:space="0" w:color="auto"/>
              <w:right w:val="single" w:sz="4" w:space="0" w:color="auto"/>
            </w:tcBorders>
            <w:shd w:val="clear" w:color="auto" w:fill="auto"/>
            <w:noWrap/>
            <w:hideMark/>
          </w:tcPr>
          <w:p w14:paraId="372F84B4" w14:textId="77777777" w:rsidR="00CC2107" w:rsidRPr="006735F6" w:rsidRDefault="00CC2107" w:rsidP="001E39EE">
            <w:pPr>
              <w:jc w:val="right"/>
              <w:rPr>
                <w:sz w:val="18"/>
                <w:szCs w:val="18"/>
                <w:lang w:val="fr-CA" w:eastAsia="en-CA"/>
              </w:rPr>
            </w:pPr>
            <w:r w:rsidRPr="006735F6">
              <w:rPr>
                <w:sz w:val="18"/>
                <w:szCs w:val="18"/>
                <w:lang w:val="fr-CA" w:eastAsia="en-CA"/>
              </w:rPr>
              <w:t>99</w:t>
            </w:r>
          </w:p>
        </w:tc>
        <w:tc>
          <w:tcPr>
            <w:tcW w:w="1009" w:type="dxa"/>
            <w:tcBorders>
              <w:top w:val="nil"/>
              <w:left w:val="nil"/>
              <w:bottom w:val="single" w:sz="4" w:space="0" w:color="auto"/>
              <w:right w:val="single" w:sz="4" w:space="0" w:color="auto"/>
            </w:tcBorders>
            <w:shd w:val="clear" w:color="auto" w:fill="auto"/>
            <w:noWrap/>
            <w:hideMark/>
          </w:tcPr>
          <w:p w14:paraId="3502CE93" w14:textId="57D87EFC" w:rsidR="00CC2107" w:rsidRPr="006735F6" w:rsidRDefault="00CC2107" w:rsidP="001E39EE">
            <w:pPr>
              <w:jc w:val="right"/>
              <w:rPr>
                <w:sz w:val="18"/>
                <w:szCs w:val="18"/>
                <w:lang w:val="fr-CA" w:eastAsia="en-CA"/>
              </w:rPr>
            </w:pPr>
            <w:r w:rsidRPr="006735F6">
              <w:rPr>
                <w:sz w:val="18"/>
                <w:szCs w:val="18"/>
                <w:lang w:val="fr-CA" w:eastAsia="en-CA"/>
              </w:rPr>
              <w:t>51</w:t>
            </w:r>
            <w:r w:rsidR="00A1660F">
              <w:rPr>
                <w:sz w:val="18"/>
                <w:szCs w:val="18"/>
                <w:lang w:val="fr-CA" w:eastAsia="en-CA"/>
              </w:rPr>
              <w:t xml:space="preserve"> </w:t>
            </w:r>
            <w:r w:rsidRPr="006735F6">
              <w:rPr>
                <w:sz w:val="18"/>
                <w:szCs w:val="18"/>
                <w:lang w:val="fr-CA" w:eastAsia="en-CA"/>
              </w:rPr>
              <w:t>507</w:t>
            </w:r>
          </w:p>
        </w:tc>
        <w:tc>
          <w:tcPr>
            <w:tcW w:w="992" w:type="dxa"/>
            <w:tcBorders>
              <w:top w:val="nil"/>
              <w:left w:val="nil"/>
              <w:bottom w:val="single" w:sz="4" w:space="0" w:color="auto"/>
              <w:right w:val="single" w:sz="4" w:space="0" w:color="auto"/>
            </w:tcBorders>
            <w:shd w:val="clear" w:color="auto" w:fill="auto"/>
            <w:noWrap/>
            <w:hideMark/>
          </w:tcPr>
          <w:p w14:paraId="47BBA76E" w14:textId="5271203F" w:rsidR="00CC2107" w:rsidRPr="006735F6" w:rsidRDefault="00CC2107" w:rsidP="001E39EE">
            <w:pPr>
              <w:jc w:val="right"/>
              <w:rPr>
                <w:sz w:val="18"/>
                <w:szCs w:val="18"/>
                <w:lang w:val="fr-CA" w:eastAsia="en-CA"/>
              </w:rPr>
            </w:pPr>
            <w:r w:rsidRPr="006735F6">
              <w:rPr>
                <w:sz w:val="18"/>
                <w:szCs w:val="18"/>
                <w:lang w:val="fr-CA" w:eastAsia="en-CA"/>
              </w:rPr>
              <w:t>10</w:t>
            </w:r>
            <w:r w:rsidR="00A1660F">
              <w:rPr>
                <w:sz w:val="18"/>
                <w:szCs w:val="18"/>
                <w:lang w:val="fr-CA" w:eastAsia="en-CA"/>
              </w:rPr>
              <w:t xml:space="preserve"> </w:t>
            </w:r>
            <w:r w:rsidRPr="006735F6">
              <w:rPr>
                <w:sz w:val="18"/>
                <w:szCs w:val="18"/>
                <w:lang w:val="fr-CA" w:eastAsia="en-CA"/>
              </w:rPr>
              <w:t>988</w:t>
            </w:r>
          </w:p>
        </w:tc>
        <w:tc>
          <w:tcPr>
            <w:tcW w:w="1134" w:type="dxa"/>
            <w:tcBorders>
              <w:top w:val="nil"/>
              <w:left w:val="nil"/>
              <w:bottom w:val="single" w:sz="4" w:space="0" w:color="auto"/>
              <w:right w:val="single" w:sz="4" w:space="0" w:color="auto"/>
            </w:tcBorders>
            <w:shd w:val="clear" w:color="auto" w:fill="auto"/>
            <w:noWrap/>
            <w:hideMark/>
          </w:tcPr>
          <w:p w14:paraId="0513127D" w14:textId="77777777" w:rsidR="00CC2107" w:rsidRPr="006735F6" w:rsidRDefault="00CC2107" w:rsidP="001E39EE">
            <w:pPr>
              <w:jc w:val="right"/>
              <w:rPr>
                <w:sz w:val="18"/>
                <w:szCs w:val="18"/>
                <w:lang w:val="fr-CA" w:eastAsia="en-CA"/>
              </w:rPr>
            </w:pPr>
            <w:r w:rsidRPr="006735F6">
              <w:rPr>
                <w:sz w:val="18"/>
                <w:szCs w:val="18"/>
                <w:lang w:val="fr-CA" w:eastAsia="en-CA"/>
              </w:rPr>
              <w:t>12</w:t>
            </w:r>
          </w:p>
        </w:tc>
        <w:tc>
          <w:tcPr>
            <w:tcW w:w="1240" w:type="dxa"/>
            <w:tcBorders>
              <w:top w:val="nil"/>
              <w:left w:val="nil"/>
              <w:bottom w:val="single" w:sz="4" w:space="0" w:color="auto"/>
              <w:right w:val="single" w:sz="4" w:space="0" w:color="auto"/>
            </w:tcBorders>
            <w:shd w:val="clear" w:color="auto" w:fill="auto"/>
            <w:noWrap/>
            <w:hideMark/>
          </w:tcPr>
          <w:p w14:paraId="47B8EBA0" w14:textId="77777777" w:rsidR="00CC2107" w:rsidRPr="006735F6" w:rsidRDefault="00CC2107" w:rsidP="001E39EE">
            <w:pPr>
              <w:jc w:val="right"/>
              <w:rPr>
                <w:sz w:val="18"/>
                <w:szCs w:val="18"/>
                <w:lang w:val="fr-CA" w:eastAsia="en-CA"/>
              </w:rPr>
            </w:pPr>
            <w:r w:rsidRPr="006735F6">
              <w:rPr>
                <w:sz w:val="18"/>
                <w:szCs w:val="18"/>
                <w:lang w:val="fr-CA" w:eastAsia="en-CA"/>
              </w:rPr>
              <w:t>40</w:t>
            </w:r>
          </w:p>
        </w:tc>
        <w:tc>
          <w:tcPr>
            <w:tcW w:w="1180" w:type="dxa"/>
            <w:tcBorders>
              <w:top w:val="nil"/>
              <w:left w:val="nil"/>
              <w:bottom w:val="single" w:sz="4" w:space="0" w:color="auto"/>
              <w:right w:val="single" w:sz="4" w:space="0" w:color="auto"/>
            </w:tcBorders>
            <w:shd w:val="clear" w:color="auto" w:fill="auto"/>
            <w:noWrap/>
            <w:hideMark/>
          </w:tcPr>
          <w:p w14:paraId="1C342508" w14:textId="45F433A5" w:rsidR="00CC2107" w:rsidRPr="006735F6" w:rsidRDefault="00CC2107" w:rsidP="001E39EE">
            <w:pPr>
              <w:jc w:val="right"/>
              <w:rPr>
                <w:sz w:val="18"/>
                <w:szCs w:val="18"/>
                <w:lang w:val="fr-CA" w:eastAsia="en-CA"/>
              </w:rPr>
            </w:pPr>
            <w:r w:rsidRPr="006735F6">
              <w:rPr>
                <w:sz w:val="18"/>
                <w:szCs w:val="18"/>
                <w:lang w:val="fr-CA" w:eastAsia="en-CA"/>
              </w:rPr>
              <w:t>9</w:t>
            </w:r>
            <w:r w:rsidR="00A1660F">
              <w:rPr>
                <w:sz w:val="18"/>
                <w:szCs w:val="18"/>
                <w:lang w:val="fr-CA" w:eastAsia="en-CA"/>
              </w:rPr>
              <w:t>,</w:t>
            </w:r>
            <w:r w:rsidRPr="006735F6">
              <w:rPr>
                <w:sz w:val="18"/>
                <w:szCs w:val="18"/>
                <w:lang w:val="fr-CA" w:eastAsia="en-CA"/>
              </w:rPr>
              <w:t xml:space="preserve">61 </w:t>
            </w:r>
          </w:p>
        </w:tc>
      </w:tr>
      <w:tr w:rsidR="00CC2107" w:rsidRPr="006735F6" w14:paraId="1061810B"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3E90FC25" w14:textId="0A746919" w:rsidR="00CC2107" w:rsidRPr="006735F6" w:rsidRDefault="0045030F" w:rsidP="001E39EE">
            <w:pPr>
              <w:jc w:val="left"/>
              <w:rPr>
                <w:sz w:val="18"/>
                <w:szCs w:val="18"/>
                <w:lang w:val="fr-CA" w:eastAsia="en-CA"/>
              </w:rPr>
            </w:pPr>
            <w:r>
              <w:rPr>
                <w:sz w:val="18"/>
                <w:szCs w:val="18"/>
                <w:lang w:val="fr-CA" w:eastAsia="en-CA"/>
              </w:rPr>
              <w:t>Agent de transformation</w:t>
            </w:r>
          </w:p>
        </w:tc>
        <w:tc>
          <w:tcPr>
            <w:tcW w:w="856" w:type="dxa"/>
            <w:tcBorders>
              <w:top w:val="nil"/>
              <w:left w:val="nil"/>
              <w:bottom w:val="single" w:sz="4" w:space="0" w:color="auto"/>
              <w:right w:val="single" w:sz="4" w:space="0" w:color="auto"/>
            </w:tcBorders>
            <w:shd w:val="clear" w:color="auto" w:fill="auto"/>
            <w:noWrap/>
            <w:hideMark/>
          </w:tcPr>
          <w:p w14:paraId="5B25ECB5" w14:textId="77777777" w:rsidR="00CC2107" w:rsidRPr="006735F6" w:rsidRDefault="00CC2107" w:rsidP="001E39EE">
            <w:pPr>
              <w:jc w:val="right"/>
              <w:rPr>
                <w:sz w:val="18"/>
                <w:szCs w:val="18"/>
                <w:lang w:val="fr-CA" w:eastAsia="en-CA"/>
              </w:rPr>
            </w:pPr>
            <w:r w:rsidRPr="006735F6">
              <w:rPr>
                <w:sz w:val="18"/>
                <w:szCs w:val="18"/>
                <w:lang w:val="fr-CA" w:eastAsia="en-CA"/>
              </w:rPr>
              <w:t>30</w:t>
            </w:r>
          </w:p>
        </w:tc>
        <w:tc>
          <w:tcPr>
            <w:tcW w:w="1251" w:type="dxa"/>
            <w:tcBorders>
              <w:top w:val="nil"/>
              <w:left w:val="nil"/>
              <w:bottom w:val="single" w:sz="4" w:space="0" w:color="auto"/>
              <w:right w:val="single" w:sz="4" w:space="0" w:color="auto"/>
            </w:tcBorders>
            <w:shd w:val="clear" w:color="auto" w:fill="auto"/>
            <w:noWrap/>
            <w:hideMark/>
          </w:tcPr>
          <w:p w14:paraId="58F6D0B7" w14:textId="397A16AC" w:rsidR="00CC2107" w:rsidRPr="006735F6" w:rsidRDefault="00CC2107" w:rsidP="001E39EE">
            <w:pPr>
              <w:jc w:val="right"/>
              <w:rPr>
                <w:sz w:val="18"/>
                <w:szCs w:val="18"/>
                <w:lang w:val="fr-CA" w:eastAsia="en-CA"/>
              </w:rPr>
            </w:pPr>
            <w:r w:rsidRPr="006735F6">
              <w:rPr>
                <w:sz w:val="18"/>
                <w:szCs w:val="18"/>
                <w:lang w:val="fr-CA" w:eastAsia="en-CA"/>
              </w:rPr>
              <w:t>120</w:t>
            </w:r>
            <w:r w:rsidR="00A1660F">
              <w:rPr>
                <w:sz w:val="18"/>
                <w:szCs w:val="18"/>
                <w:lang w:val="fr-CA" w:eastAsia="en-CA"/>
              </w:rPr>
              <w:t xml:space="preserve"> </w:t>
            </w:r>
            <w:r w:rsidRPr="006735F6">
              <w:rPr>
                <w:sz w:val="18"/>
                <w:szCs w:val="18"/>
                <w:lang w:val="fr-CA" w:eastAsia="en-CA"/>
              </w:rPr>
              <w:t>252</w:t>
            </w:r>
            <w:r w:rsidR="00A1660F">
              <w:rPr>
                <w:sz w:val="18"/>
                <w:szCs w:val="18"/>
                <w:lang w:val="fr-CA" w:eastAsia="en-CA"/>
              </w:rPr>
              <w:t xml:space="preserve"> </w:t>
            </w:r>
            <w:r w:rsidRPr="006735F6">
              <w:rPr>
                <w:sz w:val="18"/>
                <w:szCs w:val="18"/>
                <w:lang w:val="fr-CA" w:eastAsia="en-CA"/>
              </w:rPr>
              <w:t>627</w:t>
            </w:r>
          </w:p>
        </w:tc>
        <w:tc>
          <w:tcPr>
            <w:tcW w:w="967" w:type="dxa"/>
            <w:tcBorders>
              <w:top w:val="nil"/>
              <w:left w:val="nil"/>
              <w:bottom w:val="single" w:sz="4" w:space="0" w:color="auto"/>
              <w:right w:val="single" w:sz="4" w:space="0" w:color="auto"/>
            </w:tcBorders>
            <w:shd w:val="clear" w:color="auto" w:fill="auto"/>
            <w:noWrap/>
            <w:hideMark/>
          </w:tcPr>
          <w:p w14:paraId="0FB1EB14"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379415A3" w14:textId="5F039E74" w:rsidR="00CC2107" w:rsidRPr="006735F6" w:rsidRDefault="00CC2107" w:rsidP="001E39EE">
            <w:pPr>
              <w:jc w:val="right"/>
              <w:rPr>
                <w:sz w:val="18"/>
                <w:szCs w:val="18"/>
                <w:lang w:val="fr-CA" w:eastAsia="en-CA"/>
              </w:rPr>
            </w:pPr>
            <w:r w:rsidRPr="006735F6">
              <w:rPr>
                <w:sz w:val="18"/>
                <w:szCs w:val="18"/>
                <w:lang w:val="fr-CA" w:eastAsia="en-CA"/>
              </w:rPr>
              <w:t>19</w:t>
            </w:r>
            <w:r w:rsidR="00A1660F">
              <w:rPr>
                <w:sz w:val="18"/>
                <w:szCs w:val="18"/>
                <w:lang w:val="fr-CA" w:eastAsia="en-CA"/>
              </w:rPr>
              <w:t xml:space="preserve"> </w:t>
            </w:r>
            <w:r w:rsidRPr="006735F6">
              <w:rPr>
                <w:sz w:val="18"/>
                <w:szCs w:val="18"/>
                <w:lang w:val="fr-CA" w:eastAsia="en-CA"/>
              </w:rPr>
              <w:t>573</w:t>
            </w:r>
          </w:p>
        </w:tc>
        <w:tc>
          <w:tcPr>
            <w:tcW w:w="992" w:type="dxa"/>
            <w:tcBorders>
              <w:top w:val="nil"/>
              <w:left w:val="nil"/>
              <w:bottom w:val="single" w:sz="4" w:space="0" w:color="auto"/>
              <w:right w:val="single" w:sz="4" w:space="0" w:color="auto"/>
            </w:tcBorders>
            <w:shd w:val="clear" w:color="auto" w:fill="auto"/>
            <w:noWrap/>
            <w:hideMark/>
          </w:tcPr>
          <w:p w14:paraId="470EF0F8" w14:textId="1DF357BD" w:rsidR="00CC2107" w:rsidRPr="006735F6" w:rsidRDefault="00CC2107" w:rsidP="001E39EE">
            <w:pPr>
              <w:jc w:val="right"/>
              <w:rPr>
                <w:sz w:val="18"/>
                <w:szCs w:val="18"/>
                <w:lang w:val="fr-CA" w:eastAsia="en-CA"/>
              </w:rPr>
            </w:pPr>
            <w:r w:rsidRPr="006735F6">
              <w:rPr>
                <w:sz w:val="18"/>
                <w:szCs w:val="18"/>
                <w:lang w:val="fr-CA" w:eastAsia="en-CA"/>
              </w:rPr>
              <w:t>52</w:t>
            </w:r>
            <w:r w:rsidR="00A1660F">
              <w:rPr>
                <w:sz w:val="18"/>
                <w:szCs w:val="18"/>
                <w:lang w:val="fr-CA" w:eastAsia="en-CA"/>
              </w:rPr>
              <w:t xml:space="preserve"> </w:t>
            </w:r>
            <w:r w:rsidRPr="006735F6">
              <w:rPr>
                <w:sz w:val="18"/>
                <w:szCs w:val="18"/>
                <w:lang w:val="fr-CA" w:eastAsia="en-CA"/>
              </w:rPr>
              <w:t>162</w:t>
            </w:r>
          </w:p>
        </w:tc>
        <w:tc>
          <w:tcPr>
            <w:tcW w:w="1134" w:type="dxa"/>
            <w:tcBorders>
              <w:top w:val="nil"/>
              <w:left w:val="nil"/>
              <w:bottom w:val="single" w:sz="4" w:space="0" w:color="auto"/>
              <w:right w:val="single" w:sz="4" w:space="0" w:color="auto"/>
            </w:tcBorders>
            <w:shd w:val="clear" w:color="auto" w:fill="auto"/>
            <w:noWrap/>
            <w:hideMark/>
          </w:tcPr>
          <w:p w14:paraId="233F435F" w14:textId="77777777" w:rsidR="00CC2107" w:rsidRPr="006735F6" w:rsidRDefault="00CC2107" w:rsidP="001E39EE">
            <w:pPr>
              <w:jc w:val="right"/>
              <w:rPr>
                <w:sz w:val="18"/>
                <w:szCs w:val="18"/>
                <w:lang w:val="fr-CA" w:eastAsia="en-CA"/>
              </w:rPr>
            </w:pPr>
            <w:r w:rsidRPr="006735F6">
              <w:rPr>
                <w:sz w:val="18"/>
                <w:szCs w:val="18"/>
                <w:lang w:val="fr-CA" w:eastAsia="en-CA"/>
              </w:rPr>
              <w:t>10</w:t>
            </w:r>
          </w:p>
        </w:tc>
        <w:tc>
          <w:tcPr>
            <w:tcW w:w="1240" w:type="dxa"/>
            <w:tcBorders>
              <w:top w:val="nil"/>
              <w:left w:val="nil"/>
              <w:bottom w:val="single" w:sz="4" w:space="0" w:color="auto"/>
              <w:right w:val="single" w:sz="4" w:space="0" w:color="auto"/>
            </w:tcBorders>
            <w:shd w:val="clear" w:color="auto" w:fill="auto"/>
            <w:noWrap/>
            <w:hideMark/>
          </w:tcPr>
          <w:p w14:paraId="4D084EDB" w14:textId="77777777" w:rsidR="00CC2107" w:rsidRPr="006735F6" w:rsidRDefault="00CC2107" w:rsidP="001E39EE">
            <w:pPr>
              <w:jc w:val="right"/>
              <w:rPr>
                <w:sz w:val="18"/>
                <w:szCs w:val="18"/>
                <w:lang w:val="fr-CA" w:eastAsia="en-CA"/>
              </w:rPr>
            </w:pPr>
            <w:r w:rsidRPr="006735F6">
              <w:rPr>
                <w:sz w:val="18"/>
                <w:szCs w:val="18"/>
                <w:lang w:val="fr-CA" w:eastAsia="en-CA"/>
              </w:rPr>
              <w:t>27</w:t>
            </w:r>
          </w:p>
        </w:tc>
        <w:tc>
          <w:tcPr>
            <w:tcW w:w="1180" w:type="dxa"/>
            <w:tcBorders>
              <w:top w:val="nil"/>
              <w:left w:val="nil"/>
              <w:bottom w:val="single" w:sz="4" w:space="0" w:color="auto"/>
              <w:right w:val="single" w:sz="4" w:space="0" w:color="auto"/>
            </w:tcBorders>
            <w:shd w:val="clear" w:color="auto" w:fill="auto"/>
            <w:noWrap/>
            <w:hideMark/>
          </w:tcPr>
          <w:p w14:paraId="52C5FC01" w14:textId="514DC213" w:rsidR="00CC2107" w:rsidRPr="006735F6" w:rsidRDefault="00CC2107" w:rsidP="001E39EE">
            <w:pPr>
              <w:jc w:val="right"/>
              <w:rPr>
                <w:sz w:val="18"/>
                <w:szCs w:val="18"/>
                <w:lang w:val="fr-CA" w:eastAsia="en-CA"/>
              </w:rPr>
            </w:pPr>
            <w:r w:rsidRPr="006735F6">
              <w:rPr>
                <w:sz w:val="18"/>
                <w:szCs w:val="18"/>
                <w:lang w:val="fr-CA" w:eastAsia="en-CA"/>
              </w:rPr>
              <w:t>1</w:t>
            </w:r>
            <w:r w:rsidR="00A1660F">
              <w:rPr>
                <w:sz w:val="18"/>
                <w:szCs w:val="18"/>
                <w:lang w:val="fr-CA" w:eastAsia="en-CA"/>
              </w:rPr>
              <w:t>,</w:t>
            </w:r>
            <w:r w:rsidRPr="006735F6">
              <w:rPr>
                <w:sz w:val="18"/>
                <w:szCs w:val="18"/>
                <w:lang w:val="fr-CA" w:eastAsia="en-CA"/>
              </w:rPr>
              <w:t xml:space="preserve">68 </w:t>
            </w:r>
          </w:p>
        </w:tc>
      </w:tr>
      <w:tr w:rsidR="00CC2107" w:rsidRPr="006735F6" w14:paraId="5784E023"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7A02BD6" w14:textId="77777777" w:rsidR="00CC2107" w:rsidRPr="006735F6" w:rsidRDefault="00CC2107" w:rsidP="001E39EE">
            <w:pPr>
              <w:jc w:val="left"/>
              <w:rPr>
                <w:sz w:val="18"/>
                <w:szCs w:val="18"/>
                <w:lang w:val="fr-CA" w:eastAsia="en-CA"/>
              </w:rPr>
            </w:pPr>
            <w:r w:rsidRPr="006735F6">
              <w:rPr>
                <w:sz w:val="18"/>
                <w:szCs w:val="18"/>
                <w:lang w:val="fr-CA" w:eastAsia="en-CA"/>
              </w:rPr>
              <w:t>Production</w:t>
            </w:r>
          </w:p>
        </w:tc>
        <w:tc>
          <w:tcPr>
            <w:tcW w:w="856" w:type="dxa"/>
            <w:tcBorders>
              <w:top w:val="nil"/>
              <w:left w:val="nil"/>
              <w:bottom w:val="single" w:sz="4" w:space="0" w:color="auto"/>
              <w:right w:val="single" w:sz="4" w:space="0" w:color="auto"/>
            </w:tcBorders>
            <w:shd w:val="clear" w:color="auto" w:fill="auto"/>
            <w:noWrap/>
            <w:hideMark/>
          </w:tcPr>
          <w:p w14:paraId="26BE63FF" w14:textId="77777777" w:rsidR="00CC2107" w:rsidRPr="006735F6" w:rsidRDefault="00CC2107" w:rsidP="001E39EE">
            <w:pPr>
              <w:jc w:val="right"/>
              <w:rPr>
                <w:sz w:val="18"/>
                <w:szCs w:val="18"/>
                <w:lang w:val="fr-CA" w:eastAsia="en-CA"/>
              </w:rPr>
            </w:pPr>
            <w:r w:rsidRPr="006735F6">
              <w:rPr>
                <w:sz w:val="18"/>
                <w:szCs w:val="18"/>
                <w:lang w:val="fr-CA" w:eastAsia="en-CA"/>
              </w:rPr>
              <w:t>61</w:t>
            </w:r>
          </w:p>
        </w:tc>
        <w:tc>
          <w:tcPr>
            <w:tcW w:w="1251" w:type="dxa"/>
            <w:tcBorders>
              <w:top w:val="nil"/>
              <w:left w:val="nil"/>
              <w:bottom w:val="single" w:sz="4" w:space="0" w:color="auto"/>
              <w:right w:val="single" w:sz="4" w:space="0" w:color="auto"/>
            </w:tcBorders>
            <w:shd w:val="clear" w:color="auto" w:fill="auto"/>
            <w:noWrap/>
            <w:hideMark/>
          </w:tcPr>
          <w:p w14:paraId="710EEA67" w14:textId="72B591AB" w:rsidR="00CC2107" w:rsidRPr="006735F6" w:rsidRDefault="00CC2107" w:rsidP="001E39EE">
            <w:pPr>
              <w:jc w:val="right"/>
              <w:rPr>
                <w:sz w:val="18"/>
                <w:szCs w:val="18"/>
                <w:lang w:val="fr-CA" w:eastAsia="en-CA"/>
              </w:rPr>
            </w:pPr>
            <w:r w:rsidRPr="006735F6">
              <w:rPr>
                <w:sz w:val="18"/>
                <w:szCs w:val="18"/>
                <w:lang w:val="fr-CA" w:eastAsia="en-CA"/>
              </w:rPr>
              <w:t>414</w:t>
            </w:r>
            <w:r w:rsidR="00A1660F">
              <w:rPr>
                <w:sz w:val="18"/>
                <w:szCs w:val="18"/>
                <w:lang w:val="fr-CA" w:eastAsia="en-CA"/>
              </w:rPr>
              <w:t xml:space="preserve"> </w:t>
            </w:r>
            <w:r w:rsidRPr="006735F6">
              <w:rPr>
                <w:sz w:val="18"/>
                <w:szCs w:val="18"/>
                <w:lang w:val="fr-CA" w:eastAsia="en-CA"/>
              </w:rPr>
              <w:t>398</w:t>
            </w:r>
            <w:r w:rsidR="00A1660F">
              <w:rPr>
                <w:sz w:val="18"/>
                <w:szCs w:val="18"/>
                <w:lang w:val="fr-CA" w:eastAsia="en-CA"/>
              </w:rPr>
              <w:t xml:space="preserve"> </w:t>
            </w:r>
            <w:r w:rsidRPr="006735F6">
              <w:rPr>
                <w:sz w:val="18"/>
                <w:szCs w:val="18"/>
                <w:lang w:val="fr-CA" w:eastAsia="en-CA"/>
              </w:rPr>
              <w:t>882</w:t>
            </w:r>
          </w:p>
        </w:tc>
        <w:tc>
          <w:tcPr>
            <w:tcW w:w="967" w:type="dxa"/>
            <w:tcBorders>
              <w:top w:val="nil"/>
              <w:left w:val="nil"/>
              <w:bottom w:val="single" w:sz="4" w:space="0" w:color="auto"/>
              <w:right w:val="single" w:sz="4" w:space="0" w:color="auto"/>
            </w:tcBorders>
            <w:shd w:val="clear" w:color="auto" w:fill="auto"/>
            <w:noWrap/>
            <w:hideMark/>
          </w:tcPr>
          <w:p w14:paraId="6443572B"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0674003D"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992" w:type="dxa"/>
            <w:tcBorders>
              <w:top w:val="nil"/>
              <w:left w:val="nil"/>
              <w:bottom w:val="single" w:sz="4" w:space="0" w:color="auto"/>
              <w:right w:val="single" w:sz="4" w:space="0" w:color="auto"/>
            </w:tcBorders>
            <w:shd w:val="clear" w:color="auto" w:fill="auto"/>
            <w:noWrap/>
            <w:hideMark/>
          </w:tcPr>
          <w:p w14:paraId="2B39E20D" w14:textId="7EB12401" w:rsidR="00CC2107" w:rsidRPr="006735F6" w:rsidRDefault="00CC2107" w:rsidP="001E39EE">
            <w:pPr>
              <w:jc w:val="right"/>
              <w:rPr>
                <w:sz w:val="18"/>
                <w:szCs w:val="18"/>
                <w:lang w:val="fr-CA" w:eastAsia="en-CA"/>
              </w:rPr>
            </w:pPr>
            <w:r w:rsidRPr="006735F6">
              <w:rPr>
                <w:sz w:val="18"/>
                <w:szCs w:val="18"/>
                <w:lang w:val="fr-CA" w:eastAsia="en-CA"/>
              </w:rPr>
              <w:t>99</w:t>
            </w:r>
            <w:r w:rsidR="00A1660F">
              <w:rPr>
                <w:sz w:val="18"/>
                <w:szCs w:val="18"/>
                <w:lang w:val="fr-CA" w:eastAsia="en-CA"/>
              </w:rPr>
              <w:t xml:space="preserve"> </w:t>
            </w:r>
            <w:r w:rsidRPr="006735F6">
              <w:rPr>
                <w:sz w:val="18"/>
                <w:szCs w:val="18"/>
                <w:lang w:val="fr-CA" w:eastAsia="en-CA"/>
              </w:rPr>
              <w:t>081</w:t>
            </w:r>
          </w:p>
        </w:tc>
        <w:tc>
          <w:tcPr>
            <w:tcW w:w="1134" w:type="dxa"/>
            <w:tcBorders>
              <w:top w:val="nil"/>
              <w:left w:val="nil"/>
              <w:bottom w:val="single" w:sz="4" w:space="0" w:color="auto"/>
              <w:right w:val="single" w:sz="4" w:space="0" w:color="auto"/>
            </w:tcBorders>
            <w:shd w:val="clear" w:color="auto" w:fill="auto"/>
            <w:noWrap/>
            <w:hideMark/>
          </w:tcPr>
          <w:p w14:paraId="66A1E7E9" w14:textId="77777777" w:rsidR="00CC2107" w:rsidRPr="006735F6" w:rsidRDefault="00CC2107" w:rsidP="001E39EE">
            <w:pPr>
              <w:jc w:val="right"/>
              <w:rPr>
                <w:sz w:val="18"/>
                <w:szCs w:val="18"/>
                <w:lang w:val="fr-CA" w:eastAsia="en-CA"/>
              </w:rPr>
            </w:pPr>
            <w:r w:rsidRPr="006735F6">
              <w:rPr>
                <w:sz w:val="18"/>
                <w:szCs w:val="18"/>
                <w:lang w:val="fr-CA" w:eastAsia="en-CA"/>
              </w:rPr>
              <w:t>9</w:t>
            </w:r>
          </w:p>
        </w:tc>
        <w:tc>
          <w:tcPr>
            <w:tcW w:w="1240" w:type="dxa"/>
            <w:tcBorders>
              <w:top w:val="nil"/>
              <w:left w:val="nil"/>
              <w:bottom w:val="single" w:sz="4" w:space="0" w:color="auto"/>
              <w:right w:val="single" w:sz="4" w:space="0" w:color="auto"/>
            </w:tcBorders>
            <w:shd w:val="clear" w:color="auto" w:fill="auto"/>
            <w:noWrap/>
            <w:hideMark/>
          </w:tcPr>
          <w:p w14:paraId="6C4AB1A7" w14:textId="77777777" w:rsidR="00CC2107" w:rsidRPr="006735F6" w:rsidRDefault="00CC2107" w:rsidP="001E39EE">
            <w:pPr>
              <w:jc w:val="right"/>
              <w:rPr>
                <w:sz w:val="18"/>
                <w:szCs w:val="18"/>
                <w:lang w:val="fr-CA" w:eastAsia="en-CA"/>
              </w:rPr>
            </w:pPr>
            <w:r w:rsidRPr="006735F6">
              <w:rPr>
                <w:sz w:val="18"/>
                <w:szCs w:val="18"/>
                <w:lang w:val="fr-CA" w:eastAsia="en-CA"/>
              </w:rPr>
              <w:t>19</w:t>
            </w:r>
          </w:p>
        </w:tc>
        <w:tc>
          <w:tcPr>
            <w:tcW w:w="1180" w:type="dxa"/>
            <w:tcBorders>
              <w:top w:val="nil"/>
              <w:left w:val="nil"/>
              <w:bottom w:val="single" w:sz="4" w:space="0" w:color="auto"/>
              <w:right w:val="single" w:sz="4" w:space="0" w:color="auto"/>
            </w:tcBorders>
            <w:shd w:val="clear" w:color="auto" w:fill="auto"/>
            <w:noWrap/>
            <w:hideMark/>
          </w:tcPr>
          <w:p w14:paraId="088E55F9" w14:textId="419B9AAB" w:rsidR="00CC2107" w:rsidRPr="006735F6" w:rsidRDefault="00CC2107" w:rsidP="001E39EE">
            <w:pPr>
              <w:jc w:val="right"/>
              <w:rPr>
                <w:sz w:val="18"/>
                <w:szCs w:val="18"/>
                <w:lang w:val="fr-CA" w:eastAsia="en-CA"/>
              </w:rPr>
            </w:pPr>
            <w:r w:rsidRPr="006735F6">
              <w:rPr>
                <w:sz w:val="18"/>
                <w:szCs w:val="18"/>
                <w:lang w:val="fr-CA" w:eastAsia="en-CA"/>
              </w:rPr>
              <w:t>4</w:t>
            </w:r>
            <w:r w:rsidR="00A1660F">
              <w:rPr>
                <w:sz w:val="18"/>
                <w:szCs w:val="18"/>
                <w:lang w:val="fr-CA" w:eastAsia="en-CA"/>
              </w:rPr>
              <w:t>,</w:t>
            </w:r>
            <w:r w:rsidRPr="006735F6">
              <w:rPr>
                <w:sz w:val="18"/>
                <w:szCs w:val="18"/>
                <w:lang w:val="fr-CA" w:eastAsia="en-CA"/>
              </w:rPr>
              <w:t xml:space="preserve">18 </w:t>
            </w:r>
          </w:p>
        </w:tc>
      </w:tr>
      <w:tr w:rsidR="00CC2107" w:rsidRPr="006735F6" w14:paraId="29EC1061"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1F977EC6" w14:textId="5DC54833" w:rsidR="00CC2107" w:rsidRPr="006735F6" w:rsidRDefault="0045030F" w:rsidP="001E39EE">
            <w:pPr>
              <w:jc w:val="left"/>
              <w:rPr>
                <w:sz w:val="18"/>
                <w:szCs w:val="18"/>
                <w:lang w:val="fr-CA" w:eastAsia="en-CA"/>
              </w:rPr>
            </w:pPr>
            <w:r>
              <w:rPr>
                <w:sz w:val="18"/>
                <w:szCs w:val="18"/>
                <w:lang w:val="fr-CA" w:eastAsia="en-CA"/>
              </w:rPr>
              <w:t>Réfrigération</w:t>
            </w:r>
          </w:p>
        </w:tc>
        <w:tc>
          <w:tcPr>
            <w:tcW w:w="856" w:type="dxa"/>
            <w:tcBorders>
              <w:top w:val="nil"/>
              <w:left w:val="nil"/>
              <w:bottom w:val="single" w:sz="4" w:space="0" w:color="auto"/>
              <w:right w:val="single" w:sz="4" w:space="0" w:color="auto"/>
            </w:tcBorders>
            <w:shd w:val="clear" w:color="auto" w:fill="auto"/>
            <w:noWrap/>
            <w:hideMark/>
          </w:tcPr>
          <w:p w14:paraId="11E74687" w14:textId="77777777" w:rsidR="00CC2107" w:rsidRPr="006735F6" w:rsidRDefault="00CC2107" w:rsidP="001E39EE">
            <w:pPr>
              <w:jc w:val="right"/>
              <w:rPr>
                <w:sz w:val="18"/>
                <w:szCs w:val="18"/>
                <w:lang w:val="fr-CA" w:eastAsia="en-CA"/>
              </w:rPr>
            </w:pPr>
            <w:r w:rsidRPr="006735F6">
              <w:rPr>
                <w:sz w:val="18"/>
                <w:szCs w:val="18"/>
                <w:lang w:val="fr-CA" w:eastAsia="en-CA"/>
              </w:rPr>
              <w:t>616</w:t>
            </w:r>
          </w:p>
        </w:tc>
        <w:tc>
          <w:tcPr>
            <w:tcW w:w="1251" w:type="dxa"/>
            <w:tcBorders>
              <w:top w:val="nil"/>
              <w:left w:val="nil"/>
              <w:bottom w:val="single" w:sz="4" w:space="0" w:color="auto"/>
              <w:right w:val="single" w:sz="4" w:space="0" w:color="auto"/>
            </w:tcBorders>
            <w:shd w:val="clear" w:color="auto" w:fill="auto"/>
            <w:noWrap/>
            <w:hideMark/>
          </w:tcPr>
          <w:p w14:paraId="70895F4A" w14:textId="4003A437" w:rsidR="00CC2107" w:rsidRPr="006735F6" w:rsidRDefault="00CC2107" w:rsidP="001E39EE">
            <w:pPr>
              <w:jc w:val="right"/>
              <w:rPr>
                <w:sz w:val="18"/>
                <w:szCs w:val="18"/>
                <w:lang w:val="fr-CA" w:eastAsia="en-CA"/>
              </w:rPr>
            </w:pPr>
            <w:r w:rsidRPr="006735F6">
              <w:rPr>
                <w:sz w:val="18"/>
                <w:szCs w:val="18"/>
                <w:lang w:val="fr-CA" w:eastAsia="en-CA"/>
              </w:rPr>
              <w:t>440</w:t>
            </w:r>
            <w:r w:rsidR="00A1660F">
              <w:rPr>
                <w:sz w:val="18"/>
                <w:szCs w:val="18"/>
                <w:lang w:val="fr-CA" w:eastAsia="en-CA"/>
              </w:rPr>
              <w:t xml:space="preserve"> </w:t>
            </w:r>
            <w:r w:rsidRPr="006735F6">
              <w:rPr>
                <w:sz w:val="18"/>
                <w:szCs w:val="18"/>
                <w:lang w:val="fr-CA" w:eastAsia="en-CA"/>
              </w:rPr>
              <w:t>046</w:t>
            </w:r>
            <w:r w:rsidR="00A1660F">
              <w:rPr>
                <w:sz w:val="18"/>
                <w:szCs w:val="18"/>
                <w:lang w:val="fr-CA" w:eastAsia="en-CA"/>
              </w:rPr>
              <w:t xml:space="preserve"> </w:t>
            </w:r>
            <w:r w:rsidRPr="006735F6">
              <w:rPr>
                <w:sz w:val="18"/>
                <w:szCs w:val="18"/>
                <w:lang w:val="fr-CA" w:eastAsia="en-CA"/>
              </w:rPr>
              <w:t>314</w:t>
            </w:r>
          </w:p>
        </w:tc>
        <w:tc>
          <w:tcPr>
            <w:tcW w:w="967" w:type="dxa"/>
            <w:tcBorders>
              <w:top w:val="nil"/>
              <w:left w:val="nil"/>
              <w:bottom w:val="single" w:sz="4" w:space="0" w:color="auto"/>
              <w:right w:val="single" w:sz="4" w:space="0" w:color="auto"/>
            </w:tcBorders>
            <w:shd w:val="clear" w:color="auto" w:fill="auto"/>
            <w:noWrap/>
            <w:hideMark/>
          </w:tcPr>
          <w:p w14:paraId="61198734"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2B64B055" w14:textId="61189581" w:rsidR="00CC2107" w:rsidRPr="006735F6" w:rsidRDefault="00CC2107" w:rsidP="001E39EE">
            <w:pPr>
              <w:jc w:val="right"/>
              <w:rPr>
                <w:sz w:val="18"/>
                <w:szCs w:val="18"/>
                <w:lang w:val="fr-CA" w:eastAsia="en-CA"/>
              </w:rPr>
            </w:pPr>
            <w:r w:rsidRPr="006735F6">
              <w:rPr>
                <w:sz w:val="18"/>
                <w:szCs w:val="18"/>
                <w:lang w:val="fr-CA" w:eastAsia="en-CA"/>
              </w:rPr>
              <w:t>44</w:t>
            </w:r>
            <w:r w:rsidR="00A1660F">
              <w:rPr>
                <w:sz w:val="18"/>
                <w:szCs w:val="18"/>
                <w:lang w:val="fr-CA" w:eastAsia="en-CA"/>
              </w:rPr>
              <w:t xml:space="preserve"> </w:t>
            </w:r>
            <w:r w:rsidRPr="006735F6">
              <w:rPr>
                <w:sz w:val="18"/>
                <w:szCs w:val="18"/>
                <w:lang w:val="fr-CA" w:eastAsia="en-CA"/>
              </w:rPr>
              <w:t>334</w:t>
            </w:r>
          </w:p>
        </w:tc>
        <w:tc>
          <w:tcPr>
            <w:tcW w:w="992" w:type="dxa"/>
            <w:tcBorders>
              <w:top w:val="nil"/>
              <w:left w:val="nil"/>
              <w:bottom w:val="single" w:sz="4" w:space="0" w:color="auto"/>
              <w:right w:val="single" w:sz="4" w:space="0" w:color="auto"/>
            </w:tcBorders>
            <w:shd w:val="clear" w:color="auto" w:fill="auto"/>
            <w:noWrap/>
            <w:hideMark/>
          </w:tcPr>
          <w:p w14:paraId="50CD6992"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7357E4D2" w14:textId="77777777" w:rsidR="00CC2107" w:rsidRPr="006735F6" w:rsidRDefault="00CC2107" w:rsidP="001E39EE">
            <w:pPr>
              <w:jc w:val="right"/>
              <w:rPr>
                <w:sz w:val="18"/>
                <w:szCs w:val="18"/>
                <w:lang w:val="fr-CA" w:eastAsia="en-CA"/>
              </w:rPr>
            </w:pPr>
            <w:r w:rsidRPr="006735F6">
              <w:rPr>
                <w:sz w:val="18"/>
                <w:szCs w:val="18"/>
                <w:lang w:val="fr-CA" w:eastAsia="en-CA"/>
              </w:rPr>
              <w:t>16</w:t>
            </w:r>
          </w:p>
        </w:tc>
        <w:tc>
          <w:tcPr>
            <w:tcW w:w="1240" w:type="dxa"/>
            <w:tcBorders>
              <w:top w:val="nil"/>
              <w:left w:val="nil"/>
              <w:bottom w:val="single" w:sz="4" w:space="0" w:color="auto"/>
              <w:right w:val="single" w:sz="4" w:space="0" w:color="auto"/>
            </w:tcBorders>
            <w:shd w:val="clear" w:color="auto" w:fill="auto"/>
            <w:noWrap/>
            <w:hideMark/>
          </w:tcPr>
          <w:p w14:paraId="0DF243E1" w14:textId="77777777" w:rsidR="00CC2107" w:rsidRPr="006735F6" w:rsidRDefault="00CC2107" w:rsidP="001E39EE">
            <w:pPr>
              <w:jc w:val="right"/>
              <w:rPr>
                <w:sz w:val="18"/>
                <w:szCs w:val="18"/>
                <w:lang w:val="fr-CA" w:eastAsia="en-CA"/>
              </w:rPr>
            </w:pPr>
            <w:r w:rsidRPr="006735F6">
              <w:rPr>
                <w:sz w:val="18"/>
                <w:szCs w:val="18"/>
                <w:lang w:val="fr-CA" w:eastAsia="en-CA"/>
              </w:rPr>
              <w:t>39</w:t>
            </w:r>
          </w:p>
        </w:tc>
        <w:tc>
          <w:tcPr>
            <w:tcW w:w="1180" w:type="dxa"/>
            <w:tcBorders>
              <w:top w:val="nil"/>
              <w:left w:val="nil"/>
              <w:bottom w:val="single" w:sz="4" w:space="0" w:color="auto"/>
              <w:right w:val="single" w:sz="4" w:space="0" w:color="auto"/>
            </w:tcBorders>
            <w:shd w:val="clear" w:color="auto" w:fill="auto"/>
            <w:noWrap/>
            <w:hideMark/>
          </w:tcPr>
          <w:p w14:paraId="2222BE52" w14:textId="77FCAE2A" w:rsidR="00CC2107" w:rsidRPr="006735F6" w:rsidRDefault="00CC2107" w:rsidP="001E39EE">
            <w:pPr>
              <w:jc w:val="right"/>
              <w:rPr>
                <w:sz w:val="18"/>
                <w:szCs w:val="18"/>
                <w:lang w:val="fr-CA" w:eastAsia="en-CA"/>
              </w:rPr>
            </w:pPr>
            <w:r w:rsidRPr="006735F6">
              <w:rPr>
                <w:sz w:val="18"/>
                <w:szCs w:val="18"/>
                <w:lang w:val="fr-CA" w:eastAsia="en-CA"/>
              </w:rPr>
              <w:t>9</w:t>
            </w:r>
            <w:r w:rsidR="00A1660F">
              <w:rPr>
                <w:sz w:val="18"/>
                <w:szCs w:val="18"/>
                <w:lang w:val="fr-CA" w:eastAsia="en-CA"/>
              </w:rPr>
              <w:t>,</w:t>
            </w:r>
            <w:r w:rsidRPr="006735F6">
              <w:rPr>
                <w:sz w:val="18"/>
                <w:szCs w:val="18"/>
                <w:lang w:val="fr-CA" w:eastAsia="en-CA"/>
              </w:rPr>
              <w:t xml:space="preserve">93 </w:t>
            </w:r>
          </w:p>
        </w:tc>
      </w:tr>
      <w:tr w:rsidR="00CC2107" w:rsidRPr="006735F6" w14:paraId="6E09C59E"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603D22BE" w14:textId="0FB81539" w:rsidR="00CC2107" w:rsidRPr="006735F6" w:rsidRDefault="00A1660F" w:rsidP="001E39EE">
            <w:pPr>
              <w:jc w:val="left"/>
              <w:rPr>
                <w:sz w:val="18"/>
                <w:szCs w:val="18"/>
                <w:lang w:val="fr-CA" w:eastAsia="en-CA"/>
              </w:rPr>
            </w:pPr>
            <w:r>
              <w:rPr>
                <w:sz w:val="18"/>
                <w:szCs w:val="18"/>
                <w:lang w:val="fr-CA" w:eastAsia="en-CA"/>
              </w:rPr>
              <w:t>Solva</w:t>
            </w:r>
            <w:r w:rsidR="00CC2107" w:rsidRPr="006735F6">
              <w:rPr>
                <w:sz w:val="18"/>
                <w:szCs w:val="18"/>
                <w:lang w:val="fr-CA" w:eastAsia="en-CA"/>
              </w:rPr>
              <w:t>nts</w:t>
            </w:r>
          </w:p>
        </w:tc>
        <w:tc>
          <w:tcPr>
            <w:tcW w:w="856" w:type="dxa"/>
            <w:tcBorders>
              <w:top w:val="nil"/>
              <w:left w:val="nil"/>
              <w:bottom w:val="single" w:sz="4" w:space="0" w:color="auto"/>
              <w:right w:val="single" w:sz="4" w:space="0" w:color="auto"/>
            </w:tcBorders>
            <w:shd w:val="clear" w:color="auto" w:fill="auto"/>
            <w:noWrap/>
            <w:hideMark/>
          </w:tcPr>
          <w:p w14:paraId="246AB422" w14:textId="77777777" w:rsidR="00CC2107" w:rsidRPr="006735F6" w:rsidRDefault="00CC2107" w:rsidP="001E39EE">
            <w:pPr>
              <w:jc w:val="right"/>
              <w:rPr>
                <w:sz w:val="18"/>
                <w:szCs w:val="18"/>
                <w:lang w:val="fr-CA" w:eastAsia="en-CA"/>
              </w:rPr>
            </w:pPr>
            <w:r w:rsidRPr="006735F6">
              <w:rPr>
                <w:sz w:val="18"/>
                <w:szCs w:val="18"/>
                <w:lang w:val="fr-CA" w:eastAsia="en-CA"/>
              </w:rPr>
              <w:t>128</w:t>
            </w:r>
          </w:p>
        </w:tc>
        <w:tc>
          <w:tcPr>
            <w:tcW w:w="1251" w:type="dxa"/>
            <w:tcBorders>
              <w:top w:val="nil"/>
              <w:left w:val="nil"/>
              <w:bottom w:val="single" w:sz="4" w:space="0" w:color="auto"/>
              <w:right w:val="single" w:sz="4" w:space="0" w:color="auto"/>
            </w:tcBorders>
            <w:shd w:val="clear" w:color="auto" w:fill="auto"/>
            <w:noWrap/>
            <w:hideMark/>
          </w:tcPr>
          <w:p w14:paraId="2C8D3F6A" w14:textId="6AF8E47E" w:rsidR="00CC2107" w:rsidRPr="006735F6" w:rsidRDefault="00CC2107" w:rsidP="001E39EE">
            <w:pPr>
              <w:jc w:val="right"/>
              <w:rPr>
                <w:sz w:val="18"/>
                <w:szCs w:val="18"/>
                <w:lang w:val="fr-CA" w:eastAsia="en-CA"/>
              </w:rPr>
            </w:pPr>
            <w:r w:rsidRPr="006735F6">
              <w:rPr>
                <w:sz w:val="18"/>
                <w:szCs w:val="18"/>
                <w:lang w:val="fr-CA" w:eastAsia="en-CA"/>
              </w:rPr>
              <w:t>94</w:t>
            </w:r>
            <w:r w:rsidR="00A1660F">
              <w:rPr>
                <w:sz w:val="18"/>
                <w:szCs w:val="18"/>
                <w:lang w:val="fr-CA" w:eastAsia="en-CA"/>
              </w:rPr>
              <w:t xml:space="preserve"> </w:t>
            </w:r>
            <w:r w:rsidRPr="006735F6">
              <w:rPr>
                <w:sz w:val="18"/>
                <w:szCs w:val="18"/>
                <w:lang w:val="fr-CA" w:eastAsia="en-CA"/>
              </w:rPr>
              <w:t>351</w:t>
            </w:r>
            <w:r w:rsidR="00A1660F">
              <w:rPr>
                <w:sz w:val="18"/>
                <w:szCs w:val="18"/>
                <w:lang w:val="fr-CA" w:eastAsia="en-CA"/>
              </w:rPr>
              <w:t xml:space="preserve"> </w:t>
            </w:r>
            <w:r w:rsidRPr="006735F6">
              <w:rPr>
                <w:sz w:val="18"/>
                <w:szCs w:val="18"/>
                <w:lang w:val="fr-CA" w:eastAsia="en-CA"/>
              </w:rPr>
              <w:t>804</w:t>
            </w:r>
          </w:p>
        </w:tc>
        <w:tc>
          <w:tcPr>
            <w:tcW w:w="967" w:type="dxa"/>
            <w:tcBorders>
              <w:top w:val="nil"/>
              <w:left w:val="nil"/>
              <w:bottom w:val="single" w:sz="4" w:space="0" w:color="auto"/>
              <w:right w:val="single" w:sz="4" w:space="0" w:color="auto"/>
            </w:tcBorders>
            <w:shd w:val="clear" w:color="auto" w:fill="auto"/>
            <w:noWrap/>
            <w:hideMark/>
          </w:tcPr>
          <w:p w14:paraId="41C68ECA"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7960A795" w14:textId="07BE8E18" w:rsidR="00CC2107" w:rsidRPr="006735F6" w:rsidRDefault="00CC2107" w:rsidP="001E39EE">
            <w:pPr>
              <w:jc w:val="right"/>
              <w:rPr>
                <w:sz w:val="18"/>
                <w:szCs w:val="18"/>
                <w:lang w:val="fr-CA" w:eastAsia="en-CA"/>
              </w:rPr>
            </w:pPr>
            <w:r w:rsidRPr="006735F6">
              <w:rPr>
                <w:sz w:val="18"/>
                <w:szCs w:val="18"/>
                <w:lang w:val="fr-CA" w:eastAsia="en-CA"/>
              </w:rPr>
              <w:t>7</w:t>
            </w:r>
            <w:r w:rsidR="00A1660F">
              <w:rPr>
                <w:sz w:val="18"/>
                <w:szCs w:val="18"/>
                <w:lang w:val="fr-CA" w:eastAsia="en-CA"/>
              </w:rPr>
              <w:t xml:space="preserve"> </w:t>
            </w:r>
            <w:r w:rsidRPr="006735F6">
              <w:rPr>
                <w:sz w:val="18"/>
                <w:szCs w:val="18"/>
                <w:lang w:val="fr-CA" w:eastAsia="en-CA"/>
              </w:rPr>
              <w:t>285</w:t>
            </w:r>
          </w:p>
        </w:tc>
        <w:tc>
          <w:tcPr>
            <w:tcW w:w="992" w:type="dxa"/>
            <w:tcBorders>
              <w:top w:val="nil"/>
              <w:left w:val="nil"/>
              <w:bottom w:val="single" w:sz="4" w:space="0" w:color="auto"/>
              <w:right w:val="single" w:sz="4" w:space="0" w:color="auto"/>
            </w:tcBorders>
            <w:shd w:val="clear" w:color="auto" w:fill="auto"/>
            <w:noWrap/>
            <w:hideMark/>
          </w:tcPr>
          <w:p w14:paraId="0C09F4EB"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7505A386" w14:textId="77777777" w:rsidR="00CC2107" w:rsidRPr="006735F6" w:rsidRDefault="00CC2107" w:rsidP="001E39EE">
            <w:pPr>
              <w:jc w:val="right"/>
              <w:rPr>
                <w:sz w:val="18"/>
                <w:szCs w:val="18"/>
                <w:lang w:val="fr-CA" w:eastAsia="en-CA"/>
              </w:rPr>
            </w:pPr>
            <w:r w:rsidRPr="006735F6">
              <w:rPr>
                <w:sz w:val="18"/>
                <w:szCs w:val="18"/>
                <w:lang w:val="fr-CA" w:eastAsia="en-CA"/>
              </w:rPr>
              <w:t>19</w:t>
            </w:r>
          </w:p>
        </w:tc>
        <w:tc>
          <w:tcPr>
            <w:tcW w:w="1240" w:type="dxa"/>
            <w:tcBorders>
              <w:top w:val="nil"/>
              <w:left w:val="nil"/>
              <w:bottom w:val="single" w:sz="4" w:space="0" w:color="auto"/>
              <w:right w:val="single" w:sz="4" w:space="0" w:color="auto"/>
            </w:tcBorders>
            <w:shd w:val="clear" w:color="auto" w:fill="auto"/>
            <w:noWrap/>
            <w:hideMark/>
          </w:tcPr>
          <w:p w14:paraId="745F48CF" w14:textId="77777777" w:rsidR="00CC2107" w:rsidRPr="006735F6" w:rsidRDefault="00CC2107" w:rsidP="001E39EE">
            <w:pPr>
              <w:jc w:val="right"/>
              <w:rPr>
                <w:sz w:val="18"/>
                <w:szCs w:val="18"/>
                <w:lang w:val="fr-CA" w:eastAsia="en-CA"/>
              </w:rPr>
            </w:pPr>
            <w:r w:rsidRPr="006735F6">
              <w:rPr>
                <w:sz w:val="18"/>
                <w:szCs w:val="18"/>
                <w:lang w:val="fr-CA" w:eastAsia="en-CA"/>
              </w:rPr>
              <w:t>32</w:t>
            </w:r>
          </w:p>
        </w:tc>
        <w:tc>
          <w:tcPr>
            <w:tcW w:w="1180" w:type="dxa"/>
            <w:tcBorders>
              <w:top w:val="nil"/>
              <w:left w:val="nil"/>
              <w:bottom w:val="single" w:sz="4" w:space="0" w:color="auto"/>
              <w:right w:val="single" w:sz="4" w:space="0" w:color="auto"/>
            </w:tcBorders>
            <w:shd w:val="clear" w:color="auto" w:fill="auto"/>
            <w:noWrap/>
            <w:hideMark/>
          </w:tcPr>
          <w:p w14:paraId="0679143B" w14:textId="62AA3733" w:rsidR="00CC2107" w:rsidRPr="006735F6" w:rsidRDefault="00CC2107" w:rsidP="001E39EE">
            <w:pPr>
              <w:jc w:val="right"/>
              <w:rPr>
                <w:sz w:val="18"/>
                <w:szCs w:val="18"/>
                <w:lang w:val="fr-CA" w:eastAsia="en-CA"/>
              </w:rPr>
            </w:pPr>
            <w:r w:rsidRPr="006735F6">
              <w:rPr>
                <w:sz w:val="18"/>
                <w:szCs w:val="18"/>
                <w:lang w:val="fr-CA" w:eastAsia="en-CA"/>
              </w:rPr>
              <w:t>12</w:t>
            </w:r>
            <w:r w:rsidR="00A1660F">
              <w:rPr>
                <w:sz w:val="18"/>
                <w:szCs w:val="18"/>
                <w:lang w:val="fr-CA" w:eastAsia="en-CA"/>
              </w:rPr>
              <w:t>,</w:t>
            </w:r>
            <w:r w:rsidRPr="006735F6">
              <w:rPr>
                <w:sz w:val="18"/>
                <w:szCs w:val="18"/>
                <w:lang w:val="fr-CA" w:eastAsia="en-CA"/>
              </w:rPr>
              <w:t xml:space="preserve">95 </w:t>
            </w:r>
          </w:p>
        </w:tc>
      </w:tr>
      <w:tr w:rsidR="00CC2107" w:rsidRPr="006735F6" w14:paraId="54548891"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7EF225B" w14:textId="555BBBCA" w:rsidR="00CC2107" w:rsidRPr="006735F6" w:rsidRDefault="00A1660F" w:rsidP="001E39EE">
            <w:pPr>
              <w:jc w:val="left"/>
              <w:rPr>
                <w:sz w:val="18"/>
                <w:szCs w:val="18"/>
                <w:lang w:val="fr-CA" w:eastAsia="en-CA"/>
              </w:rPr>
            </w:pPr>
            <w:r>
              <w:rPr>
                <w:sz w:val="18"/>
                <w:szCs w:val="18"/>
                <w:lang w:val="fr-CA" w:eastAsia="en-CA"/>
              </w:rPr>
              <w:t>Stérilisants</w:t>
            </w:r>
          </w:p>
        </w:tc>
        <w:tc>
          <w:tcPr>
            <w:tcW w:w="856" w:type="dxa"/>
            <w:tcBorders>
              <w:top w:val="nil"/>
              <w:left w:val="nil"/>
              <w:bottom w:val="single" w:sz="4" w:space="0" w:color="auto"/>
              <w:right w:val="single" w:sz="4" w:space="0" w:color="auto"/>
            </w:tcBorders>
            <w:shd w:val="clear" w:color="auto" w:fill="auto"/>
            <w:noWrap/>
            <w:hideMark/>
          </w:tcPr>
          <w:p w14:paraId="7C05BC85" w14:textId="77777777" w:rsidR="00CC2107" w:rsidRPr="006735F6" w:rsidRDefault="00CC2107" w:rsidP="001E39EE">
            <w:pPr>
              <w:jc w:val="right"/>
              <w:rPr>
                <w:sz w:val="18"/>
                <w:szCs w:val="18"/>
                <w:lang w:val="fr-CA" w:eastAsia="en-CA"/>
              </w:rPr>
            </w:pPr>
            <w:r w:rsidRPr="006735F6">
              <w:rPr>
                <w:sz w:val="18"/>
                <w:szCs w:val="18"/>
                <w:lang w:val="fr-CA" w:eastAsia="en-CA"/>
              </w:rPr>
              <w:t>3</w:t>
            </w:r>
          </w:p>
        </w:tc>
        <w:tc>
          <w:tcPr>
            <w:tcW w:w="1251" w:type="dxa"/>
            <w:tcBorders>
              <w:top w:val="nil"/>
              <w:left w:val="nil"/>
              <w:bottom w:val="single" w:sz="4" w:space="0" w:color="auto"/>
              <w:right w:val="single" w:sz="4" w:space="0" w:color="auto"/>
            </w:tcBorders>
            <w:shd w:val="clear" w:color="auto" w:fill="auto"/>
            <w:noWrap/>
            <w:hideMark/>
          </w:tcPr>
          <w:p w14:paraId="031E34C1" w14:textId="0C420EEE" w:rsidR="00CC2107" w:rsidRPr="006735F6" w:rsidRDefault="00CC2107" w:rsidP="001E39EE">
            <w:pPr>
              <w:jc w:val="right"/>
              <w:rPr>
                <w:sz w:val="18"/>
                <w:szCs w:val="18"/>
                <w:lang w:val="fr-CA" w:eastAsia="en-CA"/>
              </w:rPr>
            </w:pPr>
            <w:r w:rsidRPr="006735F6">
              <w:rPr>
                <w:sz w:val="18"/>
                <w:szCs w:val="18"/>
                <w:lang w:val="fr-CA" w:eastAsia="en-CA"/>
              </w:rPr>
              <w:t>1</w:t>
            </w:r>
            <w:r w:rsidR="00A1660F">
              <w:rPr>
                <w:sz w:val="18"/>
                <w:szCs w:val="18"/>
                <w:lang w:val="fr-CA" w:eastAsia="en-CA"/>
              </w:rPr>
              <w:t xml:space="preserve"> </w:t>
            </w:r>
            <w:r w:rsidRPr="006735F6">
              <w:rPr>
                <w:sz w:val="18"/>
                <w:szCs w:val="18"/>
                <w:lang w:val="fr-CA" w:eastAsia="en-CA"/>
              </w:rPr>
              <w:t>073</w:t>
            </w:r>
            <w:r w:rsidR="00A1660F">
              <w:rPr>
                <w:sz w:val="18"/>
                <w:szCs w:val="18"/>
                <w:lang w:val="fr-CA" w:eastAsia="en-CA"/>
              </w:rPr>
              <w:t xml:space="preserve"> </w:t>
            </w:r>
            <w:r w:rsidRPr="006735F6">
              <w:rPr>
                <w:sz w:val="18"/>
                <w:szCs w:val="18"/>
                <w:lang w:val="fr-CA" w:eastAsia="en-CA"/>
              </w:rPr>
              <w:t>855</w:t>
            </w:r>
          </w:p>
        </w:tc>
        <w:tc>
          <w:tcPr>
            <w:tcW w:w="967" w:type="dxa"/>
            <w:tcBorders>
              <w:top w:val="nil"/>
              <w:left w:val="nil"/>
              <w:bottom w:val="single" w:sz="4" w:space="0" w:color="auto"/>
              <w:right w:val="single" w:sz="4" w:space="0" w:color="auto"/>
            </w:tcBorders>
            <w:shd w:val="clear" w:color="auto" w:fill="auto"/>
            <w:noWrap/>
            <w:hideMark/>
          </w:tcPr>
          <w:p w14:paraId="38DA7C19"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30D79677" w14:textId="77777777" w:rsidR="00CC2107" w:rsidRPr="006735F6" w:rsidRDefault="00CC2107" w:rsidP="001E39EE">
            <w:pPr>
              <w:jc w:val="right"/>
              <w:rPr>
                <w:sz w:val="18"/>
                <w:szCs w:val="18"/>
                <w:lang w:val="fr-CA" w:eastAsia="en-CA"/>
              </w:rPr>
            </w:pPr>
            <w:r w:rsidRPr="006735F6">
              <w:rPr>
                <w:sz w:val="18"/>
                <w:szCs w:val="18"/>
                <w:lang w:val="fr-CA" w:eastAsia="en-CA"/>
              </w:rPr>
              <w:t>60</w:t>
            </w:r>
          </w:p>
        </w:tc>
        <w:tc>
          <w:tcPr>
            <w:tcW w:w="992" w:type="dxa"/>
            <w:tcBorders>
              <w:top w:val="nil"/>
              <w:left w:val="nil"/>
              <w:bottom w:val="single" w:sz="4" w:space="0" w:color="auto"/>
              <w:right w:val="single" w:sz="4" w:space="0" w:color="auto"/>
            </w:tcBorders>
            <w:shd w:val="clear" w:color="auto" w:fill="auto"/>
            <w:noWrap/>
            <w:hideMark/>
          </w:tcPr>
          <w:p w14:paraId="59B4135E" w14:textId="77777777" w:rsidR="00CC2107" w:rsidRPr="006735F6" w:rsidRDefault="00CC2107" w:rsidP="001E39EE">
            <w:pPr>
              <w:jc w:val="right"/>
              <w:rPr>
                <w:sz w:val="18"/>
                <w:szCs w:val="18"/>
                <w:lang w:val="fr-CA" w:eastAsia="en-CA"/>
              </w:rPr>
            </w:pPr>
            <w:r w:rsidRPr="006735F6">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6C57E991" w14:textId="77777777" w:rsidR="00CC2107" w:rsidRPr="006735F6" w:rsidRDefault="00CC2107" w:rsidP="001E39EE">
            <w:pPr>
              <w:jc w:val="right"/>
              <w:rPr>
                <w:sz w:val="18"/>
                <w:szCs w:val="18"/>
                <w:lang w:val="fr-CA" w:eastAsia="en-CA"/>
              </w:rPr>
            </w:pPr>
            <w:r w:rsidRPr="006735F6">
              <w:rPr>
                <w:sz w:val="18"/>
                <w:szCs w:val="18"/>
                <w:lang w:val="fr-CA" w:eastAsia="en-CA"/>
              </w:rPr>
              <w:t>15</w:t>
            </w:r>
          </w:p>
        </w:tc>
        <w:tc>
          <w:tcPr>
            <w:tcW w:w="1240" w:type="dxa"/>
            <w:tcBorders>
              <w:top w:val="nil"/>
              <w:left w:val="nil"/>
              <w:bottom w:val="single" w:sz="4" w:space="0" w:color="auto"/>
              <w:right w:val="single" w:sz="4" w:space="0" w:color="auto"/>
            </w:tcBorders>
            <w:shd w:val="clear" w:color="auto" w:fill="auto"/>
            <w:noWrap/>
            <w:hideMark/>
          </w:tcPr>
          <w:p w14:paraId="03A85983" w14:textId="77777777" w:rsidR="00CC2107" w:rsidRPr="006735F6" w:rsidRDefault="00CC2107" w:rsidP="001E39EE">
            <w:pPr>
              <w:jc w:val="right"/>
              <w:rPr>
                <w:sz w:val="18"/>
                <w:szCs w:val="18"/>
                <w:lang w:val="fr-CA" w:eastAsia="en-CA"/>
              </w:rPr>
            </w:pPr>
            <w:r w:rsidRPr="006735F6">
              <w:rPr>
                <w:sz w:val="18"/>
                <w:szCs w:val="18"/>
                <w:lang w:val="fr-CA" w:eastAsia="en-CA"/>
              </w:rPr>
              <w:t>34</w:t>
            </w:r>
          </w:p>
        </w:tc>
        <w:tc>
          <w:tcPr>
            <w:tcW w:w="1180" w:type="dxa"/>
            <w:tcBorders>
              <w:top w:val="nil"/>
              <w:left w:val="nil"/>
              <w:bottom w:val="single" w:sz="4" w:space="0" w:color="auto"/>
              <w:right w:val="single" w:sz="4" w:space="0" w:color="auto"/>
            </w:tcBorders>
            <w:shd w:val="clear" w:color="auto" w:fill="auto"/>
            <w:noWrap/>
            <w:hideMark/>
          </w:tcPr>
          <w:p w14:paraId="6C7EB78D" w14:textId="2BAB4CD8" w:rsidR="00CC2107" w:rsidRPr="006735F6" w:rsidRDefault="00CC2107" w:rsidP="001E39EE">
            <w:pPr>
              <w:jc w:val="right"/>
              <w:rPr>
                <w:sz w:val="18"/>
                <w:szCs w:val="18"/>
                <w:lang w:val="fr-CA" w:eastAsia="en-CA"/>
              </w:rPr>
            </w:pPr>
            <w:r w:rsidRPr="006735F6">
              <w:rPr>
                <w:sz w:val="18"/>
                <w:szCs w:val="18"/>
                <w:lang w:val="fr-CA" w:eastAsia="en-CA"/>
              </w:rPr>
              <w:t>17</w:t>
            </w:r>
            <w:r w:rsidR="00A1660F">
              <w:rPr>
                <w:sz w:val="18"/>
                <w:szCs w:val="18"/>
                <w:lang w:val="fr-CA" w:eastAsia="en-CA"/>
              </w:rPr>
              <w:t>,</w:t>
            </w:r>
            <w:r w:rsidRPr="006735F6">
              <w:rPr>
                <w:sz w:val="18"/>
                <w:szCs w:val="18"/>
                <w:lang w:val="fr-CA" w:eastAsia="en-CA"/>
              </w:rPr>
              <w:t xml:space="preserve">78 </w:t>
            </w:r>
          </w:p>
        </w:tc>
      </w:tr>
      <w:tr w:rsidR="00CC2107" w:rsidRPr="00D303D6" w14:paraId="3334FA2C" w14:textId="77777777" w:rsidTr="00CC2107">
        <w:trPr>
          <w:trHeight w:val="204"/>
        </w:trPr>
        <w:tc>
          <w:tcPr>
            <w:tcW w:w="10075" w:type="dxa"/>
            <w:gridSpan w:val="9"/>
            <w:tcBorders>
              <w:top w:val="nil"/>
              <w:left w:val="single" w:sz="4" w:space="0" w:color="auto"/>
              <w:bottom w:val="nil"/>
              <w:right w:val="single" w:sz="4" w:space="0" w:color="auto"/>
            </w:tcBorders>
            <w:shd w:val="clear" w:color="auto" w:fill="auto"/>
            <w:noWrap/>
            <w:hideMark/>
          </w:tcPr>
          <w:p w14:paraId="4A0815B1" w14:textId="06460211" w:rsidR="00CC2107" w:rsidRPr="006735F6" w:rsidRDefault="00A1660F" w:rsidP="001E39EE">
            <w:pPr>
              <w:jc w:val="left"/>
              <w:rPr>
                <w:sz w:val="18"/>
                <w:szCs w:val="18"/>
                <w:lang w:val="fr-CA" w:eastAsia="en-CA"/>
              </w:rPr>
            </w:pPr>
            <w:r>
              <w:rPr>
                <w:b/>
                <w:bCs/>
                <w:sz w:val="18"/>
                <w:szCs w:val="18"/>
                <w:lang w:val="fr-CA" w:eastAsia="en-CA"/>
              </w:rPr>
              <w:t xml:space="preserve">Caractéristiques de la mise en œuvre </w:t>
            </w:r>
          </w:p>
        </w:tc>
      </w:tr>
      <w:tr w:rsidR="00CC2107" w:rsidRPr="006735F6" w14:paraId="5FD25045" w14:textId="77777777" w:rsidTr="00CC2107">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126E3FC8" w14:textId="66D4613D" w:rsidR="00CC2107" w:rsidRPr="006735F6" w:rsidRDefault="004A5A91" w:rsidP="001E39EE">
            <w:pPr>
              <w:jc w:val="left"/>
              <w:rPr>
                <w:sz w:val="18"/>
                <w:szCs w:val="18"/>
                <w:lang w:val="fr-CA" w:eastAsia="en-CA"/>
              </w:rPr>
            </w:pPr>
            <w:r>
              <w:rPr>
                <w:sz w:val="18"/>
                <w:szCs w:val="18"/>
                <w:lang w:val="fr-CA" w:eastAsia="en-CA"/>
              </w:rPr>
              <w:t>Mise en œuvre par l’agence</w:t>
            </w:r>
          </w:p>
        </w:tc>
        <w:tc>
          <w:tcPr>
            <w:tcW w:w="856" w:type="dxa"/>
            <w:tcBorders>
              <w:top w:val="single" w:sz="4" w:space="0" w:color="auto"/>
              <w:left w:val="nil"/>
              <w:bottom w:val="single" w:sz="4" w:space="0" w:color="auto"/>
              <w:right w:val="single" w:sz="4" w:space="0" w:color="auto"/>
            </w:tcBorders>
            <w:shd w:val="clear" w:color="auto" w:fill="auto"/>
            <w:noWrap/>
            <w:hideMark/>
          </w:tcPr>
          <w:p w14:paraId="2A918E4F" w14:textId="01DD17AE" w:rsidR="00CC2107" w:rsidRPr="006735F6" w:rsidRDefault="00CC2107" w:rsidP="001E39EE">
            <w:pPr>
              <w:jc w:val="right"/>
              <w:rPr>
                <w:sz w:val="18"/>
                <w:szCs w:val="18"/>
                <w:lang w:val="fr-CA" w:eastAsia="en-CA"/>
              </w:rPr>
            </w:pPr>
            <w:r w:rsidRPr="006735F6">
              <w:rPr>
                <w:sz w:val="18"/>
                <w:szCs w:val="18"/>
                <w:lang w:val="fr-CA" w:eastAsia="en-CA"/>
              </w:rPr>
              <w:t>1</w:t>
            </w:r>
            <w:r w:rsidR="00A1660F">
              <w:rPr>
                <w:sz w:val="18"/>
                <w:szCs w:val="18"/>
                <w:lang w:val="fr-CA" w:eastAsia="en-CA"/>
              </w:rPr>
              <w:t xml:space="preserve"> </w:t>
            </w:r>
            <w:r w:rsidRPr="006735F6">
              <w:rPr>
                <w:sz w:val="18"/>
                <w:szCs w:val="18"/>
                <w:lang w:val="fr-CA" w:eastAsia="en-CA"/>
              </w:rPr>
              <w:t>774</w:t>
            </w:r>
          </w:p>
        </w:tc>
        <w:tc>
          <w:tcPr>
            <w:tcW w:w="1251" w:type="dxa"/>
            <w:tcBorders>
              <w:top w:val="single" w:sz="4" w:space="0" w:color="auto"/>
              <w:left w:val="nil"/>
              <w:bottom w:val="single" w:sz="4" w:space="0" w:color="auto"/>
              <w:right w:val="single" w:sz="4" w:space="0" w:color="auto"/>
            </w:tcBorders>
            <w:shd w:val="clear" w:color="auto" w:fill="auto"/>
            <w:noWrap/>
            <w:hideMark/>
          </w:tcPr>
          <w:p w14:paraId="2D0D3E73" w14:textId="6137E1FE" w:rsidR="00CC2107" w:rsidRPr="006735F6" w:rsidRDefault="00CC2107" w:rsidP="001E39EE">
            <w:pPr>
              <w:jc w:val="right"/>
              <w:rPr>
                <w:sz w:val="18"/>
                <w:szCs w:val="18"/>
                <w:lang w:val="fr-CA" w:eastAsia="en-CA"/>
              </w:rPr>
            </w:pPr>
            <w:r w:rsidRPr="006735F6">
              <w:rPr>
                <w:sz w:val="18"/>
                <w:szCs w:val="18"/>
                <w:lang w:val="fr-CA" w:eastAsia="en-CA"/>
              </w:rPr>
              <w:t>832</w:t>
            </w:r>
            <w:r w:rsidR="00A1660F">
              <w:rPr>
                <w:sz w:val="18"/>
                <w:szCs w:val="18"/>
                <w:lang w:val="fr-CA" w:eastAsia="en-CA"/>
              </w:rPr>
              <w:t xml:space="preserve"> </w:t>
            </w:r>
            <w:r w:rsidRPr="006735F6">
              <w:rPr>
                <w:sz w:val="18"/>
                <w:szCs w:val="18"/>
                <w:lang w:val="fr-CA" w:eastAsia="en-CA"/>
              </w:rPr>
              <w:t>724</w:t>
            </w:r>
            <w:r w:rsidR="00A1660F">
              <w:rPr>
                <w:sz w:val="18"/>
                <w:szCs w:val="18"/>
                <w:lang w:val="fr-CA" w:eastAsia="en-CA"/>
              </w:rPr>
              <w:t xml:space="preserve"> </w:t>
            </w:r>
            <w:r w:rsidRPr="006735F6">
              <w:rPr>
                <w:sz w:val="18"/>
                <w:szCs w:val="18"/>
                <w:lang w:val="fr-CA" w:eastAsia="en-CA"/>
              </w:rPr>
              <w:t>855</w:t>
            </w:r>
          </w:p>
        </w:tc>
        <w:tc>
          <w:tcPr>
            <w:tcW w:w="967" w:type="dxa"/>
            <w:tcBorders>
              <w:top w:val="single" w:sz="4" w:space="0" w:color="auto"/>
              <w:left w:val="nil"/>
              <w:bottom w:val="single" w:sz="4" w:space="0" w:color="auto"/>
              <w:right w:val="single" w:sz="4" w:space="0" w:color="auto"/>
            </w:tcBorders>
            <w:shd w:val="clear" w:color="auto" w:fill="auto"/>
            <w:noWrap/>
            <w:hideMark/>
          </w:tcPr>
          <w:p w14:paraId="70217BC5"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4F962508" w14:textId="02373EF8" w:rsidR="00CC2107" w:rsidRPr="006735F6" w:rsidRDefault="00CC2107" w:rsidP="001E39EE">
            <w:pPr>
              <w:jc w:val="right"/>
              <w:rPr>
                <w:sz w:val="18"/>
                <w:szCs w:val="18"/>
                <w:lang w:val="fr-CA" w:eastAsia="en-CA"/>
              </w:rPr>
            </w:pPr>
            <w:r w:rsidRPr="006735F6">
              <w:rPr>
                <w:sz w:val="18"/>
                <w:szCs w:val="18"/>
                <w:lang w:val="fr-CA" w:eastAsia="en-CA"/>
              </w:rPr>
              <w:t>94</w:t>
            </w:r>
            <w:r w:rsidR="00A1660F">
              <w:rPr>
                <w:sz w:val="18"/>
                <w:szCs w:val="18"/>
                <w:lang w:val="fr-CA" w:eastAsia="en-CA"/>
              </w:rPr>
              <w:t xml:space="preserve"> </w:t>
            </w:r>
            <w:r w:rsidRPr="006735F6">
              <w:rPr>
                <w:sz w:val="18"/>
                <w:szCs w:val="18"/>
                <w:lang w:val="fr-CA" w:eastAsia="en-CA"/>
              </w:rPr>
              <w:t>262</w:t>
            </w:r>
          </w:p>
        </w:tc>
        <w:tc>
          <w:tcPr>
            <w:tcW w:w="992" w:type="dxa"/>
            <w:tcBorders>
              <w:top w:val="single" w:sz="4" w:space="0" w:color="auto"/>
              <w:left w:val="nil"/>
              <w:bottom w:val="single" w:sz="4" w:space="0" w:color="auto"/>
              <w:right w:val="single" w:sz="4" w:space="0" w:color="auto"/>
            </w:tcBorders>
            <w:shd w:val="clear" w:color="auto" w:fill="auto"/>
            <w:noWrap/>
            <w:hideMark/>
          </w:tcPr>
          <w:p w14:paraId="4E179679" w14:textId="28650A0C" w:rsidR="00CC2107" w:rsidRPr="006735F6" w:rsidRDefault="00CC2107" w:rsidP="001E39EE">
            <w:pPr>
              <w:jc w:val="right"/>
              <w:rPr>
                <w:sz w:val="18"/>
                <w:szCs w:val="18"/>
                <w:lang w:val="fr-CA" w:eastAsia="en-CA"/>
              </w:rPr>
            </w:pPr>
            <w:r w:rsidRPr="006735F6">
              <w:rPr>
                <w:sz w:val="18"/>
                <w:szCs w:val="18"/>
                <w:lang w:val="fr-CA" w:eastAsia="en-CA"/>
              </w:rPr>
              <w:t>17</w:t>
            </w:r>
            <w:r w:rsidR="00A1660F">
              <w:rPr>
                <w:sz w:val="18"/>
                <w:szCs w:val="18"/>
                <w:lang w:val="fr-CA" w:eastAsia="en-CA"/>
              </w:rPr>
              <w:t xml:space="preserve"> </w:t>
            </w:r>
            <w:r w:rsidRPr="006735F6">
              <w:rPr>
                <w:sz w:val="18"/>
                <w:szCs w:val="18"/>
                <w:lang w:val="fr-CA" w:eastAsia="en-CA"/>
              </w:rPr>
              <w:t>381</w:t>
            </w:r>
          </w:p>
        </w:tc>
        <w:tc>
          <w:tcPr>
            <w:tcW w:w="1134" w:type="dxa"/>
            <w:tcBorders>
              <w:top w:val="single" w:sz="4" w:space="0" w:color="auto"/>
              <w:left w:val="nil"/>
              <w:bottom w:val="single" w:sz="4" w:space="0" w:color="auto"/>
              <w:right w:val="single" w:sz="4" w:space="0" w:color="auto"/>
            </w:tcBorders>
            <w:shd w:val="clear" w:color="auto" w:fill="auto"/>
            <w:noWrap/>
            <w:hideMark/>
          </w:tcPr>
          <w:p w14:paraId="79F46F61" w14:textId="77777777" w:rsidR="00CC2107" w:rsidRPr="006735F6" w:rsidRDefault="00CC2107" w:rsidP="001E39EE">
            <w:pPr>
              <w:jc w:val="right"/>
              <w:rPr>
                <w:sz w:val="18"/>
                <w:szCs w:val="18"/>
                <w:lang w:val="fr-CA" w:eastAsia="en-CA"/>
              </w:rPr>
            </w:pPr>
            <w:r w:rsidRPr="006735F6">
              <w:rPr>
                <w:sz w:val="18"/>
                <w:szCs w:val="18"/>
                <w:lang w:val="fr-CA" w:eastAsia="en-CA"/>
              </w:rPr>
              <w:t>11</w:t>
            </w:r>
          </w:p>
        </w:tc>
        <w:tc>
          <w:tcPr>
            <w:tcW w:w="1240" w:type="dxa"/>
            <w:tcBorders>
              <w:top w:val="single" w:sz="4" w:space="0" w:color="auto"/>
              <w:left w:val="nil"/>
              <w:bottom w:val="single" w:sz="4" w:space="0" w:color="auto"/>
              <w:right w:val="single" w:sz="4" w:space="0" w:color="auto"/>
            </w:tcBorders>
            <w:shd w:val="clear" w:color="auto" w:fill="auto"/>
            <w:noWrap/>
            <w:hideMark/>
          </w:tcPr>
          <w:p w14:paraId="3161CAC2" w14:textId="77777777" w:rsidR="00CC2107" w:rsidRPr="006735F6" w:rsidRDefault="00CC2107" w:rsidP="001E39EE">
            <w:pPr>
              <w:jc w:val="right"/>
              <w:rPr>
                <w:sz w:val="18"/>
                <w:szCs w:val="18"/>
                <w:lang w:val="fr-CA" w:eastAsia="en-CA"/>
              </w:rPr>
            </w:pPr>
            <w:r w:rsidRPr="006735F6">
              <w:rPr>
                <w:sz w:val="18"/>
                <w:szCs w:val="18"/>
                <w:lang w:val="fr-CA" w:eastAsia="en-CA"/>
              </w:rPr>
              <w:t>35</w:t>
            </w:r>
          </w:p>
        </w:tc>
        <w:tc>
          <w:tcPr>
            <w:tcW w:w="1180" w:type="dxa"/>
            <w:tcBorders>
              <w:top w:val="single" w:sz="4" w:space="0" w:color="auto"/>
              <w:left w:val="nil"/>
              <w:bottom w:val="single" w:sz="4" w:space="0" w:color="auto"/>
              <w:right w:val="single" w:sz="4" w:space="0" w:color="auto"/>
            </w:tcBorders>
            <w:shd w:val="clear" w:color="auto" w:fill="auto"/>
            <w:noWrap/>
            <w:hideMark/>
          </w:tcPr>
          <w:p w14:paraId="0FAC4B52" w14:textId="207745AA" w:rsidR="00CC2107" w:rsidRPr="006735F6" w:rsidRDefault="00CC2107" w:rsidP="001E39EE">
            <w:pPr>
              <w:jc w:val="right"/>
              <w:rPr>
                <w:sz w:val="18"/>
                <w:szCs w:val="18"/>
                <w:lang w:val="fr-CA" w:eastAsia="en-CA"/>
              </w:rPr>
            </w:pPr>
            <w:r w:rsidRPr="006735F6">
              <w:rPr>
                <w:sz w:val="18"/>
                <w:szCs w:val="18"/>
                <w:lang w:val="fr-CA" w:eastAsia="en-CA"/>
              </w:rPr>
              <w:t>7</w:t>
            </w:r>
            <w:r w:rsidR="00A1660F">
              <w:rPr>
                <w:sz w:val="18"/>
                <w:szCs w:val="18"/>
                <w:lang w:val="fr-CA" w:eastAsia="en-CA"/>
              </w:rPr>
              <w:t>,</w:t>
            </w:r>
            <w:r w:rsidRPr="006735F6">
              <w:rPr>
                <w:sz w:val="18"/>
                <w:szCs w:val="18"/>
                <w:lang w:val="fr-CA" w:eastAsia="en-CA"/>
              </w:rPr>
              <w:t xml:space="preserve">46 </w:t>
            </w:r>
          </w:p>
        </w:tc>
      </w:tr>
      <w:tr w:rsidR="00CC2107" w:rsidRPr="006735F6" w14:paraId="0000635F"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225E4BD9" w14:textId="1CE2E6A6" w:rsidR="00CC2107" w:rsidRPr="006735F6" w:rsidRDefault="00A1660F" w:rsidP="001E39EE">
            <w:pPr>
              <w:jc w:val="left"/>
              <w:rPr>
                <w:sz w:val="18"/>
                <w:szCs w:val="18"/>
                <w:lang w:val="fr-CA" w:eastAsia="en-CA"/>
              </w:rPr>
            </w:pPr>
            <w:r>
              <w:rPr>
                <w:sz w:val="18"/>
                <w:szCs w:val="18"/>
                <w:lang w:val="fr-CA" w:eastAsia="en-CA"/>
              </w:rPr>
              <w:t>Mise en œuvre par le pays</w:t>
            </w:r>
          </w:p>
        </w:tc>
        <w:tc>
          <w:tcPr>
            <w:tcW w:w="856" w:type="dxa"/>
            <w:tcBorders>
              <w:top w:val="nil"/>
              <w:left w:val="nil"/>
              <w:bottom w:val="single" w:sz="4" w:space="0" w:color="auto"/>
              <w:right w:val="single" w:sz="4" w:space="0" w:color="auto"/>
            </w:tcBorders>
            <w:shd w:val="clear" w:color="auto" w:fill="auto"/>
            <w:noWrap/>
            <w:hideMark/>
          </w:tcPr>
          <w:p w14:paraId="16908313" w14:textId="5E8E630E" w:rsidR="00CC2107" w:rsidRPr="006735F6" w:rsidRDefault="00CC2107" w:rsidP="001E39EE">
            <w:pPr>
              <w:jc w:val="right"/>
              <w:rPr>
                <w:sz w:val="18"/>
                <w:szCs w:val="18"/>
                <w:lang w:val="fr-CA" w:eastAsia="en-CA"/>
              </w:rPr>
            </w:pPr>
            <w:r w:rsidRPr="006735F6">
              <w:rPr>
                <w:sz w:val="18"/>
                <w:szCs w:val="18"/>
                <w:lang w:val="fr-CA" w:eastAsia="en-CA"/>
              </w:rPr>
              <w:t>1</w:t>
            </w:r>
            <w:r w:rsidR="00A1660F">
              <w:rPr>
                <w:sz w:val="18"/>
                <w:szCs w:val="18"/>
                <w:lang w:val="fr-CA" w:eastAsia="en-CA"/>
              </w:rPr>
              <w:t xml:space="preserve"> </w:t>
            </w:r>
            <w:r w:rsidRPr="006735F6">
              <w:rPr>
                <w:sz w:val="18"/>
                <w:szCs w:val="18"/>
                <w:lang w:val="fr-CA" w:eastAsia="en-CA"/>
              </w:rPr>
              <w:t>090</w:t>
            </w:r>
          </w:p>
        </w:tc>
        <w:tc>
          <w:tcPr>
            <w:tcW w:w="1251" w:type="dxa"/>
            <w:tcBorders>
              <w:top w:val="nil"/>
              <w:left w:val="nil"/>
              <w:bottom w:val="single" w:sz="4" w:space="0" w:color="auto"/>
              <w:right w:val="single" w:sz="4" w:space="0" w:color="auto"/>
            </w:tcBorders>
            <w:shd w:val="clear" w:color="auto" w:fill="auto"/>
            <w:noWrap/>
            <w:hideMark/>
          </w:tcPr>
          <w:p w14:paraId="41012F11" w14:textId="6D755381" w:rsidR="00CC2107" w:rsidRPr="006735F6" w:rsidRDefault="00CC2107" w:rsidP="001E39EE">
            <w:pPr>
              <w:jc w:val="right"/>
              <w:rPr>
                <w:sz w:val="18"/>
                <w:szCs w:val="18"/>
                <w:lang w:val="fr-CA" w:eastAsia="en-CA"/>
              </w:rPr>
            </w:pPr>
            <w:r w:rsidRPr="006735F6">
              <w:rPr>
                <w:sz w:val="18"/>
                <w:szCs w:val="18"/>
                <w:lang w:val="fr-CA" w:eastAsia="en-CA"/>
              </w:rPr>
              <w:t>1</w:t>
            </w:r>
            <w:r w:rsidR="00A1660F">
              <w:rPr>
                <w:sz w:val="18"/>
                <w:szCs w:val="18"/>
                <w:lang w:val="fr-CA" w:eastAsia="en-CA"/>
              </w:rPr>
              <w:t xml:space="preserve"> </w:t>
            </w:r>
            <w:r w:rsidRPr="006735F6">
              <w:rPr>
                <w:sz w:val="18"/>
                <w:szCs w:val="18"/>
                <w:lang w:val="fr-CA" w:eastAsia="en-CA"/>
              </w:rPr>
              <w:t>486</w:t>
            </w:r>
            <w:r w:rsidR="00A1660F">
              <w:rPr>
                <w:sz w:val="18"/>
                <w:szCs w:val="18"/>
                <w:lang w:val="fr-CA" w:eastAsia="en-CA"/>
              </w:rPr>
              <w:t xml:space="preserve"> </w:t>
            </w:r>
            <w:r w:rsidRPr="006735F6">
              <w:rPr>
                <w:sz w:val="18"/>
                <w:szCs w:val="18"/>
                <w:lang w:val="fr-CA" w:eastAsia="en-CA"/>
              </w:rPr>
              <w:t>380</w:t>
            </w:r>
            <w:r w:rsidR="00A1660F">
              <w:rPr>
                <w:sz w:val="18"/>
                <w:szCs w:val="18"/>
                <w:lang w:val="fr-CA" w:eastAsia="en-CA"/>
              </w:rPr>
              <w:t xml:space="preserve"> </w:t>
            </w:r>
            <w:r w:rsidRPr="006735F6">
              <w:rPr>
                <w:sz w:val="18"/>
                <w:szCs w:val="18"/>
                <w:lang w:val="fr-CA" w:eastAsia="en-CA"/>
              </w:rPr>
              <w:t>948</w:t>
            </w:r>
          </w:p>
        </w:tc>
        <w:tc>
          <w:tcPr>
            <w:tcW w:w="967" w:type="dxa"/>
            <w:tcBorders>
              <w:top w:val="nil"/>
              <w:left w:val="nil"/>
              <w:bottom w:val="single" w:sz="4" w:space="0" w:color="auto"/>
              <w:right w:val="single" w:sz="4" w:space="0" w:color="auto"/>
            </w:tcBorders>
            <w:shd w:val="clear" w:color="auto" w:fill="auto"/>
            <w:noWrap/>
            <w:hideMark/>
          </w:tcPr>
          <w:p w14:paraId="65777DBC" w14:textId="77777777" w:rsidR="00CC2107" w:rsidRPr="006735F6" w:rsidRDefault="00CC2107" w:rsidP="001E39EE">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341F77FA" w14:textId="3AA13A3D" w:rsidR="00CC2107" w:rsidRPr="006735F6" w:rsidRDefault="00CC2107" w:rsidP="001E39EE">
            <w:pPr>
              <w:jc w:val="right"/>
              <w:rPr>
                <w:sz w:val="18"/>
                <w:szCs w:val="18"/>
                <w:lang w:val="fr-CA" w:eastAsia="en-CA"/>
              </w:rPr>
            </w:pPr>
            <w:r w:rsidRPr="006735F6">
              <w:rPr>
                <w:sz w:val="18"/>
                <w:szCs w:val="18"/>
                <w:lang w:val="fr-CA" w:eastAsia="en-CA"/>
              </w:rPr>
              <w:t>177</w:t>
            </w:r>
            <w:r w:rsidR="00A1660F">
              <w:rPr>
                <w:sz w:val="18"/>
                <w:szCs w:val="18"/>
                <w:lang w:val="fr-CA" w:eastAsia="en-CA"/>
              </w:rPr>
              <w:t xml:space="preserve"> </w:t>
            </w:r>
            <w:r w:rsidRPr="006735F6">
              <w:rPr>
                <w:sz w:val="18"/>
                <w:szCs w:val="18"/>
                <w:lang w:val="fr-CA" w:eastAsia="en-CA"/>
              </w:rPr>
              <w:t>462</w:t>
            </w:r>
          </w:p>
        </w:tc>
        <w:tc>
          <w:tcPr>
            <w:tcW w:w="992" w:type="dxa"/>
            <w:tcBorders>
              <w:top w:val="nil"/>
              <w:left w:val="nil"/>
              <w:bottom w:val="single" w:sz="4" w:space="0" w:color="auto"/>
              <w:right w:val="single" w:sz="4" w:space="0" w:color="auto"/>
            </w:tcBorders>
            <w:shd w:val="clear" w:color="auto" w:fill="auto"/>
            <w:noWrap/>
            <w:hideMark/>
          </w:tcPr>
          <w:p w14:paraId="364A9421" w14:textId="08D0E816" w:rsidR="00CC2107" w:rsidRPr="006735F6" w:rsidRDefault="00CC2107" w:rsidP="001E39EE">
            <w:pPr>
              <w:jc w:val="right"/>
              <w:rPr>
                <w:sz w:val="18"/>
                <w:szCs w:val="18"/>
                <w:lang w:val="fr-CA" w:eastAsia="en-CA"/>
              </w:rPr>
            </w:pPr>
            <w:r w:rsidRPr="006735F6">
              <w:rPr>
                <w:sz w:val="18"/>
                <w:szCs w:val="18"/>
                <w:lang w:val="fr-CA" w:eastAsia="en-CA"/>
              </w:rPr>
              <w:t>186</w:t>
            </w:r>
            <w:r w:rsidR="00A1660F">
              <w:rPr>
                <w:sz w:val="18"/>
                <w:szCs w:val="18"/>
                <w:lang w:val="fr-CA" w:eastAsia="en-CA"/>
              </w:rPr>
              <w:t xml:space="preserve"> </w:t>
            </w:r>
            <w:r w:rsidRPr="006735F6">
              <w:rPr>
                <w:sz w:val="18"/>
                <w:szCs w:val="18"/>
                <w:lang w:val="fr-CA" w:eastAsia="en-CA"/>
              </w:rPr>
              <w:t>808</w:t>
            </w:r>
          </w:p>
        </w:tc>
        <w:tc>
          <w:tcPr>
            <w:tcW w:w="1134" w:type="dxa"/>
            <w:tcBorders>
              <w:top w:val="nil"/>
              <w:left w:val="nil"/>
              <w:bottom w:val="single" w:sz="4" w:space="0" w:color="auto"/>
              <w:right w:val="single" w:sz="4" w:space="0" w:color="auto"/>
            </w:tcBorders>
            <w:shd w:val="clear" w:color="auto" w:fill="auto"/>
            <w:noWrap/>
            <w:hideMark/>
          </w:tcPr>
          <w:p w14:paraId="66217573" w14:textId="77777777" w:rsidR="00CC2107" w:rsidRPr="006735F6" w:rsidRDefault="00CC2107" w:rsidP="001E39EE">
            <w:pPr>
              <w:jc w:val="right"/>
              <w:rPr>
                <w:sz w:val="18"/>
                <w:szCs w:val="18"/>
                <w:lang w:val="fr-CA" w:eastAsia="en-CA"/>
              </w:rPr>
            </w:pPr>
            <w:r w:rsidRPr="006735F6">
              <w:rPr>
                <w:sz w:val="18"/>
                <w:szCs w:val="18"/>
                <w:lang w:val="fr-CA" w:eastAsia="en-CA"/>
              </w:rPr>
              <w:t>20</w:t>
            </w:r>
          </w:p>
        </w:tc>
        <w:tc>
          <w:tcPr>
            <w:tcW w:w="1240" w:type="dxa"/>
            <w:tcBorders>
              <w:top w:val="nil"/>
              <w:left w:val="nil"/>
              <w:bottom w:val="single" w:sz="4" w:space="0" w:color="auto"/>
              <w:right w:val="single" w:sz="4" w:space="0" w:color="auto"/>
            </w:tcBorders>
            <w:shd w:val="clear" w:color="auto" w:fill="auto"/>
            <w:noWrap/>
            <w:hideMark/>
          </w:tcPr>
          <w:p w14:paraId="2CA3B736" w14:textId="77777777" w:rsidR="00CC2107" w:rsidRPr="006735F6" w:rsidRDefault="00CC2107" w:rsidP="001E39EE">
            <w:pPr>
              <w:jc w:val="right"/>
              <w:rPr>
                <w:sz w:val="18"/>
                <w:szCs w:val="18"/>
                <w:lang w:val="fr-CA" w:eastAsia="en-CA"/>
              </w:rPr>
            </w:pPr>
            <w:r w:rsidRPr="006735F6">
              <w:rPr>
                <w:sz w:val="18"/>
                <w:szCs w:val="18"/>
                <w:lang w:val="fr-CA" w:eastAsia="en-CA"/>
              </w:rPr>
              <w:t>40</w:t>
            </w:r>
          </w:p>
        </w:tc>
        <w:tc>
          <w:tcPr>
            <w:tcW w:w="1180" w:type="dxa"/>
            <w:tcBorders>
              <w:top w:val="nil"/>
              <w:left w:val="nil"/>
              <w:bottom w:val="single" w:sz="4" w:space="0" w:color="auto"/>
              <w:right w:val="single" w:sz="4" w:space="0" w:color="auto"/>
            </w:tcBorders>
            <w:shd w:val="clear" w:color="auto" w:fill="auto"/>
            <w:noWrap/>
            <w:hideMark/>
          </w:tcPr>
          <w:p w14:paraId="1FB864D1" w14:textId="2C884F52" w:rsidR="00CC2107" w:rsidRPr="006735F6" w:rsidRDefault="00CC2107" w:rsidP="001E39EE">
            <w:pPr>
              <w:jc w:val="right"/>
              <w:rPr>
                <w:sz w:val="18"/>
                <w:szCs w:val="18"/>
                <w:lang w:val="fr-CA" w:eastAsia="en-CA"/>
              </w:rPr>
            </w:pPr>
            <w:r w:rsidRPr="006735F6">
              <w:rPr>
                <w:sz w:val="18"/>
                <w:szCs w:val="18"/>
                <w:lang w:val="fr-CA" w:eastAsia="en-CA"/>
              </w:rPr>
              <w:t>4</w:t>
            </w:r>
            <w:r w:rsidR="00A1660F">
              <w:rPr>
                <w:sz w:val="18"/>
                <w:szCs w:val="18"/>
                <w:lang w:val="fr-CA" w:eastAsia="en-CA"/>
              </w:rPr>
              <w:t>,</w:t>
            </w:r>
            <w:r w:rsidRPr="006735F6">
              <w:rPr>
                <w:sz w:val="18"/>
                <w:szCs w:val="18"/>
                <w:lang w:val="fr-CA" w:eastAsia="en-CA"/>
              </w:rPr>
              <w:t xml:space="preserve">08 </w:t>
            </w:r>
          </w:p>
        </w:tc>
      </w:tr>
      <w:tr w:rsidR="00CC2107" w:rsidRPr="006735F6" w14:paraId="1989CD35" w14:textId="77777777" w:rsidTr="00CC2107">
        <w:trPr>
          <w:trHeight w:val="204"/>
        </w:trPr>
        <w:tc>
          <w:tcPr>
            <w:tcW w:w="10075" w:type="dxa"/>
            <w:gridSpan w:val="9"/>
            <w:tcBorders>
              <w:top w:val="nil"/>
              <w:left w:val="single" w:sz="4" w:space="0" w:color="auto"/>
              <w:bottom w:val="nil"/>
              <w:right w:val="single" w:sz="4" w:space="0" w:color="auto"/>
            </w:tcBorders>
            <w:shd w:val="clear" w:color="auto" w:fill="auto"/>
            <w:noWrap/>
            <w:hideMark/>
          </w:tcPr>
          <w:p w14:paraId="29F0E4E4" w14:textId="277107A3" w:rsidR="00CC2107" w:rsidRPr="006735F6" w:rsidRDefault="00A1660F" w:rsidP="001E39EE">
            <w:pPr>
              <w:jc w:val="left"/>
              <w:rPr>
                <w:sz w:val="18"/>
                <w:szCs w:val="18"/>
                <w:lang w:val="fr-CA" w:eastAsia="en-CA"/>
              </w:rPr>
            </w:pPr>
            <w:r>
              <w:rPr>
                <w:b/>
                <w:bCs/>
                <w:sz w:val="18"/>
                <w:szCs w:val="18"/>
                <w:lang w:val="fr-CA" w:eastAsia="en-CA"/>
              </w:rPr>
              <w:t>Mode de décaissement</w:t>
            </w:r>
            <w:r w:rsidR="00CC2107" w:rsidRPr="006735F6">
              <w:rPr>
                <w:sz w:val="18"/>
                <w:szCs w:val="18"/>
                <w:lang w:val="fr-CA" w:eastAsia="en-CA"/>
              </w:rPr>
              <w:t> </w:t>
            </w:r>
          </w:p>
        </w:tc>
      </w:tr>
      <w:tr w:rsidR="00A1660F" w:rsidRPr="006735F6" w14:paraId="57F0A966" w14:textId="77777777" w:rsidTr="00CC2107">
        <w:trPr>
          <w:trHeight w:val="204"/>
        </w:trPr>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56922B5E" w14:textId="6C24190A" w:rsidR="00A1660F" w:rsidRPr="006735F6" w:rsidRDefault="00A1660F" w:rsidP="00A1660F">
            <w:pPr>
              <w:jc w:val="left"/>
              <w:rPr>
                <w:sz w:val="18"/>
                <w:szCs w:val="18"/>
                <w:lang w:val="fr-CA" w:eastAsia="en-CA"/>
              </w:rPr>
            </w:pPr>
            <w:r>
              <w:rPr>
                <w:sz w:val="18"/>
                <w:szCs w:val="18"/>
                <w:lang w:val="fr-CA" w:eastAsia="en-CA"/>
              </w:rPr>
              <w:t xml:space="preserve">Au cours de la mise en œuvre </w:t>
            </w:r>
          </w:p>
        </w:tc>
        <w:tc>
          <w:tcPr>
            <w:tcW w:w="856" w:type="dxa"/>
            <w:tcBorders>
              <w:top w:val="single" w:sz="4" w:space="0" w:color="auto"/>
              <w:left w:val="nil"/>
              <w:bottom w:val="single" w:sz="4" w:space="0" w:color="auto"/>
              <w:right w:val="single" w:sz="4" w:space="0" w:color="auto"/>
            </w:tcBorders>
            <w:shd w:val="clear" w:color="auto" w:fill="auto"/>
            <w:noWrap/>
            <w:hideMark/>
          </w:tcPr>
          <w:p w14:paraId="40968912" w14:textId="0E787F62" w:rsidR="00A1660F" w:rsidRPr="006735F6" w:rsidRDefault="00A1660F" w:rsidP="00A1660F">
            <w:pPr>
              <w:jc w:val="right"/>
              <w:rPr>
                <w:sz w:val="18"/>
                <w:szCs w:val="18"/>
                <w:lang w:val="fr-CA" w:eastAsia="en-CA"/>
              </w:rPr>
            </w:pPr>
            <w:r w:rsidRPr="006735F6">
              <w:rPr>
                <w:sz w:val="18"/>
                <w:szCs w:val="18"/>
                <w:lang w:val="fr-CA" w:eastAsia="en-CA"/>
              </w:rPr>
              <w:t>2</w:t>
            </w:r>
            <w:r>
              <w:rPr>
                <w:sz w:val="18"/>
                <w:szCs w:val="18"/>
                <w:lang w:val="fr-CA" w:eastAsia="en-CA"/>
              </w:rPr>
              <w:t xml:space="preserve"> </w:t>
            </w:r>
            <w:r w:rsidRPr="006735F6">
              <w:rPr>
                <w:sz w:val="18"/>
                <w:szCs w:val="18"/>
                <w:lang w:val="fr-CA" w:eastAsia="en-CA"/>
              </w:rPr>
              <w:t>753</w:t>
            </w:r>
          </w:p>
        </w:tc>
        <w:tc>
          <w:tcPr>
            <w:tcW w:w="1251" w:type="dxa"/>
            <w:tcBorders>
              <w:top w:val="single" w:sz="4" w:space="0" w:color="auto"/>
              <w:left w:val="nil"/>
              <w:bottom w:val="single" w:sz="4" w:space="0" w:color="auto"/>
              <w:right w:val="single" w:sz="4" w:space="0" w:color="auto"/>
            </w:tcBorders>
            <w:shd w:val="clear" w:color="auto" w:fill="auto"/>
            <w:noWrap/>
            <w:hideMark/>
          </w:tcPr>
          <w:p w14:paraId="6A153BCC" w14:textId="4CD9EB7A" w:rsidR="00A1660F" w:rsidRPr="006735F6" w:rsidRDefault="00A1660F" w:rsidP="00A1660F">
            <w:pPr>
              <w:jc w:val="right"/>
              <w:rPr>
                <w:sz w:val="18"/>
                <w:szCs w:val="18"/>
                <w:lang w:val="fr-CA" w:eastAsia="en-CA"/>
              </w:rPr>
            </w:pPr>
            <w:r w:rsidRPr="006735F6">
              <w:rPr>
                <w:sz w:val="18"/>
                <w:szCs w:val="18"/>
                <w:lang w:val="fr-CA" w:eastAsia="en-CA"/>
              </w:rPr>
              <w:t>2</w:t>
            </w:r>
            <w:r>
              <w:rPr>
                <w:sz w:val="18"/>
                <w:szCs w:val="18"/>
                <w:lang w:val="fr-CA" w:eastAsia="en-CA"/>
              </w:rPr>
              <w:t xml:space="preserve"> </w:t>
            </w:r>
            <w:r w:rsidRPr="006735F6">
              <w:rPr>
                <w:sz w:val="18"/>
                <w:szCs w:val="18"/>
                <w:lang w:val="fr-CA" w:eastAsia="en-CA"/>
              </w:rPr>
              <w:t>004</w:t>
            </w:r>
            <w:r>
              <w:rPr>
                <w:sz w:val="18"/>
                <w:szCs w:val="18"/>
                <w:lang w:val="fr-CA" w:eastAsia="en-CA"/>
              </w:rPr>
              <w:t xml:space="preserve"> </w:t>
            </w:r>
            <w:r w:rsidRPr="006735F6">
              <w:rPr>
                <w:sz w:val="18"/>
                <w:szCs w:val="18"/>
                <w:lang w:val="fr-CA" w:eastAsia="en-CA"/>
              </w:rPr>
              <w:t>358</w:t>
            </w:r>
            <w:r>
              <w:rPr>
                <w:sz w:val="18"/>
                <w:szCs w:val="18"/>
                <w:lang w:val="fr-CA" w:eastAsia="en-CA"/>
              </w:rPr>
              <w:t xml:space="preserve"> </w:t>
            </w:r>
            <w:r w:rsidRPr="006735F6">
              <w:rPr>
                <w:sz w:val="18"/>
                <w:szCs w:val="18"/>
                <w:lang w:val="fr-CA" w:eastAsia="en-CA"/>
              </w:rPr>
              <w:t>631</w:t>
            </w:r>
          </w:p>
        </w:tc>
        <w:tc>
          <w:tcPr>
            <w:tcW w:w="967" w:type="dxa"/>
            <w:tcBorders>
              <w:top w:val="single" w:sz="4" w:space="0" w:color="auto"/>
              <w:left w:val="nil"/>
              <w:bottom w:val="single" w:sz="4" w:space="0" w:color="auto"/>
              <w:right w:val="single" w:sz="4" w:space="0" w:color="auto"/>
            </w:tcBorders>
            <w:shd w:val="clear" w:color="auto" w:fill="auto"/>
            <w:noWrap/>
            <w:hideMark/>
          </w:tcPr>
          <w:p w14:paraId="4BA3ED28" w14:textId="77777777" w:rsidR="00A1660F" w:rsidRPr="006735F6" w:rsidRDefault="00A1660F" w:rsidP="00A1660F">
            <w:pPr>
              <w:jc w:val="right"/>
              <w:rPr>
                <w:sz w:val="18"/>
                <w:szCs w:val="18"/>
                <w:lang w:val="fr-CA" w:eastAsia="en-CA"/>
              </w:rPr>
            </w:pPr>
            <w:r w:rsidRPr="006735F6">
              <w:rPr>
                <w:sz w:val="18"/>
                <w:szCs w:val="18"/>
                <w:lang w:val="fr-CA" w:eastAsia="en-CA"/>
              </w:rPr>
              <w:t>100</w:t>
            </w:r>
          </w:p>
        </w:tc>
        <w:tc>
          <w:tcPr>
            <w:tcW w:w="1009" w:type="dxa"/>
            <w:tcBorders>
              <w:top w:val="single" w:sz="4" w:space="0" w:color="auto"/>
              <w:left w:val="nil"/>
              <w:bottom w:val="single" w:sz="4" w:space="0" w:color="auto"/>
              <w:right w:val="single" w:sz="4" w:space="0" w:color="auto"/>
            </w:tcBorders>
            <w:shd w:val="clear" w:color="auto" w:fill="auto"/>
            <w:noWrap/>
            <w:hideMark/>
          </w:tcPr>
          <w:p w14:paraId="6ACDEE85" w14:textId="26738C20" w:rsidR="00A1660F" w:rsidRPr="006735F6" w:rsidRDefault="00A1660F" w:rsidP="00A1660F">
            <w:pPr>
              <w:jc w:val="right"/>
              <w:rPr>
                <w:sz w:val="18"/>
                <w:szCs w:val="18"/>
                <w:lang w:val="fr-CA" w:eastAsia="en-CA"/>
              </w:rPr>
            </w:pPr>
            <w:r w:rsidRPr="006735F6">
              <w:rPr>
                <w:sz w:val="18"/>
                <w:szCs w:val="18"/>
                <w:lang w:val="fr-CA" w:eastAsia="en-CA"/>
              </w:rPr>
              <w:t>264</w:t>
            </w:r>
            <w:r>
              <w:rPr>
                <w:sz w:val="18"/>
                <w:szCs w:val="18"/>
                <w:lang w:val="fr-CA" w:eastAsia="en-CA"/>
              </w:rPr>
              <w:t xml:space="preserve"> </w:t>
            </w:r>
            <w:r w:rsidRPr="006735F6">
              <w:rPr>
                <w:sz w:val="18"/>
                <w:szCs w:val="18"/>
                <w:lang w:val="fr-CA" w:eastAsia="en-CA"/>
              </w:rPr>
              <w:t>841</w:t>
            </w:r>
          </w:p>
        </w:tc>
        <w:tc>
          <w:tcPr>
            <w:tcW w:w="992" w:type="dxa"/>
            <w:tcBorders>
              <w:top w:val="single" w:sz="4" w:space="0" w:color="auto"/>
              <w:left w:val="nil"/>
              <w:bottom w:val="single" w:sz="4" w:space="0" w:color="auto"/>
              <w:right w:val="single" w:sz="4" w:space="0" w:color="auto"/>
            </w:tcBorders>
            <w:shd w:val="clear" w:color="auto" w:fill="auto"/>
            <w:noWrap/>
            <w:hideMark/>
          </w:tcPr>
          <w:p w14:paraId="79446018" w14:textId="7DA5573E" w:rsidR="00A1660F" w:rsidRPr="006735F6" w:rsidRDefault="00A1660F" w:rsidP="00A1660F">
            <w:pPr>
              <w:jc w:val="right"/>
              <w:rPr>
                <w:sz w:val="18"/>
                <w:szCs w:val="18"/>
                <w:lang w:val="fr-CA" w:eastAsia="en-CA"/>
              </w:rPr>
            </w:pPr>
            <w:r w:rsidRPr="006735F6">
              <w:rPr>
                <w:sz w:val="18"/>
                <w:szCs w:val="18"/>
                <w:lang w:val="fr-CA" w:eastAsia="en-CA"/>
              </w:rPr>
              <w:t>199</w:t>
            </w:r>
            <w:r>
              <w:rPr>
                <w:sz w:val="18"/>
                <w:szCs w:val="18"/>
                <w:lang w:val="fr-CA" w:eastAsia="en-CA"/>
              </w:rPr>
              <w:t xml:space="preserve"> </w:t>
            </w:r>
            <w:r w:rsidRPr="006735F6">
              <w:rPr>
                <w:sz w:val="18"/>
                <w:szCs w:val="18"/>
                <w:lang w:val="fr-CA" w:eastAsia="en-CA"/>
              </w:rPr>
              <w:t>719</w:t>
            </w:r>
          </w:p>
        </w:tc>
        <w:tc>
          <w:tcPr>
            <w:tcW w:w="1134" w:type="dxa"/>
            <w:tcBorders>
              <w:top w:val="single" w:sz="4" w:space="0" w:color="auto"/>
              <w:left w:val="nil"/>
              <w:bottom w:val="single" w:sz="4" w:space="0" w:color="auto"/>
              <w:right w:val="single" w:sz="4" w:space="0" w:color="auto"/>
            </w:tcBorders>
            <w:shd w:val="clear" w:color="auto" w:fill="auto"/>
            <w:noWrap/>
            <w:hideMark/>
          </w:tcPr>
          <w:p w14:paraId="4F277B9E" w14:textId="77777777" w:rsidR="00A1660F" w:rsidRPr="006735F6" w:rsidRDefault="00A1660F" w:rsidP="00A1660F">
            <w:pPr>
              <w:jc w:val="right"/>
              <w:rPr>
                <w:sz w:val="18"/>
                <w:szCs w:val="18"/>
                <w:lang w:val="fr-CA" w:eastAsia="en-CA"/>
              </w:rPr>
            </w:pPr>
            <w:r w:rsidRPr="006735F6">
              <w:rPr>
                <w:sz w:val="18"/>
                <w:szCs w:val="18"/>
                <w:lang w:val="fr-CA" w:eastAsia="en-CA"/>
              </w:rPr>
              <w:t>14</w:t>
            </w:r>
          </w:p>
        </w:tc>
        <w:tc>
          <w:tcPr>
            <w:tcW w:w="1240" w:type="dxa"/>
            <w:tcBorders>
              <w:top w:val="single" w:sz="4" w:space="0" w:color="auto"/>
              <w:left w:val="nil"/>
              <w:bottom w:val="single" w:sz="4" w:space="0" w:color="auto"/>
              <w:right w:val="single" w:sz="4" w:space="0" w:color="auto"/>
            </w:tcBorders>
            <w:shd w:val="clear" w:color="auto" w:fill="auto"/>
            <w:noWrap/>
            <w:hideMark/>
          </w:tcPr>
          <w:p w14:paraId="38BE42D4" w14:textId="77777777" w:rsidR="00A1660F" w:rsidRPr="006735F6" w:rsidRDefault="00A1660F" w:rsidP="00A1660F">
            <w:pPr>
              <w:jc w:val="right"/>
              <w:rPr>
                <w:sz w:val="18"/>
                <w:szCs w:val="18"/>
                <w:lang w:val="fr-CA" w:eastAsia="en-CA"/>
              </w:rPr>
            </w:pPr>
            <w:r w:rsidRPr="006735F6">
              <w:rPr>
                <w:sz w:val="18"/>
                <w:szCs w:val="18"/>
                <w:lang w:val="fr-CA" w:eastAsia="en-CA"/>
              </w:rPr>
              <w:t>38</w:t>
            </w:r>
          </w:p>
        </w:tc>
        <w:tc>
          <w:tcPr>
            <w:tcW w:w="1180" w:type="dxa"/>
            <w:tcBorders>
              <w:top w:val="single" w:sz="4" w:space="0" w:color="auto"/>
              <w:left w:val="nil"/>
              <w:bottom w:val="single" w:sz="4" w:space="0" w:color="auto"/>
              <w:right w:val="single" w:sz="4" w:space="0" w:color="auto"/>
            </w:tcBorders>
            <w:shd w:val="clear" w:color="auto" w:fill="auto"/>
            <w:noWrap/>
            <w:hideMark/>
          </w:tcPr>
          <w:p w14:paraId="76167E1A" w14:textId="34C9BE97" w:rsidR="00A1660F" w:rsidRPr="006735F6" w:rsidRDefault="00A1660F" w:rsidP="00A1660F">
            <w:pPr>
              <w:jc w:val="right"/>
              <w:rPr>
                <w:sz w:val="18"/>
                <w:szCs w:val="18"/>
                <w:lang w:val="fr-CA" w:eastAsia="en-CA"/>
              </w:rPr>
            </w:pPr>
            <w:r w:rsidRPr="006735F6">
              <w:rPr>
                <w:sz w:val="18"/>
                <w:szCs w:val="18"/>
                <w:lang w:val="fr-CA" w:eastAsia="en-CA"/>
              </w:rPr>
              <w:t>4</w:t>
            </w:r>
            <w:r>
              <w:rPr>
                <w:sz w:val="18"/>
                <w:szCs w:val="18"/>
                <w:lang w:val="fr-CA" w:eastAsia="en-CA"/>
              </w:rPr>
              <w:t>,</w:t>
            </w:r>
            <w:r w:rsidRPr="006735F6">
              <w:rPr>
                <w:sz w:val="18"/>
                <w:szCs w:val="18"/>
                <w:lang w:val="fr-CA" w:eastAsia="en-CA"/>
              </w:rPr>
              <w:t xml:space="preserve">31 </w:t>
            </w:r>
          </w:p>
        </w:tc>
      </w:tr>
      <w:tr w:rsidR="00A1660F" w:rsidRPr="006735F6" w14:paraId="7CC7423C"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469F94EE" w14:textId="4C6B03AA" w:rsidR="00A1660F" w:rsidRPr="006735F6" w:rsidRDefault="00A1660F" w:rsidP="00A1660F">
            <w:pPr>
              <w:jc w:val="left"/>
              <w:rPr>
                <w:sz w:val="18"/>
                <w:szCs w:val="18"/>
                <w:lang w:val="fr-CA" w:eastAsia="en-CA"/>
              </w:rPr>
            </w:pPr>
            <w:r>
              <w:rPr>
                <w:sz w:val="18"/>
                <w:szCs w:val="18"/>
                <w:lang w:val="fr-CA" w:eastAsia="en-CA"/>
              </w:rPr>
              <w:t xml:space="preserve">Après la mise en œuvre </w:t>
            </w:r>
          </w:p>
        </w:tc>
        <w:tc>
          <w:tcPr>
            <w:tcW w:w="856" w:type="dxa"/>
            <w:tcBorders>
              <w:top w:val="nil"/>
              <w:left w:val="nil"/>
              <w:bottom w:val="single" w:sz="4" w:space="0" w:color="auto"/>
              <w:right w:val="single" w:sz="4" w:space="0" w:color="auto"/>
            </w:tcBorders>
            <w:shd w:val="clear" w:color="auto" w:fill="auto"/>
            <w:noWrap/>
            <w:hideMark/>
          </w:tcPr>
          <w:p w14:paraId="7321575C" w14:textId="77777777" w:rsidR="00A1660F" w:rsidRPr="006735F6" w:rsidRDefault="00A1660F" w:rsidP="00A1660F">
            <w:pPr>
              <w:jc w:val="right"/>
              <w:rPr>
                <w:sz w:val="18"/>
                <w:szCs w:val="18"/>
                <w:lang w:val="fr-CA" w:eastAsia="en-CA"/>
              </w:rPr>
            </w:pPr>
            <w:r w:rsidRPr="006735F6">
              <w:rPr>
                <w:sz w:val="18"/>
                <w:szCs w:val="18"/>
                <w:lang w:val="fr-CA" w:eastAsia="en-CA"/>
              </w:rPr>
              <w:t>50</w:t>
            </w:r>
          </w:p>
        </w:tc>
        <w:tc>
          <w:tcPr>
            <w:tcW w:w="1251" w:type="dxa"/>
            <w:tcBorders>
              <w:top w:val="nil"/>
              <w:left w:val="nil"/>
              <w:bottom w:val="single" w:sz="4" w:space="0" w:color="auto"/>
              <w:right w:val="single" w:sz="4" w:space="0" w:color="auto"/>
            </w:tcBorders>
            <w:shd w:val="clear" w:color="auto" w:fill="auto"/>
            <w:noWrap/>
            <w:hideMark/>
          </w:tcPr>
          <w:p w14:paraId="612149A6" w14:textId="288A7251" w:rsidR="00A1660F" w:rsidRPr="006735F6" w:rsidRDefault="00A1660F" w:rsidP="00A1660F">
            <w:pPr>
              <w:jc w:val="right"/>
              <w:rPr>
                <w:sz w:val="18"/>
                <w:szCs w:val="18"/>
                <w:lang w:val="fr-CA" w:eastAsia="en-CA"/>
              </w:rPr>
            </w:pPr>
            <w:r w:rsidRPr="006735F6">
              <w:rPr>
                <w:sz w:val="18"/>
                <w:szCs w:val="18"/>
                <w:lang w:val="fr-CA" w:eastAsia="en-CA"/>
              </w:rPr>
              <w:t>17</w:t>
            </w:r>
            <w:r>
              <w:rPr>
                <w:sz w:val="18"/>
                <w:szCs w:val="18"/>
                <w:lang w:val="fr-CA" w:eastAsia="en-CA"/>
              </w:rPr>
              <w:t xml:space="preserve"> </w:t>
            </w:r>
            <w:r w:rsidRPr="006735F6">
              <w:rPr>
                <w:sz w:val="18"/>
                <w:szCs w:val="18"/>
                <w:lang w:val="fr-CA" w:eastAsia="en-CA"/>
              </w:rPr>
              <w:t>166</w:t>
            </w:r>
            <w:r>
              <w:rPr>
                <w:sz w:val="18"/>
                <w:szCs w:val="18"/>
                <w:lang w:val="fr-CA" w:eastAsia="en-CA"/>
              </w:rPr>
              <w:t xml:space="preserve"> </w:t>
            </w:r>
            <w:r w:rsidRPr="006735F6">
              <w:rPr>
                <w:sz w:val="18"/>
                <w:szCs w:val="18"/>
                <w:lang w:val="fr-CA" w:eastAsia="en-CA"/>
              </w:rPr>
              <w:t>608</w:t>
            </w:r>
          </w:p>
        </w:tc>
        <w:tc>
          <w:tcPr>
            <w:tcW w:w="967" w:type="dxa"/>
            <w:tcBorders>
              <w:top w:val="nil"/>
              <w:left w:val="nil"/>
              <w:bottom w:val="single" w:sz="4" w:space="0" w:color="auto"/>
              <w:right w:val="single" w:sz="4" w:space="0" w:color="auto"/>
            </w:tcBorders>
            <w:shd w:val="clear" w:color="auto" w:fill="auto"/>
            <w:noWrap/>
            <w:hideMark/>
          </w:tcPr>
          <w:p w14:paraId="55134E6E" w14:textId="77777777" w:rsidR="00A1660F" w:rsidRPr="006735F6" w:rsidRDefault="00A1660F" w:rsidP="00A1660F">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60B4A5BB" w14:textId="406E5AB2" w:rsidR="00A1660F" w:rsidRPr="006735F6" w:rsidRDefault="00A1660F" w:rsidP="00A1660F">
            <w:pPr>
              <w:jc w:val="right"/>
              <w:rPr>
                <w:sz w:val="18"/>
                <w:szCs w:val="18"/>
                <w:lang w:val="fr-CA" w:eastAsia="en-CA"/>
              </w:rPr>
            </w:pPr>
            <w:r w:rsidRPr="006735F6">
              <w:rPr>
                <w:sz w:val="18"/>
                <w:szCs w:val="18"/>
                <w:lang w:val="fr-CA" w:eastAsia="en-CA"/>
              </w:rPr>
              <w:t>2</w:t>
            </w:r>
            <w:r>
              <w:rPr>
                <w:sz w:val="18"/>
                <w:szCs w:val="18"/>
                <w:lang w:val="fr-CA" w:eastAsia="en-CA"/>
              </w:rPr>
              <w:t xml:space="preserve"> </w:t>
            </w:r>
            <w:r w:rsidRPr="006735F6">
              <w:rPr>
                <w:sz w:val="18"/>
                <w:szCs w:val="18"/>
                <w:lang w:val="fr-CA" w:eastAsia="en-CA"/>
              </w:rPr>
              <w:t>512</w:t>
            </w:r>
          </w:p>
        </w:tc>
        <w:tc>
          <w:tcPr>
            <w:tcW w:w="992" w:type="dxa"/>
            <w:tcBorders>
              <w:top w:val="nil"/>
              <w:left w:val="nil"/>
              <w:bottom w:val="single" w:sz="4" w:space="0" w:color="auto"/>
              <w:right w:val="single" w:sz="4" w:space="0" w:color="auto"/>
            </w:tcBorders>
            <w:shd w:val="clear" w:color="auto" w:fill="auto"/>
            <w:noWrap/>
            <w:hideMark/>
          </w:tcPr>
          <w:p w14:paraId="0D46D3A0" w14:textId="77777777" w:rsidR="00A1660F" w:rsidRPr="006735F6" w:rsidRDefault="00A1660F" w:rsidP="00A1660F">
            <w:pPr>
              <w:jc w:val="right"/>
              <w:rPr>
                <w:sz w:val="18"/>
                <w:szCs w:val="18"/>
                <w:lang w:val="fr-CA" w:eastAsia="en-CA"/>
              </w:rPr>
            </w:pPr>
            <w:r w:rsidRPr="006735F6">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713148AF" w14:textId="77777777" w:rsidR="00A1660F" w:rsidRPr="006735F6" w:rsidRDefault="00A1660F" w:rsidP="00A1660F">
            <w:pPr>
              <w:jc w:val="right"/>
              <w:rPr>
                <w:sz w:val="18"/>
                <w:szCs w:val="18"/>
                <w:lang w:val="fr-CA" w:eastAsia="en-CA"/>
              </w:rPr>
            </w:pPr>
            <w:r w:rsidRPr="006735F6">
              <w:rPr>
                <w:sz w:val="18"/>
                <w:szCs w:val="18"/>
                <w:lang w:val="fr-CA" w:eastAsia="en-CA"/>
              </w:rPr>
              <w:t>23</w:t>
            </w:r>
          </w:p>
        </w:tc>
        <w:tc>
          <w:tcPr>
            <w:tcW w:w="1240" w:type="dxa"/>
            <w:tcBorders>
              <w:top w:val="nil"/>
              <w:left w:val="nil"/>
              <w:bottom w:val="single" w:sz="4" w:space="0" w:color="auto"/>
              <w:right w:val="single" w:sz="4" w:space="0" w:color="auto"/>
            </w:tcBorders>
            <w:shd w:val="clear" w:color="auto" w:fill="auto"/>
            <w:noWrap/>
            <w:hideMark/>
          </w:tcPr>
          <w:p w14:paraId="0ABE5E2F" w14:textId="77777777" w:rsidR="00A1660F" w:rsidRPr="006735F6" w:rsidRDefault="00A1660F" w:rsidP="00A1660F">
            <w:pPr>
              <w:jc w:val="right"/>
              <w:rPr>
                <w:sz w:val="18"/>
                <w:szCs w:val="18"/>
                <w:lang w:val="fr-CA" w:eastAsia="en-CA"/>
              </w:rPr>
            </w:pPr>
            <w:r w:rsidRPr="006735F6">
              <w:rPr>
                <w:sz w:val="18"/>
                <w:szCs w:val="18"/>
                <w:lang w:val="fr-CA" w:eastAsia="en-CA"/>
              </w:rPr>
              <w:t>25</w:t>
            </w:r>
          </w:p>
        </w:tc>
        <w:tc>
          <w:tcPr>
            <w:tcW w:w="1180" w:type="dxa"/>
            <w:tcBorders>
              <w:top w:val="nil"/>
              <w:left w:val="nil"/>
              <w:bottom w:val="single" w:sz="4" w:space="0" w:color="auto"/>
              <w:right w:val="single" w:sz="4" w:space="0" w:color="auto"/>
            </w:tcBorders>
            <w:shd w:val="clear" w:color="auto" w:fill="auto"/>
            <w:noWrap/>
            <w:hideMark/>
          </w:tcPr>
          <w:p w14:paraId="442FE73F" w14:textId="5E40BBF3" w:rsidR="00A1660F" w:rsidRPr="006735F6" w:rsidRDefault="00A1660F" w:rsidP="00A1660F">
            <w:pPr>
              <w:jc w:val="right"/>
              <w:rPr>
                <w:sz w:val="18"/>
                <w:szCs w:val="18"/>
                <w:lang w:val="fr-CA" w:eastAsia="en-CA"/>
              </w:rPr>
            </w:pPr>
            <w:r w:rsidRPr="006735F6">
              <w:rPr>
                <w:sz w:val="18"/>
                <w:szCs w:val="18"/>
                <w:lang w:val="fr-CA" w:eastAsia="en-CA"/>
              </w:rPr>
              <w:t>6</w:t>
            </w:r>
            <w:r>
              <w:rPr>
                <w:sz w:val="18"/>
                <w:szCs w:val="18"/>
                <w:lang w:val="fr-CA" w:eastAsia="en-CA"/>
              </w:rPr>
              <w:t>,</w:t>
            </w:r>
            <w:r w:rsidRPr="006735F6">
              <w:rPr>
                <w:sz w:val="18"/>
                <w:szCs w:val="18"/>
                <w:lang w:val="fr-CA" w:eastAsia="en-CA"/>
              </w:rPr>
              <w:t xml:space="preserve">83 </w:t>
            </w:r>
          </w:p>
        </w:tc>
      </w:tr>
      <w:tr w:rsidR="00A1660F" w:rsidRPr="006735F6" w14:paraId="2080E366"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344FCA6" w14:textId="65E369A8" w:rsidR="00A1660F" w:rsidRPr="006735F6" w:rsidRDefault="00A1660F" w:rsidP="00A1660F">
            <w:pPr>
              <w:jc w:val="left"/>
              <w:rPr>
                <w:sz w:val="18"/>
                <w:szCs w:val="18"/>
                <w:lang w:val="fr-CA" w:eastAsia="en-CA"/>
              </w:rPr>
            </w:pPr>
            <w:r>
              <w:rPr>
                <w:sz w:val="18"/>
                <w:szCs w:val="18"/>
                <w:lang w:val="fr-CA" w:eastAsia="en-CA"/>
              </w:rPr>
              <w:t>Financement rétroactif</w:t>
            </w:r>
          </w:p>
        </w:tc>
        <w:tc>
          <w:tcPr>
            <w:tcW w:w="856" w:type="dxa"/>
            <w:tcBorders>
              <w:top w:val="nil"/>
              <w:left w:val="nil"/>
              <w:bottom w:val="single" w:sz="4" w:space="0" w:color="auto"/>
              <w:right w:val="single" w:sz="4" w:space="0" w:color="auto"/>
            </w:tcBorders>
            <w:shd w:val="clear" w:color="auto" w:fill="auto"/>
            <w:noWrap/>
            <w:hideMark/>
          </w:tcPr>
          <w:p w14:paraId="089D21BB" w14:textId="77777777" w:rsidR="00A1660F" w:rsidRPr="006735F6" w:rsidRDefault="00A1660F" w:rsidP="00A1660F">
            <w:pPr>
              <w:jc w:val="right"/>
              <w:rPr>
                <w:sz w:val="18"/>
                <w:szCs w:val="18"/>
                <w:lang w:val="fr-CA" w:eastAsia="en-CA"/>
              </w:rPr>
            </w:pPr>
            <w:r w:rsidRPr="006735F6">
              <w:rPr>
                <w:sz w:val="18"/>
                <w:szCs w:val="18"/>
                <w:lang w:val="fr-CA" w:eastAsia="en-CA"/>
              </w:rPr>
              <w:t>37</w:t>
            </w:r>
          </w:p>
        </w:tc>
        <w:tc>
          <w:tcPr>
            <w:tcW w:w="1251" w:type="dxa"/>
            <w:tcBorders>
              <w:top w:val="nil"/>
              <w:left w:val="nil"/>
              <w:bottom w:val="single" w:sz="4" w:space="0" w:color="auto"/>
              <w:right w:val="single" w:sz="4" w:space="0" w:color="auto"/>
            </w:tcBorders>
            <w:shd w:val="clear" w:color="auto" w:fill="auto"/>
            <w:noWrap/>
            <w:hideMark/>
          </w:tcPr>
          <w:p w14:paraId="0F23C9F9" w14:textId="40B49398" w:rsidR="00A1660F" w:rsidRPr="006735F6" w:rsidRDefault="00A1660F" w:rsidP="00A1660F">
            <w:pPr>
              <w:jc w:val="right"/>
              <w:rPr>
                <w:sz w:val="18"/>
                <w:szCs w:val="18"/>
                <w:lang w:val="fr-CA" w:eastAsia="en-CA"/>
              </w:rPr>
            </w:pPr>
            <w:r w:rsidRPr="006735F6">
              <w:rPr>
                <w:sz w:val="18"/>
                <w:szCs w:val="18"/>
                <w:lang w:val="fr-CA" w:eastAsia="en-CA"/>
              </w:rPr>
              <w:t>14</w:t>
            </w:r>
            <w:r>
              <w:rPr>
                <w:sz w:val="18"/>
                <w:szCs w:val="18"/>
                <w:lang w:val="fr-CA" w:eastAsia="en-CA"/>
              </w:rPr>
              <w:t xml:space="preserve"> </w:t>
            </w:r>
            <w:r w:rsidRPr="006735F6">
              <w:rPr>
                <w:sz w:val="18"/>
                <w:szCs w:val="18"/>
                <w:lang w:val="fr-CA" w:eastAsia="en-CA"/>
              </w:rPr>
              <w:t>635</w:t>
            </w:r>
            <w:r>
              <w:rPr>
                <w:sz w:val="18"/>
                <w:szCs w:val="18"/>
                <w:lang w:val="fr-CA" w:eastAsia="en-CA"/>
              </w:rPr>
              <w:t xml:space="preserve"> </w:t>
            </w:r>
            <w:r w:rsidRPr="006735F6">
              <w:rPr>
                <w:sz w:val="18"/>
                <w:szCs w:val="18"/>
                <w:lang w:val="fr-CA" w:eastAsia="en-CA"/>
              </w:rPr>
              <w:t>851</w:t>
            </w:r>
          </w:p>
        </w:tc>
        <w:tc>
          <w:tcPr>
            <w:tcW w:w="967" w:type="dxa"/>
            <w:tcBorders>
              <w:top w:val="nil"/>
              <w:left w:val="nil"/>
              <w:bottom w:val="single" w:sz="4" w:space="0" w:color="auto"/>
              <w:right w:val="single" w:sz="4" w:space="0" w:color="auto"/>
            </w:tcBorders>
            <w:shd w:val="clear" w:color="auto" w:fill="auto"/>
            <w:noWrap/>
            <w:hideMark/>
          </w:tcPr>
          <w:p w14:paraId="6B08010E" w14:textId="77777777" w:rsidR="00A1660F" w:rsidRPr="006735F6" w:rsidRDefault="00A1660F" w:rsidP="00A1660F">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2D1D5C1A" w14:textId="0D1AEEC7" w:rsidR="00A1660F" w:rsidRPr="006735F6" w:rsidRDefault="00A1660F" w:rsidP="00A1660F">
            <w:pPr>
              <w:jc w:val="right"/>
              <w:rPr>
                <w:sz w:val="18"/>
                <w:szCs w:val="18"/>
                <w:lang w:val="fr-CA" w:eastAsia="en-CA"/>
              </w:rPr>
            </w:pPr>
            <w:r w:rsidRPr="006735F6">
              <w:rPr>
                <w:sz w:val="18"/>
                <w:szCs w:val="18"/>
                <w:lang w:val="fr-CA" w:eastAsia="en-CA"/>
              </w:rPr>
              <w:t>2</w:t>
            </w:r>
            <w:r>
              <w:rPr>
                <w:sz w:val="18"/>
                <w:szCs w:val="18"/>
                <w:lang w:val="fr-CA" w:eastAsia="en-CA"/>
              </w:rPr>
              <w:t xml:space="preserve"> </w:t>
            </w:r>
            <w:r w:rsidRPr="006735F6">
              <w:rPr>
                <w:sz w:val="18"/>
                <w:szCs w:val="18"/>
                <w:lang w:val="fr-CA" w:eastAsia="en-CA"/>
              </w:rPr>
              <w:t>100</w:t>
            </w:r>
          </w:p>
        </w:tc>
        <w:tc>
          <w:tcPr>
            <w:tcW w:w="992" w:type="dxa"/>
            <w:tcBorders>
              <w:top w:val="nil"/>
              <w:left w:val="nil"/>
              <w:bottom w:val="single" w:sz="4" w:space="0" w:color="auto"/>
              <w:right w:val="single" w:sz="4" w:space="0" w:color="auto"/>
            </w:tcBorders>
            <w:shd w:val="clear" w:color="auto" w:fill="auto"/>
            <w:noWrap/>
            <w:hideMark/>
          </w:tcPr>
          <w:p w14:paraId="5A6323CA" w14:textId="77777777" w:rsidR="00A1660F" w:rsidRPr="006735F6" w:rsidRDefault="00A1660F" w:rsidP="00A1660F">
            <w:pPr>
              <w:jc w:val="right"/>
              <w:rPr>
                <w:sz w:val="18"/>
                <w:szCs w:val="18"/>
                <w:lang w:val="fr-CA" w:eastAsia="en-CA"/>
              </w:rPr>
            </w:pPr>
            <w:r w:rsidRPr="006735F6">
              <w:rPr>
                <w:sz w:val="18"/>
                <w:szCs w:val="18"/>
                <w:lang w:val="fr-CA" w:eastAsia="en-CA"/>
              </w:rPr>
              <w:t>500</w:t>
            </w:r>
          </w:p>
        </w:tc>
        <w:tc>
          <w:tcPr>
            <w:tcW w:w="1134" w:type="dxa"/>
            <w:tcBorders>
              <w:top w:val="nil"/>
              <w:left w:val="nil"/>
              <w:bottom w:val="single" w:sz="4" w:space="0" w:color="auto"/>
              <w:right w:val="single" w:sz="4" w:space="0" w:color="auto"/>
            </w:tcBorders>
            <w:shd w:val="clear" w:color="auto" w:fill="auto"/>
            <w:noWrap/>
            <w:hideMark/>
          </w:tcPr>
          <w:p w14:paraId="2860EE20" w14:textId="77777777" w:rsidR="00A1660F" w:rsidRPr="006735F6" w:rsidRDefault="00A1660F" w:rsidP="00A1660F">
            <w:pPr>
              <w:jc w:val="right"/>
              <w:rPr>
                <w:sz w:val="18"/>
                <w:szCs w:val="18"/>
                <w:lang w:val="fr-CA" w:eastAsia="en-CA"/>
              </w:rPr>
            </w:pPr>
            <w:r w:rsidRPr="006735F6">
              <w:rPr>
                <w:sz w:val="18"/>
                <w:szCs w:val="18"/>
                <w:lang w:val="fr-CA" w:eastAsia="en-CA"/>
              </w:rPr>
              <w:t>15</w:t>
            </w:r>
          </w:p>
        </w:tc>
        <w:tc>
          <w:tcPr>
            <w:tcW w:w="1240" w:type="dxa"/>
            <w:tcBorders>
              <w:top w:val="nil"/>
              <w:left w:val="nil"/>
              <w:bottom w:val="single" w:sz="4" w:space="0" w:color="auto"/>
              <w:right w:val="single" w:sz="4" w:space="0" w:color="auto"/>
            </w:tcBorders>
            <w:shd w:val="clear" w:color="auto" w:fill="auto"/>
            <w:noWrap/>
            <w:hideMark/>
          </w:tcPr>
          <w:p w14:paraId="299C1120" w14:textId="77777777" w:rsidR="00A1660F" w:rsidRPr="006735F6" w:rsidRDefault="00A1660F" w:rsidP="00A1660F">
            <w:pPr>
              <w:jc w:val="right"/>
              <w:rPr>
                <w:sz w:val="18"/>
                <w:szCs w:val="18"/>
                <w:lang w:val="fr-CA" w:eastAsia="en-CA"/>
              </w:rPr>
            </w:pPr>
            <w:r w:rsidRPr="006735F6">
              <w:rPr>
                <w:sz w:val="18"/>
                <w:szCs w:val="18"/>
                <w:lang w:val="fr-CA" w:eastAsia="en-CA"/>
              </w:rPr>
              <w:t>11</w:t>
            </w:r>
          </w:p>
        </w:tc>
        <w:tc>
          <w:tcPr>
            <w:tcW w:w="1180" w:type="dxa"/>
            <w:tcBorders>
              <w:top w:val="nil"/>
              <w:left w:val="nil"/>
              <w:bottom w:val="single" w:sz="4" w:space="0" w:color="auto"/>
              <w:right w:val="single" w:sz="4" w:space="0" w:color="auto"/>
            </w:tcBorders>
            <w:shd w:val="clear" w:color="auto" w:fill="auto"/>
            <w:noWrap/>
            <w:hideMark/>
          </w:tcPr>
          <w:p w14:paraId="6349C7BF" w14:textId="1F5210A5" w:rsidR="00A1660F" w:rsidRPr="006735F6" w:rsidRDefault="00A1660F" w:rsidP="00A1660F">
            <w:pPr>
              <w:jc w:val="right"/>
              <w:rPr>
                <w:sz w:val="18"/>
                <w:szCs w:val="18"/>
                <w:lang w:val="fr-CA" w:eastAsia="en-CA"/>
              </w:rPr>
            </w:pPr>
            <w:r w:rsidRPr="006735F6">
              <w:rPr>
                <w:sz w:val="18"/>
                <w:szCs w:val="18"/>
                <w:lang w:val="fr-CA" w:eastAsia="en-CA"/>
              </w:rPr>
              <w:t>5</w:t>
            </w:r>
            <w:r>
              <w:rPr>
                <w:sz w:val="18"/>
                <w:szCs w:val="18"/>
                <w:lang w:val="fr-CA" w:eastAsia="en-CA"/>
              </w:rPr>
              <w:t>,</w:t>
            </w:r>
            <w:r w:rsidRPr="006735F6">
              <w:rPr>
                <w:sz w:val="18"/>
                <w:szCs w:val="18"/>
                <w:lang w:val="fr-CA" w:eastAsia="en-CA"/>
              </w:rPr>
              <w:t xml:space="preserve">63 </w:t>
            </w:r>
          </w:p>
        </w:tc>
      </w:tr>
      <w:tr w:rsidR="00A1660F" w:rsidRPr="006735F6" w14:paraId="1797772F" w14:textId="77777777" w:rsidTr="00CC2107">
        <w:trPr>
          <w:trHeight w:val="204"/>
        </w:trPr>
        <w:tc>
          <w:tcPr>
            <w:tcW w:w="1446" w:type="dxa"/>
            <w:tcBorders>
              <w:top w:val="nil"/>
              <w:left w:val="single" w:sz="4" w:space="0" w:color="auto"/>
              <w:bottom w:val="single" w:sz="4" w:space="0" w:color="auto"/>
              <w:right w:val="single" w:sz="4" w:space="0" w:color="auto"/>
            </w:tcBorders>
            <w:shd w:val="clear" w:color="auto" w:fill="auto"/>
            <w:noWrap/>
            <w:hideMark/>
          </w:tcPr>
          <w:p w14:paraId="0BA080F2" w14:textId="5D897B68" w:rsidR="00A1660F" w:rsidRPr="006735F6" w:rsidRDefault="00A1660F" w:rsidP="00A1660F">
            <w:pPr>
              <w:jc w:val="left"/>
              <w:rPr>
                <w:sz w:val="18"/>
                <w:szCs w:val="18"/>
                <w:lang w:val="fr-CA" w:eastAsia="en-CA"/>
              </w:rPr>
            </w:pPr>
            <w:r>
              <w:rPr>
                <w:sz w:val="18"/>
                <w:szCs w:val="18"/>
                <w:lang w:val="fr-CA" w:eastAsia="en-CA"/>
              </w:rPr>
              <w:t>Du pays aux bénéficiaires finaux</w:t>
            </w:r>
          </w:p>
        </w:tc>
        <w:tc>
          <w:tcPr>
            <w:tcW w:w="856" w:type="dxa"/>
            <w:tcBorders>
              <w:top w:val="nil"/>
              <w:left w:val="nil"/>
              <w:bottom w:val="single" w:sz="4" w:space="0" w:color="auto"/>
              <w:right w:val="single" w:sz="4" w:space="0" w:color="auto"/>
            </w:tcBorders>
            <w:shd w:val="clear" w:color="auto" w:fill="auto"/>
            <w:noWrap/>
            <w:hideMark/>
          </w:tcPr>
          <w:p w14:paraId="277F82EE" w14:textId="77777777" w:rsidR="00A1660F" w:rsidRPr="006735F6" w:rsidRDefault="00A1660F" w:rsidP="00A1660F">
            <w:pPr>
              <w:jc w:val="right"/>
              <w:rPr>
                <w:sz w:val="18"/>
                <w:szCs w:val="18"/>
                <w:lang w:val="fr-CA" w:eastAsia="en-CA"/>
              </w:rPr>
            </w:pPr>
            <w:r w:rsidRPr="006735F6">
              <w:rPr>
                <w:sz w:val="18"/>
                <w:szCs w:val="18"/>
                <w:lang w:val="fr-CA" w:eastAsia="en-CA"/>
              </w:rPr>
              <w:t>24</w:t>
            </w:r>
          </w:p>
        </w:tc>
        <w:tc>
          <w:tcPr>
            <w:tcW w:w="1251" w:type="dxa"/>
            <w:tcBorders>
              <w:top w:val="nil"/>
              <w:left w:val="nil"/>
              <w:bottom w:val="single" w:sz="4" w:space="0" w:color="auto"/>
              <w:right w:val="single" w:sz="4" w:space="0" w:color="auto"/>
            </w:tcBorders>
            <w:shd w:val="clear" w:color="auto" w:fill="auto"/>
            <w:noWrap/>
            <w:hideMark/>
          </w:tcPr>
          <w:p w14:paraId="61CEB515" w14:textId="76D85767" w:rsidR="00A1660F" w:rsidRPr="006735F6" w:rsidRDefault="00A1660F" w:rsidP="00A1660F">
            <w:pPr>
              <w:jc w:val="right"/>
              <w:rPr>
                <w:sz w:val="18"/>
                <w:szCs w:val="18"/>
                <w:lang w:val="fr-CA" w:eastAsia="en-CA"/>
              </w:rPr>
            </w:pPr>
            <w:r w:rsidRPr="006735F6">
              <w:rPr>
                <w:sz w:val="18"/>
                <w:szCs w:val="18"/>
                <w:lang w:val="fr-CA" w:eastAsia="en-CA"/>
              </w:rPr>
              <w:t>282</w:t>
            </w:r>
            <w:r>
              <w:rPr>
                <w:sz w:val="18"/>
                <w:szCs w:val="18"/>
                <w:lang w:val="fr-CA" w:eastAsia="en-CA"/>
              </w:rPr>
              <w:t xml:space="preserve"> </w:t>
            </w:r>
            <w:r w:rsidRPr="006735F6">
              <w:rPr>
                <w:sz w:val="18"/>
                <w:szCs w:val="18"/>
                <w:lang w:val="fr-CA" w:eastAsia="en-CA"/>
              </w:rPr>
              <w:t>944</w:t>
            </w:r>
            <w:r>
              <w:rPr>
                <w:sz w:val="18"/>
                <w:szCs w:val="18"/>
                <w:lang w:val="fr-CA" w:eastAsia="en-CA"/>
              </w:rPr>
              <w:t xml:space="preserve"> </w:t>
            </w:r>
            <w:r w:rsidRPr="006735F6">
              <w:rPr>
                <w:sz w:val="18"/>
                <w:szCs w:val="18"/>
                <w:lang w:val="fr-CA" w:eastAsia="en-CA"/>
              </w:rPr>
              <w:t>713</w:t>
            </w:r>
          </w:p>
        </w:tc>
        <w:tc>
          <w:tcPr>
            <w:tcW w:w="967" w:type="dxa"/>
            <w:tcBorders>
              <w:top w:val="nil"/>
              <w:left w:val="nil"/>
              <w:bottom w:val="single" w:sz="4" w:space="0" w:color="auto"/>
              <w:right w:val="single" w:sz="4" w:space="0" w:color="auto"/>
            </w:tcBorders>
            <w:shd w:val="clear" w:color="auto" w:fill="auto"/>
            <w:noWrap/>
            <w:hideMark/>
          </w:tcPr>
          <w:p w14:paraId="5205D18D" w14:textId="77777777" w:rsidR="00A1660F" w:rsidRPr="006735F6" w:rsidRDefault="00A1660F" w:rsidP="00A1660F">
            <w:pPr>
              <w:jc w:val="right"/>
              <w:rPr>
                <w:sz w:val="18"/>
                <w:szCs w:val="18"/>
                <w:lang w:val="fr-CA" w:eastAsia="en-CA"/>
              </w:rPr>
            </w:pPr>
            <w:r w:rsidRPr="006735F6">
              <w:rPr>
                <w:sz w:val="18"/>
                <w:szCs w:val="18"/>
                <w:lang w:val="fr-CA" w:eastAsia="en-CA"/>
              </w:rPr>
              <w:t>100</w:t>
            </w:r>
          </w:p>
        </w:tc>
        <w:tc>
          <w:tcPr>
            <w:tcW w:w="1009" w:type="dxa"/>
            <w:tcBorders>
              <w:top w:val="nil"/>
              <w:left w:val="nil"/>
              <w:bottom w:val="single" w:sz="4" w:space="0" w:color="auto"/>
              <w:right w:val="single" w:sz="4" w:space="0" w:color="auto"/>
            </w:tcBorders>
            <w:shd w:val="clear" w:color="auto" w:fill="auto"/>
            <w:noWrap/>
            <w:hideMark/>
          </w:tcPr>
          <w:p w14:paraId="4444EFC8" w14:textId="1E8E8190" w:rsidR="00A1660F" w:rsidRPr="006735F6" w:rsidRDefault="00A1660F" w:rsidP="00A1660F">
            <w:pPr>
              <w:jc w:val="right"/>
              <w:rPr>
                <w:sz w:val="18"/>
                <w:szCs w:val="18"/>
                <w:lang w:val="fr-CA" w:eastAsia="en-CA"/>
              </w:rPr>
            </w:pPr>
            <w:r w:rsidRPr="006735F6">
              <w:rPr>
                <w:sz w:val="18"/>
                <w:szCs w:val="18"/>
                <w:lang w:val="fr-CA" w:eastAsia="en-CA"/>
              </w:rPr>
              <w:t>2</w:t>
            </w:r>
            <w:r>
              <w:rPr>
                <w:sz w:val="18"/>
                <w:szCs w:val="18"/>
                <w:lang w:val="fr-CA" w:eastAsia="en-CA"/>
              </w:rPr>
              <w:t xml:space="preserve"> </w:t>
            </w:r>
            <w:r w:rsidRPr="006735F6">
              <w:rPr>
                <w:sz w:val="18"/>
                <w:szCs w:val="18"/>
                <w:lang w:val="fr-CA" w:eastAsia="en-CA"/>
              </w:rPr>
              <w:t>270</w:t>
            </w:r>
          </w:p>
        </w:tc>
        <w:tc>
          <w:tcPr>
            <w:tcW w:w="992" w:type="dxa"/>
            <w:tcBorders>
              <w:top w:val="nil"/>
              <w:left w:val="nil"/>
              <w:bottom w:val="single" w:sz="4" w:space="0" w:color="auto"/>
              <w:right w:val="single" w:sz="4" w:space="0" w:color="auto"/>
            </w:tcBorders>
            <w:shd w:val="clear" w:color="auto" w:fill="auto"/>
            <w:noWrap/>
            <w:hideMark/>
          </w:tcPr>
          <w:p w14:paraId="23AF922A" w14:textId="00997BED" w:rsidR="00A1660F" w:rsidRPr="006735F6" w:rsidRDefault="00A1660F" w:rsidP="00A1660F">
            <w:pPr>
              <w:jc w:val="right"/>
              <w:rPr>
                <w:sz w:val="18"/>
                <w:szCs w:val="18"/>
                <w:lang w:val="fr-CA" w:eastAsia="en-CA"/>
              </w:rPr>
            </w:pPr>
            <w:r w:rsidRPr="006735F6">
              <w:rPr>
                <w:sz w:val="18"/>
                <w:szCs w:val="18"/>
                <w:lang w:val="fr-CA" w:eastAsia="en-CA"/>
              </w:rPr>
              <w:t>3</w:t>
            </w:r>
            <w:r>
              <w:rPr>
                <w:sz w:val="18"/>
                <w:szCs w:val="18"/>
                <w:lang w:val="fr-CA" w:eastAsia="en-CA"/>
              </w:rPr>
              <w:t xml:space="preserve"> </w:t>
            </w:r>
            <w:r w:rsidRPr="006735F6">
              <w:rPr>
                <w:sz w:val="18"/>
                <w:szCs w:val="18"/>
                <w:lang w:val="fr-CA" w:eastAsia="en-CA"/>
              </w:rPr>
              <w:t>970</w:t>
            </w:r>
          </w:p>
        </w:tc>
        <w:tc>
          <w:tcPr>
            <w:tcW w:w="1134" w:type="dxa"/>
            <w:tcBorders>
              <w:top w:val="nil"/>
              <w:left w:val="nil"/>
              <w:bottom w:val="single" w:sz="4" w:space="0" w:color="auto"/>
              <w:right w:val="single" w:sz="4" w:space="0" w:color="auto"/>
            </w:tcBorders>
            <w:shd w:val="clear" w:color="auto" w:fill="auto"/>
            <w:noWrap/>
            <w:hideMark/>
          </w:tcPr>
          <w:p w14:paraId="21872C2D" w14:textId="77777777" w:rsidR="00A1660F" w:rsidRPr="006735F6" w:rsidRDefault="00A1660F" w:rsidP="00A1660F">
            <w:pPr>
              <w:jc w:val="right"/>
              <w:rPr>
                <w:sz w:val="18"/>
                <w:szCs w:val="18"/>
                <w:lang w:val="fr-CA" w:eastAsia="en-CA"/>
              </w:rPr>
            </w:pPr>
            <w:r w:rsidRPr="006735F6">
              <w:rPr>
                <w:sz w:val="18"/>
                <w:szCs w:val="18"/>
                <w:lang w:val="fr-CA" w:eastAsia="en-CA"/>
              </w:rPr>
              <w:t>8</w:t>
            </w:r>
          </w:p>
        </w:tc>
        <w:tc>
          <w:tcPr>
            <w:tcW w:w="1240" w:type="dxa"/>
            <w:tcBorders>
              <w:top w:val="nil"/>
              <w:left w:val="nil"/>
              <w:bottom w:val="single" w:sz="4" w:space="0" w:color="auto"/>
              <w:right w:val="single" w:sz="4" w:space="0" w:color="auto"/>
            </w:tcBorders>
            <w:shd w:val="clear" w:color="auto" w:fill="auto"/>
            <w:noWrap/>
            <w:hideMark/>
          </w:tcPr>
          <w:p w14:paraId="59B688CC" w14:textId="77777777" w:rsidR="00A1660F" w:rsidRPr="006735F6" w:rsidRDefault="00A1660F" w:rsidP="00A1660F">
            <w:pPr>
              <w:jc w:val="right"/>
              <w:rPr>
                <w:sz w:val="18"/>
                <w:szCs w:val="18"/>
                <w:lang w:val="fr-CA" w:eastAsia="en-CA"/>
              </w:rPr>
            </w:pPr>
            <w:r w:rsidRPr="006735F6">
              <w:rPr>
                <w:sz w:val="18"/>
                <w:szCs w:val="18"/>
                <w:lang w:val="fr-CA" w:eastAsia="en-CA"/>
              </w:rPr>
              <w:t>51</w:t>
            </w:r>
          </w:p>
        </w:tc>
        <w:tc>
          <w:tcPr>
            <w:tcW w:w="1180" w:type="dxa"/>
            <w:tcBorders>
              <w:top w:val="nil"/>
              <w:left w:val="nil"/>
              <w:bottom w:val="single" w:sz="4" w:space="0" w:color="auto"/>
              <w:right w:val="single" w:sz="4" w:space="0" w:color="auto"/>
            </w:tcBorders>
            <w:shd w:val="clear" w:color="auto" w:fill="auto"/>
            <w:noWrap/>
            <w:hideMark/>
          </w:tcPr>
          <w:p w14:paraId="4AAADAC4" w14:textId="26E7D817" w:rsidR="00A1660F" w:rsidRPr="006735F6" w:rsidRDefault="00A1660F" w:rsidP="00A1660F">
            <w:pPr>
              <w:jc w:val="right"/>
              <w:rPr>
                <w:sz w:val="18"/>
                <w:szCs w:val="18"/>
                <w:lang w:val="fr-CA" w:eastAsia="en-CA"/>
              </w:rPr>
            </w:pPr>
            <w:r w:rsidRPr="006735F6">
              <w:rPr>
                <w:sz w:val="18"/>
                <w:szCs w:val="18"/>
                <w:lang w:val="fr-CA" w:eastAsia="en-CA"/>
              </w:rPr>
              <w:t>45</w:t>
            </w:r>
            <w:r>
              <w:rPr>
                <w:sz w:val="18"/>
                <w:szCs w:val="18"/>
                <w:lang w:val="fr-CA" w:eastAsia="en-CA"/>
              </w:rPr>
              <w:t>,</w:t>
            </w:r>
            <w:r w:rsidRPr="006735F6">
              <w:rPr>
                <w:sz w:val="18"/>
                <w:szCs w:val="18"/>
                <w:lang w:val="fr-CA" w:eastAsia="en-CA"/>
              </w:rPr>
              <w:t xml:space="preserve">34 </w:t>
            </w:r>
          </w:p>
        </w:tc>
      </w:tr>
    </w:tbl>
    <w:p w14:paraId="28C401B8" w14:textId="5B69F739" w:rsidR="00D631A9" w:rsidRPr="006735F6" w:rsidRDefault="00D631A9" w:rsidP="001E39EE">
      <w:pPr>
        <w:rPr>
          <w:sz w:val="18"/>
          <w:szCs w:val="18"/>
          <w:lang w:val="fr-CA"/>
        </w:rPr>
      </w:pPr>
      <w:r w:rsidRPr="006735F6">
        <w:rPr>
          <w:sz w:val="18"/>
          <w:szCs w:val="18"/>
          <w:lang w:val="fr-CA"/>
        </w:rPr>
        <w:t>*</w:t>
      </w:r>
      <w:r w:rsidR="00A1660F" w:rsidRPr="00FF147D">
        <w:rPr>
          <w:sz w:val="18"/>
          <w:szCs w:val="18"/>
          <w:lang w:val="fr-CA"/>
        </w:rPr>
        <w:t>Ne comprend pas les projets fermés et transférés</w:t>
      </w:r>
      <w:r w:rsidRPr="006735F6">
        <w:rPr>
          <w:sz w:val="18"/>
          <w:szCs w:val="18"/>
          <w:lang w:val="fr-CA"/>
        </w:rPr>
        <w:t>.</w:t>
      </w:r>
    </w:p>
    <w:p w14:paraId="0282B9CD" w14:textId="77777777" w:rsidR="00D631A9" w:rsidRPr="006735F6" w:rsidRDefault="00D631A9" w:rsidP="001E39EE">
      <w:pPr>
        <w:keepNext/>
        <w:keepLines/>
        <w:rPr>
          <w:b/>
          <w:lang w:val="fr-CA"/>
        </w:rPr>
      </w:pPr>
    </w:p>
    <w:p w14:paraId="6C1EABA9" w14:textId="3E94E5DE" w:rsidR="00D631A9" w:rsidRPr="006735F6" w:rsidRDefault="00715329" w:rsidP="001E39EE">
      <w:pPr>
        <w:pStyle w:val="a--"/>
        <w:suppressAutoHyphens w:val="0"/>
        <w:rPr>
          <w:sz w:val="22"/>
          <w:szCs w:val="22"/>
          <w:lang w:val="fr-CA"/>
        </w:rPr>
      </w:pPr>
      <w:r>
        <w:rPr>
          <w:sz w:val="22"/>
          <w:szCs w:val="22"/>
          <w:lang w:val="fr-CA"/>
        </w:rPr>
        <w:t>Projets ne portant pas sur des investissements achevés</w:t>
      </w:r>
    </w:p>
    <w:p w14:paraId="6FAC6975" w14:textId="77777777" w:rsidR="00D631A9" w:rsidRPr="006735F6" w:rsidRDefault="00D631A9" w:rsidP="001E39EE">
      <w:pPr>
        <w:pStyle w:val="a--"/>
        <w:suppressAutoHyphens w:val="0"/>
        <w:rPr>
          <w:lang w:val="fr-CA"/>
        </w:rPr>
      </w:pPr>
    </w:p>
    <w:p w14:paraId="44569009" w14:textId="5CF15051" w:rsidR="00D631A9" w:rsidRPr="00715329" w:rsidRDefault="00715329" w:rsidP="001E39EE">
      <w:pPr>
        <w:pStyle w:val="Heading1"/>
        <w:rPr>
          <w:lang w:val="fr-CA"/>
        </w:rPr>
      </w:pPr>
      <w:r>
        <w:rPr>
          <w:lang w:val="fr-CA"/>
        </w:rPr>
        <w:t>Le tableau 5 présente les données cumulatives des projets ne portant pas sur des investissements achevés. Au total, 3 340 projets ne portant pas sur des investissements ont été achevés depuis 1991, pour une valeur totale de 526,93 millions $US</w:t>
      </w:r>
      <w:r w:rsidR="00D631A9" w:rsidRPr="00715329">
        <w:rPr>
          <w:lang w:val="fr-CA"/>
        </w:rPr>
        <w:t xml:space="preserve">. </w:t>
      </w:r>
    </w:p>
    <w:p w14:paraId="47E07DB7" w14:textId="16DF9335" w:rsidR="00D631A9" w:rsidRPr="006735F6" w:rsidRDefault="00D631A9" w:rsidP="001E39EE">
      <w:pPr>
        <w:keepNext/>
        <w:rPr>
          <w:b/>
          <w:lang w:val="fr-CA"/>
        </w:rPr>
      </w:pPr>
      <w:r w:rsidRPr="006735F6">
        <w:rPr>
          <w:b/>
          <w:lang w:val="fr-CA"/>
        </w:rPr>
        <w:t>Table</w:t>
      </w:r>
      <w:r w:rsidR="00715329">
        <w:rPr>
          <w:b/>
          <w:lang w:val="fr-CA"/>
        </w:rPr>
        <w:t>au</w:t>
      </w:r>
      <w:r w:rsidRPr="006735F6">
        <w:rPr>
          <w:b/>
          <w:lang w:val="fr-CA"/>
        </w:rPr>
        <w:t xml:space="preserve"> 5. </w:t>
      </w:r>
      <w:r w:rsidR="00715329">
        <w:rPr>
          <w:b/>
          <w:lang w:val="fr-CA"/>
        </w:rPr>
        <w:t>Cumul des projets ne portant pas sur des investissements achevés</w:t>
      </w:r>
    </w:p>
    <w:tbl>
      <w:tblPr>
        <w:tblW w:w="9672" w:type="dxa"/>
        <w:tblLook w:val="04A0" w:firstRow="1" w:lastRow="0" w:firstColumn="1" w:lastColumn="0" w:noHBand="0" w:noVBand="1"/>
      </w:tblPr>
      <w:tblGrid>
        <w:gridCol w:w="2840"/>
        <w:gridCol w:w="1120"/>
        <w:gridCol w:w="1422"/>
        <w:gridCol w:w="1176"/>
        <w:gridCol w:w="1640"/>
        <w:gridCol w:w="1474"/>
      </w:tblGrid>
      <w:tr w:rsidR="00715329" w:rsidRPr="00D303D6" w14:paraId="31F97732" w14:textId="77777777" w:rsidTr="005A52FA">
        <w:trPr>
          <w:trHeight w:val="612"/>
          <w:tblHead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A429" w14:textId="57027E59" w:rsidR="00715329" w:rsidRPr="006735F6" w:rsidRDefault="00715329" w:rsidP="00715329">
            <w:pPr>
              <w:jc w:val="left"/>
              <w:rPr>
                <w:b/>
                <w:bCs/>
                <w:sz w:val="18"/>
                <w:szCs w:val="18"/>
                <w:lang w:val="fr-CA" w:eastAsia="en-CA"/>
              </w:rPr>
            </w:pPr>
            <w:r>
              <w:rPr>
                <w:b/>
                <w:bCs/>
                <w:sz w:val="18"/>
                <w:szCs w:val="18"/>
                <w:lang w:val="fr-CA" w:eastAsia="en-CA"/>
              </w:rPr>
              <w:t>Élément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FFD61BB" w14:textId="0415E09B" w:rsidR="00715329" w:rsidRPr="006735F6" w:rsidRDefault="00715329" w:rsidP="00715329">
            <w:pPr>
              <w:jc w:val="center"/>
              <w:rPr>
                <w:b/>
                <w:bCs/>
                <w:sz w:val="18"/>
                <w:szCs w:val="18"/>
                <w:lang w:val="fr-CA" w:eastAsia="en-CA"/>
              </w:rPr>
            </w:pPr>
            <w:r>
              <w:rPr>
                <w:b/>
                <w:bCs/>
                <w:sz w:val="18"/>
                <w:szCs w:val="18"/>
                <w:lang w:val="fr-CA" w:eastAsia="en-CA"/>
              </w:rPr>
              <w:t>Nombre de projets</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169B1C8D" w14:textId="455807B2" w:rsidR="00715329" w:rsidRPr="00715329" w:rsidRDefault="00715329" w:rsidP="00715329">
            <w:pPr>
              <w:jc w:val="center"/>
              <w:rPr>
                <w:b/>
                <w:bCs/>
                <w:sz w:val="18"/>
                <w:szCs w:val="18"/>
                <w:lang w:val="fr-CA" w:eastAsia="en-CA"/>
              </w:rPr>
            </w:pPr>
            <w:r>
              <w:rPr>
                <w:b/>
                <w:bCs/>
                <w:sz w:val="18"/>
                <w:szCs w:val="18"/>
                <w:lang w:val="fr-CA" w:eastAsia="en-CA"/>
              </w:rPr>
              <w:t>Sommes approuvées plus les rajustements ($US)</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7A309FD" w14:textId="5CF616AE" w:rsidR="00715329" w:rsidRPr="00715329" w:rsidRDefault="00715329" w:rsidP="00715329">
            <w:pPr>
              <w:jc w:val="center"/>
              <w:rPr>
                <w:b/>
                <w:bCs/>
                <w:sz w:val="18"/>
                <w:szCs w:val="18"/>
                <w:lang w:val="en-US" w:eastAsia="en-CA"/>
              </w:rPr>
            </w:pPr>
            <w:r>
              <w:rPr>
                <w:b/>
                <w:bCs/>
                <w:sz w:val="18"/>
                <w:szCs w:val="18"/>
                <w:lang w:val="fr-CA" w:eastAsia="en-CA"/>
              </w:rPr>
              <w:t>Pourcentage des sommes décaissées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4C314AA" w14:textId="7752F1DD" w:rsidR="00715329" w:rsidRPr="00715329" w:rsidRDefault="00715329" w:rsidP="00715329">
            <w:pPr>
              <w:jc w:val="center"/>
              <w:rPr>
                <w:b/>
                <w:bCs/>
                <w:sz w:val="18"/>
                <w:szCs w:val="18"/>
                <w:lang w:val="fr-CA" w:eastAsia="en-CA"/>
              </w:rPr>
            </w:pPr>
            <w:r>
              <w:rPr>
                <w:b/>
                <w:bCs/>
                <w:sz w:val="18"/>
                <w:szCs w:val="18"/>
                <w:lang w:val="fr-CA" w:eastAsia="en-CA"/>
              </w:rPr>
              <w:t>N</w:t>
            </w:r>
            <w:r w:rsidRPr="00FF147D">
              <w:rPr>
                <w:b/>
                <w:bCs/>
                <w:sz w:val="18"/>
                <w:szCs w:val="18"/>
                <w:vertAlign w:val="superscript"/>
                <w:lang w:val="fr-CA" w:eastAsia="en-CA"/>
              </w:rPr>
              <w:t>bre</w:t>
            </w:r>
            <w:r>
              <w:rPr>
                <w:b/>
                <w:bCs/>
                <w:sz w:val="18"/>
                <w:szCs w:val="18"/>
                <w:lang w:val="fr-CA" w:eastAsia="en-CA"/>
              </w:rPr>
              <w:t xml:space="preserve"> moyen de mois entre l’approbation et le premier décaissement</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F783797" w14:textId="0E9749C7" w:rsidR="00715329" w:rsidRPr="00715329" w:rsidRDefault="00715329" w:rsidP="00715329">
            <w:pPr>
              <w:ind w:left="-133" w:right="-108"/>
              <w:jc w:val="center"/>
              <w:rPr>
                <w:b/>
                <w:bCs/>
                <w:sz w:val="18"/>
                <w:szCs w:val="18"/>
                <w:lang w:val="fr-CA" w:eastAsia="en-CA"/>
              </w:rPr>
            </w:pPr>
            <w:r>
              <w:rPr>
                <w:b/>
                <w:bCs/>
                <w:sz w:val="18"/>
                <w:szCs w:val="18"/>
                <w:lang w:val="fr-CA" w:eastAsia="en-CA"/>
              </w:rPr>
              <w:t>Nombre moyen de mois entre l’approbation et l’achèvement</w:t>
            </w:r>
          </w:p>
        </w:tc>
      </w:tr>
      <w:tr w:rsidR="005D1003" w:rsidRPr="006735F6" w14:paraId="26F24579"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A5E7CC0" w14:textId="77777777" w:rsidR="005D1003" w:rsidRPr="006735F6" w:rsidRDefault="005D1003" w:rsidP="001E39EE">
            <w:pPr>
              <w:jc w:val="left"/>
              <w:rPr>
                <w:b/>
                <w:bCs/>
                <w:sz w:val="18"/>
                <w:szCs w:val="18"/>
                <w:lang w:val="fr-CA" w:eastAsia="en-CA"/>
              </w:rPr>
            </w:pPr>
            <w:r w:rsidRPr="006735F6">
              <w:rPr>
                <w:b/>
                <w:bCs/>
                <w:sz w:val="18"/>
                <w:szCs w:val="18"/>
                <w:lang w:val="fr-CA" w:eastAsia="en-CA"/>
              </w:rPr>
              <w:t>TOTAL</w:t>
            </w:r>
          </w:p>
        </w:tc>
        <w:tc>
          <w:tcPr>
            <w:tcW w:w="1120" w:type="dxa"/>
            <w:tcBorders>
              <w:top w:val="nil"/>
              <w:left w:val="nil"/>
              <w:bottom w:val="single" w:sz="4" w:space="0" w:color="auto"/>
              <w:right w:val="single" w:sz="4" w:space="0" w:color="auto"/>
            </w:tcBorders>
            <w:shd w:val="clear" w:color="auto" w:fill="auto"/>
            <w:noWrap/>
            <w:vAlign w:val="bottom"/>
            <w:hideMark/>
          </w:tcPr>
          <w:p w14:paraId="25E4A572" w14:textId="5166FA02" w:rsidR="005D1003" w:rsidRPr="006735F6" w:rsidRDefault="005D1003" w:rsidP="001E39EE">
            <w:pPr>
              <w:jc w:val="right"/>
              <w:rPr>
                <w:sz w:val="18"/>
                <w:szCs w:val="18"/>
                <w:lang w:val="fr-CA" w:eastAsia="en-CA"/>
              </w:rPr>
            </w:pPr>
            <w:r w:rsidRPr="006735F6">
              <w:rPr>
                <w:sz w:val="18"/>
                <w:szCs w:val="18"/>
                <w:lang w:val="fr-CA" w:eastAsia="en-CA"/>
              </w:rPr>
              <w:t>3</w:t>
            </w:r>
            <w:r w:rsidR="005A52FA">
              <w:rPr>
                <w:sz w:val="18"/>
                <w:szCs w:val="18"/>
                <w:lang w:val="fr-CA" w:eastAsia="en-CA"/>
              </w:rPr>
              <w:t xml:space="preserve"> </w:t>
            </w:r>
            <w:r w:rsidRPr="006735F6">
              <w:rPr>
                <w:sz w:val="18"/>
                <w:szCs w:val="18"/>
                <w:lang w:val="fr-CA" w:eastAsia="en-CA"/>
              </w:rPr>
              <w:t>340</w:t>
            </w:r>
          </w:p>
        </w:tc>
        <w:tc>
          <w:tcPr>
            <w:tcW w:w="1422" w:type="dxa"/>
            <w:tcBorders>
              <w:top w:val="nil"/>
              <w:left w:val="nil"/>
              <w:bottom w:val="single" w:sz="4" w:space="0" w:color="auto"/>
              <w:right w:val="single" w:sz="4" w:space="0" w:color="auto"/>
            </w:tcBorders>
            <w:shd w:val="clear" w:color="auto" w:fill="auto"/>
            <w:noWrap/>
            <w:vAlign w:val="bottom"/>
            <w:hideMark/>
          </w:tcPr>
          <w:p w14:paraId="4FABDC22" w14:textId="02E93822" w:rsidR="005D1003" w:rsidRPr="006735F6" w:rsidRDefault="005D1003" w:rsidP="001E39EE">
            <w:pPr>
              <w:jc w:val="right"/>
              <w:rPr>
                <w:sz w:val="18"/>
                <w:szCs w:val="18"/>
                <w:lang w:val="fr-CA" w:eastAsia="en-CA"/>
              </w:rPr>
            </w:pPr>
            <w:r w:rsidRPr="006735F6">
              <w:rPr>
                <w:sz w:val="18"/>
                <w:szCs w:val="18"/>
                <w:lang w:val="fr-CA" w:eastAsia="en-CA"/>
              </w:rPr>
              <w:t>526</w:t>
            </w:r>
            <w:r w:rsidR="005A52FA">
              <w:rPr>
                <w:sz w:val="18"/>
                <w:szCs w:val="18"/>
                <w:lang w:val="fr-CA" w:eastAsia="en-CA"/>
              </w:rPr>
              <w:t xml:space="preserve"> </w:t>
            </w:r>
            <w:r w:rsidRPr="006735F6">
              <w:rPr>
                <w:sz w:val="18"/>
                <w:szCs w:val="18"/>
                <w:lang w:val="fr-CA" w:eastAsia="en-CA"/>
              </w:rPr>
              <w:t>930</w:t>
            </w:r>
            <w:r w:rsidR="005A52FA">
              <w:rPr>
                <w:sz w:val="18"/>
                <w:szCs w:val="18"/>
                <w:lang w:val="fr-CA" w:eastAsia="en-CA"/>
              </w:rPr>
              <w:t xml:space="preserve"> </w:t>
            </w:r>
            <w:r w:rsidRPr="006735F6">
              <w:rPr>
                <w:sz w:val="18"/>
                <w:szCs w:val="18"/>
                <w:lang w:val="fr-CA" w:eastAsia="en-CA"/>
              </w:rPr>
              <w:t>493</w:t>
            </w:r>
          </w:p>
        </w:tc>
        <w:tc>
          <w:tcPr>
            <w:tcW w:w="1176" w:type="dxa"/>
            <w:tcBorders>
              <w:top w:val="nil"/>
              <w:left w:val="nil"/>
              <w:bottom w:val="single" w:sz="4" w:space="0" w:color="auto"/>
              <w:right w:val="single" w:sz="4" w:space="0" w:color="auto"/>
            </w:tcBorders>
            <w:shd w:val="clear" w:color="auto" w:fill="auto"/>
            <w:noWrap/>
            <w:vAlign w:val="bottom"/>
            <w:hideMark/>
          </w:tcPr>
          <w:p w14:paraId="0F28D667" w14:textId="3D5E1F54" w:rsidR="005D1003" w:rsidRPr="006735F6" w:rsidRDefault="005D1003" w:rsidP="001E39EE">
            <w:pPr>
              <w:jc w:val="right"/>
              <w:rPr>
                <w:sz w:val="18"/>
                <w:szCs w:val="18"/>
                <w:lang w:val="fr-CA" w:eastAsia="en-CA"/>
              </w:rPr>
            </w:pPr>
            <w:r w:rsidRPr="006735F6">
              <w:rPr>
                <w:sz w:val="18"/>
                <w:szCs w:val="18"/>
                <w:lang w:val="fr-CA"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2CB5DCED" w14:textId="77777777" w:rsidR="005D1003" w:rsidRPr="006735F6" w:rsidRDefault="005D1003" w:rsidP="001E39EE">
            <w:pPr>
              <w:jc w:val="right"/>
              <w:rPr>
                <w:sz w:val="18"/>
                <w:szCs w:val="18"/>
                <w:lang w:val="fr-CA" w:eastAsia="en-CA"/>
              </w:rPr>
            </w:pPr>
            <w:r w:rsidRPr="006735F6">
              <w:rPr>
                <w:sz w:val="18"/>
                <w:szCs w:val="18"/>
                <w:lang w:val="fr-CA" w:eastAsia="en-CA"/>
              </w:rPr>
              <w:t>12</w:t>
            </w:r>
          </w:p>
        </w:tc>
        <w:tc>
          <w:tcPr>
            <w:tcW w:w="1474" w:type="dxa"/>
            <w:tcBorders>
              <w:top w:val="nil"/>
              <w:left w:val="nil"/>
              <w:bottom w:val="single" w:sz="4" w:space="0" w:color="auto"/>
              <w:right w:val="single" w:sz="4" w:space="0" w:color="auto"/>
            </w:tcBorders>
            <w:shd w:val="clear" w:color="auto" w:fill="auto"/>
            <w:noWrap/>
            <w:vAlign w:val="bottom"/>
            <w:hideMark/>
          </w:tcPr>
          <w:p w14:paraId="57E929B7" w14:textId="77777777" w:rsidR="005D1003" w:rsidRPr="006735F6" w:rsidRDefault="005D1003" w:rsidP="001E39EE">
            <w:pPr>
              <w:jc w:val="right"/>
              <w:rPr>
                <w:sz w:val="18"/>
                <w:szCs w:val="18"/>
                <w:lang w:val="fr-CA" w:eastAsia="en-CA"/>
              </w:rPr>
            </w:pPr>
            <w:r w:rsidRPr="006735F6">
              <w:rPr>
                <w:sz w:val="18"/>
                <w:szCs w:val="18"/>
                <w:lang w:val="fr-CA" w:eastAsia="en-CA"/>
              </w:rPr>
              <w:t>38</w:t>
            </w:r>
          </w:p>
        </w:tc>
      </w:tr>
      <w:tr w:rsidR="005A52FA" w:rsidRPr="006735F6" w14:paraId="69D7177F" w14:textId="77777777" w:rsidTr="005A52FA">
        <w:trPr>
          <w:trHeight w:val="204"/>
        </w:trPr>
        <w:tc>
          <w:tcPr>
            <w:tcW w:w="2840" w:type="dxa"/>
            <w:tcBorders>
              <w:top w:val="nil"/>
              <w:left w:val="single" w:sz="4" w:space="0" w:color="auto"/>
              <w:bottom w:val="nil"/>
              <w:right w:val="nil"/>
            </w:tcBorders>
            <w:shd w:val="clear" w:color="auto" w:fill="auto"/>
            <w:noWrap/>
            <w:hideMark/>
          </w:tcPr>
          <w:p w14:paraId="375FED54" w14:textId="23696DB1" w:rsidR="005A52FA" w:rsidRPr="006735F6" w:rsidRDefault="005A52FA" w:rsidP="005A52FA">
            <w:pPr>
              <w:jc w:val="left"/>
              <w:rPr>
                <w:b/>
                <w:bCs/>
                <w:sz w:val="18"/>
                <w:szCs w:val="18"/>
                <w:lang w:val="fr-CA" w:eastAsia="en-CA"/>
              </w:rPr>
            </w:pPr>
            <w:r>
              <w:rPr>
                <w:b/>
                <w:bCs/>
                <w:sz w:val="18"/>
                <w:szCs w:val="18"/>
                <w:lang w:val="fr-CA" w:eastAsia="en-CA"/>
              </w:rPr>
              <w:t>Région</w:t>
            </w:r>
          </w:p>
        </w:tc>
        <w:tc>
          <w:tcPr>
            <w:tcW w:w="1120" w:type="dxa"/>
            <w:tcBorders>
              <w:top w:val="nil"/>
              <w:left w:val="nil"/>
              <w:bottom w:val="nil"/>
              <w:right w:val="nil"/>
            </w:tcBorders>
            <w:shd w:val="clear" w:color="auto" w:fill="auto"/>
            <w:noWrap/>
            <w:vAlign w:val="bottom"/>
            <w:hideMark/>
          </w:tcPr>
          <w:p w14:paraId="76207618" w14:textId="77777777" w:rsidR="005A52FA" w:rsidRPr="006735F6" w:rsidRDefault="005A52FA" w:rsidP="005A52FA">
            <w:pPr>
              <w:jc w:val="left"/>
              <w:rPr>
                <w:b/>
                <w:bCs/>
                <w:sz w:val="18"/>
                <w:szCs w:val="18"/>
                <w:lang w:val="fr-CA" w:eastAsia="en-CA"/>
              </w:rPr>
            </w:pPr>
          </w:p>
        </w:tc>
        <w:tc>
          <w:tcPr>
            <w:tcW w:w="1422" w:type="dxa"/>
            <w:tcBorders>
              <w:top w:val="nil"/>
              <w:left w:val="nil"/>
              <w:bottom w:val="nil"/>
              <w:right w:val="nil"/>
            </w:tcBorders>
            <w:shd w:val="clear" w:color="auto" w:fill="auto"/>
            <w:noWrap/>
            <w:vAlign w:val="bottom"/>
            <w:hideMark/>
          </w:tcPr>
          <w:p w14:paraId="565F7AF7" w14:textId="77777777" w:rsidR="005A52FA" w:rsidRPr="006735F6" w:rsidRDefault="005A52FA" w:rsidP="005A52FA">
            <w:pPr>
              <w:jc w:val="left"/>
              <w:rPr>
                <w:sz w:val="18"/>
                <w:szCs w:val="18"/>
                <w:lang w:val="fr-CA" w:eastAsia="en-CA"/>
              </w:rPr>
            </w:pPr>
          </w:p>
        </w:tc>
        <w:tc>
          <w:tcPr>
            <w:tcW w:w="1176" w:type="dxa"/>
            <w:tcBorders>
              <w:top w:val="nil"/>
              <w:left w:val="nil"/>
              <w:bottom w:val="nil"/>
              <w:right w:val="nil"/>
            </w:tcBorders>
            <w:shd w:val="clear" w:color="auto" w:fill="auto"/>
            <w:noWrap/>
            <w:vAlign w:val="bottom"/>
            <w:hideMark/>
          </w:tcPr>
          <w:p w14:paraId="27FD4680" w14:textId="77777777" w:rsidR="005A52FA" w:rsidRPr="006735F6" w:rsidRDefault="005A52FA" w:rsidP="005A52FA">
            <w:pPr>
              <w:jc w:val="left"/>
              <w:rPr>
                <w:sz w:val="18"/>
                <w:szCs w:val="18"/>
                <w:lang w:val="fr-CA" w:eastAsia="en-CA"/>
              </w:rPr>
            </w:pPr>
          </w:p>
        </w:tc>
        <w:tc>
          <w:tcPr>
            <w:tcW w:w="1640" w:type="dxa"/>
            <w:tcBorders>
              <w:top w:val="nil"/>
              <w:left w:val="nil"/>
              <w:bottom w:val="nil"/>
              <w:right w:val="nil"/>
            </w:tcBorders>
            <w:shd w:val="clear" w:color="auto" w:fill="auto"/>
            <w:noWrap/>
            <w:vAlign w:val="bottom"/>
            <w:hideMark/>
          </w:tcPr>
          <w:p w14:paraId="3A865E23" w14:textId="77777777" w:rsidR="005A52FA" w:rsidRPr="006735F6" w:rsidRDefault="005A52FA" w:rsidP="005A52FA">
            <w:pPr>
              <w:jc w:val="right"/>
              <w:rPr>
                <w:sz w:val="18"/>
                <w:szCs w:val="18"/>
                <w:lang w:val="fr-CA" w:eastAsia="en-CA"/>
              </w:rPr>
            </w:pPr>
          </w:p>
        </w:tc>
        <w:tc>
          <w:tcPr>
            <w:tcW w:w="1474" w:type="dxa"/>
            <w:tcBorders>
              <w:top w:val="nil"/>
              <w:left w:val="nil"/>
              <w:bottom w:val="nil"/>
              <w:right w:val="single" w:sz="4" w:space="0" w:color="auto"/>
            </w:tcBorders>
            <w:shd w:val="clear" w:color="auto" w:fill="auto"/>
            <w:noWrap/>
            <w:vAlign w:val="bottom"/>
            <w:hideMark/>
          </w:tcPr>
          <w:p w14:paraId="4FD6430D" w14:textId="77777777" w:rsidR="005A52FA" w:rsidRPr="006735F6" w:rsidRDefault="005A52FA" w:rsidP="005A52FA">
            <w:pPr>
              <w:jc w:val="right"/>
              <w:rPr>
                <w:sz w:val="18"/>
                <w:szCs w:val="18"/>
                <w:lang w:val="fr-CA" w:eastAsia="en-CA"/>
              </w:rPr>
            </w:pPr>
            <w:r w:rsidRPr="006735F6">
              <w:rPr>
                <w:sz w:val="18"/>
                <w:szCs w:val="18"/>
                <w:lang w:val="fr-CA" w:eastAsia="en-CA"/>
              </w:rPr>
              <w:t> </w:t>
            </w:r>
          </w:p>
        </w:tc>
      </w:tr>
      <w:tr w:rsidR="005A52FA" w:rsidRPr="006735F6" w14:paraId="6C409B61" w14:textId="77777777" w:rsidTr="005A52FA">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hideMark/>
          </w:tcPr>
          <w:p w14:paraId="7BAD51CD" w14:textId="414B0C06" w:rsidR="005A52FA" w:rsidRPr="006735F6" w:rsidRDefault="005A52FA" w:rsidP="005A52FA">
            <w:pPr>
              <w:jc w:val="left"/>
              <w:rPr>
                <w:sz w:val="18"/>
                <w:szCs w:val="18"/>
                <w:lang w:val="fr-CA" w:eastAsia="en-CA"/>
              </w:rPr>
            </w:pPr>
            <w:r>
              <w:rPr>
                <w:sz w:val="18"/>
                <w:szCs w:val="18"/>
                <w:lang w:val="fr-CA" w:eastAsia="en-CA"/>
              </w:rPr>
              <w:t>Afrique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328308A" w14:textId="5251A3AD" w:rsidR="005A52FA" w:rsidRPr="006735F6" w:rsidRDefault="005A52FA" w:rsidP="005A52FA">
            <w:pPr>
              <w:jc w:val="right"/>
              <w:rPr>
                <w:sz w:val="18"/>
                <w:szCs w:val="18"/>
                <w:lang w:val="fr-CA" w:eastAsia="en-CA"/>
              </w:rPr>
            </w:pPr>
            <w:r w:rsidRPr="006735F6">
              <w:rPr>
                <w:sz w:val="18"/>
                <w:szCs w:val="18"/>
                <w:lang w:val="fr-CA" w:eastAsia="en-CA"/>
              </w:rPr>
              <w:t>1</w:t>
            </w:r>
            <w:r>
              <w:rPr>
                <w:sz w:val="18"/>
                <w:szCs w:val="18"/>
                <w:lang w:val="fr-CA" w:eastAsia="en-CA"/>
              </w:rPr>
              <w:t xml:space="preserve"> </w:t>
            </w:r>
            <w:r w:rsidRPr="006735F6">
              <w:rPr>
                <w:sz w:val="18"/>
                <w:szCs w:val="18"/>
                <w:lang w:val="fr-CA" w:eastAsia="en-CA"/>
              </w:rPr>
              <w:t>014</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77DAFCC4" w14:textId="1B7F906D" w:rsidR="005A52FA" w:rsidRPr="006735F6" w:rsidRDefault="005A52FA" w:rsidP="005A52FA">
            <w:pPr>
              <w:jc w:val="right"/>
              <w:rPr>
                <w:sz w:val="18"/>
                <w:szCs w:val="18"/>
                <w:lang w:val="fr-CA" w:eastAsia="en-CA"/>
              </w:rPr>
            </w:pPr>
            <w:r w:rsidRPr="006735F6">
              <w:rPr>
                <w:sz w:val="18"/>
                <w:szCs w:val="18"/>
                <w:lang w:val="fr-CA" w:eastAsia="en-CA"/>
              </w:rPr>
              <w:t>87</w:t>
            </w:r>
            <w:r>
              <w:rPr>
                <w:sz w:val="18"/>
                <w:szCs w:val="18"/>
                <w:lang w:val="fr-CA" w:eastAsia="en-CA"/>
              </w:rPr>
              <w:t xml:space="preserve"> </w:t>
            </w:r>
            <w:r w:rsidRPr="006735F6">
              <w:rPr>
                <w:sz w:val="18"/>
                <w:szCs w:val="18"/>
                <w:lang w:val="fr-CA" w:eastAsia="en-CA"/>
              </w:rPr>
              <w:t>524</w:t>
            </w:r>
            <w:r>
              <w:rPr>
                <w:sz w:val="18"/>
                <w:szCs w:val="18"/>
                <w:lang w:val="fr-CA" w:eastAsia="en-CA"/>
              </w:rPr>
              <w:t xml:space="preserve"> </w:t>
            </w:r>
            <w:r w:rsidRPr="006735F6">
              <w:rPr>
                <w:sz w:val="18"/>
                <w:szCs w:val="18"/>
                <w:lang w:val="fr-CA" w:eastAsia="en-CA"/>
              </w:rPr>
              <w:t>624</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271FD4DB" w14:textId="5EE49B60" w:rsidR="005A52FA" w:rsidRPr="006735F6" w:rsidRDefault="005A52FA" w:rsidP="005A52FA">
            <w:pPr>
              <w:jc w:val="right"/>
              <w:rPr>
                <w:sz w:val="18"/>
                <w:szCs w:val="18"/>
                <w:lang w:val="fr-CA" w:eastAsia="en-CA"/>
              </w:rPr>
            </w:pPr>
            <w:r w:rsidRPr="006735F6">
              <w:rPr>
                <w:sz w:val="18"/>
                <w:szCs w:val="18"/>
                <w:lang w:val="fr-CA" w:eastAsia="en-CA"/>
              </w:rPr>
              <w:t>99</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358D89" w14:textId="77777777" w:rsidR="005A52FA" w:rsidRPr="006735F6" w:rsidRDefault="005A52FA" w:rsidP="005A52FA">
            <w:pPr>
              <w:jc w:val="right"/>
              <w:rPr>
                <w:sz w:val="18"/>
                <w:szCs w:val="18"/>
                <w:lang w:val="fr-CA" w:eastAsia="en-CA"/>
              </w:rPr>
            </w:pPr>
            <w:r w:rsidRPr="006735F6">
              <w:rPr>
                <w:sz w:val="18"/>
                <w:szCs w:val="18"/>
                <w:lang w:val="fr-CA" w:eastAsia="en-CA"/>
              </w:rPr>
              <w:t>11</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2083682F" w14:textId="77777777" w:rsidR="005A52FA" w:rsidRPr="006735F6" w:rsidRDefault="005A52FA" w:rsidP="005A52FA">
            <w:pPr>
              <w:jc w:val="right"/>
              <w:rPr>
                <w:sz w:val="18"/>
                <w:szCs w:val="18"/>
                <w:lang w:val="fr-CA" w:eastAsia="en-CA"/>
              </w:rPr>
            </w:pPr>
            <w:r w:rsidRPr="006735F6">
              <w:rPr>
                <w:sz w:val="18"/>
                <w:szCs w:val="18"/>
                <w:lang w:val="fr-CA" w:eastAsia="en-CA"/>
              </w:rPr>
              <w:t>38</w:t>
            </w:r>
          </w:p>
        </w:tc>
      </w:tr>
      <w:tr w:rsidR="005A52FA" w:rsidRPr="006735F6" w14:paraId="718FCC5B"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0595BCF2" w14:textId="1B7F8488" w:rsidR="005A52FA" w:rsidRPr="006735F6" w:rsidRDefault="005A52FA" w:rsidP="005A52FA">
            <w:pPr>
              <w:jc w:val="left"/>
              <w:rPr>
                <w:sz w:val="18"/>
                <w:szCs w:val="18"/>
                <w:lang w:val="fr-CA" w:eastAsia="en-CA"/>
              </w:rPr>
            </w:pPr>
            <w:r>
              <w:rPr>
                <w:sz w:val="18"/>
                <w:szCs w:val="18"/>
                <w:lang w:val="fr-CA" w:eastAsia="en-CA"/>
              </w:rPr>
              <w:t>Asie et Pacifique</w:t>
            </w:r>
          </w:p>
        </w:tc>
        <w:tc>
          <w:tcPr>
            <w:tcW w:w="1120" w:type="dxa"/>
            <w:tcBorders>
              <w:top w:val="nil"/>
              <w:left w:val="nil"/>
              <w:bottom w:val="single" w:sz="4" w:space="0" w:color="auto"/>
              <w:right w:val="single" w:sz="4" w:space="0" w:color="auto"/>
            </w:tcBorders>
            <w:shd w:val="clear" w:color="auto" w:fill="auto"/>
            <w:noWrap/>
            <w:vAlign w:val="bottom"/>
            <w:hideMark/>
          </w:tcPr>
          <w:p w14:paraId="5C7E482F" w14:textId="7C71F125" w:rsidR="005A52FA" w:rsidRPr="006735F6" w:rsidRDefault="005A52FA" w:rsidP="005A52FA">
            <w:pPr>
              <w:jc w:val="right"/>
              <w:rPr>
                <w:sz w:val="18"/>
                <w:szCs w:val="18"/>
                <w:lang w:val="fr-CA" w:eastAsia="en-CA"/>
              </w:rPr>
            </w:pPr>
            <w:r w:rsidRPr="006735F6">
              <w:rPr>
                <w:sz w:val="18"/>
                <w:szCs w:val="18"/>
                <w:lang w:val="fr-CA" w:eastAsia="en-CA"/>
              </w:rPr>
              <w:t>1</w:t>
            </w:r>
            <w:r>
              <w:rPr>
                <w:sz w:val="18"/>
                <w:szCs w:val="18"/>
                <w:lang w:val="fr-CA" w:eastAsia="en-CA"/>
              </w:rPr>
              <w:t xml:space="preserve"> </w:t>
            </w:r>
            <w:r w:rsidRPr="006735F6">
              <w:rPr>
                <w:sz w:val="18"/>
                <w:szCs w:val="18"/>
                <w:lang w:val="fr-CA" w:eastAsia="en-CA"/>
              </w:rPr>
              <w:t>003</w:t>
            </w:r>
          </w:p>
        </w:tc>
        <w:tc>
          <w:tcPr>
            <w:tcW w:w="1422" w:type="dxa"/>
            <w:tcBorders>
              <w:top w:val="nil"/>
              <w:left w:val="nil"/>
              <w:bottom w:val="single" w:sz="4" w:space="0" w:color="auto"/>
              <w:right w:val="single" w:sz="4" w:space="0" w:color="auto"/>
            </w:tcBorders>
            <w:shd w:val="clear" w:color="auto" w:fill="auto"/>
            <w:noWrap/>
            <w:vAlign w:val="bottom"/>
            <w:hideMark/>
          </w:tcPr>
          <w:p w14:paraId="73A41CB8" w14:textId="73AE3301" w:rsidR="005A52FA" w:rsidRPr="006735F6" w:rsidRDefault="005A52FA" w:rsidP="005A52FA">
            <w:pPr>
              <w:jc w:val="right"/>
              <w:rPr>
                <w:sz w:val="18"/>
                <w:szCs w:val="18"/>
                <w:lang w:val="fr-CA" w:eastAsia="en-CA"/>
              </w:rPr>
            </w:pPr>
            <w:r w:rsidRPr="006735F6">
              <w:rPr>
                <w:sz w:val="18"/>
                <w:szCs w:val="18"/>
                <w:lang w:val="fr-CA" w:eastAsia="en-CA"/>
              </w:rPr>
              <w:t>150</w:t>
            </w:r>
            <w:r>
              <w:rPr>
                <w:sz w:val="18"/>
                <w:szCs w:val="18"/>
                <w:lang w:val="fr-CA" w:eastAsia="en-CA"/>
              </w:rPr>
              <w:t xml:space="preserve"> </w:t>
            </w:r>
            <w:r w:rsidRPr="006735F6">
              <w:rPr>
                <w:sz w:val="18"/>
                <w:szCs w:val="18"/>
                <w:lang w:val="fr-CA" w:eastAsia="en-CA"/>
              </w:rPr>
              <w:t>297</w:t>
            </w:r>
            <w:r>
              <w:rPr>
                <w:sz w:val="18"/>
                <w:szCs w:val="18"/>
                <w:lang w:val="fr-CA" w:eastAsia="en-CA"/>
              </w:rPr>
              <w:t xml:space="preserve"> </w:t>
            </w:r>
            <w:r w:rsidRPr="006735F6">
              <w:rPr>
                <w:sz w:val="18"/>
                <w:szCs w:val="18"/>
                <w:lang w:val="fr-CA" w:eastAsia="en-CA"/>
              </w:rPr>
              <w:t>520</w:t>
            </w:r>
          </w:p>
        </w:tc>
        <w:tc>
          <w:tcPr>
            <w:tcW w:w="1176" w:type="dxa"/>
            <w:tcBorders>
              <w:top w:val="nil"/>
              <w:left w:val="nil"/>
              <w:bottom w:val="single" w:sz="4" w:space="0" w:color="auto"/>
              <w:right w:val="single" w:sz="4" w:space="0" w:color="auto"/>
            </w:tcBorders>
            <w:shd w:val="clear" w:color="auto" w:fill="auto"/>
            <w:noWrap/>
            <w:vAlign w:val="bottom"/>
            <w:hideMark/>
          </w:tcPr>
          <w:p w14:paraId="79EEC364" w14:textId="0329A51E" w:rsidR="005A52FA" w:rsidRPr="006735F6" w:rsidRDefault="005A52FA" w:rsidP="005A52FA">
            <w:pPr>
              <w:jc w:val="right"/>
              <w:rPr>
                <w:sz w:val="18"/>
                <w:szCs w:val="18"/>
                <w:lang w:val="fr-CA" w:eastAsia="en-CA"/>
              </w:rPr>
            </w:pPr>
            <w:r w:rsidRPr="006735F6">
              <w:rPr>
                <w:sz w:val="18"/>
                <w:szCs w:val="18"/>
                <w:lang w:val="fr-CA"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57CAB99B" w14:textId="77777777" w:rsidR="005A52FA" w:rsidRPr="006735F6" w:rsidRDefault="005A52FA" w:rsidP="005A52FA">
            <w:pPr>
              <w:jc w:val="right"/>
              <w:rPr>
                <w:sz w:val="18"/>
                <w:szCs w:val="18"/>
                <w:lang w:val="fr-CA" w:eastAsia="en-CA"/>
              </w:rPr>
            </w:pPr>
            <w:r w:rsidRPr="006735F6">
              <w:rPr>
                <w:sz w:val="18"/>
                <w:szCs w:val="18"/>
                <w:lang w:val="fr-CA" w:eastAsia="en-CA"/>
              </w:rPr>
              <w:t>13</w:t>
            </w:r>
          </w:p>
        </w:tc>
        <w:tc>
          <w:tcPr>
            <w:tcW w:w="1474" w:type="dxa"/>
            <w:tcBorders>
              <w:top w:val="nil"/>
              <w:left w:val="nil"/>
              <w:bottom w:val="single" w:sz="4" w:space="0" w:color="auto"/>
              <w:right w:val="single" w:sz="4" w:space="0" w:color="auto"/>
            </w:tcBorders>
            <w:shd w:val="clear" w:color="auto" w:fill="auto"/>
            <w:noWrap/>
            <w:vAlign w:val="bottom"/>
            <w:hideMark/>
          </w:tcPr>
          <w:p w14:paraId="173F46E7" w14:textId="77777777" w:rsidR="005A52FA" w:rsidRPr="006735F6" w:rsidRDefault="005A52FA" w:rsidP="005A52FA">
            <w:pPr>
              <w:jc w:val="right"/>
              <w:rPr>
                <w:sz w:val="18"/>
                <w:szCs w:val="18"/>
                <w:lang w:val="fr-CA" w:eastAsia="en-CA"/>
              </w:rPr>
            </w:pPr>
            <w:r w:rsidRPr="006735F6">
              <w:rPr>
                <w:sz w:val="18"/>
                <w:szCs w:val="18"/>
                <w:lang w:val="fr-CA" w:eastAsia="en-CA"/>
              </w:rPr>
              <w:t>40</w:t>
            </w:r>
          </w:p>
        </w:tc>
      </w:tr>
      <w:tr w:rsidR="005A52FA" w:rsidRPr="006735F6" w14:paraId="6EE1CAB3"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349FA0FE" w14:textId="183906B5" w:rsidR="005A52FA" w:rsidRPr="006735F6" w:rsidRDefault="005A52FA" w:rsidP="005A52FA">
            <w:pPr>
              <w:jc w:val="left"/>
              <w:rPr>
                <w:sz w:val="18"/>
                <w:szCs w:val="18"/>
                <w:lang w:val="fr-CA" w:eastAsia="en-CA"/>
              </w:rPr>
            </w:pPr>
            <w:r w:rsidRPr="00EF62E4">
              <w:rPr>
                <w:sz w:val="18"/>
                <w:szCs w:val="18"/>
                <w:lang w:val="fr-CA" w:eastAsia="en-CA"/>
              </w:rPr>
              <w:t>Europe</w:t>
            </w:r>
          </w:p>
        </w:tc>
        <w:tc>
          <w:tcPr>
            <w:tcW w:w="1120" w:type="dxa"/>
            <w:tcBorders>
              <w:top w:val="nil"/>
              <w:left w:val="nil"/>
              <w:bottom w:val="single" w:sz="4" w:space="0" w:color="auto"/>
              <w:right w:val="single" w:sz="4" w:space="0" w:color="auto"/>
            </w:tcBorders>
            <w:shd w:val="clear" w:color="auto" w:fill="auto"/>
            <w:noWrap/>
            <w:vAlign w:val="bottom"/>
            <w:hideMark/>
          </w:tcPr>
          <w:p w14:paraId="6AEFF355" w14:textId="77777777" w:rsidR="005A52FA" w:rsidRPr="006735F6" w:rsidRDefault="005A52FA" w:rsidP="005A52FA">
            <w:pPr>
              <w:jc w:val="right"/>
              <w:rPr>
                <w:sz w:val="18"/>
                <w:szCs w:val="18"/>
                <w:lang w:val="fr-CA" w:eastAsia="en-CA"/>
              </w:rPr>
            </w:pPr>
            <w:r w:rsidRPr="006735F6">
              <w:rPr>
                <w:sz w:val="18"/>
                <w:szCs w:val="18"/>
                <w:lang w:val="fr-CA" w:eastAsia="en-CA"/>
              </w:rPr>
              <w:t>219</w:t>
            </w:r>
          </w:p>
        </w:tc>
        <w:tc>
          <w:tcPr>
            <w:tcW w:w="1422" w:type="dxa"/>
            <w:tcBorders>
              <w:top w:val="nil"/>
              <w:left w:val="nil"/>
              <w:bottom w:val="single" w:sz="4" w:space="0" w:color="auto"/>
              <w:right w:val="single" w:sz="4" w:space="0" w:color="auto"/>
            </w:tcBorders>
            <w:shd w:val="clear" w:color="auto" w:fill="auto"/>
            <w:noWrap/>
            <w:vAlign w:val="bottom"/>
            <w:hideMark/>
          </w:tcPr>
          <w:p w14:paraId="1256F386" w14:textId="3C00B97F" w:rsidR="005A52FA" w:rsidRPr="006735F6" w:rsidRDefault="005A52FA" w:rsidP="005A52FA">
            <w:pPr>
              <w:jc w:val="right"/>
              <w:rPr>
                <w:sz w:val="18"/>
                <w:szCs w:val="18"/>
                <w:lang w:val="fr-CA" w:eastAsia="en-CA"/>
              </w:rPr>
            </w:pPr>
            <w:r w:rsidRPr="006735F6">
              <w:rPr>
                <w:sz w:val="18"/>
                <w:szCs w:val="18"/>
                <w:lang w:val="fr-CA" w:eastAsia="en-CA"/>
              </w:rPr>
              <w:t>20</w:t>
            </w:r>
            <w:r>
              <w:rPr>
                <w:sz w:val="18"/>
                <w:szCs w:val="18"/>
                <w:lang w:val="fr-CA" w:eastAsia="en-CA"/>
              </w:rPr>
              <w:t xml:space="preserve"> </w:t>
            </w:r>
            <w:r w:rsidRPr="006735F6">
              <w:rPr>
                <w:sz w:val="18"/>
                <w:szCs w:val="18"/>
                <w:lang w:val="fr-CA" w:eastAsia="en-CA"/>
              </w:rPr>
              <w:t>783</w:t>
            </w:r>
            <w:r>
              <w:rPr>
                <w:sz w:val="18"/>
                <w:szCs w:val="18"/>
                <w:lang w:val="fr-CA" w:eastAsia="en-CA"/>
              </w:rPr>
              <w:t xml:space="preserve"> </w:t>
            </w:r>
            <w:r w:rsidRPr="006735F6">
              <w:rPr>
                <w:sz w:val="18"/>
                <w:szCs w:val="18"/>
                <w:lang w:val="fr-CA" w:eastAsia="en-CA"/>
              </w:rPr>
              <w:t>266</w:t>
            </w:r>
          </w:p>
        </w:tc>
        <w:tc>
          <w:tcPr>
            <w:tcW w:w="1176" w:type="dxa"/>
            <w:tcBorders>
              <w:top w:val="nil"/>
              <w:left w:val="nil"/>
              <w:bottom w:val="single" w:sz="4" w:space="0" w:color="auto"/>
              <w:right w:val="single" w:sz="4" w:space="0" w:color="auto"/>
            </w:tcBorders>
            <w:shd w:val="clear" w:color="auto" w:fill="auto"/>
            <w:noWrap/>
            <w:vAlign w:val="bottom"/>
            <w:hideMark/>
          </w:tcPr>
          <w:p w14:paraId="2CC92808" w14:textId="6FB0314F" w:rsidR="005A52FA" w:rsidRPr="006735F6" w:rsidRDefault="005A52FA" w:rsidP="005A52FA">
            <w:pPr>
              <w:jc w:val="right"/>
              <w:rPr>
                <w:sz w:val="18"/>
                <w:szCs w:val="18"/>
                <w:lang w:val="fr-CA" w:eastAsia="en-CA"/>
              </w:rPr>
            </w:pPr>
            <w:r w:rsidRPr="006735F6">
              <w:rPr>
                <w:sz w:val="18"/>
                <w:szCs w:val="18"/>
                <w:lang w:val="fr-CA"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C119844" w14:textId="77777777" w:rsidR="005A52FA" w:rsidRPr="006735F6" w:rsidRDefault="005A52FA" w:rsidP="005A52FA">
            <w:pPr>
              <w:jc w:val="right"/>
              <w:rPr>
                <w:sz w:val="18"/>
                <w:szCs w:val="18"/>
                <w:lang w:val="fr-CA" w:eastAsia="en-CA"/>
              </w:rPr>
            </w:pPr>
            <w:r w:rsidRPr="006735F6">
              <w:rPr>
                <w:sz w:val="18"/>
                <w:szCs w:val="18"/>
                <w:lang w:val="fr-CA" w:eastAsia="en-CA"/>
              </w:rPr>
              <w:t>9</w:t>
            </w:r>
          </w:p>
        </w:tc>
        <w:tc>
          <w:tcPr>
            <w:tcW w:w="1474" w:type="dxa"/>
            <w:tcBorders>
              <w:top w:val="nil"/>
              <w:left w:val="nil"/>
              <w:bottom w:val="single" w:sz="4" w:space="0" w:color="auto"/>
              <w:right w:val="single" w:sz="4" w:space="0" w:color="auto"/>
            </w:tcBorders>
            <w:shd w:val="clear" w:color="auto" w:fill="auto"/>
            <w:noWrap/>
            <w:vAlign w:val="bottom"/>
            <w:hideMark/>
          </w:tcPr>
          <w:p w14:paraId="0A0B4EFC" w14:textId="77777777" w:rsidR="005A52FA" w:rsidRPr="006735F6" w:rsidRDefault="005A52FA" w:rsidP="005A52FA">
            <w:pPr>
              <w:jc w:val="right"/>
              <w:rPr>
                <w:sz w:val="18"/>
                <w:szCs w:val="18"/>
                <w:lang w:val="fr-CA" w:eastAsia="en-CA"/>
              </w:rPr>
            </w:pPr>
            <w:r w:rsidRPr="006735F6">
              <w:rPr>
                <w:sz w:val="18"/>
                <w:szCs w:val="18"/>
                <w:lang w:val="fr-CA" w:eastAsia="en-CA"/>
              </w:rPr>
              <w:t>33</w:t>
            </w:r>
          </w:p>
        </w:tc>
      </w:tr>
      <w:tr w:rsidR="005A52FA" w:rsidRPr="006735F6" w14:paraId="4B3B2B43"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672A14DC" w14:textId="78F952C7" w:rsidR="005A52FA" w:rsidRPr="006735F6" w:rsidRDefault="005A52FA" w:rsidP="005A52FA">
            <w:pPr>
              <w:jc w:val="left"/>
              <w:rPr>
                <w:sz w:val="18"/>
                <w:szCs w:val="18"/>
                <w:lang w:val="fr-CA" w:eastAsia="en-CA"/>
              </w:rPr>
            </w:pPr>
            <w:r>
              <w:rPr>
                <w:sz w:val="18"/>
                <w:szCs w:val="18"/>
                <w:lang w:val="fr-CA" w:eastAsia="en-CA"/>
              </w:rPr>
              <w:lastRenderedPageBreak/>
              <w:t>Amérique latine et Caraïbes</w:t>
            </w:r>
          </w:p>
        </w:tc>
        <w:tc>
          <w:tcPr>
            <w:tcW w:w="1120" w:type="dxa"/>
            <w:tcBorders>
              <w:top w:val="nil"/>
              <w:left w:val="nil"/>
              <w:bottom w:val="single" w:sz="4" w:space="0" w:color="auto"/>
              <w:right w:val="single" w:sz="4" w:space="0" w:color="auto"/>
            </w:tcBorders>
            <w:shd w:val="clear" w:color="auto" w:fill="auto"/>
            <w:noWrap/>
            <w:vAlign w:val="bottom"/>
            <w:hideMark/>
          </w:tcPr>
          <w:p w14:paraId="546F220C" w14:textId="77777777" w:rsidR="005A52FA" w:rsidRPr="006735F6" w:rsidRDefault="005A52FA" w:rsidP="005A52FA">
            <w:pPr>
              <w:jc w:val="right"/>
              <w:rPr>
                <w:sz w:val="18"/>
                <w:szCs w:val="18"/>
                <w:lang w:val="fr-CA" w:eastAsia="en-CA"/>
              </w:rPr>
            </w:pPr>
            <w:r w:rsidRPr="006735F6">
              <w:rPr>
                <w:sz w:val="18"/>
                <w:szCs w:val="18"/>
                <w:lang w:val="fr-CA" w:eastAsia="en-CA"/>
              </w:rPr>
              <w:t>794</w:t>
            </w:r>
          </w:p>
        </w:tc>
        <w:tc>
          <w:tcPr>
            <w:tcW w:w="1422" w:type="dxa"/>
            <w:tcBorders>
              <w:top w:val="nil"/>
              <w:left w:val="nil"/>
              <w:bottom w:val="single" w:sz="4" w:space="0" w:color="auto"/>
              <w:right w:val="single" w:sz="4" w:space="0" w:color="auto"/>
            </w:tcBorders>
            <w:shd w:val="clear" w:color="auto" w:fill="auto"/>
            <w:noWrap/>
            <w:vAlign w:val="bottom"/>
            <w:hideMark/>
          </w:tcPr>
          <w:p w14:paraId="467A164D" w14:textId="4DFFD7EB" w:rsidR="005A52FA" w:rsidRPr="006735F6" w:rsidRDefault="005A52FA" w:rsidP="005A52FA">
            <w:pPr>
              <w:jc w:val="right"/>
              <w:rPr>
                <w:sz w:val="18"/>
                <w:szCs w:val="18"/>
                <w:lang w:val="fr-CA" w:eastAsia="en-CA"/>
              </w:rPr>
            </w:pPr>
            <w:r w:rsidRPr="006735F6">
              <w:rPr>
                <w:sz w:val="18"/>
                <w:szCs w:val="18"/>
                <w:lang w:val="fr-CA" w:eastAsia="en-CA"/>
              </w:rPr>
              <w:t>93</w:t>
            </w:r>
            <w:r>
              <w:rPr>
                <w:sz w:val="18"/>
                <w:szCs w:val="18"/>
                <w:lang w:val="fr-CA" w:eastAsia="en-CA"/>
              </w:rPr>
              <w:t xml:space="preserve"> </w:t>
            </w:r>
            <w:r w:rsidRPr="006735F6">
              <w:rPr>
                <w:sz w:val="18"/>
                <w:szCs w:val="18"/>
                <w:lang w:val="fr-CA" w:eastAsia="en-CA"/>
              </w:rPr>
              <w:t>971</w:t>
            </w:r>
            <w:r>
              <w:rPr>
                <w:sz w:val="18"/>
                <w:szCs w:val="18"/>
                <w:lang w:val="fr-CA" w:eastAsia="en-CA"/>
              </w:rPr>
              <w:t xml:space="preserve"> </w:t>
            </w:r>
            <w:r w:rsidRPr="006735F6">
              <w:rPr>
                <w:sz w:val="18"/>
                <w:szCs w:val="18"/>
                <w:lang w:val="fr-CA" w:eastAsia="en-CA"/>
              </w:rPr>
              <w:t>221</w:t>
            </w:r>
          </w:p>
        </w:tc>
        <w:tc>
          <w:tcPr>
            <w:tcW w:w="1176" w:type="dxa"/>
            <w:tcBorders>
              <w:top w:val="nil"/>
              <w:left w:val="nil"/>
              <w:bottom w:val="single" w:sz="4" w:space="0" w:color="auto"/>
              <w:right w:val="single" w:sz="4" w:space="0" w:color="auto"/>
            </w:tcBorders>
            <w:shd w:val="clear" w:color="auto" w:fill="auto"/>
            <w:noWrap/>
            <w:vAlign w:val="bottom"/>
            <w:hideMark/>
          </w:tcPr>
          <w:p w14:paraId="54B6700C" w14:textId="5560937E" w:rsidR="005A52FA" w:rsidRPr="006735F6" w:rsidRDefault="005A52FA" w:rsidP="005A52FA">
            <w:pPr>
              <w:jc w:val="right"/>
              <w:rPr>
                <w:sz w:val="18"/>
                <w:szCs w:val="18"/>
                <w:lang w:val="fr-CA" w:eastAsia="en-CA"/>
              </w:rPr>
            </w:pPr>
            <w:r w:rsidRPr="006735F6">
              <w:rPr>
                <w:sz w:val="18"/>
                <w:szCs w:val="18"/>
                <w:lang w:val="fr-CA"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75F561A9" w14:textId="77777777" w:rsidR="005A52FA" w:rsidRPr="006735F6" w:rsidRDefault="005A52FA" w:rsidP="005A52FA">
            <w:pPr>
              <w:jc w:val="right"/>
              <w:rPr>
                <w:sz w:val="18"/>
                <w:szCs w:val="18"/>
                <w:lang w:val="fr-CA" w:eastAsia="en-CA"/>
              </w:rPr>
            </w:pPr>
            <w:r w:rsidRPr="006735F6">
              <w:rPr>
                <w:sz w:val="18"/>
                <w:szCs w:val="18"/>
                <w:lang w:val="fr-CA" w:eastAsia="en-CA"/>
              </w:rPr>
              <w:t>13</w:t>
            </w:r>
          </w:p>
        </w:tc>
        <w:tc>
          <w:tcPr>
            <w:tcW w:w="1474" w:type="dxa"/>
            <w:tcBorders>
              <w:top w:val="nil"/>
              <w:left w:val="nil"/>
              <w:bottom w:val="single" w:sz="4" w:space="0" w:color="auto"/>
              <w:right w:val="single" w:sz="4" w:space="0" w:color="auto"/>
            </w:tcBorders>
            <w:shd w:val="clear" w:color="auto" w:fill="auto"/>
            <w:noWrap/>
            <w:vAlign w:val="bottom"/>
            <w:hideMark/>
          </w:tcPr>
          <w:p w14:paraId="61B08069" w14:textId="77777777" w:rsidR="005A52FA" w:rsidRPr="006735F6" w:rsidRDefault="005A52FA" w:rsidP="005A52FA">
            <w:pPr>
              <w:jc w:val="right"/>
              <w:rPr>
                <w:sz w:val="18"/>
                <w:szCs w:val="18"/>
                <w:lang w:val="fr-CA" w:eastAsia="en-CA"/>
              </w:rPr>
            </w:pPr>
            <w:r w:rsidRPr="006735F6">
              <w:rPr>
                <w:sz w:val="18"/>
                <w:szCs w:val="18"/>
                <w:lang w:val="fr-CA" w:eastAsia="en-CA"/>
              </w:rPr>
              <w:t>41</w:t>
            </w:r>
          </w:p>
        </w:tc>
      </w:tr>
      <w:tr w:rsidR="005A52FA" w:rsidRPr="006735F6" w14:paraId="60F5953D"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0D5CA5F6" w14:textId="77777777" w:rsidR="005A52FA" w:rsidRDefault="005A52FA" w:rsidP="005A52FA">
            <w:pPr>
              <w:jc w:val="left"/>
              <w:rPr>
                <w:sz w:val="18"/>
                <w:szCs w:val="18"/>
                <w:lang w:val="fr-CA" w:eastAsia="en-CA"/>
              </w:rPr>
            </w:pPr>
            <w:r>
              <w:rPr>
                <w:sz w:val="18"/>
                <w:szCs w:val="18"/>
                <w:lang w:val="fr-CA" w:eastAsia="en-CA"/>
              </w:rPr>
              <w:t>Mondial</w:t>
            </w:r>
          </w:p>
          <w:p w14:paraId="37F7917E" w14:textId="0FE989EB" w:rsidR="005A52FA" w:rsidRPr="006735F6" w:rsidRDefault="005A52FA" w:rsidP="005A52FA">
            <w:pPr>
              <w:jc w:val="left"/>
              <w:rPr>
                <w:sz w:val="18"/>
                <w:szCs w:val="18"/>
                <w:lang w:val="fr-CA" w:eastAsia="en-CA"/>
              </w:rPr>
            </w:pPr>
          </w:p>
        </w:tc>
        <w:tc>
          <w:tcPr>
            <w:tcW w:w="1120" w:type="dxa"/>
            <w:tcBorders>
              <w:top w:val="nil"/>
              <w:left w:val="nil"/>
              <w:bottom w:val="single" w:sz="4" w:space="0" w:color="auto"/>
              <w:right w:val="single" w:sz="4" w:space="0" w:color="auto"/>
            </w:tcBorders>
            <w:shd w:val="clear" w:color="auto" w:fill="auto"/>
            <w:noWrap/>
            <w:vAlign w:val="bottom"/>
            <w:hideMark/>
          </w:tcPr>
          <w:p w14:paraId="2F9554AF" w14:textId="77777777" w:rsidR="005A52FA" w:rsidRPr="006735F6" w:rsidRDefault="005A52FA" w:rsidP="005A52FA">
            <w:pPr>
              <w:jc w:val="right"/>
              <w:rPr>
                <w:sz w:val="18"/>
                <w:szCs w:val="18"/>
                <w:lang w:val="fr-CA" w:eastAsia="en-CA"/>
              </w:rPr>
            </w:pPr>
            <w:r w:rsidRPr="006735F6">
              <w:rPr>
                <w:sz w:val="18"/>
                <w:szCs w:val="18"/>
                <w:lang w:val="fr-CA" w:eastAsia="en-CA"/>
              </w:rPr>
              <w:t>310</w:t>
            </w:r>
          </w:p>
        </w:tc>
        <w:tc>
          <w:tcPr>
            <w:tcW w:w="1422" w:type="dxa"/>
            <w:tcBorders>
              <w:top w:val="nil"/>
              <w:left w:val="nil"/>
              <w:bottom w:val="single" w:sz="4" w:space="0" w:color="auto"/>
              <w:right w:val="single" w:sz="4" w:space="0" w:color="auto"/>
            </w:tcBorders>
            <w:shd w:val="clear" w:color="auto" w:fill="auto"/>
            <w:noWrap/>
            <w:vAlign w:val="bottom"/>
            <w:hideMark/>
          </w:tcPr>
          <w:p w14:paraId="0EDE831C" w14:textId="12777725" w:rsidR="005A52FA" w:rsidRPr="006735F6" w:rsidRDefault="005A52FA" w:rsidP="005A52FA">
            <w:pPr>
              <w:jc w:val="right"/>
              <w:rPr>
                <w:sz w:val="18"/>
                <w:szCs w:val="18"/>
                <w:lang w:val="fr-CA" w:eastAsia="en-CA"/>
              </w:rPr>
            </w:pPr>
            <w:r w:rsidRPr="006735F6">
              <w:rPr>
                <w:sz w:val="18"/>
                <w:szCs w:val="18"/>
                <w:lang w:val="fr-CA" w:eastAsia="en-CA"/>
              </w:rPr>
              <w:t>174</w:t>
            </w:r>
            <w:r>
              <w:rPr>
                <w:sz w:val="18"/>
                <w:szCs w:val="18"/>
                <w:lang w:val="fr-CA" w:eastAsia="en-CA"/>
              </w:rPr>
              <w:t xml:space="preserve"> </w:t>
            </w:r>
            <w:r w:rsidRPr="006735F6">
              <w:rPr>
                <w:sz w:val="18"/>
                <w:szCs w:val="18"/>
                <w:lang w:val="fr-CA" w:eastAsia="en-CA"/>
              </w:rPr>
              <w:t>353</w:t>
            </w:r>
            <w:r>
              <w:rPr>
                <w:sz w:val="18"/>
                <w:szCs w:val="18"/>
                <w:lang w:val="fr-CA" w:eastAsia="en-CA"/>
              </w:rPr>
              <w:t xml:space="preserve"> </w:t>
            </w:r>
            <w:r w:rsidRPr="006735F6">
              <w:rPr>
                <w:sz w:val="18"/>
                <w:szCs w:val="18"/>
                <w:lang w:val="fr-CA" w:eastAsia="en-CA"/>
              </w:rPr>
              <w:t>862</w:t>
            </w:r>
          </w:p>
        </w:tc>
        <w:tc>
          <w:tcPr>
            <w:tcW w:w="1176" w:type="dxa"/>
            <w:tcBorders>
              <w:top w:val="nil"/>
              <w:left w:val="nil"/>
              <w:bottom w:val="single" w:sz="4" w:space="0" w:color="auto"/>
              <w:right w:val="single" w:sz="4" w:space="0" w:color="auto"/>
            </w:tcBorders>
            <w:shd w:val="clear" w:color="auto" w:fill="auto"/>
            <w:noWrap/>
            <w:vAlign w:val="bottom"/>
            <w:hideMark/>
          </w:tcPr>
          <w:p w14:paraId="0958923B" w14:textId="750739FD" w:rsidR="005A52FA" w:rsidRPr="006735F6" w:rsidRDefault="005A52FA" w:rsidP="005A52FA">
            <w:pPr>
              <w:jc w:val="right"/>
              <w:rPr>
                <w:sz w:val="18"/>
                <w:szCs w:val="18"/>
                <w:lang w:val="fr-CA" w:eastAsia="en-CA"/>
              </w:rPr>
            </w:pPr>
            <w:r w:rsidRPr="006735F6">
              <w:rPr>
                <w:sz w:val="18"/>
                <w:szCs w:val="18"/>
                <w:lang w:val="fr-CA" w:eastAsia="en-CA"/>
              </w:rPr>
              <w:t>97</w:t>
            </w:r>
          </w:p>
        </w:tc>
        <w:tc>
          <w:tcPr>
            <w:tcW w:w="1640" w:type="dxa"/>
            <w:tcBorders>
              <w:top w:val="nil"/>
              <w:left w:val="nil"/>
              <w:bottom w:val="single" w:sz="4" w:space="0" w:color="auto"/>
              <w:right w:val="single" w:sz="4" w:space="0" w:color="auto"/>
            </w:tcBorders>
            <w:shd w:val="clear" w:color="auto" w:fill="auto"/>
            <w:noWrap/>
            <w:vAlign w:val="bottom"/>
            <w:hideMark/>
          </w:tcPr>
          <w:p w14:paraId="25EE98BC" w14:textId="77777777" w:rsidR="005A52FA" w:rsidRPr="006735F6" w:rsidRDefault="005A52FA" w:rsidP="005A52FA">
            <w:pPr>
              <w:jc w:val="right"/>
              <w:rPr>
                <w:sz w:val="18"/>
                <w:szCs w:val="18"/>
                <w:lang w:val="fr-CA" w:eastAsia="en-CA"/>
              </w:rPr>
            </w:pPr>
            <w:r w:rsidRPr="006735F6">
              <w:rPr>
                <w:sz w:val="18"/>
                <w:szCs w:val="18"/>
                <w:lang w:val="fr-CA" w:eastAsia="en-CA"/>
              </w:rPr>
              <w:t>6</w:t>
            </w:r>
          </w:p>
        </w:tc>
        <w:tc>
          <w:tcPr>
            <w:tcW w:w="1474" w:type="dxa"/>
            <w:tcBorders>
              <w:top w:val="nil"/>
              <w:left w:val="nil"/>
              <w:bottom w:val="single" w:sz="4" w:space="0" w:color="auto"/>
              <w:right w:val="single" w:sz="4" w:space="0" w:color="auto"/>
            </w:tcBorders>
            <w:shd w:val="clear" w:color="auto" w:fill="auto"/>
            <w:noWrap/>
            <w:vAlign w:val="bottom"/>
            <w:hideMark/>
          </w:tcPr>
          <w:p w14:paraId="4D6619B8" w14:textId="77777777" w:rsidR="005A52FA" w:rsidRPr="006735F6" w:rsidRDefault="005A52FA" w:rsidP="005A52FA">
            <w:pPr>
              <w:jc w:val="right"/>
              <w:rPr>
                <w:sz w:val="18"/>
                <w:szCs w:val="18"/>
                <w:lang w:val="fr-CA" w:eastAsia="en-CA"/>
              </w:rPr>
            </w:pPr>
            <w:r w:rsidRPr="006735F6">
              <w:rPr>
                <w:sz w:val="18"/>
                <w:szCs w:val="18"/>
                <w:lang w:val="fr-CA" w:eastAsia="en-CA"/>
              </w:rPr>
              <w:t>23</w:t>
            </w:r>
          </w:p>
        </w:tc>
      </w:tr>
      <w:tr w:rsidR="005A52FA" w:rsidRPr="006735F6" w14:paraId="76941EB0" w14:textId="77777777" w:rsidTr="005A52FA">
        <w:trPr>
          <w:trHeight w:val="204"/>
        </w:trPr>
        <w:tc>
          <w:tcPr>
            <w:tcW w:w="2840" w:type="dxa"/>
            <w:tcBorders>
              <w:top w:val="nil"/>
              <w:left w:val="single" w:sz="4" w:space="0" w:color="auto"/>
              <w:bottom w:val="nil"/>
              <w:right w:val="nil"/>
            </w:tcBorders>
            <w:shd w:val="clear" w:color="auto" w:fill="auto"/>
            <w:noWrap/>
            <w:vAlign w:val="bottom"/>
            <w:hideMark/>
          </w:tcPr>
          <w:p w14:paraId="486B267E" w14:textId="550639AF" w:rsidR="005A52FA" w:rsidRPr="006735F6" w:rsidRDefault="005A52FA" w:rsidP="005A52FA">
            <w:pPr>
              <w:jc w:val="left"/>
              <w:rPr>
                <w:b/>
                <w:bCs/>
                <w:sz w:val="18"/>
                <w:szCs w:val="18"/>
                <w:lang w:val="fr-CA" w:eastAsia="en-CA"/>
              </w:rPr>
            </w:pPr>
            <w:r>
              <w:rPr>
                <w:b/>
                <w:bCs/>
                <w:sz w:val="18"/>
                <w:szCs w:val="18"/>
                <w:lang w:val="fr-CA" w:eastAsia="en-CA"/>
              </w:rPr>
              <w:t>Secteur</w:t>
            </w:r>
          </w:p>
        </w:tc>
        <w:tc>
          <w:tcPr>
            <w:tcW w:w="1120" w:type="dxa"/>
            <w:tcBorders>
              <w:top w:val="nil"/>
              <w:left w:val="nil"/>
              <w:bottom w:val="nil"/>
              <w:right w:val="nil"/>
            </w:tcBorders>
            <w:shd w:val="clear" w:color="auto" w:fill="auto"/>
            <w:noWrap/>
            <w:vAlign w:val="bottom"/>
            <w:hideMark/>
          </w:tcPr>
          <w:p w14:paraId="51B087BD" w14:textId="77777777" w:rsidR="005A52FA" w:rsidRPr="006735F6" w:rsidRDefault="005A52FA" w:rsidP="005A52FA">
            <w:pPr>
              <w:jc w:val="left"/>
              <w:rPr>
                <w:b/>
                <w:bCs/>
                <w:sz w:val="18"/>
                <w:szCs w:val="18"/>
                <w:lang w:val="fr-CA" w:eastAsia="en-CA"/>
              </w:rPr>
            </w:pPr>
          </w:p>
        </w:tc>
        <w:tc>
          <w:tcPr>
            <w:tcW w:w="1422" w:type="dxa"/>
            <w:tcBorders>
              <w:top w:val="nil"/>
              <w:left w:val="nil"/>
              <w:bottom w:val="nil"/>
              <w:right w:val="nil"/>
            </w:tcBorders>
            <w:shd w:val="clear" w:color="auto" w:fill="auto"/>
            <w:noWrap/>
            <w:vAlign w:val="bottom"/>
            <w:hideMark/>
          </w:tcPr>
          <w:p w14:paraId="7C5440F0" w14:textId="77777777" w:rsidR="005A52FA" w:rsidRPr="006735F6" w:rsidRDefault="005A52FA" w:rsidP="005A52FA">
            <w:pPr>
              <w:jc w:val="left"/>
              <w:rPr>
                <w:sz w:val="18"/>
                <w:szCs w:val="18"/>
                <w:lang w:val="fr-CA" w:eastAsia="en-CA"/>
              </w:rPr>
            </w:pPr>
          </w:p>
        </w:tc>
        <w:tc>
          <w:tcPr>
            <w:tcW w:w="1176" w:type="dxa"/>
            <w:tcBorders>
              <w:top w:val="nil"/>
              <w:left w:val="nil"/>
              <w:bottom w:val="nil"/>
              <w:right w:val="nil"/>
            </w:tcBorders>
            <w:shd w:val="clear" w:color="auto" w:fill="auto"/>
            <w:noWrap/>
            <w:vAlign w:val="bottom"/>
            <w:hideMark/>
          </w:tcPr>
          <w:p w14:paraId="474C2AE0" w14:textId="77777777" w:rsidR="005A52FA" w:rsidRPr="006735F6" w:rsidRDefault="005A52FA" w:rsidP="005A52FA">
            <w:pPr>
              <w:jc w:val="left"/>
              <w:rPr>
                <w:sz w:val="18"/>
                <w:szCs w:val="18"/>
                <w:lang w:val="fr-CA" w:eastAsia="en-CA"/>
              </w:rPr>
            </w:pPr>
          </w:p>
        </w:tc>
        <w:tc>
          <w:tcPr>
            <w:tcW w:w="1640" w:type="dxa"/>
            <w:tcBorders>
              <w:top w:val="nil"/>
              <w:left w:val="nil"/>
              <w:bottom w:val="nil"/>
              <w:right w:val="nil"/>
            </w:tcBorders>
            <w:shd w:val="clear" w:color="auto" w:fill="auto"/>
            <w:noWrap/>
            <w:vAlign w:val="bottom"/>
            <w:hideMark/>
          </w:tcPr>
          <w:p w14:paraId="5015BE99" w14:textId="77777777" w:rsidR="005A52FA" w:rsidRPr="006735F6" w:rsidRDefault="005A52FA" w:rsidP="005A52FA">
            <w:pPr>
              <w:jc w:val="left"/>
              <w:rPr>
                <w:sz w:val="18"/>
                <w:szCs w:val="18"/>
                <w:lang w:val="fr-CA" w:eastAsia="en-CA"/>
              </w:rPr>
            </w:pPr>
          </w:p>
        </w:tc>
        <w:tc>
          <w:tcPr>
            <w:tcW w:w="1474" w:type="dxa"/>
            <w:tcBorders>
              <w:top w:val="nil"/>
              <w:left w:val="nil"/>
              <w:bottom w:val="nil"/>
              <w:right w:val="single" w:sz="4" w:space="0" w:color="auto"/>
            </w:tcBorders>
            <w:shd w:val="clear" w:color="auto" w:fill="auto"/>
            <w:noWrap/>
            <w:vAlign w:val="bottom"/>
            <w:hideMark/>
          </w:tcPr>
          <w:p w14:paraId="6D3DCAA5" w14:textId="77777777" w:rsidR="005A52FA" w:rsidRPr="006735F6" w:rsidRDefault="005A52FA" w:rsidP="005A52FA">
            <w:pPr>
              <w:jc w:val="right"/>
              <w:rPr>
                <w:sz w:val="18"/>
                <w:szCs w:val="18"/>
                <w:lang w:val="fr-CA" w:eastAsia="en-CA"/>
              </w:rPr>
            </w:pPr>
            <w:r w:rsidRPr="006735F6">
              <w:rPr>
                <w:sz w:val="18"/>
                <w:szCs w:val="18"/>
                <w:lang w:val="fr-CA" w:eastAsia="en-CA"/>
              </w:rPr>
              <w:t> </w:t>
            </w:r>
          </w:p>
        </w:tc>
      </w:tr>
      <w:tr w:rsidR="005A52FA" w:rsidRPr="006735F6" w14:paraId="03D5E1E4" w14:textId="77777777" w:rsidTr="005A52FA">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hideMark/>
          </w:tcPr>
          <w:p w14:paraId="2B6A44CB" w14:textId="28712127" w:rsidR="005A52FA" w:rsidRPr="006735F6" w:rsidRDefault="005A52FA" w:rsidP="005A52FA">
            <w:pPr>
              <w:jc w:val="left"/>
              <w:rPr>
                <w:sz w:val="18"/>
                <w:szCs w:val="18"/>
                <w:lang w:val="fr-CA" w:eastAsia="en-CA"/>
              </w:rPr>
            </w:pPr>
            <w:r>
              <w:rPr>
                <w:sz w:val="18"/>
                <w:szCs w:val="18"/>
                <w:lang w:val="fr-CA" w:eastAsia="en-CA"/>
              </w:rPr>
              <w:t>Aérosols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6DDE728" w14:textId="77777777" w:rsidR="005A52FA" w:rsidRPr="006735F6" w:rsidRDefault="005A52FA" w:rsidP="005A52FA">
            <w:pPr>
              <w:jc w:val="right"/>
              <w:rPr>
                <w:sz w:val="18"/>
                <w:szCs w:val="18"/>
                <w:lang w:val="fr-CA" w:eastAsia="en-CA"/>
              </w:rPr>
            </w:pPr>
            <w:r w:rsidRPr="006735F6">
              <w:rPr>
                <w:sz w:val="18"/>
                <w:szCs w:val="18"/>
                <w:lang w:val="fr-CA" w:eastAsia="en-CA"/>
              </w:rPr>
              <w:t>31</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29F9A0FB" w14:textId="6424BA21" w:rsidR="005A52FA" w:rsidRPr="006735F6" w:rsidRDefault="005A52FA" w:rsidP="005A52FA">
            <w:pPr>
              <w:jc w:val="right"/>
              <w:rPr>
                <w:sz w:val="18"/>
                <w:szCs w:val="18"/>
                <w:lang w:val="fr-CA" w:eastAsia="en-CA"/>
              </w:rPr>
            </w:pPr>
            <w:r w:rsidRPr="006735F6">
              <w:rPr>
                <w:sz w:val="18"/>
                <w:szCs w:val="18"/>
                <w:lang w:val="fr-CA" w:eastAsia="en-CA"/>
              </w:rPr>
              <w:t>2</w:t>
            </w:r>
            <w:r>
              <w:rPr>
                <w:sz w:val="18"/>
                <w:szCs w:val="18"/>
                <w:lang w:val="fr-CA" w:eastAsia="en-CA"/>
              </w:rPr>
              <w:t xml:space="preserve"> </w:t>
            </w:r>
            <w:r w:rsidRPr="006735F6">
              <w:rPr>
                <w:sz w:val="18"/>
                <w:szCs w:val="18"/>
                <w:lang w:val="fr-CA" w:eastAsia="en-CA"/>
              </w:rPr>
              <w:t>461</w:t>
            </w:r>
            <w:r>
              <w:rPr>
                <w:sz w:val="18"/>
                <w:szCs w:val="18"/>
                <w:lang w:val="fr-CA" w:eastAsia="en-CA"/>
              </w:rPr>
              <w:t xml:space="preserve"> </w:t>
            </w:r>
            <w:r w:rsidRPr="006735F6">
              <w:rPr>
                <w:sz w:val="18"/>
                <w:szCs w:val="18"/>
                <w:lang w:val="fr-CA" w:eastAsia="en-CA"/>
              </w:rPr>
              <w:t>265</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68A1808B" w14:textId="31488A5C" w:rsidR="005A52FA" w:rsidRPr="006735F6" w:rsidRDefault="005A52FA" w:rsidP="005A52FA">
            <w:pPr>
              <w:jc w:val="right"/>
              <w:rPr>
                <w:sz w:val="18"/>
                <w:szCs w:val="18"/>
                <w:lang w:val="fr-CA" w:eastAsia="en-CA"/>
              </w:rPr>
            </w:pPr>
            <w:r w:rsidRPr="006735F6">
              <w:rPr>
                <w:sz w:val="18"/>
                <w:szCs w:val="18"/>
                <w:lang w:val="fr-CA" w:eastAsia="en-CA"/>
              </w:rPr>
              <w:t>100</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6CD39A7" w14:textId="77777777" w:rsidR="005A52FA" w:rsidRPr="006735F6" w:rsidRDefault="005A52FA" w:rsidP="005A52FA">
            <w:pPr>
              <w:jc w:val="right"/>
              <w:rPr>
                <w:sz w:val="18"/>
                <w:szCs w:val="18"/>
                <w:lang w:val="fr-CA" w:eastAsia="en-CA"/>
              </w:rPr>
            </w:pPr>
            <w:r w:rsidRPr="006735F6">
              <w:rPr>
                <w:sz w:val="18"/>
                <w:szCs w:val="18"/>
                <w:lang w:val="fr-CA" w:eastAsia="en-CA"/>
              </w:rPr>
              <w:t>11</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5A297762" w14:textId="77777777" w:rsidR="005A52FA" w:rsidRPr="006735F6" w:rsidRDefault="005A52FA" w:rsidP="005A52FA">
            <w:pPr>
              <w:jc w:val="right"/>
              <w:rPr>
                <w:sz w:val="18"/>
                <w:szCs w:val="18"/>
                <w:lang w:val="fr-CA" w:eastAsia="en-CA"/>
              </w:rPr>
            </w:pPr>
            <w:r w:rsidRPr="006735F6">
              <w:rPr>
                <w:sz w:val="18"/>
                <w:szCs w:val="18"/>
                <w:lang w:val="fr-CA" w:eastAsia="en-CA"/>
              </w:rPr>
              <w:t>36</w:t>
            </w:r>
          </w:p>
        </w:tc>
      </w:tr>
      <w:tr w:rsidR="005A52FA" w:rsidRPr="006735F6" w14:paraId="2EA8A075"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3F47A1E6" w14:textId="19CD4FEC" w:rsidR="005A52FA" w:rsidRPr="006735F6" w:rsidRDefault="005A52FA" w:rsidP="005A52FA">
            <w:pPr>
              <w:jc w:val="left"/>
              <w:rPr>
                <w:sz w:val="18"/>
                <w:szCs w:val="18"/>
                <w:lang w:val="fr-CA" w:eastAsia="en-CA"/>
              </w:rPr>
            </w:pPr>
            <w:r w:rsidRPr="00EF62E4">
              <w:rPr>
                <w:sz w:val="18"/>
                <w:szCs w:val="18"/>
                <w:lang w:val="fr-CA" w:eastAsia="en-CA"/>
              </w:rPr>
              <w:t>Destruction</w:t>
            </w:r>
          </w:p>
        </w:tc>
        <w:tc>
          <w:tcPr>
            <w:tcW w:w="1120" w:type="dxa"/>
            <w:tcBorders>
              <w:top w:val="nil"/>
              <w:left w:val="nil"/>
              <w:bottom w:val="single" w:sz="4" w:space="0" w:color="auto"/>
              <w:right w:val="single" w:sz="4" w:space="0" w:color="auto"/>
            </w:tcBorders>
            <w:shd w:val="clear" w:color="auto" w:fill="auto"/>
            <w:noWrap/>
            <w:vAlign w:val="bottom"/>
            <w:hideMark/>
          </w:tcPr>
          <w:p w14:paraId="3A1AC5A1" w14:textId="77777777" w:rsidR="005A52FA" w:rsidRPr="006735F6" w:rsidRDefault="005A52FA" w:rsidP="005A52FA">
            <w:pPr>
              <w:jc w:val="right"/>
              <w:rPr>
                <w:sz w:val="18"/>
                <w:szCs w:val="18"/>
                <w:lang w:val="fr-CA" w:eastAsia="en-CA"/>
              </w:rPr>
            </w:pPr>
            <w:r w:rsidRPr="006735F6">
              <w:rPr>
                <w:sz w:val="18"/>
                <w:szCs w:val="18"/>
                <w:lang w:val="fr-CA" w:eastAsia="en-CA"/>
              </w:rPr>
              <w:t>16</w:t>
            </w:r>
          </w:p>
        </w:tc>
        <w:tc>
          <w:tcPr>
            <w:tcW w:w="1422" w:type="dxa"/>
            <w:tcBorders>
              <w:top w:val="nil"/>
              <w:left w:val="nil"/>
              <w:bottom w:val="single" w:sz="4" w:space="0" w:color="auto"/>
              <w:right w:val="single" w:sz="4" w:space="0" w:color="auto"/>
            </w:tcBorders>
            <w:shd w:val="clear" w:color="auto" w:fill="auto"/>
            <w:noWrap/>
            <w:vAlign w:val="bottom"/>
            <w:hideMark/>
          </w:tcPr>
          <w:p w14:paraId="301C797F" w14:textId="45BB1C48" w:rsidR="005A52FA" w:rsidRPr="006735F6" w:rsidRDefault="005A52FA" w:rsidP="005A52FA">
            <w:pPr>
              <w:jc w:val="right"/>
              <w:rPr>
                <w:sz w:val="18"/>
                <w:szCs w:val="18"/>
                <w:lang w:val="fr-CA" w:eastAsia="en-CA"/>
              </w:rPr>
            </w:pPr>
            <w:r w:rsidRPr="006735F6">
              <w:rPr>
                <w:sz w:val="18"/>
                <w:szCs w:val="18"/>
                <w:lang w:val="fr-CA" w:eastAsia="en-CA"/>
              </w:rPr>
              <w:t>7</w:t>
            </w:r>
            <w:r>
              <w:rPr>
                <w:sz w:val="18"/>
                <w:szCs w:val="18"/>
                <w:lang w:val="fr-CA" w:eastAsia="en-CA"/>
              </w:rPr>
              <w:t xml:space="preserve"> </w:t>
            </w:r>
            <w:r w:rsidRPr="006735F6">
              <w:rPr>
                <w:sz w:val="18"/>
                <w:szCs w:val="18"/>
                <w:lang w:val="fr-CA" w:eastAsia="en-CA"/>
              </w:rPr>
              <w:t>205</w:t>
            </w:r>
            <w:r>
              <w:rPr>
                <w:sz w:val="18"/>
                <w:szCs w:val="18"/>
                <w:lang w:val="fr-CA" w:eastAsia="en-CA"/>
              </w:rPr>
              <w:t xml:space="preserve"> </w:t>
            </w:r>
            <w:r w:rsidRPr="006735F6">
              <w:rPr>
                <w:sz w:val="18"/>
                <w:szCs w:val="18"/>
                <w:lang w:val="fr-CA" w:eastAsia="en-CA"/>
              </w:rPr>
              <w:t>265</w:t>
            </w:r>
          </w:p>
        </w:tc>
        <w:tc>
          <w:tcPr>
            <w:tcW w:w="1176" w:type="dxa"/>
            <w:tcBorders>
              <w:top w:val="nil"/>
              <w:left w:val="nil"/>
              <w:bottom w:val="single" w:sz="4" w:space="0" w:color="auto"/>
              <w:right w:val="single" w:sz="4" w:space="0" w:color="auto"/>
            </w:tcBorders>
            <w:shd w:val="clear" w:color="auto" w:fill="auto"/>
            <w:noWrap/>
            <w:vAlign w:val="bottom"/>
            <w:hideMark/>
          </w:tcPr>
          <w:p w14:paraId="4F6DC5F7" w14:textId="46F0B12E" w:rsidR="005A52FA" w:rsidRPr="006735F6" w:rsidRDefault="005A52FA" w:rsidP="005A52FA">
            <w:pPr>
              <w:jc w:val="right"/>
              <w:rPr>
                <w:sz w:val="18"/>
                <w:szCs w:val="18"/>
                <w:lang w:val="fr-CA" w:eastAsia="en-CA"/>
              </w:rPr>
            </w:pPr>
            <w:r w:rsidRPr="006735F6">
              <w:rPr>
                <w:sz w:val="18"/>
                <w:szCs w:val="18"/>
                <w:lang w:val="fr-CA"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415083D9" w14:textId="77777777" w:rsidR="005A52FA" w:rsidRPr="006735F6" w:rsidRDefault="005A52FA" w:rsidP="005A52FA">
            <w:pPr>
              <w:jc w:val="right"/>
              <w:rPr>
                <w:sz w:val="18"/>
                <w:szCs w:val="18"/>
                <w:lang w:val="fr-CA" w:eastAsia="en-CA"/>
              </w:rPr>
            </w:pPr>
            <w:r w:rsidRPr="006735F6">
              <w:rPr>
                <w:sz w:val="18"/>
                <w:szCs w:val="18"/>
                <w:lang w:val="fr-CA" w:eastAsia="en-CA"/>
              </w:rPr>
              <w:t>11</w:t>
            </w:r>
          </w:p>
        </w:tc>
        <w:tc>
          <w:tcPr>
            <w:tcW w:w="1474" w:type="dxa"/>
            <w:tcBorders>
              <w:top w:val="nil"/>
              <w:left w:val="nil"/>
              <w:bottom w:val="single" w:sz="4" w:space="0" w:color="auto"/>
              <w:right w:val="single" w:sz="4" w:space="0" w:color="auto"/>
            </w:tcBorders>
            <w:shd w:val="clear" w:color="auto" w:fill="auto"/>
            <w:noWrap/>
            <w:vAlign w:val="bottom"/>
            <w:hideMark/>
          </w:tcPr>
          <w:p w14:paraId="48DF03FB" w14:textId="77777777" w:rsidR="005A52FA" w:rsidRPr="006735F6" w:rsidRDefault="005A52FA" w:rsidP="005A52FA">
            <w:pPr>
              <w:jc w:val="right"/>
              <w:rPr>
                <w:sz w:val="18"/>
                <w:szCs w:val="18"/>
                <w:lang w:val="fr-CA" w:eastAsia="en-CA"/>
              </w:rPr>
            </w:pPr>
            <w:r w:rsidRPr="006735F6">
              <w:rPr>
                <w:sz w:val="18"/>
                <w:szCs w:val="18"/>
                <w:lang w:val="fr-CA" w:eastAsia="en-CA"/>
              </w:rPr>
              <w:t>63</w:t>
            </w:r>
          </w:p>
        </w:tc>
      </w:tr>
      <w:tr w:rsidR="005A52FA" w:rsidRPr="006735F6" w14:paraId="4086E36E"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16206E0A" w14:textId="668B46C9" w:rsidR="005A52FA" w:rsidRPr="006735F6" w:rsidRDefault="005A52FA" w:rsidP="005A52FA">
            <w:pPr>
              <w:jc w:val="left"/>
              <w:rPr>
                <w:sz w:val="18"/>
                <w:szCs w:val="18"/>
                <w:lang w:val="fr-CA" w:eastAsia="en-CA"/>
              </w:rPr>
            </w:pPr>
            <w:r>
              <w:rPr>
                <w:sz w:val="18"/>
                <w:szCs w:val="18"/>
                <w:lang w:val="fr-CA" w:eastAsia="en-CA"/>
              </w:rPr>
              <w:t>Lutte contre les incendies</w:t>
            </w:r>
          </w:p>
        </w:tc>
        <w:tc>
          <w:tcPr>
            <w:tcW w:w="1120" w:type="dxa"/>
            <w:tcBorders>
              <w:top w:val="nil"/>
              <w:left w:val="nil"/>
              <w:bottom w:val="single" w:sz="4" w:space="0" w:color="auto"/>
              <w:right w:val="single" w:sz="4" w:space="0" w:color="auto"/>
            </w:tcBorders>
            <w:shd w:val="clear" w:color="auto" w:fill="auto"/>
            <w:noWrap/>
            <w:vAlign w:val="bottom"/>
            <w:hideMark/>
          </w:tcPr>
          <w:p w14:paraId="752A3EAF" w14:textId="77777777" w:rsidR="005A52FA" w:rsidRPr="006735F6" w:rsidRDefault="005A52FA" w:rsidP="005A52FA">
            <w:pPr>
              <w:jc w:val="right"/>
              <w:rPr>
                <w:sz w:val="18"/>
                <w:szCs w:val="18"/>
                <w:lang w:val="fr-CA" w:eastAsia="en-CA"/>
              </w:rPr>
            </w:pPr>
            <w:r w:rsidRPr="006735F6">
              <w:rPr>
                <w:sz w:val="18"/>
                <w:szCs w:val="18"/>
                <w:lang w:val="fr-CA" w:eastAsia="en-CA"/>
              </w:rPr>
              <w:t>0</w:t>
            </w:r>
          </w:p>
        </w:tc>
        <w:tc>
          <w:tcPr>
            <w:tcW w:w="1422" w:type="dxa"/>
            <w:tcBorders>
              <w:top w:val="nil"/>
              <w:left w:val="nil"/>
              <w:bottom w:val="single" w:sz="4" w:space="0" w:color="auto"/>
              <w:right w:val="single" w:sz="4" w:space="0" w:color="auto"/>
            </w:tcBorders>
            <w:shd w:val="clear" w:color="auto" w:fill="auto"/>
            <w:noWrap/>
            <w:vAlign w:val="bottom"/>
            <w:hideMark/>
          </w:tcPr>
          <w:p w14:paraId="70B3C398" w14:textId="77777777" w:rsidR="005A52FA" w:rsidRPr="006735F6" w:rsidRDefault="005A52FA" w:rsidP="005A52FA">
            <w:pPr>
              <w:jc w:val="right"/>
              <w:rPr>
                <w:sz w:val="18"/>
                <w:szCs w:val="18"/>
                <w:lang w:val="fr-CA" w:eastAsia="en-CA"/>
              </w:rPr>
            </w:pPr>
            <w:r w:rsidRPr="006735F6">
              <w:rPr>
                <w:sz w:val="18"/>
                <w:szCs w:val="18"/>
                <w:lang w:val="fr-CA" w:eastAsia="en-CA"/>
              </w:rPr>
              <w:t>0</w:t>
            </w:r>
          </w:p>
        </w:tc>
        <w:tc>
          <w:tcPr>
            <w:tcW w:w="1176" w:type="dxa"/>
            <w:tcBorders>
              <w:top w:val="nil"/>
              <w:left w:val="nil"/>
              <w:bottom w:val="single" w:sz="4" w:space="0" w:color="auto"/>
              <w:right w:val="single" w:sz="4" w:space="0" w:color="auto"/>
            </w:tcBorders>
            <w:shd w:val="clear" w:color="auto" w:fill="auto"/>
            <w:noWrap/>
            <w:vAlign w:val="bottom"/>
            <w:hideMark/>
          </w:tcPr>
          <w:p w14:paraId="3B63A085" w14:textId="1ACA0FAC" w:rsidR="005A52FA" w:rsidRPr="006735F6" w:rsidRDefault="005A52FA" w:rsidP="005A52FA">
            <w:pPr>
              <w:jc w:val="right"/>
              <w:rPr>
                <w:sz w:val="18"/>
                <w:szCs w:val="18"/>
                <w:lang w:val="fr-CA" w:eastAsia="en-CA"/>
              </w:rPr>
            </w:pPr>
            <w:r w:rsidRPr="006735F6">
              <w:rPr>
                <w:sz w:val="18"/>
                <w:szCs w:val="18"/>
                <w:lang w:val="fr-CA" w:eastAsia="en-CA"/>
              </w:rPr>
              <w:t>0</w:t>
            </w:r>
          </w:p>
        </w:tc>
        <w:tc>
          <w:tcPr>
            <w:tcW w:w="1640" w:type="dxa"/>
            <w:tcBorders>
              <w:top w:val="nil"/>
              <w:left w:val="nil"/>
              <w:bottom w:val="single" w:sz="4" w:space="0" w:color="auto"/>
              <w:right w:val="single" w:sz="4" w:space="0" w:color="auto"/>
            </w:tcBorders>
            <w:shd w:val="clear" w:color="auto" w:fill="auto"/>
            <w:noWrap/>
            <w:vAlign w:val="bottom"/>
            <w:hideMark/>
          </w:tcPr>
          <w:p w14:paraId="7811E35B" w14:textId="44B946A5" w:rsidR="005A52FA" w:rsidRPr="006735F6" w:rsidRDefault="005A52FA" w:rsidP="005A52FA">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474" w:type="dxa"/>
            <w:tcBorders>
              <w:top w:val="nil"/>
              <w:left w:val="nil"/>
              <w:bottom w:val="single" w:sz="4" w:space="0" w:color="auto"/>
              <w:right w:val="single" w:sz="4" w:space="0" w:color="auto"/>
            </w:tcBorders>
            <w:shd w:val="clear" w:color="auto" w:fill="auto"/>
            <w:noWrap/>
            <w:vAlign w:val="bottom"/>
            <w:hideMark/>
          </w:tcPr>
          <w:p w14:paraId="614C207A" w14:textId="0239994F" w:rsidR="005A52FA" w:rsidRPr="006735F6" w:rsidRDefault="005A52FA" w:rsidP="005A52FA">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5A52FA" w:rsidRPr="006735F6" w14:paraId="0F98ABA2"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11CFB726" w14:textId="6C56C3EF" w:rsidR="005A52FA" w:rsidRPr="006735F6" w:rsidRDefault="005A52FA" w:rsidP="005A52FA">
            <w:pPr>
              <w:jc w:val="left"/>
              <w:rPr>
                <w:sz w:val="18"/>
                <w:szCs w:val="18"/>
                <w:lang w:val="fr-CA" w:eastAsia="en-CA"/>
              </w:rPr>
            </w:pPr>
            <w:r>
              <w:rPr>
                <w:sz w:val="18"/>
                <w:szCs w:val="18"/>
                <w:lang w:val="fr-CA" w:eastAsia="en-CA"/>
              </w:rPr>
              <w:t>Mousses</w:t>
            </w:r>
          </w:p>
        </w:tc>
        <w:tc>
          <w:tcPr>
            <w:tcW w:w="1120" w:type="dxa"/>
            <w:tcBorders>
              <w:top w:val="nil"/>
              <w:left w:val="nil"/>
              <w:bottom w:val="single" w:sz="4" w:space="0" w:color="auto"/>
              <w:right w:val="single" w:sz="4" w:space="0" w:color="auto"/>
            </w:tcBorders>
            <w:shd w:val="clear" w:color="auto" w:fill="auto"/>
            <w:noWrap/>
            <w:vAlign w:val="bottom"/>
            <w:hideMark/>
          </w:tcPr>
          <w:p w14:paraId="68B1EB84" w14:textId="77777777" w:rsidR="005A52FA" w:rsidRPr="006735F6" w:rsidRDefault="005A52FA" w:rsidP="005A52FA">
            <w:pPr>
              <w:jc w:val="right"/>
              <w:rPr>
                <w:sz w:val="18"/>
                <w:szCs w:val="18"/>
                <w:lang w:val="fr-CA" w:eastAsia="en-CA"/>
              </w:rPr>
            </w:pPr>
            <w:r w:rsidRPr="006735F6">
              <w:rPr>
                <w:sz w:val="18"/>
                <w:szCs w:val="18"/>
                <w:lang w:val="fr-CA" w:eastAsia="en-CA"/>
              </w:rPr>
              <w:t>34</w:t>
            </w:r>
          </w:p>
        </w:tc>
        <w:tc>
          <w:tcPr>
            <w:tcW w:w="1422" w:type="dxa"/>
            <w:tcBorders>
              <w:top w:val="nil"/>
              <w:left w:val="nil"/>
              <w:bottom w:val="single" w:sz="4" w:space="0" w:color="auto"/>
              <w:right w:val="single" w:sz="4" w:space="0" w:color="auto"/>
            </w:tcBorders>
            <w:shd w:val="clear" w:color="auto" w:fill="auto"/>
            <w:noWrap/>
            <w:vAlign w:val="bottom"/>
            <w:hideMark/>
          </w:tcPr>
          <w:p w14:paraId="0CA5286F" w14:textId="7CF45967" w:rsidR="005A52FA" w:rsidRPr="006735F6" w:rsidRDefault="005A52FA" w:rsidP="005A52FA">
            <w:pPr>
              <w:jc w:val="right"/>
              <w:rPr>
                <w:sz w:val="18"/>
                <w:szCs w:val="18"/>
                <w:lang w:val="fr-CA" w:eastAsia="en-CA"/>
              </w:rPr>
            </w:pPr>
            <w:r w:rsidRPr="006735F6">
              <w:rPr>
                <w:sz w:val="18"/>
                <w:szCs w:val="18"/>
                <w:lang w:val="fr-CA" w:eastAsia="en-CA"/>
              </w:rPr>
              <w:t>10</w:t>
            </w:r>
            <w:r>
              <w:rPr>
                <w:sz w:val="18"/>
                <w:szCs w:val="18"/>
                <w:lang w:val="fr-CA" w:eastAsia="en-CA"/>
              </w:rPr>
              <w:t xml:space="preserve"> </w:t>
            </w:r>
            <w:r w:rsidRPr="006735F6">
              <w:rPr>
                <w:sz w:val="18"/>
                <w:szCs w:val="18"/>
                <w:lang w:val="fr-CA" w:eastAsia="en-CA"/>
              </w:rPr>
              <w:t>738</w:t>
            </w:r>
            <w:r>
              <w:rPr>
                <w:sz w:val="18"/>
                <w:szCs w:val="18"/>
                <w:lang w:val="fr-CA" w:eastAsia="en-CA"/>
              </w:rPr>
              <w:t xml:space="preserve"> </w:t>
            </w:r>
            <w:r w:rsidRPr="006735F6">
              <w:rPr>
                <w:sz w:val="18"/>
                <w:szCs w:val="18"/>
                <w:lang w:val="fr-CA" w:eastAsia="en-CA"/>
              </w:rPr>
              <w:t>870</w:t>
            </w:r>
          </w:p>
        </w:tc>
        <w:tc>
          <w:tcPr>
            <w:tcW w:w="1176" w:type="dxa"/>
            <w:tcBorders>
              <w:top w:val="nil"/>
              <w:left w:val="nil"/>
              <w:bottom w:val="single" w:sz="4" w:space="0" w:color="auto"/>
              <w:right w:val="single" w:sz="4" w:space="0" w:color="auto"/>
            </w:tcBorders>
            <w:shd w:val="clear" w:color="auto" w:fill="auto"/>
            <w:noWrap/>
            <w:vAlign w:val="bottom"/>
            <w:hideMark/>
          </w:tcPr>
          <w:p w14:paraId="370CD901" w14:textId="54C80AC8" w:rsidR="005A52FA" w:rsidRPr="006735F6" w:rsidRDefault="005A52FA" w:rsidP="005A52FA">
            <w:pPr>
              <w:jc w:val="right"/>
              <w:rPr>
                <w:sz w:val="18"/>
                <w:szCs w:val="18"/>
                <w:lang w:val="fr-CA" w:eastAsia="en-CA"/>
              </w:rPr>
            </w:pPr>
            <w:r w:rsidRPr="006735F6">
              <w:rPr>
                <w:sz w:val="18"/>
                <w:szCs w:val="18"/>
                <w:lang w:val="fr-CA" w:eastAsia="en-CA"/>
              </w:rPr>
              <w:t>98</w:t>
            </w:r>
          </w:p>
        </w:tc>
        <w:tc>
          <w:tcPr>
            <w:tcW w:w="1640" w:type="dxa"/>
            <w:tcBorders>
              <w:top w:val="nil"/>
              <w:left w:val="nil"/>
              <w:bottom w:val="single" w:sz="4" w:space="0" w:color="auto"/>
              <w:right w:val="single" w:sz="4" w:space="0" w:color="auto"/>
            </w:tcBorders>
            <w:shd w:val="clear" w:color="auto" w:fill="auto"/>
            <w:noWrap/>
            <w:vAlign w:val="bottom"/>
            <w:hideMark/>
          </w:tcPr>
          <w:p w14:paraId="02EDDB6D" w14:textId="77777777" w:rsidR="005A52FA" w:rsidRPr="006735F6" w:rsidRDefault="005A52FA" w:rsidP="005A52FA">
            <w:pPr>
              <w:jc w:val="right"/>
              <w:rPr>
                <w:sz w:val="18"/>
                <w:szCs w:val="18"/>
                <w:lang w:val="fr-CA" w:eastAsia="en-CA"/>
              </w:rPr>
            </w:pPr>
            <w:r w:rsidRPr="006735F6">
              <w:rPr>
                <w:sz w:val="18"/>
                <w:szCs w:val="18"/>
                <w:lang w:val="fr-CA" w:eastAsia="en-CA"/>
              </w:rPr>
              <w:t>14</w:t>
            </w:r>
          </w:p>
        </w:tc>
        <w:tc>
          <w:tcPr>
            <w:tcW w:w="1474" w:type="dxa"/>
            <w:tcBorders>
              <w:top w:val="nil"/>
              <w:left w:val="nil"/>
              <w:bottom w:val="single" w:sz="4" w:space="0" w:color="auto"/>
              <w:right w:val="single" w:sz="4" w:space="0" w:color="auto"/>
            </w:tcBorders>
            <w:shd w:val="clear" w:color="auto" w:fill="auto"/>
            <w:noWrap/>
            <w:vAlign w:val="bottom"/>
            <w:hideMark/>
          </w:tcPr>
          <w:p w14:paraId="7A0792D3" w14:textId="77777777" w:rsidR="005A52FA" w:rsidRPr="006735F6" w:rsidRDefault="005A52FA" w:rsidP="005A52FA">
            <w:pPr>
              <w:jc w:val="right"/>
              <w:rPr>
                <w:sz w:val="18"/>
                <w:szCs w:val="18"/>
                <w:lang w:val="fr-CA" w:eastAsia="en-CA"/>
              </w:rPr>
            </w:pPr>
            <w:r w:rsidRPr="006735F6">
              <w:rPr>
                <w:sz w:val="18"/>
                <w:szCs w:val="18"/>
                <w:lang w:val="fr-CA" w:eastAsia="en-CA"/>
              </w:rPr>
              <w:t>36</w:t>
            </w:r>
          </w:p>
        </w:tc>
      </w:tr>
      <w:tr w:rsidR="005A52FA" w:rsidRPr="006735F6" w14:paraId="2B2132EE"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6EFD1D85" w14:textId="53F1BCCB" w:rsidR="005A52FA" w:rsidRPr="006735F6" w:rsidRDefault="005A52FA" w:rsidP="005A52FA">
            <w:pPr>
              <w:jc w:val="left"/>
              <w:rPr>
                <w:sz w:val="18"/>
                <w:szCs w:val="18"/>
                <w:lang w:val="fr-CA" w:eastAsia="en-CA"/>
              </w:rPr>
            </w:pPr>
            <w:r>
              <w:rPr>
                <w:sz w:val="18"/>
                <w:szCs w:val="18"/>
                <w:lang w:val="fr-CA" w:eastAsia="en-CA"/>
              </w:rPr>
              <w:t>Fumigènes</w:t>
            </w:r>
          </w:p>
        </w:tc>
        <w:tc>
          <w:tcPr>
            <w:tcW w:w="1120" w:type="dxa"/>
            <w:tcBorders>
              <w:top w:val="nil"/>
              <w:left w:val="nil"/>
              <w:bottom w:val="single" w:sz="4" w:space="0" w:color="auto"/>
              <w:right w:val="single" w:sz="4" w:space="0" w:color="auto"/>
            </w:tcBorders>
            <w:shd w:val="clear" w:color="auto" w:fill="auto"/>
            <w:noWrap/>
            <w:vAlign w:val="bottom"/>
            <w:hideMark/>
          </w:tcPr>
          <w:p w14:paraId="7F6275F1" w14:textId="77777777" w:rsidR="005A52FA" w:rsidRPr="006735F6" w:rsidRDefault="005A52FA" w:rsidP="005A52FA">
            <w:pPr>
              <w:jc w:val="right"/>
              <w:rPr>
                <w:sz w:val="18"/>
                <w:szCs w:val="18"/>
                <w:lang w:val="fr-CA" w:eastAsia="en-CA"/>
              </w:rPr>
            </w:pPr>
            <w:r w:rsidRPr="006735F6">
              <w:rPr>
                <w:sz w:val="18"/>
                <w:szCs w:val="18"/>
                <w:lang w:val="fr-CA" w:eastAsia="en-CA"/>
              </w:rPr>
              <w:t>137</w:t>
            </w:r>
          </w:p>
        </w:tc>
        <w:tc>
          <w:tcPr>
            <w:tcW w:w="1422" w:type="dxa"/>
            <w:tcBorders>
              <w:top w:val="nil"/>
              <w:left w:val="nil"/>
              <w:bottom w:val="single" w:sz="4" w:space="0" w:color="auto"/>
              <w:right w:val="single" w:sz="4" w:space="0" w:color="auto"/>
            </w:tcBorders>
            <w:shd w:val="clear" w:color="auto" w:fill="auto"/>
            <w:noWrap/>
            <w:vAlign w:val="bottom"/>
            <w:hideMark/>
          </w:tcPr>
          <w:p w14:paraId="7F539DDA" w14:textId="1CD2D836" w:rsidR="005A52FA" w:rsidRPr="006735F6" w:rsidRDefault="005A52FA" w:rsidP="005A52FA">
            <w:pPr>
              <w:jc w:val="right"/>
              <w:rPr>
                <w:sz w:val="18"/>
                <w:szCs w:val="18"/>
                <w:lang w:val="fr-CA" w:eastAsia="en-CA"/>
              </w:rPr>
            </w:pPr>
            <w:r w:rsidRPr="006735F6">
              <w:rPr>
                <w:sz w:val="18"/>
                <w:szCs w:val="18"/>
                <w:lang w:val="fr-CA" w:eastAsia="en-CA"/>
              </w:rPr>
              <w:t>21</w:t>
            </w:r>
            <w:r>
              <w:rPr>
                <w:sz w:val="18"/>
                <w:szCs w:val="18"/>
                <w:lang w:val="fr-CA" w:eastAsia="en-CA"/>
              </w:rPr>
              <w:t xml:space="preserve"> </w:t>
            </w:r>
            <w:r w:rsidRPr="006735F6">
              <w:rPr>
                <w:sz w:val="18"/>
                <w:szCs w:val="18"/>
                <w:lang w:val="fr-CA" w:eastAsia="en-CA"/>
              </w:rPr>
              <w:t>224</w:t>
            </w:r>
            <w:r>
              <w:rPr>
                <w:sz w:val="18"/>
                <w:szCs w:val="18"/>
                <w:lang w:val="fr-CA" w:eastAsia="en-CA"/>
              </w:rPr>
              <w:t xml:space="preserve"> </w:t>
            </w:r>
            <w:r w:rsidRPr="006735F6">
              <w:rPr>
                <w:sz w:val="18"/>
                <w:szCs w:val="18"/>
                <w:lang w:val="fr-CA" w:eastAsia="en-CA"/>
              </w:rPr>
              <w:t>434</w:t>
            </w:r>
          </w:p>
        </w:tc>
        <w:tc>
          <w:tcPr>
            <w:tcW w:w="1176" w:type="dxa"/>
            <w:tcBorders>
              <w:top w:val="nil"/>
              <w:left w:val="nil"/>
              <w:bottom w:val="single" w:sz="4" w:space="0" w:color="auto"/>
              <w:right w:val="single" w:sz="4" w:space="0" w:color="auto"/>
            </w:tcBorders>
            <w:shd w:val="clear" w:color="auto" w:fill="auto"/>
            <w:noWrap/>
            <w:vAlign w:val="bottom"/>
            <w:hideMark/>
          </w:tcPr>
          <w:p w14:paraId="45DBA569" w14:textId="19527792" w:rsidR="005A52FA" w:rsidRPr="006735F6" w:rsidRDefault="005A52FA" w:rsidP="005A52FA">
            <w:pPr>
              <w:jc w:val="right"/>
              <w:rPr>
                <w:sz w:val="18"/>
                <w:szCs w:val="18"/>
                <w:lang w:val="fr-CA" w:eastAsia="en-CA"/>
              </w:rPr>
            </w:pPr>
            <w:r w:rsidRPr="006735F6">
              <w:rPr>
                <w:sz w:val="18"/>
                <w:szCs w:val="18"/>
                <w:lang w:val="fr-CA"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166598AB" w14:textId="77777777" w:rsidR="005A52FA" w:rsidRPr="006735F6" w:rsidRDefault="005A52FA" w:rsidP="005A52FA">
            <w:pPr>
              <w:jc w:val="right"/>
              <w:rPr>
                <w:sz w:val="18"/>
                <w:szCs w:val="18"/>
                <w:lang w:val="fr-CA" w:eastAsia="en-CA"/>
              </w:rPr>
            </w:pPr>
            <w:r w:rsidRPr="006735F6">
              <w:rPr>
                <w:sz w:val="18"/>
                <w:szCs w:val="18"/>
                <w:lang w:val="fr-CA" w:eastAsia="en-CA"/>
              </w:rPr>
              <w:t>9</w:t>
            </w:r>
          </w:p>
        </w:tc>
        <w:tc>
          <w:tcPr>
            <w:tcW w:w="1474" w:type="dxa"/>
            <w:tcBorders>
              <w:top w:val="nil"/>
              <w:left w:val="nil"/>
              <w:bottom w:val="single" w:sz="4" w:space="0" w:color="auto"/>
              <w:right w:val="single" w:sz="4" w:space="0" w:color="auto"/>
            </w:tcBorders>
            <w:shd w:val="clear" w:color="auto" w:fill="auto"/>
            <w:noWrap/>
            <w:vAlign w:val="bottom"/>
            <w:hideMark/>
          </w:tcPr>
          <w:p w14:paraId="529EA4B2" w14:textId="77777777" w:rsidR="005A52FA" w:rsidRPr="006735F6" w:rsidRDefault="005A52FA" w:rsidP="005A52FA">
            <w:pPr>
              <w:jc w:val="right"/>
              <w:rPr>
                <w:sz w:val="18"/>
                <w:szCs w:val="18"/>
                <w:lang w:val="fr-CA" w:eastAsia="en-CA"/>
              </w:rPr>
            </w:pPr>
            <w:r w:rsidRPr="006735F6">
              <w:rPr>
                <w:sz w:val="18"/>
                <w:szCs w:val="18"/>
                <w:lang w:val="fr-CA" w:eastAsia="en-CA"/>
              </w:rPr>
              <w:t>39</w:t>
            </w:r>
          </w:p>
        </w:tc>
      </w:tr>
      <w:tr w:rsidR="005A52FA" w:rsidRPr="006735F6" w14:paraId="1A4B5DEC"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33ABAE60" w14:textId="09E5E25A" w:rsidR="005A52FA" w:rsidRPr="006735F6" w:rsidRDefault="005A52FA" w:rsidP="005A52FA">
            <w:pPr>
              <w:jc w:val="left"/>
              <w:rPr>
                <w:sz w:val="18"/>
                <w:szCs w:val="18"/>
                <w:lang w:val="fr-CA" w:eastAsia="en-CA"/>
              </w:rPr>
            </w:pPr>
            <w:r w:rsidRPr="00EF62E4">
              <w:rPr>
                <w:sz w:val="18"/>
                <w:szCs w:val="18"/>
                <w:lang w:val="fr-CA" w:eastAsia="en-CA"/>
              </w:rPr>
              <w:t>Halon</w:t>
            </w:r>
            <w:r>
              <w:rPr>
                <w:sz w:val="18"/>
                <w:szCs w:val="18"/>
                <w:lang w:val="fr-CA" w:eastAsia="en-CA"/>
              </w:rPr>
              <w:t>s</w:t>
            </w:r>
          </w:p>
        </w:tc>
        <w:tc>
          <w:tcPr>
            <w:tcW w:w="1120" w:type="dxa"/>
            <w:tcBorders>
              <w:top w:val="nil"/>
              <w:left w:val="nil"/>
              <w:bottom w:val="single" w:sz="4" w:space="0" w:color="auto"/>
              <w:right w:val="single" w:sz="4" w:space="0" w:color="auto"/>
            </w:tcBorders>
            <w:shd w:val="clear" w:color="auto" w:fill="auto"/>
            <w:noWrap/>
            <w:vAlign w:val="bottom"/>
            <w:hideMark/>
          </w:tcPr>
          <w:p w14:paraId="5C4D7184" w14:textId="77777777" w:rsidR="005A52FA" w:rsidRPr="006735F6" w:rsidRDefault="005A52FA" w:rsidP="005A52FA">
            <w:pPr>
              <w:jc w:val="right"/>
              <w:rPr>
                <w:sz w:val="18"/>
                <w:szCs w:val="18"/>
                <w:lang w:val="fr-CA" w:eastAsia="en-CA"/>
              </w:rPr>
            </w:pPr>
            <w:r w:rsidRPr="006735F6">
              <w:rPr>
                <w:sz w:val="18"/>
                <w:szCs w:val="18"/>
                <w:lang w:val="fr-CA" w:eastAsia="en-CA"/>
              </w:rPr>
              <w:t>82</w:t>
            </w:r>
          </w:p>
        </w:tc>
        <w:tc>
          <w:tcPr>
            <w:tcW w:w="1422" w:type="dxa"/>
            <w:tcBorders>
              <w:top w:val="nil"/>
              <w:left w:val="nil"/>
              <w:bottom w:val="single" w:sz="4" w:space="0" w:color="auto"/>
              <w:right w:val="single" w:sz="4" w:space="0" w:color="auto"/>
            </w:tcBorders>
            <w:shd w:val="clear" w:color="auto" w:fill="auto"/>
            <w:noWrap/>
            <w:vAlign w:val="bottom"/>
            <w:hideMark/>
          </w:tcPr>
          <w:p w14:paraId="2208AA39" w14:textId="407D8E85" w:rsidR="005A52FA" w:rsidRPr="006735F6" w:rsidRDefault="005A52FA" w:rsidP="005A52FA">
            <w:pPr>
              <w:jc w:val="right"/>
              <w:rPr>
                <w:sz w:val="18"/>
                <w:szCs w:val="18"/>
                <w:lang w:val="fr-CA" w:eastAsia="en-CA"/>
              </w:rPr>
            </w:pPr>
            <w:r w:rsidRPr="006735F6">
              <w:rPr>
                <w:sz w:val="18"/>
                <w:szCs w:val="18"/>
                <w:lang w:val="fr-CA" w:eastAsia="en-CA"/>
              </w:rPr>
              <w:t>11</w:t>
            </w:r>
            <w:r>
              <w:rPr>
                <w:sz w:val="18"/>
                <w:szCs w:val="18"/>
                <w:lang w:val="fr-CA" w:eastAsia="en-CA"/>
              </w:rPr>
              <w:t xml:space="preserve"> </w:t>
            </w:r>
            <w:r w:rsidRPr="006735F6">
              <w:rPr>
                <w:sz w:val="18"/>
                <w:szCs w:val="18"/>
                <w:lang w:val="fr-CA" w:eastAsia="en-CA"/>
              </w:rPr>
              <w:t>238</w:t>
            </w:r>
            <w:r>
              <w:rPr>
                <w:sz w:val="18"/>
                <w:szCs w:val="18"/>
                <w:lang w:val="fr-CA" w:eastAsia="en-CA"/>
              </w:rPr>
              <w:t xml:space="preserve"> </w:t>
            </w:r>
            <w:r w:rsidRPr="006735F6">
              <w:rPr>
                <w:sz w:val="18"/>
                <w:szCs w:val="18"/>
                <w:lang w:val="fr-CA" w:eastAsia="en-CA"/>
              </w:rPr>
              <w:t>156</w:t>
            </w:r>
          </w:p>
        </w:tc>
        <w:tc>
          <w:tcPr>
            <w:tcW w:w="1176" w:type="dxa"/>
            <w:tcBorders>
              <w:top w:val="nil"/>
              <w:left w:val="nil"/>
              <w:bottom w:val="single" w:sz="4" w:space="0" w:color="auto"/>
              <w:right w:val="single" w:sz="4" w:space="0" w:color="auto"/>
            </w:tcBorders>
            <w:shd w:val="clear" w:color="auto" w:fill="auto"/>
            <w:noWrap/>
            <w:vAlign w:val="bottom"/>
            <w:hideMark/>
          </w:tcPr>
          <w:p w14:paraId="41771B4F" w14:textId="0BC1D882" w:rsidR="005A52FA" w:rsidRPr="006735F6" w:rsidRDefault="005A52FA" w:rsidP="005A52FA">
            <w:pPr>
              <w:jc w:val="right"/>
              <w:rPr>
                <w:sz w:val="18"/>
                <w:szCs w:val="18"/>
                <w:lang w:val="fr-CA" w:eastAsia="en-CA"/>
              </w:rPr>
            </w:pPr>
            <w:r w:rsidRPr="006735F6">
              <w:rPr>
                <w:sz w:val="18"/>
                <w:szCs w:val="18"/>
                <w:lang w:val="fr-CA"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115F6DEF" w14:textId="77777777" w:rsidR="005A52FA" w:rsidRPr="006735F6" w:rsidRDefault="005A52FA" w:rsidP="005A52FA">
            <w:pPr>
              <w:jc w:val="right"/>
              <w:rPr>
                <w:sz w:val="18"/>
                <w:szCs w:val="18"/>
                <w:lang w:val="fr-CA" w:eastAsia="en-CA"/>
              </w:rPr>
            </w:pPr>
            <w:r w:rsidRPr="006735F6">
              <w:rPr>
                <w:sz w:val="18"/>
                <w:szCs w:val="18"/>
                <w:lang w:val="fr-CA" w:eastAsia="en-CA"/>
              </w:rPr>
              <w:t>17</w:t>
            </w:r>
          </w:p>
        </w:tc>
        <w:tc>
          <w:tcPr>
            <w:tcW w:w="1474" w:type="dxa"/>
            <w:tcBorders>
              <w:top w:val="nil"/>
              <w:left w:val="nil"/>
              <w:bottom w:val="single" w:sz="4" w:space="0" w:color="auto"/>
              <w:right w:val="single" w:sz="4" w:space="0" w:color="auto"/>
            </w:tcBorders>
            <w:shd w:val="clear" w:color="auto" w:fill="auto"/>
            <w:noWrap/>
            <w:vAlign w:val="bottom"/>
            <w:hideMark/>
          </w:tcPr>
          <w:p w14:paraId="15092133" w14:textId="77777777" w:rsidR="005A52FA" w:rsidRPr="006735F6" w:rsidRDefault="005A52FA" w:rsidP="005A52FA">
            <w:pPr>
              <w:jc w:val="right"/>
              <w:rPr>
                <w:sz w:val="18"/>
                <w:szCs w:val="18"/>
                <w:lang w:val="fr-CA" w:eastAsia="en-CA"/>
              </w:rPr>
            </w:pPr>
            <w:r w:rsidRPr="006735F6">
              <w:rPr>
                <w:sz w:val="18"/>
                <w:szCs w:val="18"/>
                <w:lang w:val="fr-CA" w:eastAsia="en-CA"/>
              </w:rPr>
              <w:t>44</w:t>
            </w:r>
          </w:p>
        </w:tc>
      </w:tr>
      <w:tr w:rsidR="005A52FA" w:rsidRPr="006735F6" w14:paraId="4F22D756"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585EE9A5" w14:textId="6FDBE500" w:rsidR="005A52FA" w:rsidRPr="006735F6" w:rsidRDefault="005A52FA" w:rsidP="005A52FA">
            <w:pPr>
              <w:jc w:val="left"/>
              <w:rPr>
                <w:sz w:val="18"/>
                <w:szCs w:val="18"/>
                <w:lang w:val="fr-CA" w:eastAsia="en-CA"/>
              </w:rPr>
            </w:pPr>
            <w:r>
              <w:rPr>
                <w:sz w:val="18"/>
                <w:szCs w:val="18"/>
                <w:lang w:val="fr-CA" w:eastAsia="en-CA"/>
              </w:rPr>
              <w:t>Multiples secteurs</w:t>
            </w:r>
          </w:p>
        </w:tc>
        <w:tc>
          <w:tcPr>
            <w:tcW w:w="1120" w:type="dxa"/>
            <w:tcBorders>
              <w:top w:val="nil"/>
              <w:left w:val="nil"/>
              <w:bottom w:val="single" w:sz="4" w:space="0" w:color="auto"/>
              <w:right w:val="single" w:sz="4" w:space="0" w:color="auto"/>
            </w:tcBorders>
            <w:shd w:val="clear" w:color="auto" w:fill="auto"/>
            <w:noWrap/>
            <w:vAlign w:val="bottom"/>
            <w:hideMark/>
          </w:tcPr>
          <w:p w14:paraId="4C3640A6" w14:textId="77777777" w:rsidR="005A52FA" w:rsidRPr="006735F6" w:rsidRDefault="005A52FA" w:rsidP="005A52FA">
            <w:pPr>
              <w:jc w:val="right"/>
              <w:rPr>
                <w:sz w:val="18"/>
                <w:szCs w:val="18"/>
                <w:lang w:val="fr-CA" w:eastAsia="en-CA"/>
              </w:rPr>
            </w:pPr>
            <w:r w:rsidRPr="006735F6">
              <w:rPr>
                <w:sz w:val="18"/>
                <w:szCs w:val="18"/>
                <w:lang w:val="fr-CA"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585AF4BF" w14:textId="18C5A556" w:rsidR="005A52FA" w:rsidRPr="006735F6" w:rsidRDefault="005A52FA" w:rsidP="005A52FA">
            <w:pPr>
              <w:jc w:val="right"/>
              <w:rPr>
                <w:sz w:val="18"/>
                <w:szCs w:val="18"/>
                <w:lang w:val="fr-CA" w:eastAsia="en-CA"/>
              </w:rPr>
            </w:pPr>
            <w:r w:rsidRPr="006735F6">
              <w:rPr>
                <w:sz w:val="18"/>
                <w:szCs w:val="18"/>
                <w:lang w:val="fr-CA" w:eastAsia="en-CA"/>
              </w:rPr>
              <w:t>53</w:t>
            </w:r>
            <w:r>
              <w:rPr>
                <w:sz w:val="18"/>
                <w:szCs w:val="18"/>
                <w:lang w:val="fr-CA" w:eastAsia="en-CA"/>
              </w:rPr>
              <w:t xml:space="preserve"> </w:t>
            </w:r>
            <w:r w:rsidRPr="006735F6">
              <w:rPr>
                <w:sz w:val="18"/>
                <w:szCs w:val="18"/>
                <w:lang w:val="fr-CA" w:eastAsia="en-CA"/>
              </w:rPr>
              <w:t>792</w:t>
            </w:r>
          </w:p>
        </w:tc>
        <w:tc>
          <w:tcPr>
            <w:tcW w:w="1176" w:type="dxa"/>
            <w:tcBorders>
              <w:top w:val="nil"/>
              <w:left w:val="nil"/>
              <w:bottom w:val="single" w:sz="4" w:space="0" w:color="auto"/>
              <w:right w:val="single" w:sz="4" w:space="0" w:color="auto"/>
            </w:tcBorders>
            <w:shd w:val="clear" w:color="auto" w:fill="auto"/>
            <w:noWrap/>
            <w:vAlign w:val="bottom"/>
            <w:hideMark/>
          </w:tcPr>
          <w:p w14:paraId="346C386D" w14:textId="269BBD1C" w:rsidR="005A52FA" w:rsidRPr="006735F6" w:rsidRDefault="005A52FA" w:rsidP="005A52FA">
            <w:pPr>
              <w:jc w:val="right"/>
              <w:rPr>
                <w:sz w:val="18"/>
                <w:szCs w:val="18"/>
                <w:lang w:val="fr-CA" w:eastAsia="en-CA"/>
              </w:rPr>
            </w:pPr>
            <w:r w:rsidRPr="006735F6">
              <w:rPr>
                <w:sz w:val="18"/>
                <w:szCs w:val="18"/>
                <w:lang w:val="fr-CA"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6BD7CCC" w14:textId="77777777" w:rsidR="005A52FA" w:rsidRPr="006735F6" w:rsidRDefault="005A52FA" w:rsidP="005A52FA">
            <w:pPr>
              <w:jc w:val="right"/>
              <w:rPr>
                <w:sz w:val="18"/>
                <w:szCs w:val="18"/>
                <w:lang w:val="fr-CA" w:eastAsia="en-CA"/>
              </w:rPr>
            </w:pPr>
            <w:r w:rsidRPr="006735F6">
              <w:rPr>
                <w:sz w:val="18"/>
                <w:szCs w:val="18"/>
                <w:lang w:val="fr-CA" w:eastAsia="en-CA"/>
              </w:rPr>
              <w:t>56</w:t>
            </w:r>
          </w:p>
        </w:tc>
        <w:tc>
          <w:tcPr>
            <w:tcW w:w="1474" w:type="dxa"/>
            <w:tcBorders>
              <w:top w:val="nil"/>
              <w:left w:val="nil"/>
              <w:bottom w:val="single" w:sz="4" w:space="0" w:color="auto"/>
              <w:right w:val="single" w:sz="4" w:space="0" w:color="auto"/>
            </w:tcBorders>
            <w:shd w:val="clear" w:color="auto" w:fill="auto"/>
            <w:noWrap/>
            <w:vAlign w:val="bottom"/>
            <w:hideMark/>
          </w:tcPr>
          <w:p w14:paraId="1E6977BA" w14:textId="77777777" w:rsidR="005A52FA" w:rsidRPr="006735F6" w:rsidRDefault="005A52FA" w:rsidP="005A52FA">
            <w:pPr>
              <w:jc w:val="right"/>
              <w:rPr>
                <w:sz w:val="18"/>
                <w:szCs w:val="18"/>
                <w:lang w:val="fr-CA" w:eastAsia="en-CA"/>
              </w:rPr>
            </w:pPr>
            <w:r w:rsidRPr="006735F6">
              <w:rPr>
                <w:sz w:val="18"/>
                <w:szCs w:val="18"/>
                <w:lang w:val="fr-CA" w:eastAsia="en-CA"/>
              </w:rPr>
              <w:t>58</w:t>
            </w:r>
          </w:p>
        </w:tc>
      </w:tr>
      <w:tr w:rsidR="005A52FA" w:rsidRPr="006735F6" w14:paraId="62F88ADA"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06ABE400" w14:textId="63C4A6CA" w:rsidR="005A52FA" w:rsidRPr="006735F6" w:rsidRDefault="005A52FA" w:rsidP="005A52FA">
            <w:pPr>
              <w:jc w:val="left"/>
              <w:rPr>
                <w:sz w:val="18"/>
                <w:szCs w:val="18"/>
                <w:lang w:val="fr-CA" w:eastAsia="en-CA"/>
              </w:rPr>
            </w:pPr>
            <w:r>
              <w:rPr>
                <w:sz w:val="18"/>
                <w:szCs w:val="18"/>
                <w:lang w:val="fr-CA" w:eastAsia="en-CA"/>
              </w:rPr>
              <w:t>Autre</w:t>
            </w:r>
          </w:p>
        </w:tc>
        <w:tc>
          <w:tcPr>
            <w:tcW w:w="1120" w:type="dxa"/>
            <w:tcBorders>
              <w:top w:val="nil"/>
              <w:left w:val="nil"/>
              <w:bottom w:val="single" w:sz="4" w:space="0" w:color="auto"/>
              <w:right w:val="single" w:sz="4" w:space="0" w:color="auto"/>
            </w:tcBorders>
            <w:shd w:val="clear" w:color="auto" w:fill="auto"/>
            <w:noWrap/>
            <w:vAlign w:val="bottom"/>
            <w:hideMark/>
          </w:tcPr>
          <w:p w14:paraId="0B567ABE" w14:textId="77777777" w:rsidR="005A52FA" w:rsidRPr="006735F6" w:rsidRDefault="005A52FA" w:rsidP="005A52FA">
            <w:pPr>
              <w:jc w:val="right"/>
              <w:rPr>
                <w:sz w:val="18"/>
                <w:szCs w:val="18"/>
                <w:lang w:val="fr-CA" w:eastAsia="en-CA"/>
              </w:rPr>
            </w:pPr>
            <w:r w:rsidRPr="006735F6">
              <w:rPr>
                <w:sz w:val="18"/>
                <w:szCs w:val="18"/>
                <w:lang w:val="fr-CA"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0FAF7AFB" w14:textId="3BEAAAA9" w:rsidR="005A52FA" w:rsidRPr="006735F6" w:rsidRDefault="005A52FA" w:rsidP="005A52FA">
            <w:pPr>
              <w:jc w:val="right"/>
              <w:rPr>
                <w:sz w:val="18"/>
                <w:szCs w:val="18"/>
                <w:lang w:val="fr-CA" w:eastAsia="en-CA"/>
              </w:rPr>
            </w:pPr>
            <w:r w:rsidRPr="006735F6">
              <w:rPr>
                <w:sz w:val="18"/>
                <w:szCs w:val="18"/>
                <w:lang w:val="fr-CA" w:eastAsia="en-CA"/>
              </w:rPr>
              <w:t>76</w:t>
            </w:r>
            <w:r>
              <w:rPr>
                <w:sz w:val="18"/>
                <w:szCs w:val="18"/>
                <w:lang w:val="fr-CA" w:eastAsia="en-CA"/>
              </w:rPr>
              <w:t xml:space="preserve"> </w:t>
            </w:r>
            <w:r w:rsidRPr="006735F6">
              <w:rPr>
                <w:sz w:val="18"/>
                <w:szCs w:val="18"/>
                <w:lang w:val="fr-CA" w:eastAsia="en-CA"/>
              </w:rPr>
              <w:t>499</w:t>
            </w:r>
          </w:p>
        </w:tc>
        <w:tc>
          <w:tcPr>
            <w:tcW w:w="1176" w:type="dxa"/>
            <w:tcBorders>
              <w:top w:val="nil"/>
              <w:left w:val="nil"/>
              <w:bottom w:val="single" w:sz="4" w:space="0" w:color="auto"/>
              <w:right w:val="single" w:sz="4" w:space="0" w:color="auto"/>
            </w:tcBorders>
            <w:shd w:val="clear" w:color="auto" w:fill="auto"/>
            <w:noWrap/>
            <w:vAlign w:val="bottom"/>
            <w:hideMark/>
          </w:tcPr>
          <w:p w14:paraId="5A0DAC40" w14:textId="3FB29265" w:rsidR="005A52FA" w:rsidRPr="006735F6" w:rsidRDefault="005A52FA" w:rsidP="005A52FA">
            <w:pPr>
              <w:jc w:val="right"/>
              <w:rPr>
                <w:sz w:val="18"/>
                <w:szCs w:val="18"/>
                <w:lang w:val="fr-CA" w:eastAsia="en-CA"/>
              </w:rPr>
            </w:pPr>
            <w:r w:rsidRPr="006735F6">
              <w:rPr>
                <w:sz w:val="18"/>
                <w:szCs w:val="18"/>
                <w:lang w:val="fr-CA"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5995EE83" w14:textId="77777777" w:rsidR="005A52FA" w:rsidRPr="006735F6" w:rsidRDefault="005A52FA" w:rsidP="005A52FA">
            <w:pPr>
              <w:jc w:val="right"/>
              <w:rPr>
                <w:sz w:val="18"/>
                <w:szCs w:val="18"/>
                <w:lang w:val="fr-CA" w:eastAsia="en-CA"/>
              </w:rPr>
            </w:pPr>
            <w:r w:rsidRPr="006735F6">
              <w:rPr>
                <w:sz w:val="18"/>
                <w:szCs w:val="18"/>
                <w:lang w:val="fr-CA" w:eastAsia="en-CA"/>
              </w:rPr>
              <w:t>7</w:t>
            </w:r>
          </w:p>
        </w:tc>
        <w:tc>
          <w:tcPr>
            <w:tcW w:w="1474" w:type="dxa"/>
            <w:tcBorders>
              <w:top w:val="nil"/>
              <w:left w:val="nil"/>
              <w:bottom w:val="single" w:sz="4" w:space="0" w:color="auto"/>
              <w:right w:val="single" w:sz="4" w:space="0" w:color="auto"/>
            </w:tcBorders>
            <w:shd w:val="clear" w:color="auto" w:fill="auto"/>
            <w:noWrap/>
            <w:vAlign w:val="bottom"/>
            <w:hideMark/>
          </w:tcPr>
          <w:p w14:paraId="67EBFA91" w14:textId="77777777" w:rsidR="005A52FA" w:rsidRPr="006735F6" w:rsidRDefault="005A52FA" w:rsidP="005A52FA">
            <w:pPr>
              <w:jc w:val="right"/>
              <w:rPr>
                <w:sz w:val="18"/>
                <w:szCs w:val="18"/>
                <w:lang w:val="fr-CA" w:eastAsia="en-CA"/>
              </w:rPr>
            </w:pPr>
            <w:r w:rsidRPr="006735F6">
              <w:rPr>
                <w:sz w:val="18"/>
                <w:szCs w:val="18"/>
                <w:lang w:val="fr-CA" w:eastAsia="en-CA"/>
              </w:rPr>
              <w:t>38</w:t>
            </w:r>
          </w:p>
        </w:tc>
      </w:tr>
      <w:tr w:rsidR="005A52FA" w:rsidRPr="006735F6" w14:paraId="47E79CAD"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73F3C8E6" w14:textId="42F11FF8" w:rsidR="005A52FA" w:rsidRPr="006735F6" w:rsidRDefault="005A52FA" w:rsidP="005A52FA">
            <w:pPr>
              <w:jc w:val="left"/>
              <w:rPr>
                <w:sz w:val="18"/>
                <w:szCs w:val="18"/>
                <w:lang w:val="fr-CA" w:eastAsia="en-CA"/>
              </w:rPr>
            </w:pPr>
            <w:r>
              <w:rPr>
                <w:sz w:val="18"/>
                <w:szCs w:val="18"/>
                <w:lang w:val="fr-CA" w:eastAsia="en-CA"/>
              </w:rPr>
              <w:t>Plan d’élimination</w:t>
            </w:r>
          </w:p>
        </w:tc>
        <w:tc>
          <w:tcPr>
            <w:tcW w:w="1120" w:type="dxa"/>
            <w:tcBorders>
              <w:top w:val="nil"/>
              <w:left w:val="nil"/>
              <w:bottom w:val="single" w:sz="4" w:space="0" w:color="auto"/>
              <w:right w:val="single" w:sz="4" w:space="0" w:color="auto"/>
            </w:tcBorders>
            <w:shd w:val="clear" w:color="auto" w:fill="auto"/>
            <w:noWrap/>
            <w:vAlign w:val="bottom"/>
            <w:hideMark/>
          </w:tcPr>
          <w:p w14:paraId="6A6F1B7C" w14:textId="77777777" w:rsidR="005A52FA" w:rsidRPr="006735F6" w:rsidRDefault="005A52FA" w:rsidP="005A52FA">
            <w:pPr>
              <w:jc w:val="right"/>
              <w:rPr>
                <w:sz w:val="18"/>
                <w:szCs w:val="18"/>
                <w:lang w:val="fr-CA" w:eastAsia="en-CA"/>
              </w:rPr>
            </w:pPr>
            <w:r w:rsidRPr="006735F6">
              <w:rPr>
                <w:sz w:val="18"/>
                <w:szCs w:val="18"/>
                <w:lang w:val="fr-CA" w:eastAsia="en-CA"/>
              </w:rPr>
              <w:t>564</w:t>
            </w:r>
          </w:p>
        </w:tc>
        <w:tc>
          <w:tcPr>
            <w:tcW w:w="1422" w:type="dxa"/>
            <w:tcBorders>
              <w:top w:val="nil"/>
              <w:left w:val="nil"/>
              <w:bottom w:val="single" w:sz="4" w:space="0" w:color="auto"/>
              <w:right w:val="single" w:sz="4" w:space="0" w:color="auto"/>
            </w:tcBorders>
            <w:shd w:val="clear" w:color="auto" w:fill="auto"/>
            <w:noWrap/>
            <w:vAlign w:val="bottom"/>
            <w:hideMark/>
          </w:tcPr>
          <w:p w14:paraId="437E4EAC" w14:textId="3F4D86E3" w:rsidR="005A52FA" w:rsidRPr="006735F6" w:rsidRDefault="005A52FA" w:rsidP="005A52FA">
            <w:pPr>
              <w:jc w:val="right"/>
              <w:rPr>
                <w:sz w:val="18"/>
                <w:szCs w:val="18"/>
                <w:lang w:val="fr-CA" w:eastAsia="en-CA"/>
              </w:rPr>
            </w:pPr>
            <w:r w:rsidRPr="006735F6">
              <w:rPr>
                <w:sz w:val="18"/>
                <w:szCs w:val="18"/>
                <w:lang w:val="fr-CA" w:eastAsia="en-CA"/>
              </w:rPr>
              <w:t>55</w:t>
            </w:r>
            <w:r>
              <w:rPr>
                <w:sz w:val="18"/>
                <w:szCs w:val="18"/>
                <w:lang w:val="fr-CA" w:eastAsia="en-CA"/>
              </w:rPr>
              <w:t xml:space="preserve"> </w:t>
            </w:r>
            <w:r w:rsidRPr="006735F6">
              <w:rPr>
                <w:sz w:val="18"/>
                <w:szCs w:val="18"/>
                <w:lang w:val="fr-CA" w:eastAsia="en-CA"/>
              </w:rPr>
              <w:t>302</w:t>
            </w:r>
            <w:r>
              <w:rPr>
                <w:sz w:val="18"/>
                <w:szCs w:val="18"/>
                <w:lang w:val="fr-CA" w:eastAsia="en-CA"/>
              </w:rPr>
              <w:t xml:space="preserve"> </w:t>
            </w:r>
            <w:r w:rsidRPr="006735F6">
              <w:rPr>
                <w:sz w:val="18"/>
                <w:szCs w:val="18"/>
                <w:lang w:val="fr-CA" w:eastAsia="en-CA"/>
              </w:rPr>
              <w:t>572</w:t>
            </w:r>
          </w:p>
        </w:tc>
        <w:tc>
          <w:tcPr>
            <w:tcW w:w="1176" w:type="dxa"/>
            <w:tcBorders>
              <w:top w:val="nil"/>
              <w:left w:val="nil"/>
              <w:bottom w:val="single" w:sz="4" w:space="0" w:color="auto"/>
              <w:right w:val="single" w:sz="4" w:space="0" w:color="auto"/>
            </w:tcBorders>
            <w:shd w:val="clear" w:color="auto" w:fill="auto"/>
            <w:noWrap/>
            <w:vAlign w:val="bottom"/>
            <w:hideMark/>
          </w:tcPr>
          <w:p w14:paraId="5F9CE22B" w14:textId="40A70183" w:rsidR="005A52FA" w:rsidRPr="006735F6" w:rsidRDefault="005A52FA" w:rsidP="005A52FA">
            <w:pPr>
              <w:jc w:val="right"/>
              <w:rPr>
                <w:sz w:val="18"/>
                <w:szCs w:val="18"/>
                <w:lang w:val="fr-CA" w:eastAsia="en-CA"/>
              </w:rPr>
            </w:pPr>
            <w:r w:rsidRPr="006735F6">
              <w:rPr>
                <w:sz w:val="18"/>
                <w:szCs w:val="18"/>
                <w:lang w:val="fr-CA" w:eastAsia="en-CA"/>
              </w:rPr>
              <w:t>98</w:t>
            </w:r>
          </w:p>
        </w:tc>
        <w:tc>
          <w:tcPr>
            <w:tcW w:w="1640" w:type="dxa"/>
            <w:tcBorders>
              <w:top w:val="nil"/>
              <w:left w:val="nil"/>
              <w:bottom w:val="single" w:sz="4" w:space="0" w:color="auto"/>
              <w:right w:val="single" w:sz="4" w:space="0" w:color="auto"/>
            </w:tcBorders>
            <w:shd w:val="clear" w:color="auto" w:fill="auto"/>
            <w:noWrap/>
            <w:vAlign w:val="bottom"/>
            <w:hideMark/>
          </w:tcPr>
          <w:p w14:paraId="209D629D" w14:textId="77777777" w:rsidR="005A52FA" w:rsidRPr="006735F6" w:rsidRDefault="005A52FA" w:rsidP="005A52FA">
            <w:pPr>
              <w:jc w:val="right"/>
              <w:rPr>
                <w:sz w:val="18"/>
                <w:szCs w:val="18"/>
                <w:lang w:val="fr-CA" w:eastAsia="en-CA"/>
              </w:rPr>
            </w:pPr>
            <w:r w:rsidRPr="006735F6">
              <w:rPr>
                <w:sz w:val="18"/>
                <w:szCs w:val="18"/>
                <w:lang w:val="fr-CA" w:eastAsia="en-CA"/>
              </w:rPr>
              <w:t>13</w:t>
            </w:r>
          </w:p>
        </w:tc>
        <w:tc>
          <w:tcPr>
            <w:tcW w:w="1474" w:type="dxa"/>
            <w:tcBorders>
              <w:top w:val="nil"/>
              <w:left w:val="nil"/>
              <w:bottom w:val="single" w:sz="4" w:space="0" w:color="auto"/>
              <w:right w:val="single" w:sz="4" w:space="0" w:color="auto"/>
            </w:tcBorders>
            <w:shd w:val="clear" w:color="auto" w:fill="auto"/>
            <w:noWrap/>
            <w:vAlign w:val="bottom"/>
            <w:hideMark/>
          </w:tcPr>
          <w:p w14:paraId="50DCF674" w14:textId="77777777" w:rsidR="005A52FA" w:rsidRPr="006735F6" w:rsidRDefault="005A52FA" w:rsidP="005A52FA">
            <w:pPr>
              <w:jc w:val="right"/>
              <w:rPr>
                <w:sz w:val="18"/>
                <w:szCs w:val="18"/>
                <w:lang w:val="fr-CA" w:eastAsia="en-CA"/>
              </w:rPr>
            </w:pPr>
            <w:r w:rsidRPr="006735F6">
              <w:rPr>
                <w:sz w:val="18"/>
                <w:szCs w:val="18"/>
                <w:lang w:val="fr-CA" w:eastAsia="en-CA"/>
              </w:rPr>
              <w:t>41</w:t>
            </w:r>
          </w:p>
        </w:tc>
      </w:tr>
      <w:tr w:rsidR="005A52FA" w:rsidRPr="006735F6" w14:paraId="77289539"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1B727F34" w14:textId="1AD74975" w:rsidR="005A52FA" w:rsidRPr="006735F6" w:rsidRDefault="005A52FA" w:rsidP="005A52FA">
            <w:pPr>
              <w:jc w:val="left"/>
              <w:rPr>
                <w:sz w:val="18"/>
                <w:szCs w:val="18"/>
                <w:lang w:val="fr-CA" w:eastAsia="en-CA"/>
              </w:rPr>
            </w:pPr>
            <w:r>
              <w:rPr>
                <w:sz w:val="18"/>
                <w:szCs w:val="18"/>
                <w:lang w:val="fr-CA" w:eastAsia="en-CA"/>
              </w:rPr>
              <w:t>Agent de transformation</w:t>
            </w:r>
          </w:p>
        </w:tc>
        <w:tc>
          <w:tcPr>
            <w:tcW w:w="1120" w:type="dxa"/>
            <w:tcBorders>
              <w:top w:val="nil"/>
              <w:left w:val="nil"/>
              <w:bottom w:val="single" w:sz="4" w:space="0" w:color="auto"/>
              <w:right w:val="single" w:sz="4" w:space="0" w:color="auto"/>
            </w:tcBorders>
            <w:shd w:val="clear" w:color="auto" w:fill="auto"/>
            <w:noWrap/>
            <w:vAlign w:val="bottom"/>
            <w:hideMark/>
          </w:tcPr>
          <w:p w14:paraId="1286A604" w14:textId="77777777" w:rsidR="005A52FA" w:rsidRPr="006735F6" w:rsidRDefault="005A52FA" w:rsidP="005A52FA">
            <w:pPr>
              <w:jc w:val="right"/>
              <w:rPr>
                <w:sz w:val="18"/>
                <w:szCs w:val="18"/>
                <w:lang w:val="fr-CA" w:eastAsia="en-CA"/>
              </w:rPr>
            </w:pPr>
            <w:r w:rsidRPr="006735F6">
              <w:rPr>
                <w:sz w:val="18"/>
                <w:szCs w:val="18"/>
                <w:lang w:val="fr-CA" w:eastAsia="en-CA"/>
              </w:rPr>
              <w:t>0</w:t>
            </w:r>
          </w:p>
        </w:tc>
        <w:tc>
          <w:tcPr>
            <w:tcW w:w="1422" w:type="dxa"/>
            <w:tcBorders>
              <w:top w:val="nil"/>
              <w:left w:val="nil"/>
              <w:bottom w:val="single" w:sz="4" w:space="0" w:color="auto"/>
              <w:right w:val="single" w:sz="4" w:space="0" w:color="auto"/>
            </w:tcBorders>
            <w:shd w:val="clear" w:color="auto" w:fill="auto"/>
            <w:noWrap/>
            <w:vAlign w:val="bottom"/>
            <w:hideMark/>
          </w:tcPr>
          <w:p w14:paraId="529B9CCD" w14:textId="77777777" w:rsidR="005A52FA" w:rsidRPr="006735F6" w:rsidRDefault="005A52FA" w:rsidP="005A52FA">
            <w:pPr>
              <w:jc w:val="right"/>
              <w:rPr>
                <w:sz w:val="18"/>
                <w:szCs w:val="18"/>
                <w:lang w:val="fr-CA" w:eastAsia="en-CA"/>
              </w:rPr>
            </w:pPr>
            <w:r w:rsidRPr="006735F6">
              <w:rPr>
                <w:sz w:val="18"/>
                <w:szCs w:val="18"/>
                <w:lang w:val="fr-CA" w:eastAsia="en-CA"/>
              </w:rPr>
              <w:t>0</w:t>
            </w:r>
          </w:p>
        </w:tc>
        <w:tc>
          <w:tcPr>
            <w:tcW w:w="1176" w:type="dxa"/>
            <w:tcBorders>
              <w:top w:val="nil"/>
              <w:left w:val="nil"/>
              <w:bottom w:val="single" w:sz="4" w:space="0" w:color="auto"/>
              <w:right w:val="single" w:sz="4" w:space="0" w:color="auto"/>
            </w:tcBorders>
            <w:shd w:val="clear" w:color="auto" w:fill="auto"/>
            <w:noWrap/>
            <w:vAlign w:val="bottom"/>
            <w:hideMark/>
          </w:tcPr>
          <w:p w14:paraId="36DB4AE7" w14:textId="61F1C9BE" w:rsidR="005A52FA" w:rsidRPr="006735F6" w:rsidRDefault="005A52FA" w:rsidP="005A52FA">
            <w:pPr>
              <w:jc w:val="right"/>
              <w:rPr>
                <w:sz w:val="18"/>
                <w:szCs w:val="18"/>
                <w:lang w:val="fr-CA" w:eastAsia="en-CA"/>
              </w:rPr>
            </w:pPr>
            <w:r w:rsidRPr="006735F6">
              <w:rPr>
                <w:sz w:val="18"/>
                <w:szCs w:val="18"/>
                <w:lang w:val="fr-CA" w:eastAsia="en-CA"/>
              </w:rPr>
              <w:t>0</w:t>
            </w:r>
          </w:p>
        </w:tc>
        <w:tc>
          <w:tcPr>
            <w:tcW w:w="1640" w:type="dxa"/>
            <w:tcBorders>
              <w:top w:val="nil"/>
              <w:left w:val="nil"/>
              <w:bottom w:val="single" w:sz="4" w:space="0" w:color="auto"/>
              <w:right w:val="single" w:sz="4" w:space="0" w:color="auto"/>
            </w:tcBorders>
            <w:shd w:val="clear" w:color="auto" w:fill="auto"/>
            <w:noWrap/>
            <w:vAlign w:val="bottom"/>
            <w:hideMark/>
          </w:tcPr>
          <w:p w14:paraId="15D53F03" w14:textId="0331F854" w:rsidR="005A52FA" w:rsidRPr="006735F6" w:rsidRDefault="005A52FA" w:rsidP="005A52FA">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474" w:type="dxa"/>
            <w:tcBorders>
              <w:top w:val="nil"/>
              <w:left w:val="nil"/>
              <w:bottom w:val="single" w:sz="4" w:space="0" w:color="auto"/>
              <w:right w:val="single" w:sz="4" w:space="0" w:color="auto"/>
            </w:tcBorders>
            <w:shd w:val="clear" w:color="auto" w:fill="auto"/>
            <w:noWrap/>
            <w:vAlign w:val="bottom"/>
            <w:hideMark/>
          </w:tcPr>
          <w:p w14:paraId="30DF0752" w14:textId="22809F78" w:rsidR="005A52FA" w:rsidRPr="006735F6" w:rsidRDefault="005A52FA" w:rsidP="005A52FA">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5A52FA" w:rsidRPr="006735F6" w14:paraId="30EF4CF5"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6AF1B400" w14:textId="7101DF22" w:rsidR="005A52FA" w:rsidRPr="006735F6" w:rsidRDefault="005A52FA" w:rsidP="005A52FA">
            <w:pPr>
              <w:jc w:val="left"/>
              <w:rPr>
                <w:sz w:val="18"/>
                <w:szCs w:val="18"/>
                <w:lang w:val="fr-CA" w:eastAsia="en-CA"/>
              </w:rPr>
            </w:pPr>
            <w:r w:rsidRPr="00EF62E4">
              <w:rPr>
                <w:sz w:val="18"/>
                <w:szCs w:val="18"/>
                <w:lang w:val="fr-CA" w:eastAsia="en-CA"/>
              </w:rPr>
              <w:t>Production</w:t>
            </w:r>
          </w:p>
        </w:tc>
        <w:tc>
          <w:tcPr>
            <w:tcW w:w="1120" w:type="dxa"/>
            <w:tcBorders>
              <w:top w:val="nil"/>
              <w:left w:val="nil"/>
              <w:bottom w:val="single" w:sz="4" w:space="0" w:color="auto"/>
              <w:right w:val="single" w:sz="4" w:space="0" w:color="auto"/>
            </w:tcBorders>
            <w:shd w:val="clear" w:color="auto" w:fill="auto"/>
            <w:noWrap/>
            <w:vAlign w:val="bottom"/>
            <w:hideMark/>
          </w:tcPr>
          <w:p w14:paraId="55934D6C" w14:textId="77777777" w:rsidR="005A52FA" w:rsidRPr="006735F6" w:rsidRDefault="005A52FA" w:rsidP="005A52FA">
            <w:pPr>
              <w:jc w:val="right"/>
              <w:rPr>
                <w:sz w:val="18"/>
                <w:szCs w:val="18"/>
                <w:lang w:val="fr-CA" w:eastAsia="en-CA"/>
              </w:rPr>
            </w:pPr>
            <w:r w:rsidRPr="006735F6">
              <w:rPr>
                <w:sz w:val="18"/>
                <w:szCs w:val="18"/>
                <w:lang w:val="fr-CA"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0F0E17F5" w14:textId="59EADD7D" w:rsidR="005A52FA" w:rsidRPr="006735F6" w:rsidRDefault="005A52FA" w:rsidP="005A52FA">
            <w:pPr>
              <w:jc w:val="right"/>
              <w:rPr>
                <w:sz w:val="18"/>
                <w:szCs w:val="18"/>
                <w:lang w:val="fr-CA" w:eastAsia="en-CA"/>
              </w:rPr>
            </w:pPr>
            <w:r w:rsidRPr="006735F6">
              <w:rPr>
                <w:sz w:val="18"/>
                <w:szCs w:val="18"/>
                <w:lang w:val="fr-CA" w:eastAsia="en-CA"/>
              </w:rPr>
              <w:t>40</w:t>
            </w:r>
            <w:r>
              <w:rPr>
                <w:sz w:val="18"/>
                <w:szCs w:val="18"/>
                <w:lang w:val="fr-CA" w:eastAsia="en-CA"/>
              </w:rPr>
              <w:t xml:space="preserve"> </w:t>
            </w:r>
            <w:r w:rsidRPr="006735F6">
              <w:rPr>
                <w:sz w:val="18"/>
                <w:szCs w:val="18"/>
                <w:lang w:val="fr-CA" w:eastAsia="en-CA"/>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2AB9BED0" w14:textId="13D55EFC" w:rsidR="005A52FA" w:rsidRPr="006735F6" w:rsidRDefault="005A52FA" w:rsidP="005A52FA">
            <w:pPr>
              <w:jc w:val="right"/>
              <w:rPr>
                <w:sz w:val="18"/>
                <w:szCs w:val="18"/>
                <w:lang w:val="fr-CA" w:eastAsia="en-CA"/>
              </w:rPr>
            </w:pPr>
            <w:r w:rsidRPr="006735F6">
              <w:rPr>
                <w:sz w:val="18"/>
                <w:szCs w:val="18"/>
                <w:lang w:val="fr-CA"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2D9FCDE" w14:textId="77777777" w:rsidR="005A52FA" w:rsidRPr="006735F6" w:rsidRDefault="005A52FA" w:rsidP="005A52FA">
            <w:pPr>
              <w:jc w:val="right"/>
              <w:rPr>
                <w:sz w:val="18"/>
                <w:szCs w:val="18"/>
                <w:lang w:val="fr-CA" w:eastAsia="en-CA"/>
              </w:rPr>
            </w:pPr>
            <w:r w:rsidRPr="006735F6">
              <w:rPr>
                <w:sz w:val="18"/>
                <w:szCs w:val="18"/>
                <w:lang w:val="fr-CA" w:eastAsia="en-CA"/>
              </w:rPr>
              <w:t>4</w:t>
            </w:r>
          </w:p>
        </w:tc>
        <w:tc>
          <w:tcPr>
            <w:tcW w:w="1474" w:type="dxa"/>
            <w:tcBorders>
              <w:top w:val="nil"/>
              <w:left w:val="nil"/>
              <w:bottom w:val="single" w:sz="4" w:space="0" w:color="auto"/>
              <w:right w:val="single" w:sz="4" w:space="0" w:color="auto"/>
            </w:tcBorders>
            <w:shd w:val="clear" w:color="auto" w:fill="auto"/>
            <w:noWrap/>
            <w:vAlign w:val="bottom"/>
            <w:hideMark/>
          </w:tcPr>
          <w:p w14:paraId="6FC6992D" w14:textId="77777777" w:rsidR="005A52FA" w:rsidRPr="006735F6" w:rsidRDefault="005A52FA" w:rsidP="005A52FA">
            <w:pPr>
              <w:jc w:val="right"/>
              <w:rPr>
                <w:sz w:val="18"/>
                <w:szCs w:val="18"/>
                <w:lang w:val="fr-CA" w:eastAsia="en-CA"/>
              </w:rPr>
            </w:pPr>
            <w:r w:rsidRPr="006735F6">
              <w:rPr>
                <w:sz w:val="18"/>
                <w:szCs w:val="18"/>
                <w:lang w:val="fr-CA" w:eastAsia="en-CA"/>
              </w:rPr>
              <w:t>4</w:t>
            </w:r>
          </w:p>
        </w:tc>
      </w:tr>
      <w:tr w:rsidR="005A52FA" w:rsidRPr="006735F6" w14:paraId="418BD9E5"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67682559" w14:textId="19A2B37A" w:rsidR="005A52FA" w:rsidRPr="006735F6" w:rsidRDefault="005A52FA" w:rsidP="005A52FA">
            <w:pPr>
              <w:jc w:val="left"/>
              <w:rPr>
                <w:sz w:val="18"/>
                <w:szCs w:val="18"/>
                <w:lang w:val="fr-CA" w:eastAsia="en-CA"/>
              </w:rPr>
            </w:pPr>
            <w:r>
              <w:rPr>
                <w:sz w:val="18"/>
                <w:szCs w:val="18"/>
                <w:lang w:val="fr-CA" w:eastAsia="en-CA"/>
              </w:rPr>
              <w:t>Réfrigération</w:t>
            </w:r>
          </w:p>
        </w:tc>
        <w:tc>
          <w:tcPr>
            <w:tcW w:w="1120" w:type="dxa"/>
            <w:tcBorders>
              <w:top w:val="nil"/>
              <w:left w:val="nil"/>
              <w:bottom w:val="single" w:sz="4" w:space="0" w:color="auto"/>
              <w:right w:val="single" w:sz="4" w:space="0" w:color="auto"/>
            </w:tcBorders>
            <w:shd w:val="clear" w:color="auto" w:fill="auto"/>
            <w:noWrap/>
            <w:vAlign w:val="bottom"/>
            <w:hideMark/>
          </w:tcPr>
          <w:p w14:paraId="216DB913" w14:textId="77777777" w:rsidR="005A52FA" w:rsidRPr="006735F6" w:rsidRDefault="005A52FA" w:rsidP="005A52FA">
            <w:pPr>
              <w:jc w:val="right"/>
              <w:rPr>
                <w:sz w:val="18"/>
                <w:szCs w:val="18"/>
                <w:lang w:val="fr-CA" w:eastAsia="en-CA"/>
              </w:rPr>
            </w:pPr>
            <w:r w:rsidRPr="006735F6">
              <w:rPr>
                <w:sz w:val="18"/>
                <w:szCs w:val="18"/>
                <w:lang w:val="fr-CA" w:eastAsia="en-CA"/>
              </w:rPr>
              <w:t>638</w:t>
            </w:r>
          </w:p>
        </w:tc>
        <w:tc>
          <w:tcPr>
            <w:tcW w:w="1422" w:type="dxa"/>
            <w:tcBorders>
              <w:top w:val="nil"/>
              <w:left w:val="nil"/>
              <w:bottom w:val="single" w:sz="4" w:space="0" w:color="auto"/>
              <w:right w:val="single" w:sz="4" w:space="0" w:color="auto"/>
            </w:tcBorders>
            <w:shd w:val="clear" w:color="auto" w:fill="auto"/>
            <w:noWrap/>
            <w:vAlign w:val="bottom"/>
            <w:hideMark/>
          </w:tcPr>
          <w:p w14:paraId="0961DD68" w14:textId="45102CD7" w:rsidR="005A52FA" w:rsidRPr="006735F6" w:rsidRDefault="005A52FA" w:rsidP="005A52FA">
            <w:pPr>
              <w:jc w:val="right"/>
              <w:rPr>
                <w:sz w:val="18"/>
                <w:szCs w:val="18"/>
                <w:lang w:val="fr-CA" w:eastAsia="en-CA"/>
              </w:rPr>
            </w:pPr>
            <w:r w:rsidRPr="006735F6">
              <w:rPr>
                <w:sz w:val="18"/>
                <w:szCs w:val="18"/>
                <w:lang w:val="fr-CA" w:eastAsia="en-CA"/>
              </w:rPr>
              <w:t>91</w:t>
            </w:r>
            <w:r>
              <w:rPr>
                <w:sz w:val="18"/>
                <w:szCs w:val="18"/>
                <w:lang w:val="fr-CA" w:eastAsia="en-CA"/>
              </w:rPr>
              <w:t xml:space="preserve"> </w:t>
            </w:r>
            <w:r w:rsidRPr="006735F6">
              <w:rPr>
                <w:sz w:val="18"/>
                <w:szCs w:val="18"/>
                <w:lang w:val="fr-CA" w:eastAsia="en-CA"/>
              </w:rPr>
              <w:t>902</w:t>
            </w:r>
            <w:r>
              <w:rPr>
                <w:sz w:val="18"/>
                <w:szCs w:val="18"/>
                <w:lang w:val="fr-CA" w:eastAsia="en-CA"/>
              </w:rPr>
              <w:t xml:space="preserve"> </w:t>
            </w:r>
            <w:r w:rsidRPr="006735F6">
              <w:rPr>
                <w:sz w:val="18"/>
                <w:szCs w:val="18"/>
                <w:lang w:val="fr-CA" w:eastAsia="en-CA"/>
              </w:rPr>
              <w:t>739</w:t>
            </w:r>
          </w:p>
        </w:tc>
        <w:tc>
          <w:tcPr>
            <w:tcW w:w="1176" w:type="dxa"/>
            <w:tcBorders>
              <w:top w:val="nil"/>
              <w:left w:val="nil"/>
              <w:bottom w:val="single" w:sz="4" w:space="0" w:color="auto"/>
              <w:right w:val="single" w:sz="4" w:space="0" w:color="auto"/>
            </w:tcBorders>
            <w:shd w:val="clear" w:color="auto" w:fill="auto"/>
            <w:noWrap/>
            <w:vAlign w:val="bottom"/>
            <w:hideMark/>
          </w:tcPr>
          <w:p w14:paraId="0A77878C" w14:textId="7BA99EAB" w:rsidR="005A52FA" w:rsidRPr="006735F6" w:rsidRDefault="005A52FA" w:rsidP="005A52FA">
            <w:pPr>
              <w:jc w:val="right"/>
              <w:rPr>
                <w:sz w:val="18"/>
                <w:szCs w:val="18"/>
                <w:lang w:val="fr-CA" w:eastAsia="en-CA"/>
              </w:rPr>
            </w:pPr>
            <w:r w:rsidRPr="006735F6">
              <w:rPr>
                <w:sz w:val="18"/>
                <w:szCs w:val="18"/>
                <w:lang w:val="fr-CA"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2697B225" w14:textId="77777777" w:rsidR="005A52FA" w:rsidRPr="006735F6" w:rsidRDefault="005A52FA" w:rsidP="005A52FA">
            <w:pPr>
              <w:jc w:val="right"/>
              <w:rPr>
                <w:sz w:val="18"/>
                <w:szCs w:val="18"/>
                <w:lang w:val="fr-CA" w:eastAsia="en-CA"/>
              </w:rPr>
            </w:pPr>
            <w:r w:rsidRPr="006735F6">
              <w:rPr>
                <w:sz w:val="18"/>
                <w:szCs w:val="18"/>
                <w:lang w:val="fr-CA" w:eastAsia="en-CA"/>
              </w:rPr>
              <w:t>16</w:t>
            </w:r>
          </w:p>
        </w:tc>
        <w:tc>
          <w:tcPr>
            <w:tcW w:w="1474" w:type="dxa"/>
            <w:tcBorders>
              <w:top w:val="nil"/>
              <w:left w:val="nil"/>
              <w:bottom w:val="single" w:sz="4" w:space="0" w:color="auto"/>
              <w:right w:val="single" w:sz="4" w:space="0" w:color="auto"/>
            </w:tcBorders>
            <w:shd w:val="clear" w:color="auto" w:fill="auto"/>
            <w:noWrap/>
            <w:vAlign w:val="bottom"/>
            <w:hideMark/>
          </w:tcPr>
          <w:p w14:paraId="2499F655" w14:textId="77777777" w:rsidR="005A52FA" w:rsidRPr="006735F6" w:rsidRDefault="005A52FA" w:rsidP="005A52FA">
            <w:pPr>
              <w:jc w:val="right"/>
              <w:rPr>
                <w:sz w:val="18"/>
                <w:szCs w:val="18"/>
                <w:lang w:val="fr-CA" w:eastAsia="en-CA"/>
              </w:rPr>
            </w:pPr>
            <w:r w:rsidRPr="006735F6">
              <w:rPr>
                <w:sz w:val="18"/>
                <w:szCs w:val="18"/>
                <w:lang w:val="fr-CA" w:eastAsia="en-CA"/>
              </w:rPr>
              <w:t>50</w:t>
            </w:r>
          </w:p>
        </w:tc>
      </w:tr>
      <w:tr w:rsidR="005A52FA" w:rsidRPr="006735F6" w14:paraId="47043607"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2D32F6D1" w14:textId="5B4C1581" w:rsidR="005A52FA" w:rsidRPr="006735F6" w:rsidRDefault="005A52FA" w:rsidP="005A52FA">
            <w:pPr>
              <w:jc w:val="left"/>
              <w:rPr>
                <w:sz w:val="18"/>
                <w:szCs w:val="18"/>
                <w:lang w:val="fr-CA" w:eastAsia="en-CA"/>
              </w:rPr>
            </w:pPr>
            <w:r>
              <w:rPr>
                <w:sz w:val="18"/>
                <w:szCs w:val="18"/>
                <w:lang w:val="fr-CA" w:eastAsia="en-CA"/>
              </w:rPr>
              <w:t>Plusieurs</w:t>
            </w:r>
          </w:p>
        </w:tc>
        <w:tc>
          <w:tcPr>
            <w:tcW w:w="1120" w:type="dxa"/>
            <w:tcBorders>
              <w:top w:val="nil"/>
              <w:left w:val="nil"/>
              <w:bottom w:val="single" w:sz="4" w:space="0" w:color="auto"/>
              <w:right w:val="single" w:sz="4" w:space="0" w:color="auto"/>
            </w:tcBorders>
            <w:shd w:val="clear" w:color="auto" w:fill="auto"/>
            <w:noWrap/>
            <w:vAlign w:val="bottom"/>
            <w:hideMark/>
          </w:tcPr>
          <w:p w14:paraId="1733747D" w14:textId="2B727580" w:rsidR="005A52FA" w:rsidRPr="006735F6" w:rsidRDefault="005A52FA" w:rsidP="005A52FA">
            <w:pPr>
              <w:jc w:val="right"/>
              <w:rPr>
                <w:sz w:val="18"/>
                <w:szCs w:val="18"/>
                <w:lang w:val="fr-CA" w:eastAsia="en-CA"/>
              </w:rPr>
            </w:pPr>
            <w:r w:rsidRPr="006735F6">
              <w:rPr>
                <w:sz w:val="18"/>
                <w:szCs w:val="18"/>
                <w:lang w:val="fr-CA" w:eastAsia="en-CA"/>
              </w:rPr>
              <w:t>1</w:t>
            </w:r>
            <w:r>
              <w:rPr>
                <w:sz w:val="18"/>
                <w:szCs w:val="18"/>
                <w:lang w:val="fr-CA" w:eastAsia="en-CA"/>
              </w:rPr>
              <w:t xml:space="preserve"> </w:t>
            </w:r>
            <w:r w:rsidRPr="006735F6">
              <w:rPr>
                <w:sz w:val="18"/>
                <w:szCs w:val="18"/>
                <w:lang w:val="fr-CA" w:eastAsia="en-CA"/>
              </w:rPr>
              <w:t>801</w:t>
            </w:r>
          </w:p>
        </w:tc>
        <w:tc>
          <w:tcPr>
            <w:tcW w:w="1422" w:type="dxa"/>
            <w:tcBorders>
              <w:top w:val="nil"/>
              <w:left w:val="nil"/>
              <w:bottom w:val="single" w:sz="4" w:space="0" w:color="auto"/>
              <w:right w:val="single" w:sz="4" w:space="0" w:color="auto"/>
            </w:tcBorders>
            <w:shd w:val="clear" w:color="auto" w:fill="auto"/>
            <w:noWrap/>
            <w:vAlign w:val="bottom"/>
            <w:hideMark/>
          </w:tcPr>
          <w:p w14:paraId="2C089A9B" w14:textId="5F9249E4" w:rsidR="005A52FA" w:rsidRPr="006735F6" w:rsidRDefault="005A52FA" w:rsidP="005A52FA">
            <w:pPr>
              <w:jc w:val="right"/>
              <w:rPr>
                <w:sz w:val="18"/>
                <w:szCs w:val="18"/>
                <w:lang w:val="fr-CA" w:eastAsia="en-CA"/>
              </w:rPr>
            </w:pPr>
            <w:r w:rsidRPr="006735F6">
              <w:rPr>
                <w:sz w:val="18"/>
                <w:szCs w:val="18"/>
                <w:lang w:val="fr-CA" w:eastAsia="en-CA"/>
              </w:rPr>
              <w:t>323</w:t>
            </w:r>
            <w:r>
              <w:rPr>
                <w:sz w:val="18"/>
                <w:szCs w:val="18"/>
                <w:lang w:val="fr-CA" w:eastAsia="en-CA"/>
              </w:rPr>
              <w:t xml:space="preserve"> </w:t>
            </w:r>
            <w:r w:rsidRPr="006735F6">
              <w:rPr>
                <w:sz w:val="18"/>
                <w:szCs w:val="18"/>
                <w:lang w:val="fr-CA" w:eastAsia="en-CA"/>
              </w:rPr>
              <w:t>288</w:t>
            </w:r>
            <w:r>
              <w:rPr>
                <w:sz w:val="18"/>
                <w:szCs w:val="18"/>
                <w:lang w:val="fr-CA" w:eastAsia="en-CA"/>
              </w:rPr>
              <w:t xml:space="preserve"> </w:t>
            </w:r>
            <w:r w:rsidRPr="006735F6">
              <w:rPr>
                <w:sz w:val="18"/>
                <w:szCs w:val="18"/>
                <w:lang w:val="fr-CA" w:eastAsia="en-CA"/>
              </w:rPr>
              <w:t>119</w:t>
            </w:r>
          </w:p>
        </w:tc>
        <w:tc>
          <w:tcPr>
            <w:tcW w:w="1176" w:type="dxa"/>
            <w:tcBorders>
              <w:top w:val="nil"/>
              <w:left w:val="nil"/>
              <w:bottom w:val="single" w:sz="4" w:space="0" w:color="auto"/>
              <w:right w:val="single" w:sz="4" w:space="0" w:color="auto"/>
            </w:tcBorders>
            <w:shd w:val="clear" w:color="auto" w:fill="auto"/>
            <w:noWrap/>
            <w:vAlign w:val="bottom"/>
            <w:hideMark/>
          </w:tcPr>
          <w:p w14:paraId="611FF2D0" w14:textId="3538FE02" w:rsidR="005A52FA" w:rsidRPr="006735F6" w:rsidRDefault="005A52FA" w:rsidP="005A52FA">
            <w:pPr>
              <w:jc w:val="right"/>
              <w:rPr>
                <w:sz w:val="18"/>
                <w:szCs w:val="18"/>
                <w:lang w:val="fr-CA" w:eastAsia="en-CA"/>
              </w:rPr>
            </w:pPr>
            <w:r w:rsidRPr="006735F6">
              <w:rPr>
                <w:sz w:val="18"/>
                <w:szCs w:val="18"/>
                <w:lang w:val="fr-CA" w:eastAsia="en-CA"/>
              </w:rPr>
              <w:t>98</w:t>
            </w:r>
          </w:p>
        </w:tc>
        <w:tc>
          <w:tcPr>
            <w:tcW w:w="1640" w:type="dxa"/>
            <w:tcBorders>
              <w:top w:val="nil"/>
              <w:left w:val="nil"/>
              <w:bottom w:val="single" w:sz="4" w:space="0" w:color="auto"/>
              <w:right w:val="single" w:sz="4" w:space="0" w:color="auto"/>
            </w:tcBorders>
            <w:shd w:val="clear" w:color="auto" w:fill="auto"/>
            <w:noWrap/>
            <w:vAlign w:val="bottom"/>
            <w:hideMark/>
          </w:tcPr>
          <w:p w14:paraId="21B312D8" w14:textId="77777777" w:rsidR="005A52FA" w:rsidRPr="006735F6" w:rsidRDefault="005A52FA" w:rsidP="005A52FA">
            <w:pPr>
              <w:jc w:val="right"/>
              <w:rPr>
                <w:sz w:val="18"/>
                <w:szCs w:val="18"/>
                <w:lang w:val="fr-CA" w:eastAsia="en-CA"/>
              </w:rPr>
            </w:pPr>
            <w:r w:rsidRPr="006735F6">
              <w:rPr>
                <w:sz w:val="18"/>
                <w:szCs w:val="18"/>
                <w:lang w:val="fr-CA" w:eastAsia="en-CA"/>
              </w:rPr>
              <w:t>10</w:t>
            </w:r>
          </w:p>
        </w:tc>
        <w:tc>
          <w:tcPr>
            <w:tcW w:w="1474" w:type="dxa"/>
            <w:tcBorders>
              <w:top w:val="nil"/>
              <w:left w:val="nil"/>
              <w:bottom w:val="single" w:sz="4" w:space="0" w:color="auto"/>
              <w:right w:val="single" w:sz="4" w:space="0" w:color="auto"/>
            </w:tcBorders>
            <w:shd w:val="clear" w:color="auto" w:fill="auto"/>
            <w:noWrap/>
            <w:vAlign w:val="bottom"/>
            <w:hideMark/>
          </w:tcPr>
          <w:p w14:paraId="6DE6B6EB" w14:textId="77777777" w:rsidR="005A52FA" w:rsidRPr="006735F6" w:rsidRDefault="005A52FA" w:rsidP="005A52FA">
            <w:pPr>
              <w:jc w:val="right"/>
              <w:rPr>
                <w:sz w:val="18"/>
                <w:szCs w:val="18"/>
                <w:lang w:val="fr-CA" w:eastAsia="en-CA"/>
              </w:rPr>
            </w:pPr>
            <w:r w:rsidRPr="006735F6">
              <w:rPr>
                <w:sz w:val="18"/>
                <w:szCs w:val="18"/>
                <w:lang w:val="fr-CA" w:eastAsia="en-CA"/>
              </w:rPr>
              <w:t>32</w:t>
            </w:r>
          </w:p>
        </w:tc>
      </w:tr>
      <w:tr w:rsidR="005A52FA" w:rsidRPr="006735F6" w14:paraId="5D95AF25"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079990AD" w14:textId="4290B690" w:rsidR="005A52FA" w:rsidRPr="006735F6" w:rsidRDefault="005A52FA" w:rsidP="005A52FA">
            <w:pPr>
              <w:jc w:val="left"/>
              <w:rPr>
                <w:sz w:val="18"/>
                <w:szCs w:val="18"/>
                <w:lang w:val="fr-CA" w:eastAsia="en-CA"/>
              </w:rPr>
            </w:pPr>
            <w:r>
              <w:rPr>
                <w:sz w:val="18"/>
                <w:szCs w:val="18"/>
                <w:lang w:val="fr-CA" w:eastAsia="en-CA"/>
              </w:rPr>
              <w:t>Solvants</w:t>
            </w:r>
          </w:p>
        </w:tc>
        <w:tc>
          <w:tcPr>
            <w:tcW w:w="1120" w:type="dxa"/>
            <w:tcBorders>
              <w:top w:val="nil"/>
              <w:left w:val="nil"/>
              <w:bottom w:val="single" w:sz="4" w:space="0" w:color="auto"/>
              <w:right w:val="single" w:sz="4" w:space="0" w:color="auto"/>
            </w:tcBorders>
            <w:shd w:val="clear" w:color="auto" w:fill="auto"/>
            <w:noWrap/>
            <w:vAlign w:val="bottom"/>
            <w:hideMark/>
          </w:tcPr>
          <w:p w14:paraId="294FE011" w14:textId="77777777" w:rsidR="005A52FA" w:rsidRPr="006735F6" w:rsidRDefault="005A52FA" w:rsidP="005A52FA">
            <w:pPr>
              <w:jc w:val="right"/>
              <w:rPr>
                <w:sz w:val="18"/>
                <w:szCs w:val="18"/>
                <w:lang w:val="fr-CA" w:eastAsia="en-CA"/>
              </w:rPr>
            </w:pPr>
            <w:r w:rsidRPr="006735F6">
              <w:rPr>
                <w:sz w:val="18"/>
                <w:szCs w:val="18"/>
                <w:lang w:val="fr-CA" w:eastAsia="en-CA"/>
              </w:rPr>
              <w:t>34</w:t>
            </w:r>
          </w:p>
        </w:tc>
        <w:tc>
          <w:tcPr>
            <w:tcW w:w="1422" w:type="dxa"/>
            <w:tcBorders>
              <w:top w:val="nil"/>
              <w:left w:val="nil"/>
              <w:bottom w:val="single" w:sz="4" w:space="0" w:color="auto"/>
              <w:right w:val="single" w:sz="4" w:space="0" w:color="auto"/>
            </w:tcBorders>
            <w:shd w:val="clear" w:color="auto" w:fill="auto"/>
            <w:noWrap/>
            <w:vAlign w:val="bottom"/>
            <w:hideMark/>
          </w:tcPr>
          <w:p w14:paraId="7853ADE3" w14:textId="4CA4C825" w:rsidR="005A52FA" w:rsidRPr="006735F6" w:rsidRDefault="005A52FA" w:rsidP="005A52FA">
            <w:pPr>
              <w:jc w:val="right"/>
              <w:rPr>
                <w:sz w:val="18"/>
                <w:szCs w:val="18"/>
                <w:lang w:val="fr-CA" w:eastAsia="en-CA"/>
              </w:rPr>
            </w:pPr>
            <w:r w:rsidRPr="006735F6">
              <w:rPr>
                <w:sz w:val="18"/>
                <w:szCs w:val="18"/>
                <w:lang w:val="fr-CA" w:eastAsia="en-CA"/>
              </w:rPr>
              <w:t>3</w:t>
            </w:r>
            <w:r>
              <w:rPr>
                <w:sz w:val="18"/>
                <w:szCs w:val="18"/>
                <w:lang w:val="fr-CA" w:eastAsia="en-CA"/>
              </w:rPr>
              <w:t xml:space="preserve"> </w:t>
            </w:r>
            <w:r w:rsidRPr="006735F6">
              <w:rPr>
                <w:sz w:val="18"/>
                <w:szCs w:val="18"/>
                <w:lang w:val="fr-CA" w:eastAsia="en-CA"/>
              </w:rPr>
              <w:t>398</w:t>
            </w:r>
            <w:r>
              <w:rPr>
                <w:sz w:val="18"/>
                <w:szCs w:val="18"/>
                <w:lang w:val="fr-CA" w:eastAsia="en-CA"/>
              </w:rPr>
              <w:t xml:space="preserve"> </w:t>
            </w:r>
            <w:r w:rsidRPr="006735F6">
              <w:rPr>
                <w:sz w:val="18"/>
                <w:szCs w:val="18"/>
                <w:lang w:val="fr-CA" w:eastAsia="en-CA"/>
              </w:rPr>
              <w:t>782</w:t>
            </w:r>
          </w:p>
        </w:tc>
        <w:tc>
          <w:tcPr>
            <w:tcW w:w="1176" w:type="dxa"/>
            <w:tcBorders>
              <w:top w:val="nil"/>
              <w:left w:val="nil"/>
              <w:bottom w:val="single" w:sz="4" w:space="0" w:color="auto"/>
              <w:right w:val="single" w:sz="4" w:space="0" w:color="auto"/>
            </w:tcBorders>
            <w:shd w:val="clear" w:color="auto" w:fill="auto"/>
            <w:noWrap/>
            <w:vAlign w:val="bottom"/>
            <w:hideMark/>
          </w:tcPr>
          <w:p w14:paraId="3D42C2C5" w14:textId="66755E2D" w:rsidR="005A52FA" w:rsidRPr="006735F6" w:rsidRDefault="005A52FA" w:rsidP="005A52FA">
            <w:pPr>
              <w:jc w:val="right"/>
              <w:rPr>
                <w:sz w:val="18"/>
                <w:szCs w:val="18"/>
                <w:lang w:val="fr-CA" w:eastAsia="en-CA"/>
              </w:rPr>
            </w:pPr>
            <w:r w:rsidRPr="006735F6">
              <w:rPr>
                <w:sz w:val="18"/>
                <w:szCs w:val="18"/>
                <w:lang w:val="fr-CA"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4536C939" w14:textId="77777777" w:rsidR="005A52FA" w:rsidRPr="006735F6" w:rsidRDefault="005A52FA" w:rsidP="005A52FA">
            <w:pPr>
              <w:jc w:val="right"/>
              <w:rPr>
                <w:sz w:val="18"/>
                <w:szCs w:val="18"/>
                <w:lang w:val="fr-CA" w:eastAsia="en-CA"/>
              </w:rPr>
            </w:pPr>
            <w:r w:rsidRPr="006735F6">
              <w:rPr>
                <w:sz w:val="18"/>
                <w:szCs w:val="18"/>
                <w:lang w:val="fr-CA" w:eastAsia="en-CA"/>
              </w:rPr>
              <w:t>11</w:t>
            </w:r>
          </w:p>
        </w:tc>
        <w:tc>
          <w:tcPr>
            <w:tcW w:w="1474" w:type="dxa"/>
            <w:tcBorders>
              <w:top w:val="nil"/>
              <w:left w:val="nil"/>
              <w:bottom w:val="single" w:sz="4" w:space="0" w:color="auto"/>
              <w:right w:val="single" w:sz="4" w:space="0" w:color="auto"/>
            </w:tcBorders>
            <w:shd w:val="clear" w:color="auto" w:fill="auto"/>
            <w:noWrap/>
            <w:vAlign w:val="bottom"/>
            <w:hideMark/>
          </w:tcPr>
          <w:p w14:paraId="61D25863" w14:textId="77777777" w:rsidR="005A52FA" w:rsidRPr="006735F6" w:rsidRDefault="005A52FA" w:rsidP="005A52FA">
            <w:pPr>
              <w:jc w:val="right"/>
              <w:rPr>
                <w:sz w:val="18"/>
                <w:szCs w:val="18"/>
                <w:lang w:val="fr-CA" w:eastAsia="en-CA"/>
              </w:rPr>
            </w:pPr>
            <w:r w:rsidRPr="006735F6">
              <w:rPr>
                <w:sz w:val="18"/>
                <w:szCs w:val="18"/>
                <w:lang w:val="fr-CA" w:eastAsia="en-CA"/>
              </w:rPr>
              <w:t>27</w:t>
            </w:r>
          </w:p>
        </w:tc>
      </w:tr>
      <w:tr w:rsidR="005A52FA" w:rsidRPr="006735F6" w14:paraId="56FFB5D8"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526D0ED5" w14:textId="758115E0" w:rsidR="005A52FA" w:rsidRPr="006735F6" w:rsidRDefault="005A52FA" w:rsidP="005A52FA">
            <w:pPr>
              <w:jc w:val="left"/>
              <w:rPr>
                <w:sz w:val="18"/>
                <w:szCs w:val="18"/>
                <w:lang w:val="fr-CA" w:eastAsia="en-CA"/>
              </w:rPr>
            </w:pPr>
            <w:r>
              <w:rPr>
                <w:sz w:val="18"/>
                <w:szCs w:val="18"/>
                <w:lang w:val="fr-CA" w:eastAsia="en-CA"/>
              </w:rPr>
              <w:t>Stérilisants</w:t>
            </w:r>
          </w:p>
        </w:tc>
        <w:tc>
          <w:tcPr>
            <w:tcW w:w="1120" w:type="dxa"/>
            <w:tcBorders>
              <w:top w:val="nil"/>
              <w:left w:val="nil"/>
              <w:bottom w:val="single" w:sz="4" w:space="0" w:color="auto"/>
              <w:right w:val="single" w:sz="4" w:space="0" w:color="auto"/>
            </w:tcBorders>
            <w:shd w:val="clear" w:color="auto" w:fill="auto"/>
            <w:noWrap/>
            <w:vAlign w:val="bottom"/>
            <w:hideMark/>
          </w:tcPr>
          <w:p w14:paraId="3CDEECE7" w14:textId="77777777" w:rsidR="005A52FA" w:rsidRPr="006735F6" w:rsidRDefault="005A52FA" w:rsidP="005A52FA">
            <w:pPr>
              <w:jc w:val="right"/>
              <w:rPr>
                <w:sz w:val="18"/>
                <w:szCs w:val="18"/>
                <w:lang w:val="fr-CA" w:eastAsia="en-CA"/>
              </w:rPr>
            </w:pPr>
            <w:r w:rsidRPr="006735F6">
              <w:rPr>
                <w:sz w:val="18"/>
                <w:szCs w:val="18"/>
                <w:lang w:val="fr-CA" w:eastAsia="en-CA"/>
              </w:rPr>
              <w:t>0</w:t>
            </w:r>
          </w:p>
        </w:tc>
        <w:tc>
          <w:tcPr>
            <w:tcW w:w="1422" w:type="dxa"/>
            <w:tcBorders>
              <w:top w:val="nil"/>
              <w:left w:val="nil"/>
              <w:bottom w:val="single" w:sz="4" w:space="0" w:color="auto"/>
              <w:right w:val="single" w:sz="4" w:space="0" w:color="auto"/>
            </w:tcBorders>
            <w:shd w:val="clear" w:color="auto" w:fill="auto"/>
            <w:noWrap/>
            <w:vAlign w:val="bottom"/>
            <w:hideMark/>
          </w:tcPr>
          <w:p w14:paraId="4F33267E" w14:textId="77777777" w:rsidR="005A52FA" w:rsidRPr="006735F6" w:rsidRDefault="005A52FA" w:rsidP="005A52FA">
            <w:pPr>
              <w:jc w:val="right"/>
              <w:rPr>
                <w:sz w:val="18"/>
                <w:szCs w:val="18"/>
                <w:lang w:val="fr-CA" w:eastAsia="en-CA"/>
              </w:rPr>
            </w:pPr>
            <w:r w:rsidRPr="006735F6">
              <w:rPr>
                <w:sz w:val="18"/>
                <w:szCs w:val="18"/>
                <w:lang w:val="fr-CA" w:eastAsia="en-CA"/>
              </w:rPr>
              <w:t>0</w:t>
            </w:r>
          </w:p>
        </w:tc>
        <w:tc>
          <w:tcPr>
            <w:tcW w:w="1176" w:type="dxa"/>
            <w:tcBorders>
              <w:top w:val="nil"/>
              <w:left w:val="nil"/>
              <w:bottom w:val="single" w:sz="4" w:space="0" w:color="auto"/>
              <w:right w:val="single" w:sz="4" w:space="0" w:color="auto"/>
            </w:tcBorders>
            <w:shd w:val="clear" w:color="auto" w:fill="auto"/>
            <w:noWrap/>
            <w:vAlign w:val="bottom"/>
            <w:hideMark/>
          </w:tcPr>
          <w:p w14:paraId="7858A209" w14:textId="3FAAE12E" w:rsidR="005A52FA" w:rsidRPr="006735F6" w:rsidRDefault="005A52FA" w:rsidP="005A52FA">
            <w:pPr>
              <w:jc w:val="right"/>
              <w:rPr>
                <w:sz w:val="18"/>
                <w:szCs w:val="18"/>
                <w:lang w:val="fr-CA" w:eastAsia="en-CA"/>
              </w:rPr>
            </w:pPr>
            <w:r w:rsidRPr="006735F6">
              <w:rPr>
                <w:sz w:val="18"/>
                <w:szCs w:val="18"/>
                <w:lang w:val="fr-CA" w:eastAsia="en-CA"/>
              </w:rPr>
              <w:t>0</w:t>
            </w:r>
          </w:p>
        </w:tc>
        <w:tc>
          <w:tcPr>
            <w:tcW w:w="1640" w:type="dxa"/>
            <w:tcBorders>
              <w:top w:val="nil"/>
              <w:left w:val="nil"/>
              <w:bottom w:val="single" w:sz="4" w:space="0" w:color="auto"/>
              <w:right w:val="single" w:sz="4" w:space="0" w:color="auto"/>
            </w:tcBorders>
            <w:shd w:val="clear" w:color="auto" w:fill="auto"/>
            <w:noWrap/>
            <w:vAlign w:val="bottom"/>
            <w:hideMark/>
          </w:tcPr>
          <w:p w14:paraId="7B4D338B" w14:textId="30A8CD0C" w:rsidR="005A52FA" w:rsidRPr="006735F6" w:rsidRDefault="005A52FA" w:rsidP="005A52FA">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474" w:type="dxa"/>
            <w:tcBorders>
              <w:top w:val="nil"/>
              <w:left w:val="nil"/>
              <w:bottom w:val="single" w:sz="4" w:space="0" w:color="auto"/>
              <w:right w:val="single" w:sz="4" w:space="0" w:color="auto"/>
            </w:tcBorders>
            <w:shd w:val="clear" w:color="auto" w:fill="auto"/>
            <w:noWrap/>
            <w:vAlign w:val="bottom"/>
            <w:hideMark/>
          </w:tcPr>
          <w:p w14:paraId="5BBF5A80" w14:textId="630C57C6" w:rsidR="005A52FA" w:rsidRPr="006735F6" w:rsidRDefault="005A52FA" w:rsidP="005A52FA">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5A52FA" w:rsidRPr="00D303D6" w14:paraId="6A3EC83B" w14:textId="77777777" w:rsidTr="005A52FA">
        <w:trPr>
          <w:trHeight w:val="204"/>
        </w:trPr>
        <w:tc>
          <w:tcPr>
            <w:tcW w:w="2840" w:type="dxa"/>
            <w:tcBorders>
              <w:top w:val="nil"/>
              <w:left w:val="single" w:sz="4" w:space="0" w:color="auto"/>
              <w:bottom w:val="nil"/>
              <w:right w:val="nil"/>
            </w:tcBorders>
            <w:shd w:val="clear" w:color="auto" w:fill="auto"/>
            <w:noWrap/>
            <w:vAlign w:val="bottom"/>
            <w:hideMark/>
          </w:tcPr>
          <w:p w14:paraId="2AEFF50A" w14:textId="1A74974C" w:rsidR="005A52FA" w:rsidRPr="006735F6" w:rsidRDefault="005A52FA" w:rsidP="005A52FA">
            <w:pPr>
              <w:jc w:val="left"/>
              <w:rPr>
                <w:b/>
                <w:bCs/>
                <w:sz w:val="18"/>
                <w:szCs w:val="18"/>
                <w:lang w:val="fr-CA" w:eastAsia="en-CA"/>
              </w:rPr>
            </w:pPr>
            <w:r>
              <w:rPr>
                <w:b/>
                <w:bCs/>
                <w:sz w:val="18"/>
                <w:szCs w:val="18"/>
                <w:lang w:val="fr-CA" w:eastAsia="en-CA"/>
              </w:rPr>
              <w:t xml:space="preserve">Caractéristiques de la mise en œuvre </w:t>
            </w:r>
          </w:p>
        </w:tc>
        <w:tc>
          <w:tcPr>
            <w:tcW w:w="1120" w:type="dxa"/>
            <w:tcBorders>
              <w:top w:val="nil"/>
              <w:left w:val="nil"/>
              <w:bottom w:val="nil"/>
              <w:right w:val="nil"/>
            </w:tcBorders>
            <w:shd w:val="clear" w:color="auto" w:fill="auto"/>
            <w:noWrap/>
            <w:vAlign w:val="bottom"/>
            <w:hideMark/>
          </w:tcPr>
          <w:p w14:paraId="529844BE" w14:textId="77777777" w:rsidR="005A52FA" w:rsidRPr="006735F6" w:rsidRDefault="005A52FA" w:rsidP="005A52FA">
            <w:pPr>
              <w:jc w:val="left"/>
              <w:rPr>
                <w:b/>
                <w:bCs/>
                <w:sz w:val="18"/>
                <w:szCs w:val="18"/>
                <w:lang w:val="fr-CA" w:eastAsia="en-CA"/>
              </w:rPr>
            </w:pPr>
          </w:p>
        </w:tc>
        <w:tc>
          <w:tcPr>
            <w:tcW w:w="1422" w:type="dxa"/>
            <w:tcBorders>
              <w:top w:val="nil"/>
              <w:left w:val="nil"/>
              <w:bottom w:val="nil"/>
              <w:right w:val="nil"/>
            </w:tcBorders>
            <w:shd w:val="clear" w:color="auto" w:fill="auto"/>
            <w:noWrap/>
            <w:vAlign w:val="bottom"/>
            <w:hideMark/>
          </w:tcPr>
          <w:p w14:paraId="36920B22" w14:textId="77777777" w:rsidR="005A52FA" w:rsidRPr="006735F6" w:rsidRDefault="005A52FA" w:rsidP="005A52FA">
            <w:pPr>
              <w:jc w:val="left"/>
              <w:rPr>
                <w:sz w:val="18"/>
                <w:szCs w:val="18"/>
                <w:lang w:val="fr-CA" w:eastAsia="en-CA"/>
              </w:rPr>
            </w:pPr>
          </w:p>
        </w:tc>
        <w:tc>
          <w:tcPr>
            <w:tcW w:w="1176" w:type="dxa"/>
            <w:tcBorders>
              <w:top w:val="nil"/>
              <w:left w:val="nil"/>
              <w:bottom w:val="nil"/>
              <w:right w:val="nil"/>
            </w:tcBorders>
            <w:shd w:val="clear" w:color="auto" w:fill="auto"/>
            <w:noWrap/>
            <w:vAlign w:val="bottom"/>
            <w:hideMark/>
          </w:tcPr>
          <w:p w14:paraId="1BC1F697" w14:textId="77777777" w:rsidR="005A52FA" w:rsidRPr="006735F6" w:rsidRDefault="005A52FA" w:rsidP="005A52FA">
            <w:pPr>
              <w:jc w:val="left"/>
              <w:rPr>
                <w:sz w:val="18"/>
                <w:szCs w:val="18"/>
                <w:lang w:val="fr-CA" w:eastAsia="en-CA"/>
              </w:rPr>
            </w:pPr>
          </w:p>
        </w:tc>
        <w:tc>
          <w:tcPr>
            <w:tcW w:w="1640" w:type="dxa"/>
            <w:tcBorders>
              <w:top w:val="nil"/>
              <w:left w:val="nil"/>
              <w:bottom w:val="nil"/>
              <w:right w:val="nil"/>
            </w:tcBorders>
            <w:shd w:val="clear" w:color="auto" w:fill="auto"/>
            <w:noWrap/>
            <w:vAlign w:val="bottom"/>
            <w:hideMark/>
          </w:tcPr>
          <w:p w14:paraId="7B1DAD28" w14:textId="77777777" w:rsidR="005A52FA" w:rsidRPr="006735F6" w:rsidRDefault="005A52FA" w:rsidP="005A52FA">
            <w:pPr>
              <w:jc w:val="left"/>
              <w:rPr>
                <w:sz w:val="18"/>
                <w:szCs w:val="18"/>
                <w:lang w:val="fr-CA" w:eastAsia="en-CA"/>
              </w:rPr>
            </w:pPr>
          </w:p>
        </w:tc>
        <w:tc>
          <w:tcPr>
            <w:tcW w:w="1474" w:type="dxa"/>
            <w:tcBorders>
              <w:top w:val="nil"/>
              <w:left w:val="nil"/>
              <w:bottom w:val="nil"/>
              <w:right w:val="single" w:sz="4" w:space="0" w:color="auto"/>
            </w:tcBorders>
            <w:shd w:val="clear" w:color="auto" w:fill="auto"/>
            <w:noWrap/>
            <w:vAlign w:val="bottom"/>
            <w:hideMark/>
          </w:tcPr>
          <w:p w14:paraId="3C88E17A" w14:textId="77777777" w:rsidR="005A52FA" w:rsidRPr="006735F6" w:rsidRDefault="005A52FA" w:rsidP="005A52FA">
            <w:pPr>
              <w:jc w:val="right"/>
              <w:rPr>
                <w:sz w:val="18"/>
                <w:szCs w:val="18"/>
                <w:lang w:val="fr-CA" w:eastAsia="en-CA"/>
              </w:rPr>
            </w:pPr>
            <w:r w:rsidRPr="006735F6">
              <w:rPr>
                <w:sz w:val="18"/>
                <w:szCs w:val="18"/>
                <w:lang w:val="fr-CA" w:eastAsia="en-CA"/>
              </w:rPr>
              <w:t> </w:t>
            </w:r>
          </w:p>
        </w:tc>
      </w:tr>
      <w:tr w:rsidR="005A52FA" w:rsidRPr="006735F6" w14:paraId="52FFDA30" w14:textId="77777777" w:rsidTr="005A52FA">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hideMark/>
          </w:tcPr>
          <w:p w14:paraId="05946125" w14:textId="09653A7A" w:rsidR="005A52FA" w:rsidRPr="006735F6" w:rsidRDefault="005A52FA" w:rsidP="005A52FA">
            <w:pPr>
              <w:jc w:val="left"/>
              <w:rPr>
                <w:sz w:val="18"/>
                <w:szCs w:val="18"/>
                <w:lang w:val="fr-CA" w:eastAsia="en-CA"/>
              </w:rPr>
            </w:pPr>
            <w:r>
              <w:rPr>
                <w:sz w:val="18"/>
                <w:szCs w:val="18"/>
                <w:lang w:val="fr-CA" w:eastAsia="en-CA"/>
              </w:rPr>
              <w:t>Mise en œuvre par l’agence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85F7686" w14:textId="38A236C5" w:rsidR="005A52FA" w:rsidRPr="006735F6" w:rsidRDefault="005A52FA" w:rsidP="005A52FA">
            <w:pPr>
              <w:jc w:val="right"/>
              <w:rPr>
                <w:sz w:val="18"/>
                <w:szCs w:val="18"/>
                <w:lang w:val="fr-CA" w:eastAsia="en-CA"/>
              </w:rPr>
            </w:pPr>
            <w:r w:rsidRPr="006735F6">
              <w:rPr>
                <w:sz w:val="18"/>
                <w:szCs w:val="18"/>
                <w:lang w:val="fr-CA" w:eastAsia="en-CA"/>
              </w:rPr>
              <w:t>2</w:t>
            </w:r>
            <w:r>
              <w:rPr>
                <w:sz w:val="18"/>
                <w:szCs w:val="18"/>
                <w:lang w:val="fr-CA" w:eastAsia="en-CA"/>
              </w:rPr>
              <w:t xml:space="preserve"> </w:t>
            </w:r>
            <w:r w:rsidRPr="006735F6">
              <w:rPr>
                <w:sz w:val="18"/>
                <w:szCs w:val="18"/>
                <w:lang w:val="fr-CA" w:eastAsia="en-CA"/>
              </w:rPr>
              <w:t>724</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7152C15A" w14:textId="174E3511" w:rsidR="005A52FA" w:rsidRPr="006735F6" w:rsidRDefault="005A52FA" w:rsidP="005A52FA">
            <w:pPr>
              <w:jc w:val="right"/>
              <w:rPr>
                <w:sz w:val="18"/>
                <w:szCs w:val="18"/>
                <w:lang w:val="fr-CA" w:eastAsia="en-CA"/>
              </w:rPr>
            </w:pPr>
            <w:r w:rsidRPr="006735F6">
              <w:rPr>
                <w:sz w:val="18"/>
                <w:szCs w:val="18"/>
                <w:lang w:val="fr-CA" w:eastAsia="en-CA"/>
              </w:rPr>
              <w:t>398</w:t>
            </w:r>
            <w:r>
              <w:rPr>
                <w:sz w:val="18"/>
                <w:szCs w:val="18"/>
                <w:lang w:val="fr-CA" w:eastAsia="en-CA"/>
              </w:rPr>
              <w:t xml:space="preserve"> </w:t>
            </w:r>
            <w:r w:rsidRPr="006735F6">
              <w:rPr>
                <w:sz w:val="18"/>
                <w:szCs w:val="18"/>
                <w:lang w:val="fr-CA" w:eastAsia="en-CA"/>
              </w:rPr>
              <w:t>241</w:t>
            </w:r>
            <w:r>
              <w:rPr>
                <w:sz w:val="18"/>
                <w:szCs w:val="18"/>
                <w:lang w:val="fr-CA" w:eastAsia="en-CA"/>
              </w:rPr>
              <w:t xml:space="preserve"> </w:t>
            </w:r>
            <w:r w:rsidRPr="006735F6">
              <w:rPr>
                <w:sz w:val="18"/>
                <w:szCs w:val="18"/>
                <w:lang w:val="fr-CA" w:eastAsia="en-CA"/>
              </w:rPr>
              <w:t>985</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0ED08F43" w14:textId="198D6CB8" w:rsidR="005A52FA" w:rsidRPr="006735F6" w:rsidRDefault="005A52FA" w:rsidP="005A52FA">
            <w:pPr>
              <w:jc w:val="right"/>
              <w:rPr>
                <w:sz w:val="18"/>
                <w:szCs w:val="18"/>
                <w:lang w:val="fr-CA" w:eastAsia="en-CA"/>
              </w:rPr>
            </w:pPr>
            <w:r w:rsidRPr="006735F6">
              <w:rPr>
                <w:sz w:val="18"/>
                <w:szCs w:val="18"/>
                <w:lang w:val="fr-CA" w:eastAsia="en-CA"/>
              </w:rPr>
              <w:t>98</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14B0AA" w14:textId="77777777" w:rsidR="005A52FA" w:rsidRPr="006735F6" w:rsidRDefault="005A52FA" w:rsidP="005A52FA">
            <w:pPr>
              <w:jc w:val="right"/>
              <w:rPr>
                <w:sz w:val="18"/>
                <w:szCs w:val="18"/>
                <w:lang w:val="fr-CA" w:eastAsia="en-CA"/>
              </w:rPr>
            </w:pPr>
            <w:r w:rsidRPr="006735F6">
              <w:rPr>
                <w:sz w:val="18"/>
                <w:szCs w:val="18"/>
                <w:lang w:val="fr-CA" w:eastAsia="en-CA"/>
              </w:rPr>
              <w:t>11</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1ECA53DC" w14:textId="77777777" w:rsidR="005A52FA" w:rsidRPr="006735F6" w:rsidRDefault="005A52FA" w:rsidP="005A52FA">
            <w:pPr>
              <w:jc w:val="right"/>
              <w:rPr>
                <w:sz w:val="18"/>
                <w:szCs w:val="18"/>
                <w:lang w:val="fr-CA" w:eastAsia="en-CA"/>
              </w:rPr>
            </w:pPr>
            <w:r w:rsidRPr="006735F6">
              <w:rPr>
                <w:sz w:val="18"/>
                <w:szCs w:val="18"/>
                <w:lang w:val="fr-CA" w:eastAsia="en-CA"/>
              </w:rPr>
              <w:t>37</w:t>
            </w:r>
          </w:p>
        </w:tc>
      </w:tr>
      <w:tr w:rsidR="005A52FA" w:rsidRPr="006735F6" w14:paraId="223829C7"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3C625747" w14:textId="71291AB6" w:rsidR="005A52FA" w:rsidRPr="006735F6" w:rsidRDefault="005A52FA" w:rsidP="005A52FA">
            <w:pPr>
              <w:jc w:val="left"/>
              <w:rPr>
                <w:sz w:val="18"/>
                <w:szCs w:val="18"/>
                <w:lang w:val="fr-CA" w:eastAsia="en-CA"/>
              </w:rPr>
            </w:pPr>
            <w:r>
              <w:rPr>
                <w:sz w:val="18"/>
                <w:szCs w:val="18"/>
                <w:lang w:val="fr-CA" w:eastAsia="en-CA"/>
              </w:rPr>
              <w:t>Mise en œuvre par le pays</w:t>
            </w:r>
          </w:p>
        </w:tc>
        <w:tc>
          <w:tcPr>
            <w:tcW w:w="1120" w:type="dxa"/>
            <w:tcBorders>
              <w:top w:val="nil"/>
              <w:left w:val="nil"/>
              <w:bottom w:val="single" w:sz="4" w:space="0" w:color="auto"/>
              <w:right w:val="single" w:sz="4" w:space="0" w:color="auto"/>
            </w:tcBorders>
            <w:shd w:val="clear" w:color="auto" w:fill="auto"/>
            <w:noWrap/>
            <w:vAlign w:val="bottom"/>
            <w:hideMark/>
          </w:tcPr>
          <w:p w14:paraId="23BB1197" w14:textId="77777777" w:rsidR="005A52FA" w:rsidRPr="006735F6" w:rsidRDefault="005A52FA" w:rsidP="005A52FA">
            <w:pPr>
              <w:jc w:val="right"/>
              <w:rPr>
                <w:sz w:val="18"/>
                <w:szCs w:val="18"/>
                <w:lang w:val="fr-CA" w:eastAsia="en-CA"/>
              </w:rPr>
            </w:pPr>
            <w:r w:rsidRPr="006735F6">
              <w:rPr>
                <w:sz w:val="18"/>
                <w:szCs w:val="18"/>
                <w:lang w:val="fr-CA" w:eastAsia="en-CA"/>
              </w:rPr>
              <w:t>616</w:t>
            </w:r>
          </w:p>
        </w:tc>
        <w:tc>
          <w:tcPr>
            <w:tcW w:w="1422" w:type="dxa"/>
            <w:tcBorders>
              <w:top w:val="nil"/>
              <w:left w:val="nil"/>
              <w:bottom w:val="single" w:sz="4" w:space="0" w:color="auto"/>
              <w:right w:val="single" w:sz="4" w:space="0" w:color="auto"/>
            </w:tcBorders>
            <w:shd w:val="clear" w:color="auto" w:fill="auto"/>
            <w:noWrap/>
            <w:vAlign w:val="bottom"/>
            <w:hideMark/>
          </w:tcPr>
          <w:p w14:paraId="5A9E9CAE" w14:textId="29E195B4" w:rsidR="005A52FA" w:rsidRPr="006735F6" w:rsidRDefault="005A52FA" w:rsidP="005A52FA">
            <w:pPr>
              <w:jc w:val="right"/>
              <w:rPr>
                <w:sz w:val="18"/>
                <w:szCs w:val="18"/>
                <w:lang w:val="fr-CA" w:eastAsia="en-CA"/>
              </w:rPr>
            </w:pPr>
            <w:r w:rsidRPr="006735F6">
              <w:rPr>
                <w:sz w:val="18"/>
                <w:szCs w:val="18"/>
                <w:lang w:val="fr-CA" w:eastAsia="en-CA"/>
              </w:rPr>
              <w:t>128</w:t>
            </w:r>
            <w:r>
              <w:rPr>
                <w:sz w:val="18"/>
                <w:szCs w:val="18"/>
                <w:lang w:val="fr-CA" w:eastAsia="en-CA"/>
              </w:rPr>
              <w:t xml:space="preserve"> </w:t>
            </w:r>
            <w:r w:rsidRPr="006735F6">
              <w:rPr>
                <w:sz w:val="18"/>
                <w:szCs w:val="18"/>
                <w:lang w:val="fr-CA" w:eastAsia="en-CA"/>
              </w:rPr>
              <w:t>688</w:t>
            </w:r>
            <w:r>
              <w:rPr>
                <w:sz w:val="18"/>
                <w:szCs w:val="18"/>
                <w:lang w:val="fr-CA" w:eastAsia="en-CA"/>
              </w:rPr>
              <w:t xml:space="preserve"> </w:t>
            </w:r>
            <w:r w:rsidRPr="006735F6">
              <w:rPr>
                <w:sz w:val="18"/>
                <w:szCs w:val="18"/>
                <w:lang w:val="fr-CA" w:eastAsia="en-CA"/>
              </w:rPr>
              <w:t>508</w:t>
            </w:r>
          </w:p>
        </w:tc>
        <w:tc>
          <w:tcPr>
            <w:tcW w:w="1176" w:type="dxa"/>
            <w:tcBorders>
              <w:top w:val="nil"/>
              <w:left w:val="nil"/>
              <w:bottom w:val="single" w:sz="4" w:space="0" w:color="auto"/>
              <w:right w:val="single" w:sz="4" w:space="0" w:color="auto"/>
            </w:tcBorders>
            <w:shd w:val="clear" w:color="auto" w:fill="auto"/>
            <w:noWrap/>
            <w:vAlign w:val="bottom"/>
            <w:hideMark/>
          </w:tcPr>
          <w:p w14:paraId="11ED9C5A" w14:textId="61907B80" w:rsidR="005A52FA" w:rsidRPr="006735F6" w:rsidRDefault="005A52FA" w:rsidP="005A52FA">
            <w:pPr>
              <w:jc w:val="right"/>
              <w:rPr>
                <w:sz w:val="18"/>
                <w:szCs w:val="18"/>
                <w:lang w:val="fr-CA" w:eastAsia="en-CA"/>
              </w:rPr>
            </w:pPr>
            <w:r w:rsidRPr="006735F6">
              <w:rPr>
                <w:sz w:val="18"/>
                <w:szCs w:val="18"/>
                <w:lang w:val="fr-CA" w:eastAsia="en-CA"/>
              </w:rPr>
              <w:t>99</w:t>
            </w:r>
          </w:p>
        </w:tc>
        <w:tc>
          <w:tcPr>
            <w:tcW w:w="1640" w:type="dxa"/>
            <w:tcBorders>
              <w:top w:val="nil"/>
              <w:left w:val="nil"/>
              <w:bottom w:val="single" w:sz="4" w:space="0" w:color="auto"/>
              <w:right w:val="single" w:sz="4" w:space="0" w:color="auto"/>
            </w:tcBorders>
            <w:shd w:val="clear" w:color="auto" w:fill="auto"/>
            <w:noWrap/>
            <w:vAlign w:val="bottom"/>
            <w:hideMark/>
          </w:tcPr>
          <w:p w14:paraId="6393D3B4" w14:textId="77777777" w:rsidR="005A52FA" w:rsidRPr="006735F6" w:rsidRDefault="005A52FA" w:rsidP="005A52FA">
            <w:pPr>
              <w:jc w:val="right"/>
              <w:rPr>
                <w:sz w:val="18"/>
                <w:szCs w:val="18"/>
                <w:lang w:val="fr-CA" w:eastAsia="en-CA"/>
              </w:rPr>
            </w:pPr>
            <w:r w:rsidRPr="006735F6">
              <w:rPr>
                <w:sz w:val="18"/>
                <w:szCs w:val="18"/>
                <w:lang w:val="fr-CA" w:eastAsia="en-CA"/>
              </w:rPr>
              <w:t>14</w:t>
            </w:r>
          </w:p>
        </w:tc>
        <w:tc>
          <w:tcPr>
            <w:tcW w:w="1474" w:type="dxa"/>
            <w:tcBorders>
              <w:top w:val="nil"/>
              <w:left w:val="nil"/>
              <w:bottom w:val="single" w:sz="4" w:space="0" w:color="auto"/>
              <w:right w:val="single" w:sz="4" w:space="0" w:color="auto"/>
            </w:tcBorders>
            <w:shd w:val="clear" w:color="auto" w:fill="auto"/>
            <w:noWrap/>
            <w:vAlign w:val="bottom"/>
            <w:hideMark/>
          </w:tcPr>
          <w:p w14:paraId="392D8445" w14:textId="77777777" w:rsidR="005A52FA" w:rsidRPr="006735F6" w:rsidRDefault="005A52FA" w:rsidP="005A52FA">
            <w:pPr>
              <w:jc w:val="right"/>
              <w:rPr>
                <w:sz w:val="18"/>
                <w:szCs w:val="18"/>
                <w:lang w:val="fr-CA" w:eastAsia="en-CA"/>
              </w:rPr>
            </w:pPr>
            <w:r w:rsidRPr="006735F6">
              <w:rPr>
                <w:sz w:val="18"/>
                <w:szCs w:val="18"/>
                <w:lang w:val="fr-CA" w:eastAsia="en-CA"/>
              </w:rPr>
              <w:t>41</w:t>
            </w:r>
          </w:p>
        </w:tc>
      </w:tr>
      <w:tr w:rsidR="005A52FA" w:rsidRPr="006735F6" w14:paraId="26E9B471" w14:textId="77777777" w:rsidTr="005A52FA">
        <w:trPr>
          <w:trHeight w:val="204"/>
        </w:trPr>
        <w:tc>
          <w:tcPr>
            <w:tcW w:w="2840" w:type="dxa"/>
            <w:tcBorders>
              <w:top w:val="nil"/>
              <w:left w:val="single" w:sz="4" w:space="0" w:color="auto"/>
              <w:bottom w:val="nil"/>
              <w:right w:val="nil"/>
            </w:tcBorders>
            <w:shd w:val="clear" w:color="auto" w:fill="auto"/>
            <w:noWrap/>
            <w:vAlign w:val="bottom"/>
            <w:hideMark/>
          </w:tcPr>
          <w:p w14:paraId="5FA7818C" w14:textId="0662E3E8" w:rsidR="005A52FA" w:rsidRPr="006735F6" w:rsidRDefault="005A52FA" w:rsidP="005A52FA">
            <w:pPr>
              <w:jc w:val="left"/>
              <w:rPr>
                <w:b/>
                <w:bCs/>
                <w:sz w:val="18"/>
                <w:szCs w:val="18"/>
                <w:lang w:val="fr-CA" w:eastAsia="en-CA"/>
              </w:rPr>
            </w:pPr>
            <w:r>
              <w:rPr>
                <w:b/>
                <w:bCs/>
                <w:sz w:val="18"/>
                <w:szCs w:val="18"/>
                <w:lang w:val="fr-CA" w:eastAsia="en-CA"/>
              </w:rPr>
              <w:t>Mode de décaissement</w:t>
            </w:r>
          </w:p>
        </w:tc>
        <w:tc>
          <w:tcPr>
            <w:tcW w:w="1120" w:type="dxa"/>
            <w:tcBorders>
              <w:top w:val="nil"/>
              <w:left w:val="nil"/>
              <w:bottom w:val="nil"/>
              <w:right w:val="nil"/>
            </w:tcBorders>
            <w:shd w:val="clear" w:color="auto" w:fill="auto"/>
            <w:noWrap/>
            <w:vAlign w:val="bottom"/>
            <w:hideMark/>
          </w:tcPr>
          <w:p w14:paraId="3821B1ED" w14:textId="77777777" w:rsidR="005A52FA" w:rsidRPr="006735F6" w:rsidRDefault="005A52FA" w:rsidP="005A52FA">
            <w:pPr>
              <w:jc w:val="left"/>
              <w:rPr>
                <w:b/>
                <w:bCs/>
                <w:sz w:val="18"/>
                <w:szCs w:val="18"/>
                <w:lang w:val="fr-CA" w:eastAsia="en-CA"/>
              </w:rPr>
            </w:pPr>
          </w:p>
        </w:tc>
        <w:tc>
          <w:tcPr>
            <w:tcW w:w="1422" w:type="dxa"/>
            <w:tcBorders>
              <w:top w:val="nil"/>
              <w:left w:val="nil"/>
              <w:bottom w:val="nil"/>
              <w:right w:val="nil"/>
            </w:tcBorders>
            <w:shd w:val="clear" w:color="auto" w:fill="auto"/>
            <w:noWrap/>
            <w:vAlign w:val="bottom"/>
            <w:hideMark/>
          </w:tcPr>
          <w:p w14:paraId="7FB3914F" w14:textId="77777777" w:rsidR="005A52FA" w:rsidRPr="006735F6" w:rsidRDefault="005A52FA" w:rsidP="005A52FA">
            <w:pPr>
              <w:jc w:val="left"/>
              <w:rPr>
                <w:sz w:val="18"/>
                <w:szCs w:val="18"/>
                <w:lang w:val="fr-CA" w:eastAsia="en-CA"/>
              </w:rPr>
            </w:pPr>
          </w:p>
        </w:tc>
        <w:tc>
          <w:tcPr>
            <w:tcW w:w="1176" w:type="dxa"/>
            <w:tcBorders>
              <w:top w:val="nil"/>
              <w:left w:val="nil"/>
              <w:bottom w:val="nil"/>
              <w:right w:val="nil"/>
            </w:tcBorders>
            <w:shd w:val="clear" w:color="auto" w:fill="auto"/>
            <w:noWrap/>
            <w:vAlign w:val="bottom"/>
            <w:hideMark/>
          </w:tcPr>
          <w:p w14:paraId="26DA7717" w14:textId="77777777" w:rsidR="005A52FA" w:rsidRPr="006735F6" w:rsidRDefault="005A52FA" w:rsidP="005A52FA">
            <w:pPr>
              <w:jc w:val="left"/>
              <w:rPr>
                <w:sz w:val="18"/>
                <w:szCs w:val="18"/>
                <w:lang w:val="fr-CA" w:eastAsia="en-CA"/>
              </w:rPr>
            </w:pPr>
          </w:p>
        </w:tc>
        <w:tc>
          <w:tcPr>
            <w:tcW w:w="1640" w:type="dxa"/>
            <w:tcBorders>
              <w:top w:val="nil"/>
              <w:left w:val="nil"/>
              <w:bottom w:val="nil"/>
              <w:right w:val="nil"/>
            </w:tcBorders>
            <w:shd w:val="clear" w:color="auto" w:fill="auto"/>
            <w:noWrap/>
            <w:vAlign w:val="bottom"/>
            <w:hideMark/>
          </w:tcPr>
          <w:p w14:paraId="26177CB5" w14:textId="77777777" w:rsidR="005A52FA" w:rsidRPr="006735F6" w:rsidRDefault="005A52FA" w:rsidP="005A52FA">
            <w:pPr>
              <w:jc w:val="left"/>
              <w:rPr>
                <w:sz w:val="18"/>
                <w:szCs w:val="18"/>
                <w:lang w:val="fr-CA" w:eastAsia="en-CA"/>
              </w:rPr>
            </w:pPr>
          </w:p>
        </w:tc>
        <w:tc>
          <w:tcPr>
            <w:tcW w:w="1474" w:type="dxa"/>
            <w:tcBorders>
              <w:top w:val="nil"/>
              <w:left w:val="nil"/>
              <w:bottom w:val="nil"/>
              <w:right w:val="single" w:sz="4" w:space="0" w:color="auto"/>
            </w:tcBorders>
            <w:shd w:val="clear" w:color="auto" w:fill="auto"/>
            <w:noWrap/>
            <w:vAlign w:val="bottom"/>
            <w:hideMark/>
          </w:tcPr>
          <w:p w14:paraId="6E17ECF0" w14:textId="77777777" w:rsidR="005A52FA" w:rsidRPr="006735F6" w:rsidRDefault="005A52FA" w:rsidP="005A52FA">
            <w:pPr>
              <w:jc w:val="right"/>
              <w:rPr>
                <w:sz w:val="18"/>
                <w:szCs w:val="18"/>
                <w:lang w:val="fr-CA" w:eastAsia="en-CA"/>
              </w:rPr>
            </w:pPr>
            <w:r w:rsidRPr="006735F6">
              <w:rPr>
                <w:sz w:val="18"/>
                <w:szCs w:val="18"/>
                <w:lang w:val="fr-CA" w:eastAsia="en-CA"/>
              </w:rPr>
              <w:t> </w:t>
            </w:r>
          </w:p>
        </w:tc>
      </w:tr>
      <w:tr w:rsidR="005A52FA" w:rsidRPr="006735F6" w14:paraId="7567F5AF" w14:textId="77777777" w:rsidTr="005A52FA">
        <w:trPr>
          <w:trHeight w:val="204"/>
        </w:trPr>
        <w:tc>
          <w:tcPr>
            <w:tcW w:w="2840" w:type="dxa"/>
            <w:tcBorders>
              <w:top w:val="single" w:sz="4" w:space="0" w:color="auto"/>
              <w:left w:val="single" w:sz="4" w:space="0" w:color="auto"/>
              <w:bottom w:val="single" w:sz="4" w:space="0" w:color="auto"/>
              <w:right w:val="single" w:sz="4" w:space="0" w:color="auto"/>
            </w:tcBorders>
            <w:shd w:val="clear" w:color="auto" w:fill="auto"/>
            <w:noWrap/>
            <w:hideMark/>
          </w:tcPr>
          <w:p w14:paraId="6EBC1343" w14:textId="6B4A2341" w:rsidR="005A52FA" w:rsidRPr="006735F6" w:rsidRDefault="005A52FA" w:rsidP="005A52FA">
            <w:pPr>
              <w:jc w:val="left"/>
              <w:rPr>
                <w:sz w:val="18"/>
                <w:szCs w:val="18"/>
                <w:lang w:val="fr-CA" w:eastAsia="en-CA"/>
              </w:rPr>
            </w:pPr>
            <w:r>
              <w:rPr>
                <w:sz w:val="18"/>
                <w:szCs w:val="18"/>
                <w:lang w:val="fr-CA" w:eastAsia="en-CA"/>
              </w:rPr>
              <w:t xml:space="preserve">Au cours de la mise en œuvre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03BE4BB" w14:textId="76B412FF" w:rsidR="005A52FA" w:rsidRPr="006735F6" w:rsidRDefault="005A52FA" w:rsidP="005A52FA">
            <w:pPr>
              <w:jc w:val="right"/>
              <w:rPr>
                <w:sz w:val="18"/>
                <w:szCs w:val="18"/>
                <w:lang w:val="fr-CA" w:eastAsia="en-CA"/>
              </w:rPr>
            </w:pPr>
            <w:r w:rsidRPr="006735F6">
              <w:rPr>
                <w:sz w:val="18"/>
                <w:szCs w:val="18"/>
                <w:lang w:val="fr-CA" w:eastAsia="en-CA"/>
              </w:rPr>
              <w:t>3</w:t>
            </w:r>
            <w:r>
              <w:rPr>
                <w:sz w:val="18"/>
                <w:szCs w:val="18"/>
                <w:lang w:val="fr-CA" w:eastAsia="en-CA"/>
              </w:rPr>
              <w:t xml:space="preserve"> </w:t>
            </w:r>
            <w:r w:rsidRPr="006735F6">
              <w:rPr>
                <w:sz w:val="18"/>
                <w:szCs w:val="18"/>
                <w:lang w:val="fr-CA" w:eastAsia="en-CA"/>
              </w:rPr>
              <w:t>306</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54C2A948" w14:textId="3983AFE9" w:rsidR="005A52FA" w:rsidRPr="006735F6" w:rsidRDefault="005A52FA" w:rsidP="005A52FA">
            <w:pPr>
              <w:jc w:val="right"/>
              <w:rPr>
                <w:sz w:val="18"/>
                <w:szCs w:val="18"/>
                <w:lang w:val="fr-CA" w:eastAsia="en-CA"/>
              </w:rPr>
            </w:pPr>
            <w:r w:rsidRPr="006735F6">
              <w:rPr>
                <w:sz w:val="18"/>
                <w:szCs w:val="18"/>
                <w:lang w:val="fr-CA" w:eastAsia="en-CA"/>
              </w:rPr>
              <w:t>515</w:t>
            </w:r>
            <w:r>
              <w:rPr>
                <w:sz w:val="18"/>
                <w:szCs w:val="18"/>
                <w:lang w:val="fr-CA" w:eastAsia="en-CA"/>
              </w:rPr>
              <w:t xml:space="preserve"> </w:t>
            </w:r>
            <w:r w:rsidRPr="006735F6">
              <w:rPr>
                <w:sz w:val="18"/>
                <w:szCs w:val="18"/>
                <w:lang w:val="fr-CA" w:eastAsia="en-CA"/>
              </w:rPr>
              <w:t>024</w:t>
            </w:r>
            <w:r>
              <w:rPr>
                <w:sz w:val="18"/>
                <w:szCs w:val="18"/>
                <w:lang w:val="fr-CA" w:eastAsia="en-CA"/>
              </w:rPr>
              <w:t xml:space="preserve"> </w:t>
            </w:r>
            <w:r w:rsidRPr="006735F6">
              <w:rPr>
                <w:sz w:val="18"/>
                <w:szCs w:val="18"/>
                <w:lang w:val="fr-CA" w:eastAsia="en-CA"/>
              </w:rPr>
              <w:t>296</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4AE516B5" w14:textId="7EDEC13A" w:rsidR="005A52FA" w:rsidRPr="006735F6" w:rsidRDefault="005A52FA" w:rsidP="005A52FA">
            <w:pPr>
              <w:jc w:val="right"/>
              <w:rPr>
                <w:sz w:val="18"/>
                <w:szCs w:val="18"/>
                <w:lang w:val="fr-CA" w:eastAsia="en-CA"/>
              </w:rPr>
            </w:pPr>
            <w:r w:rsidRPr="006735F6">
              <w:rPr>
                <w:sz w:val="18"/>
                <w:szCs w:val="18"/>
                <w:lang w:val="fr-CA" w:eastAsia="en-CA"/>
              </w:rPr>
              <w:t>99</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A4F8A4" w14:textId="77777777" w:rsidR="005A52FA" w:rsidRPr="006735F6" w:rsidRDefault="005A52FA" w:rsidP="005A52FA">
            <w:pPr>
              <w:jc w:val="right"/>
              <w:rPr>
                <w:sz w:val="18"/>
                <w:szCs w:val="18"/>
                <w:lang w:val="fr-CA" w:eastAsia="en-CA"/>
              </w:rPr>
            </w:pPr>
            <w:r w:rsidRPr="006735F6">
              <w:rPr>
                <w:sz w:val="18"/>
                <w:szCs w:val="18"/>
                <w:lang w:val="fr-CA" w:eastAsia="en-CA"/>
              </w:rPr>
              <w:t>12</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40E39215" w14:textId="77777777" w:rsidR="005A52FA" w:rsidRPr="006735F6" w:rsidRDefault="005A52FA" w:rsidP="005A52FA">
            <w:pPr>
              <w:jc w:val="right"/>
              <w:rPr>
                <w:sz w:val="18"/>
                <w:szCs w:val="18"/>
                <w:lang w:val="fr-CA" w:eastAsia="en-CA"/>
              </w:rPr>
            </w:pPr>
            <w:r w:rsidRPr="006735F6">
              <w:rPr>
                <w:sz w:val="18"/>
                <w:szCs w:val="18"/>
                <w:lang w:val="fr-CA" w:eastAsia="en-CA"/>
              </w:rPr>
              <w:t>38</w:t>
            </w:r>
          </w:p>
        </w:tc>
      </w:tr>
      <w:tr w:rsidR="005A52FA" w:rsidRPr="006735F6" w14:paraId="214D9842"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30493469" w14:textId="6863E96D" w:rsidR="005A52FA" w:rsidRPr="006735F6" w:rsidRDefault="005A52FA" w:rsidP="005A52FA">
            <w:pPr>
              <w:jc w:val="left"/>
              <w:rPr>
                <w:sz w:val="18"/>
                <w:szCs w:val="18"/>
                <w:lang w:val="fr-CA" w:eastAsia="en-CA"/>
              </w:rPr>
            </w:pPr>
            <w:r>
              <w:rPr>
                <w:sz w:val="18"/>
                <w:szCs w:val="18"/>
                <w:lang w:val="fr-CA" w:eastAsia="en-CA"/>
              </w:rPr>
              <w:t xml:space="preserve">Après la mise en œuvre </w:t>
            </w:r>
          </w:p>
        </w:tc>
        <w:tc>
          <w:tcPr>
            <w:tcW w:w="1120" w:type="dxa"/>
            <w:tcBorders>
              <w:top w:val="nil"/>
              <w:left w:val="nil"/>
              <w:bottom w:val="single" w:sz="4" w:space="0" w:color="auto"/>
              <w:right w:val="single" w:sz="4" w:space="0" w:color="auto"/>
            </w:tcBorders>
            <w:shd w:val="clear" w:color="auto" w:fill="auto"/>
            <w:noWrap/>
            <w:vAlign w:val="bottom"/>
            <w:hideMark/>
          </w:tcPr>
          <w:p w14:paraId="036C611D" w14:textId="77777777" w:rsidR="005A52FA" w:rsidRPr="006735F6" w:rsidRDefault="005A52FA" w:rsidP="005A52FA">
            <w:pPr>
              <w:jc w:val="right"/>
              <w:rPr>
                <w:sz w:val="18"/>
                <w:szCs w:val="18"/>
                <w:lang w:val="fr-CA" w:eastAsia="en-CA"/>
              </w:rPr>
            </w:pPr>
            <w:r w:rsidRPr="006735F6">
              <w:rPr>
                <w:sz w:val="18"/>
                <w:szCs w:val="18"/>
                <w:lang w:val="fr-CA" w:eastAsia="en-CA"/>
              </w:rPr>
              <w:t>26</w:t>
            </w:r>
          </w:p>
        </w:tc>
        <w:tc>
          <w:tcPr>
            <w:tcW w:w="1422" w:type="dxa"/>
            <w:tcBorders>
              <w:top w:val="nil"/>
              <w:left w:val="nil"/>
              <w:bottom w:val="single" w:sz="4" w:space="0" w:color="auto"/>
              <w:right w:val="single" w:sz="4" w:space="0" w:color="auto"/>
            </w:tcBorders>
            <w:shd w:val="clear" w:color="auto" w:fill="auto"/>
            <w:noWrap/>
            <w:vAlign w:val="bottom"/>
            <w:hideMark/>
          </w:tcPr>
          <w:p w14:paraId="6FD63527" w14:textId="43277981" w:rsidR="005A52FA" w:rsidRPr="006735F6" w:rsidRDefault="005A52FA" w:rsidP="005A52FA">
            <w:pPr>
              <w:jc w:val="right"/>
              <w:rPr>
                <w:sz w:val="18"/>
                <w:szCs w:val="18"/>
                <w:lang w:val="fr-CA" w:eastAsia="en-CA"/>
              </w:rPr>
            </w:pPr>
            <w:r w:rsidRPr="006735F6">
              <w:rPr>
                <w:sz w:val="18"/>
                <w:szCs w:val="18"/>
                <w:lang w:val="fr-CA" w:eastAsia="en-CA"/>
              </w:rPr>
              <w:t>2</w:t>
            </w:r>
            <w:r>
              <w:rPr>
                <w:sz w:val="18"/>
                <w:szCs w:val="18"/>
                <w:lang w:val="fr-CA" w:eastAsia="en-CA"/>
              </w:rPr>
              <w:t xml:space="preserve"> </w:t>
            </w:r>
            <w:r w:rsidRPr="006735F6">
              <w:rPr>
                <w:sz w:val="18"/>
                <w:szCs w:val="18"/>
                <w:lang w:val="fr-CA" w:eastAsia="en-CA"/>
              </w:rPr>
              <w:t>325</w:t>
            </w:r>
            <w:r>
              <w:rPr>
                <w:sz w:val="18"/>
                <w:szCs w:val="18"/>
                <w:lang w:val="fr-CA" w:eastAsia="en-CA"/>
              </w:rPr>
              <w:t xml:space="preserve"> </w:t>
            </w:r>
            <w:r w:rsidRPr="006735F6">
              <w:rPr>
                <w:sz w:val="18"/>
                <w:szCs w:val="18"/>
                <w:lang w:val="fr-CA" w:eastAsia="en-CA"/>
              </w:rPr>
              <w:t>462</w:t>
            </w:r>
          </w:p>
        </w:tc>
        <w:tc>
          <w:tcPr>
            <w:tcW w:w="1176" w:type="dxa"/>
            <w:tcBorders>
              <w:top w:val="nil"/>
              <w:left w:val="nil"/>
              <w:bottom w:val="single" w:sz="4" w:space="0" w:color="auto"/>
              <w:right w:val="single" w:sz="4" w:space="0" w:color="auto"/>
            </w:tcBorders>
            <w:shd w:val="clear" w:color="auto" w:fill="auto"/>
            <w:noWrap/>
            <w:vAlign w:val="bottom"/>
            <w:hideMark/>
          </w:tcPr>
          <w:p w14:paraId="07C20C09" w14:textId="42A7C535" w:rsidR="005A52FA" w:rsidRPr="006735F6" w:rsidRDefault="005A52FA" w:rsidP="005A52FA">
            <w:pPr>
              <w:jc w:val="right"/>
              <w:rPr>
                <w:sz w:val="18"/>
                <w:szCs w:val="18"/>
                <w:lang w:val="fr-CA" w:eastAsia="en-CA"/>
              </w:rPr>
            </w:pPr>
            <w:r w:rsidRPr="006735F6">
              <w:rPr>
                <w:sz w:val="18"/>
                <w:szCs w:val="18"/>
                <w:lang w:val="fr-CA"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3A547A47" w14:textId="77777777" w:rsidR="005A52FA" w:rsidRPr="006735F6" w:rsidRDefault="005A52FA" w:rsidP="005A52FA">
            <w:pPr>
              <w:jc w:val="right"/>
              <w:rPr>
                <w:sz w:val="18"/>
                <w:szCs w:val="18"/>
                <w:lang w:val="fr-CA" w:eastAsia="en-CA"/>
              </w:rPr>
            </w:pPr>
            <w:r w:rsidRPr="006735F6">
              <w:rPr>
                <w:sz w:val="18"/>
                <w:szCs w:val="18"/>
                <w:lang w:val="fr-CA" w:eastAsia="en-CA"/>
              </w:rPr>
              <w:t>14</w:t>
            </w:r>
          </w:p>
        </w:tc>
        <w:tc>
          <w:tcPr>
            <w:tcW w:w="1474" w:type="dxa"/>
            <w:tcBorders>
              <w:top w:val="nil"/>
              <w:left w:val="nil"/>
              <w:bottom w:val="single" w:sz="4" w:space="0" w:color="auto"/>
              <w:right w:val="single" w:sz="4" w:space="0" w:color="auto"/>
            </w:tcBorders>
            <w:shd w:val="clear" w:color="auto" w:fill="auto"/>
            <w:noWrap/>
            <w:vAlign w:val="bottom"/>
            <w:hideMark/>
          </w:tcPr>
          <w:p w14:paraId="55E3DACC" w14:textId="77777777" w:rsidR="005A52FA" w:rsidRPr="006735F6" w:rsidRDefault="005A52FA" w:rsidP="005A52FA">
            <w:pPr>
              <w:jc w:val="right"/>
              <w:rPr>
                <w:sz w:val="18"/>
                <w:szCs w:val="18"/>
                <w:lang w:val="fr-CA" w:eastAsia="en-CA"/>
              </w:rPr>
            </w:pPr>
            <w:r w:rsidRPr="006735F6">
              <w:rPr>
                <w:sz w:val="18"/>
                <w:szCs w:val="18"/>
                <w:lang w:val="fr-CA" w:eastAsia="en-CA"/>
              </w:rPr>
              <w:t>21</w:t>
            </w:r>
          </w:p>
        </w:tc>
      </w:tr>
      <w:tr w:rsidR="005A52FA" w:rsidRPr="006735F6" w14:paraId="24E4C930"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38D6CEC7" w14:textId="5E758CD3" w:rsidR="005A52FA" w:rsidRPr="006735F6" w:rsidRDefault="005A52FA" w:rsidP="005A52FA">
            <w:pPr>
              <w:jc w:val="left"/>
              <w:rPr>
                <w:sz w:val="18"/>
                <w:szCs w:val="18"/>
                <w:lang w:val="fr-CA" w:eastAsia="en-CA"/>
              </w:rPr>
            </w:pPr>
            <w:r>
              <w:rPr>
                <w:sz w:val="18"/>
                <w:szCs w:val="18"/>
                <w:lang w:val="fr-CA" w:eastAsia="en-CA"/>
              </w:rPr>
              <w:t>Financement rétroactif</w:t>
            </w:r>
          </w:p>
        </w:tc>
        <w:tc>
          <w:tcPr>
            <w:tcW w:w="1120" w:type="dxa"/>
            <w:tcBorders>
              <w:top w:val="nil"/>
              <w:left w:val="nil"/>
              <w:bottom w:val="single" w:sz="4" w:space="0" w:color="auto"/>
              <w:right w:val="single" w:sz="4" w:space="0" w:color="auto"/>
            </w:tcBorders>
            <w:shd w:val="clear" w:color="auto" w:fill="auto"/>
            <w:noWrap/>
            <w:vAlign w:val="bottom"/>
            <w:hideMark/>
          </w:tcPr>
          <w:p w14:paraId="23C787FA" w14:textId="77777777" w:rsidR="005A52FA" w:rsidRPr="006735F6" w:rsidRDefault="005A52FA" w:rsidP="005A52FA">
            <w:pPr>
              <w:jc w:val="right"/>
              <w:rPr>
                <w:sz w:val="18"/>
                <w:szCs w:val="18"/>
                <w:lang w:val="fr-CA" w:eastAsia="en-CA"/>
              </w:rPr>
            </w:pPr>
            <w:r w:rsidRPr="006735F6">
              <w:rPr>
                <w:sz w:val="18"/>
                <w:szCs w:val="18"/>
                <w:lang w:val="fr-CA" w:eastAsia="en-CA"/>
              </w:rPr>
              <w:t>1</w:t>
            </w:r>
          </w:p>
        </w:tc>
        <w:tc>
          <w:tcPr>
            <w:tcW w:w="1422" w:type="dxa"/>
            <w:tcBorders>
              <w:top w:val="nil"/>
              <w:left w:val="nil"/>
              <w:bottom w:val="single" w:sz="4" w:space="0" w:color="auto"/>
              <w:right w:val="single" w:sz="4" w:space="0" w:color="auto"/>
            </w:tcBorders>
            <w:shd w:val="clear" w:color="auto" w:fill="auto"/>
            <w:noWrap/>
            <w:vAlign w:val="bottom"/>
            <w:hideMark/>
          </w:tcPr>
          <w:p w14:paraId="38B859F0" w14:textId="615029F3" w:rsidR="005A52FA" w:rsidRPr="006735F6" w:rsidRDefault="005A52FA" w:rsidP="005A52FA">
            <w:pPr>
              <w:jc w:val="right"/>
              <w:rPr>
                <w:sz w:val="18"/>
                <w:szCs w:val="18"/>
                <w:lang w:val="fr-CA" w:eastAsia="en-CA"/>
              </w:rPr>
            </w:pPr>
            <w:r w:rsidRPr="006735F6">
              <w:rPr>
                <w:sz w:val="18"/>
                <w:szCs w:val="18"/>
                <w:lang w:val="fr-CA" w:eastAsia="en-CA"/>
              </w:rPr>
              <w:t>146</w:t>
            </w:r>
            <w:r>
              <w:rPr>
                <w:sz w:val="18"/>
                <w:szCs w:val="18"/>
                <w:lang w:val="fr-CA" w:eastAsia="en-CA"/>
              </w:rPr>
              <w:t xml:space="preserve"> </w:t>
            </w:r>
            <w:r w:rsidRPr="006735F6">
              <w:rPr>
                <w:sz w:val="18"/>
                <w:szCs w:val="18"/>
                <w:lang w:val="fr-CA" w:eastAsia="en-CA"/>
              </w:rPr>
              <w:t>698</w:t>
            </w:r>
          </w:p>
        </w:tc>
        <w:tc>
          <w:tcPr>
            <w:tcW w:w="1176" w:type="dxa"/>
            <w:tcBorders>
              <w:top w:val="nil"/>
              <w:left w:val="nil"/>
              <w:bottom w:val="single" w:sz="4" w:space="0" w:color="auto"/>
              <w:right w:val="single" w:sz="4" w:space="0" w:color="auto"/>
            </w:tcBorders>
            <w:shd w:val="clear" w:color="auto" w:fill="auto"/>
            <w:noWrap/>
            <w:vAlign w:val="bottom"/>
            <w:hideMark/>
          </w:tcPr>
          <w:p w14:paraId="135F170B" w14:textId="394554E7" w:rsidR="005A52FA" w:rsidRPr="006735F6" w:rsidRDefault="005A52FA" w:rsidP="005A52FA">
            <w:pPr>
              <w:jc w:val="right"/>
              <w:rPr>
                <w:sz w:val="18"/>
                <w:szCs w:val="18"/>
                <w:lang w:val="fr-CA" w:eastAsia="en-CA"/>
              </w:rPr>
            </w:pPr>
            <w:r w:rsidRPr="006735F6">
              <w:rPr>
                <w:sz w:val="18"/>
                <w:szCs w:val="18"/>
                <w:lang w:val="fr-CA"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4203C615" w14:textId="77777777" w:rsidR="005A52FA" w:rsidRPr="006735F6" w:rsidRDefault="005A52FA" w:rsidP="005A52FA">
            <w:pPr>
              <w:jc w:val="right"/>
              <w:rPr>
                <w:sz w:val="18"/>
                <w:szCs w:val="18"/>
                <w:lang w:val="fr-CA" w:eastAsia="en-CA"/>
              </w:rPr>
            </w:pPr>
            <w:r w:rsidRPr="006735F6">
              <w:rPr>
                <w:sz w:val="18"/>
                <w:szCs w:val="18"/>
                <w:lang w:val="fr-CA" w:eastAsia="en-CA"/>
              </w:rPr>
              <w:t>3</w:t>
            </w:r>
          </w:p>
        </w:tc>
        <w:tc>
          <w:tcPr>
            <w:tcW w:w="1474" w:type="dxa"/>
            <w:tcBorders>
              <w:top w:val="nil"/>
              <w:left w:val="nil"/>
              <w:bottom w:val="single" w:sz="4" w:space="0" w:color="auto"/>
              <w:right w:val="single" w:sz="4" w:space="0" w:color="auto"/>
            </w:tcBorders>
            <w:shd w:val="clear" w:color="auto" w:fill="auto"/>
            <w:noWrap/>
            <w:vAlign w:val="bottom"/>
            <w:hideMark/>
          </w:tcPr>
          <w:p w14:paraId="25D2D93D" w14:textId="77777777" w:rsidR="005A52FA" w:rsidRPr="006735F6" w:rsidRDefault="005A52FA" w:rsidP="005A52FA">
            <w:pPr>
              <w:jc w:val="right"/>
              <w:rPr>
                <w:sz w:val="18"/>
                <w:szCs w:val="18"/>
                <w:lang w:val="fr-CA" w:eastAsia="en-CA"/>
              </w:rPr>
            </w:pPr>
            <w:r w:rsidRPr="006735F6">
              <w:rPr>
                <w:sz w:val="18"/>
                <w:szCs w:val="18"/>
                <w:lang w:val="fr-CA" w:eastAsia="en-CA"/>
              </w:rPr>
              <w:t>83</w:t>
            </w:r>
          </w:p>
        </w:tc>
      </w:tr>
      <w:tr w:rsidR="005A52FA" w:rsidRPr="006735F6" w14:paraId="220EAE38" w14:textId="77777777" w:rsidTr="005A52FA">
        <w:trPr>
          <w:trHeight w:val="204"/>
        </w:trPr>
        <w:tc>
          <w:tcPr>
            <w:tcW w:w="2840" w:type="dxa"/>
            <w:tcBorders>
              <w:top w:val="nil"/>
              <w:left w:val="single" w:sz="4" w:space="0" w:color="auto"/>
              <w:bottom w:val="single" w:sz="4" w:space="0" w:color="auto"/>
              <w:right w:val="single" w:sz="4" w:space="0" w:color="auto"/>
            </w:tcBorders>
            <w:shd w:val="clear" w:color="auto" w:fill="auto"/>
            <w:noWrap/>
            <w:hideMark/>
          </w:tcPr>
          <w:p w14:paraId="7806E99C" w14:textId="7F9ADF72" w:rsidR="005A52FA" w:rsidRPr="006735F6" w:rsidRDefault="005A52FA" w:rsidP="005A52FA">
            <w:pPr>
              <w:jc w:val="left"/>
              <w:rPr>
                <w:sz w:val="18"/>
                <w:szCs w:val="18"/>
                <w:lang w:val="fr-CA" w:eastAsia="en-CA"/>
              </w:rPr>
            </w:pPr>
            <w:r>
              <w:rPr>
                <w:sz w:val="18"/>
                <w:szCs w:val="18"/>
                <w:lang w:val="fr-CA" w:eastAsia="en-CA"/>
              </w:rPr>
              <w:t>Du pays aux bénéficiaires finaux</w:t>
            </w:r>
          </w:p>
        </w:tc>
        <w:tc>
          <w:tcPr>
            <w:tcW w:w="1120" w:type="dxa"/>
            <w:tcBorders>
              <w:top w:val="nil"/>
              <w:left w:val="nil"/>
              <w:bottom w:val="single" w:sz="4" w:space="0" w:color="auto"/>
              <w:right w:val="single" w:sz="4" w:space="0" w:color="auto"/>
            </w:tcBorders>
            <w:shd w:val="clear" w:color="auto" w:fill="auto"/>
            <w:noWrap/>
            <w:vAlign w:val="bottom"/>
            <w:hideMark/>
          </w:tcPr>
          <w:p w14:paraId="3C3D0833" w14:textId="77777777" w:rsidR="005A52FA" w:rsidRPr="006735F6" w:rsidRDefault="005A52FA" w:rsidP="005A52FA">
            <w:pPr>
              <w:jc w:val="right"/>
              <w:rPr>
                <w:sz w:val="18"/>
                <w:szCs w:val="18"/>
                <w:lang w:val="fr-CA" w:eastAsia="en-CA"/>
              </w:rPr>
            </w:pPr>
            <w:r w:rsidRPr="006735F6">
              <w:rPr>
                <w:sz w:val="18"/>
                <w:szCs w:val="18"/>
                <w:lang w:val="fr-CA" w:eastAsia="en-CA"/>
              </w:rPr>
              <w:t>7</w:t>
            </w:r>
          </w:p>
        </w:tc>
        <w:tc>
          <w:tcPr>
            <w:tcW w:w="1422" w:type="dxa"/>
            <w:tcBorders>
              <w:top w:val="nil"/>
              <w:left w:val="nil"/>
              <w:bottom w:val="single" w:sz="4" w:space="0" w:color="auto"/>
              <w:right w:val="single" w:sz="4" w:space="0" w:color="auto"/>
            </w:tcBorders>
            <w:shd w:val="clear" w:color="auto" w:fill="auto"/>
            <w:noWrap/>
            <w:vAlign w:val="bottom"/>
            <w:hideMark/>
          </w:tcPr>
          <w:p w14:paraId="0C705031" w14:textId="4C984180" w:rsidR="005A52FA" w:rsidRPr="006735F6" w:rsidRDefault="005A52FA" w:rsidP="005A52FA">
            <w:pPr>
              <w:jc w:val="right"/>
              <w:rPr>
                <w:sz w:val="18"/>
                <w:szCs w:val="18"/>
                <w:lang w:val="fr-CA" w:eastAsia="en-CA"/>
              </w:rPr>
            </w:pPr>
            <w:r w:rsidRPr="006735F6">
              <w:rPr>
                <w:sz w:val="18"/>
                <w:szCs w:val="18"/>
                <w:lang w:val="fr-CA" w:eastAsia="en-CA"/>
              </w:rPr>
              <w:t>9</w:t>
            </w:r>
            <w:r>
              <w:rPr>
                <w:sz w:val="18"/>
                <w:szCs w:val="18"/>
                <w:lang w:val="fr-CA" w:eastAsia="en-CA"/>
              </w:rPr>
              <w:t xml:space="preserve"> </w:t>
            </w:r>
            <w:r w:rsidRPr="006735F6">
              <w:rPr>
                <w:sz w:val="18"/>
                <w:szCs w:val="18"/>
                <w:lang w:val="fr-CA" w:eastAsia="en-CA"/>
              </w:rPr>
              <w:t>434</w:t>
            </w:r>
            <w:r>
              <w:rPr>
                <w:sz w:val="18"/>
                <w:szCs w:val="18"/>
                <w:lang w:val="fr-CA" w:eastAsia="en-CA"/>
              </w:rPr>
              <w:t xml:space="preserve"> </w:t>
            </w:r>
            <w:r w:rsidRPr="006735F6">
              <w:rPr>
                <w:sz w:val="18"/>
                <w:szCs w:val="18"/>
                <w:lang w:val="fr-CA" w:eastAsia="en-CA"/>
              </w:rPr>
              <w:t>037</w:t>
            </w:r>
          </w:p>
        </w:tc>
        <w:tc>
          <w:tcPr>
            <w:tcW w:w="1176" w:type="dxa"/>
            <w:tcBorders>
              <w:top w:val="nil"/>
              <w:left w:val="nil"/>
              <w:bottom w:val="single" w:sz="4" w:space="0" w:color="auto"/>
              <w:right w:val="single" w:sz="4" w:space="0" w:color="auto"/>
            </w:tcBorders>
            <w:shd w:val="clear" w:color="auto" w:fill="auto"/>
            <w:noWrap/>
            <w:vAlign w:val="bottom"/>
            <w:hideMark/>
          </w:tcPr>
          <w:p w14:paraId="4BC11C1A" w14:textId="33D6E2CF" w:rsidR="005A52FA" w:rsidRPr="006735F6" w:rsidRDefault="005A52FA" w:rsidP="005A52FA">
            <w:pPr>
              <w:jc w:val="right"/>
              <w:rPr>
                <w:sz w:val="18"/>
                <w:szCs w:val="18"/>
                <w:lang w:val="fr-CA" w:eastAsia="en-CA"/>
              </w:rPr>
            </w:pPr>
            <w:r w:rsidRPr="006735F6">
              <w:rPr>
                <w:sz w:val="18"/>
                <w:szCs w:val="18"/>
                <w:lang w:val="fr-CA" w:eastAsia="en-CA"/>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4A5FE30B" w14:textId="77777777" w:rsidR="005A52FA" w:rsidRPr="006735F6" w:rsidRDefault="005A52FA" w:rsidP="005A52FA">
            <w:pPr>
              <w:jc w:val="right"/>
              <w:rPr>
                <w:sz w:val="18"/>
                <w:szCs w:val="18"/>
                <w:lang w:val="fr-CA" w:eastAsia="en-CA"/>
              </w:rPr>
            </w:pPr>
            <w:r w:rsidRPr="006735F6">
              <w:rPr>
                <w:sz w:val="18"/>
                <w:szCs w:val="18"/>
                <w:lang w:val="fr-CA" w:eastAsia="en-CA"/>
              </w:rPr>
              <w:t>7</w:t>
            </w:r>
          </w:p>
        </w:tc>
        <w:tc>
          <w:tcPr>
            <w:tcW w:w="1474" w:type="dxa"/>
            <w:tcBorders>
              <w:top w:val="nil"/>
              <w:left w:val="nil"/>
              <w:bottom w:val="single" w:sz="4" w:space="0" w:color="auto"/>
              <w:right w:val="single" w:sz="4" w:space="0" w:color="auto"/>
            </w:tcBorders>
            <w:shd w:val="clear" w:color="auto" w:fill="auto"/>
            <w:noWrap/>
            <w:vAlign w:val="bottom"/>
            <w:hideMark/>
          </w:tcPr>
          <w:p w14:paraId="5B95EF6A" w14:textId="77777777" w:rsidR="005A52FA" w:rsidRPr="006735F6" w:rsidRDefault="005A52FA" w:rsidP="005A52FA">
            <w:pPr>
              <w:jc w:val="right"/>
              <w:rPr>
                <w:sz w:val="18"/>
                <w:szCs w:val="18"/>
                <w:lang w:val="fr-CA" w:eastAsia="en-CA"/>
              </w:rPr>
            </w:pPr>
            <w:r w:rsidRPr="006735F6">
              <w:rPr>
                <w:sz w:val="18"/>
                <w:szCs w:val="18"/>
                <w:lang w:val="fr-CA" w:eastAsia="en-CA"/>
              </w:rPr>
              <w:t>38</w:t>
            </w:r>
          </w:p>
        </w:tc>
      </w:tr>
    </w:tbl>
    <w:p w14:paraId="283E65B9" w14:textId="77777777" w:rsidR="00D631A9" w:rsidRPr="006735F6" w:rsidRDefault="00D631A9" w:rsidP="001E39EE">
      <w:pPr>
        <w:pStyle w:val="Header"/>
        <w:rPr>
          <w:lang w:val="fr-CA"/>
        </w:rPr>
      </w:pPr>
    </w:p>
    <w:p w14:paraId="7CD139B4" w14:textId="54047EAC" w:rsidR="00D631A9" w:rsidRPr="005A52FA" w:rsidRDefault="005A52FA" w:rsidP="001E39EE">
      <w:pPr>
        <w:pStyle w:val="Heading1"/>
        <w:rPr>
          <w:lang w:val="fr-CA"/>
        </w:rPr>
      </w:pPr>
      <w:r>
        <w:rPr>
          <w:lang w:val="fr-CA"/>
        </w:rPr>
        <w:t>Le délai moyen entre l’approbation et le premier décaissement est de 12 mois pour les projets ne portant pas sur des investissements. Ces derniers ont été achevés 38 mois après leur approbation, en moyenne. Ce chiffre est influencé par le grand nombre de projets de la catégorie « plusieurs » (1 801 sur 3 340) pour lesquels le délai moyen d’achèvement de projet est de 32 mois. Les projets ne portant pas sur des investissements des autres secteurs ont été achevés dans un délai de quatre à 6</w:t>
      </w:r>
      <w:r w:rsidR="00B97766">
        <w:rPr>
          <w:lang w:val="fr-CA"/>
        </w:rPr>
        <w:t>3</w:t>
      </w:r>
      <w:r>
        <w:rPr>
          <w:lang w:val="fr-CA"/>
        </w:rPr>
        <w:t xml:space="preserve"> mois suivant leur approbation</w:t>
      </w:r>
      <w:r w:rsidR="00D631A9" w:rsidRPr="005A52FA">
        <w:rPr>
          <w:lang w:val="fr-CA"/>
        </w:rPr>
        <w:t>.</w:t>
      </w:r>
    </w:p>
    <w:p w14:paraId="019FA3E2" w14:textId="5FA82DEE" w:rsidR="00D631A9" w:rsidRPr="00B97766" w:rsidRDefault="00B97766" w:rsidP="001E39EE">
      <w:pPr>
        <w:pStyle w:val="Heading1"/>
        <w:rPr>
          <w:lang w:val="fr-CA"/>
        </w:rPr>
      </w:pPr>
      <w:r>
        <w:rPr>
          <w:lang w:val="fr-CA"/>
        </w:rPr>
        <w:t>Presque tous les projets ont été mis en œuvre par l’agence concernée plutôt que par le pays. La mise en œuvre de projets ne portant pas sur des investissements par les agences n’exige habituellement pas d’accords légaux, ce qui peut expliquer pourquoi le délai est plus court (37 mois) que pour les projets ne portant pas sur des investissements mis en œuvre par le pays (41 mois</w:t>
      </w:r>
      <w:r w:rsidRPr="00EF62E4">
        <w:rPr>
          <w:lang w:val="fr-CA"/>
        </w:rPr>
        <w:t>)</w:t>
      </w:r>
      <w:r w:rsidR="00D631A9" w:rsidRPr="00B97766">
        <w:rPr>
          <w:lang w:val="fr-CA"/>
        </w:rPr>
        <w:t xml:space="preserve">. </w:t>
      </w:r>
    </w:p>
    <w:p w14:paraId="645EC162" w14:textId="02DF1D03" w:rsidR="00D631A9" w:rsidRPr="00934F64" w:rsidRDefault="00934F64" w:rsidP="001E39EE">
      <w:pPr>
        <w:keepLines/>
        <w:rPr>
          <w:b/>
          <w:caps/>
          <w:lang w:val="fr-CA"/>
        </w:rPr>
      </w:pPr>
      <w:r w:rsidRPr="00934F64">
        <w:rPr>
          <w:b/>
          <w:caps/>
          <w:lang w:val="fr-CA"/>
        </w:rPr>
        <w:t>PROJETS EN COURS</w:t>
      </w:r>
    </w:p>
    <w:p w14:paraId="222DB3DB" w14:textId="77777777" w:rsidR="00D631A9" w:rsidRPr="00934F64" w:rsidRDefault="00D631A9" w:rsidP="001E39EE">
      <w:pPr>
        <w:pStyle w:val="Footer"/>
        <w:keepLines/>
        <w:tabs>
          <w:tab w:val="clear" w:pos="4320"/>
          <w:tab w:val="clear" w:pos="8640"/>
        </w:tabs>
        <w:rPr>
          <w:lang w:val="fr-CA"/>
        </w:rPr>
      </w:pPr>
    </w:p>
    <w:p w14:paraId="4E59A309" w14:textId="5AAE138C" w:rsidR="00D631A9" w:rsidRPr="00934F64" w:rsidRDefault="00934F64" w:rsidP="001E39EE">
      <w:pPr>
        <w:pStyle w:val="Heading2"/>
        <w:keepNext/>
        <w:numPr>
          <w:ilvl w:val="0"/>
          <w:numId w:val="0"/>
        </w:numPr>
        <w:spacing w:after="0"/>
        <w:rPr>
          <w:b/>
          <w:lang w:val="fr-CA"/>
        </w:rPr>
      </w:pPr>
      <w:r>
        <w:rPr>
          <w:b/>
          <w:lang w:val="fr-CA"/>
        </w:rPr>
        <w:t>Projets d’investissement en cours</w:t>
      </w:r>
    </w:p>
    <w:p w14:paraId="5FD07F3D" w14:textId="77777777" w:rsidR="00D631A9" w:rsidRPr="00934F64" w:rsidRDefault="00D631A9" w:rsidP="001E39EE">
      <w:pPr>
        <w:pStyle w:val="Heading2"/>
        <w:keepNext/>
        <w:numPr>
          <w:ilvl w:val="0"/>
          <w:numId w:val="0"/>
        </w:numPr>
        <w:spacing w:after="0"/>
        <w:rPr>
          <w:lang w:val="fr-CA"/>
        </w:rPr>
      </w:pPr>
    </w:p>
    <w:p w14:paraId="5CAE215F" w14:textId="2E60D0CF" w:rsidR="00D631A9" w:rsidRPr="00934F64" w:rsidRDefault="00934F64" w:rsidP="001E39EE">
      <w:pPr>
        <w:pStyle w:val="Heading1"/>
        <w:rPr>
          <w:lang w:val="fr-CA"/>
        </w:rPr>
      </w:pPr>
      <w:r>
        <w:rPr>
          <w:lang w:val="fr-CA"/>
        </w:rPr>
        <w:t>Le tableau 6 présente les informations sur l’état des projets d’investissement par région, secteur et caractéristique de mise en œuvre</w:t>
      </w:r>
      <w:r w:rsidR="00D631A9" w:rsidRPr="00934F64">
        <w:rPr>
          <w:lang w:val="fr-CA"/>
        </w:rPr>
        <w:t>.</w:t>
      </w:r>
    </w:p>
    <w:p w14:paraId="1F432E07" w14:textId="1125536F" w:rsidR="00D631A9" w:rsidRPr="00934F64" w:rsidRDefault="00D631A9" w:rsidP="001E39EE">
      <w:pPr>
        <w:pStyle w:val="subhead"/>
        <w:keepNext/>
        <w:jc w:val="left"/>
        <w:rPr>
          <w:b/>
          <w:sz w:val="22"/>
          <w:szCs w:val="22"/>
          <w:lang w:val="fr-CA"/>
        </w:rPr>
      </w:pPr>
      <w:r w:rsidRPr="00934F64">
        <w:rPr>
          <w:b/>
          <w:sz w:val="22"/>
          <w:szCs w:val="22"/>
          <w:lang w:val="fr-CA"/>
        </w:rPr>
        <w:lastRenderedPageBreak/>
        <w:t>Table</w:t>
      </w:r>
      <w:r w:rsidR="00934F64">
        <w:rPr>
          <w:b/>
          <w:sz w:val="22"/>
          <w:szCs w:val="22"/>
          <w:lang w:val="fr-CA"/>
        </w:rPr>
        <w:t>au</w:t>
      </w:r>
      <w:r w:rsidRPr="00934F64">
        <w:rPr>
          <w:b/>
          <w:sz w:val="22"/>
          <w:szCs w:val="22"/>
          <w:lang w:val="fr-CA"/>
        </w:rPr>
        <w:t xml:space="preserve"> 6. </w:t>
      </w:r>
      <w:r w:rsidR="00934F64">
        <w:rPr>
          <w:b/>
          <w:sz w:val="22"/>
          <w:szCs w:val="22"/>
          <w:lang w:val="fr-CA"/>
        </w:rPr>
        <w:t>Cumul des projets d’investissement en cours</w:t>
      </w:r>
    </w:p>
    <w:tbl>
      <w:tblPr>
        <w:tblW w:w="10566" w:type="dxa"/>
        <w:tblInd w:w="-431" w:type="dxa"/>
        <w:tblLayout w:type="fixed"/>
        <w:tblLook w:val="04A0" w:firstRow="1" w:lastRow="0" w:firstColumn="1" w:lastColumn="0" w:noHBand="0" w:noVBand="1"/>
      </w:tblPr>
      <w:tblGrid>
        <w:gridCol w:w="1702"/>
        <w:gridCol w:w="856"/>
        <w:gridCol w:w="1129"/>
        <w:gridCol w:w="850"/>
        <w:gridCol w:w="851"/>
        <w:gridCol w:w="992"/>
        <w:gridCol w:w="1134"/>
        <w:gridCol w:w="992"/>
        <w:gridCol w:w="992"/>
        <w:gridCol w:w="1060"/>
        <w:gridCol w:w="8"/>
      </w:tblGrid>
      <w:tr w:rsidR="00934F64" w:rsidRPr="003D423A" w14:paraId="6775C930" w14:textId="77777777" w:rsidTr="005F4F67">
        <w:trPr>
          <w:gridAfter w:val="1"/>
          <w:wAfter w:w="8" w:type="dxa"/>
          <w:trHeight w:val="1057"/>
          <w:tblHead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98753" w14:textId="5EF7CA7B" w:rsidR="00934F64" w:rsidRPr="00934F64" w:rsidRDefault="00934F64" w:rsidP="00934F64">
            <w:pPr>
              <w:jc w:val="center"/>
              <w:rPr>
                <w:b/>
                <w:bCs/>
                <w:sz w:val="18"/>
                <w:szCs w:val="18"/>
                <w:lang w:val="fr-CA" w:eastAsia="en-CA"/>
              </w:rPr>
            </w:pPr>
            <w:r w:rsidRPr="00CC0019">
              <w:rPr>
                <w:b/>
                <w:bCs/>
                <w:sz w:val="18"/>
                <w:szCs w:val="18"/>
                <w:lang w:val="fr-CA" w:eastAsia="en-CA"/>
              </w:rPr>
              <w:t>Élément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72D9719C" w14:textId="5594F209" w:rsidR="00934F64" w:rsidRPr="00934F64" w:rsidRDefault="00934F64" w:rsidP="00934F64">
            <w:pPr>
              <w:jc w:val="center"/>
              <w:rPr>
                <w:b/>
                <w:bCs/>
                <w:sz w:val="18"/>
                <w:szCs w:val="18"/>
                <w:lang w:val="fr-CA" w:eastAsia="en-CA"/>
              </w:rPr>
            </w:pPr>
            <w:r w:rsidRPr="00CC0019">
              <w:rPr>
                <w:b/>
                <w:bCs/>
                <w:sz w:val="18"/>
                <w:szCs w:val="18"/>
                <w:lang w:val="fr-CA" w:eastAsia="en-CA"/>
              </w:rPr>
              <w:t>Nombre</w:t>
            </w:r>
            <w:r w:rsidRPr="00CC0019">
              <w:rPr>
                <w:b/>
                <w:bCs/>
                <w:sz w:val="18"/>
                <w:szCs w:val="18"/>
                <w:lang w:val="fr-CA" w:eastAsia="en-CA"/>
              </w:rPr>
              <w:br/>
              <w:t>de</w:t>
            </w:r>
            <w:r w:rsidRPr="00CC0019">
              <w:rPr>
                <w:b/>
                <w:bCs/>
                <w:sz w:val="18"/>
                <w:szCs w:val="18"/>
                <w:lang w:val="fr-CA" w:eastAsia="en-CA"/>
              </w:rPr>
              <w:br/>
              <w:t>projets</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1AE8749F" w14:textId="0B9016FC" w:rsidR="00934F64" w:rsidRPr="00934F64" w:rsidRDefault="00934F64" w:rsidP="00934F64">
            <w:pPr>
              <w:jc w:val="center"/>
              <w:rPr>
                <w:b/>
                <w:bCs/>
                <w:sz w:val="18"/>
                <w:szCs w:val="18"/>
                <w:lang w:val="fr-CA" w:eastAsia="en-CA"/>
              </w:rPr>
            </w:pPr>
            <w:r w:rsidRPr="00CC0019">
              <w:rPr>
                <w:b/>
                <w:bCs/>
                <w:sz w:val="18"/>
                <w:szCs w:val="18"/>
                <w:lang w:val="fr-CA" w:eastAsia="en-CA"/>
              </w:rPr>
              <w:t xml:space="preserve">Sommes approuvées plus les </w:t>
            </w:r>
            <w:proofErr w:type="spellStart"/>
            <w:r w:rsidRPr="00CC0019">
              <w:rPr>
                <w:b/>
                <w:bCs/>
                <w:sz w:val="18"/>
                <w:szCs w:val="18"/>
                <w:lang w:val="fr-CA" w:eastAsia="en-CA"/>
              </w:rPr>
              <w:t>rajuste</w:t>
            </w:r>
            <w:r w:rsidR="00C02841">
              <w:rPr>
                <w:b/>
                <w:bCs/>
                <w:sz w:val="18"/>
                <w:szCs w:val="18"/>
                <w:lang w:val="fr-CA" w:eastAsia="en-CA"/>
              </w:rPr>
              <w:t>-</w:t>
            </w:r>
            <w:r w:rsidRPr="00CC0019">
              <w:rPr>
                <w:b/>
                <w:bCs/>
                <w:sz w:val="18"/>
                <w:szCs w:val="18"/>
                <w:lang w:val="fr-CA" w:eastAsia="en-CA"/>
              </w:rPr>
              <w:t>ments</w:t>
            </w:r>
            <w:proofErr w:type="spellEnd"/>
            <w:r w:rsidRPr="00CC0019">
              <w:rPr>
                <w:b/>
                <w:bCs/>
                <w:sz w:val="18"/>
                <w:szCs w:val="18"/>
                <w:lang w:val="fr-CA" w:eastAsia="en-CA"/>
              </w:rPr>
              <w:t xml:space="preserve"> ($US)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554BC8" w14:textId="17C0FFC4" w:rsidR="00934F64" w:rsidRPr="00934F64" w:rsidRDefault="00934F64" w:rsidP="00934F64">
            <w:pPr>
              <w:ind w:left="-111" w:right="-103"/>
              <w:jc w:val="center"/>
              <w:rPr>
                <w:b/>
                <w:bCs/>
                <w:sz w:val="18"/>
                <w:szCs w:val="18"/>
                <w:lang w:val="fr-CA" w:eastAsia="en-CA"/>
              </w:rPr>
            </w:pPr>
            <w:r w:rsidRPr="00CC0019">
              <w:rPr>
                <w:b/>
                <w:bCs/>
                <w:sz w:val="18"/>
                <w:szCs w:val="18"/>
                <w:lang w:val="fr-CA" w:eastAsia="en-CA"/>
              </w:rPr>
              <w:t>% des sommes décaissées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02329FD" w14:textId="1FE0381B" w:rsidR="00934F64" w:rsidRPr="00934F64" w:rsidRDefault="00934F64" w:rsidP="00934F64">
            <w:pPr>
              <w:ind w:left="-113" w:right="-114"/>
              <w:jc w:val="center"/>
              <w:rPr>
                <w:b/>
                <w:bCs/>
                <w:sz w:val="18"/>
                <w:szCs w:val="18"/>
                <w:lang w:val="fr-CA" w:eastAsia="en-CA"/>
              </w:rPr>
            </w:pPr>
            <w:r w:rsidRPr="00CC0019">
              <w:rPr>
                <w:b/>
                <w:bCs/>
                <w:sz w:val="18"/>
                <w:szCs w:val="18"/>
                <w:lang w:val="fr-CA" w:eastAsia="en-CA"/>
              </w:rPr>
              <w:t xml:space="preserve">Nombre de projets </w:t>
            </w:r>
            <w:r w:rsidRPr="00CC0019">
              <w:rPr>
                <w:b/>
                <w:bCs/>
                <w:sz w:val="18"/>
                <w:szCs w:val="18"/>
                <w:lang w:val="fr-CA" w:eastAsia="en-CA"/>
              </w:rPr>
              <w:br/>
              <w:t xml:space="preserve">dans lesquels </w:t>
            </w:r>
            <w:r w:rsidRPr="00CC0019">
              <w:rPr>
                <w:b/>
                <w:bCs/>
                <w:sz w:val="18"/>
                <w:szCs w:val="18"/>
                <w:lang w:val="fr-CA" w:eastAsia="en-CA"/>
              </w:rPr>
              <w:br/>
              <w:t xml:space="preserve">il y a </w:t>
            </w:r>
            <w:proofErr w:type="spellStart"/>
            <w:r w:rsidRPr="00CC0019">
              <w:rPr>
                <w:b/>
                <w:bCs/>
                <w:sz w:val="18"/>
                <w:szCs w:val="18"/>
                <w:lang w:val="fr-CA" w:eastAsia="en-CA"/>
              </w:rPr>
              <w:t>décaisse-ment</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0E8A55" w14:textId="44B19FC7" w:rsidR="00934F64" w:rsidRPr="00934F64" w:rsidRDefault="00934F64" w:rsidP="00934F64">
            <w:pPr>
              <w:ind w:left="-114" w:right="-110"/>
              <w:jc w:val="center"/>
              <w:rPr>
                <w:b/>
                <w:bCs/>
                <w:sz w:val="18"/>
                <w:szCs w:val="18"/>
                <w:lang w:val="fr-CA" w:eastAsia="en-CA"/>
              </w:rPr>
            </w:pPr>
            <w:r w:rsidRPr="00CC0019">
              <w:rPr>
                <w:b/>
                <w:bCs/>
                <w:sz w:val="18"/>
                <w:szCs w:val="18"/>
                <w:lang w:val="fr-CA" w:eastAsia="en-CA"/>
              </w:rPr>
              <w:t xml:space="preserve">Pourcentage des projets dans lesquels il y a </w:t>
            </w:r>
            <w:proofErr w:type="spellStart"/>
            <w:r w:rsidRPr="00CC0019">
              <w:rPr>
                <w:b/>
                <w:bCs/>
                <w:sz w:val="18"/>
                <w:szCs w:val="18"/>
                <w:lang w:val="fr-CA" w:eastAsia="en-CA"/>
              </w:rPr>
              <w:t>décaisse-ment</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C233B7" w14:textId="77777777" w:rsidR="00934F64" w:rsidRPr="00CC0019" w:rsidRDefault="00934F64" w:rsidP="00934F64">
            <w:pPr>
              <w:ind w:left="-164" w:right="-149"/>
              <w:jc w:val="center"/>
              <w:rPr>
                <w:b/>
                <w:bCs/>
                <w:sz w:val="18"/>
                <w:szCs w:val="18"/>
                <w:lang w:val="fr-CA" w:eastAsia="en-CA"/>
              </w:rPr>
            </w:pPr>
            <w:r w:rsidRPr="00CC0019">
              <w:rPr>
                <w:b/>
                <w:bCs/>
                <w:sz w:val="18"/>
                <w:szCs w:val="18"/>
                <w:lang w:val="fr-CA" w:eastAsia="en-CA"/>
              </w:rPr>
              <w:t>N</w:t>
            </w:r>
            <w:r w:rsidRPr="00CC0019">
              <w:rPr>
                <w:b/>
                <w:bCs/>
                <w:sz w:val="18"/>
                <w:szCs w:val="18"/>
                <w:vertAlign w:val="superscript"/>
                <w:lang w:val="fr-CA" w:eastAsia="en-CA"/>
              </w:rPr>
              <w:t>bre</w:t>
            </w:r>
            <w:r w:rsidRPr="00CC0019">
              <w:rPr>
                <w:b/>
                <w:bCs/>
                <w:sz w:val="18"/>
                <w:szCs w:val="18"/>
                <w:lang w:val="fr-CA" w:eastAsia="en-CA"/>
              </w:rPr>
              <w:t xml:space="preserve"> moyen de </w:t>
            </w:r>
            <w:r w:rsidRPr="00CC0019">
              <w:rPr>
                <w:b/>
                <w:bCs/>
                <w:sz w:val="18"/>
                <w:szCs w:val="18"/>
                <w:lang w:val="fr-CA" w:eastAsia="en-CA"/>
              </w:rPr>
              <w:br/>
              <w:t>mois entre l’approbation</w:t>
            </w:r>
          </w:p>
          <w:p w14:paraId="48DD93EE" w14:textId="6F46B0D8" w:rsidR="00934F64" w:rsidRPr="00934F64" w:rsidRDefault="00934F64" w:rsidP="00934F64">
            <w:pPr>
              <w:ind w:left="-106" w:right="-104"/>
              <w:jc w:val="center"/>
              <w:rPr>
                <w:b/>
                <w:bCs/>
                <w:sz w:val="18"/>
                <w:szCs w:val="18"/>
                <w:lang w:val="fr-CA" w:eastAsia="en-CA"/>
              </w:rPr>
            </w:pPr>
            <w:r w:rsidRPr="00CC0019">
              <w:rPr>
                <w:b/>
                <w:bCs/>
                <w:sz w:val="18"/>
                <w:szCs w:val="18"/>
                <w:lang w:val="fr-CA" w:eastAsia="en-CA"/>
              </w:rPr>
              <w:t>et le premier</w:t>
            </w:r>
            <w:r w:rsidRPr="00CC0019">
              <w:rPr>
                <w:b/>
                <w:bCs/>
                <w:sz w:val="18"/>
                <w:szCs w:val="18"/>
                <w:lang w:val="fr-CA" w:eastAsia="en-CA"/>
              </w:rPr>
              <w:br/>
              <w:t>décaissement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CE73D3" w14:textId="77777777" w:rsidR="00C02841" w:rsidRDefault="00934F64" w:rsidP="00934F64">
            <w:pPr>
              <w:ind w:left="-164" w:right="-149"/>
              <w:jc w:val="center"/>
              <w:rPr>
                <w:b/>
                <w:bCs/>
                <w:sz w:val="18"/>
                <w:szCs w:val="18"/>
                <w:lang w:val="fr-CA" w:eastAsia="en-CA"/>
              </w:rPr>
            </w:pPr>
            <w:r w:rsidRPr="00CC0019">
              <w:rPr>
                <w:b/>
                <w:bCs/>
                <w:sz w:val="18"/>
                <w:szCs w:val="18"/>
                <w:lang w:val="fr-CA" w:eastAsia="en-CA"/>
              </w:rPr>
              <w:t>N</w:t>
            </w:r>
            <w:r w:rsidRPr="00CC0019">
              <w:rPr>
                <w:b/>
                <w:bCs/>
                <w:sz w:val="18"/>
                <w:szCs w:val="18"/>
                <w:vertAlign w:val="superscript"/>
                <w:lang w:val="fr-CA" w:eastAsia="en-CA"/>
              </w:rPr>
              <w:t>bre</w:t>
            </w:r>
            <w:r w:rsidRPr="00CC0019">
              <w:rPr>
                <w:b/>
                <w:bCs/>
                <w:sz w:val="18"/>
                <w:szCs w:val="18"/>
                <w:lang w:val="fr-CA" w:eastAsia="en-CA"/>
              </w:rPr>
              <w:t xml:space="preserve"> moyen</w:t>
            </w:r>
          </w:p>
          <w:p w14:paraId="21CF317A" w14:textId="77777777" w:rsidR="00C02841" w:rsidRDefault="00934F64" w:rsidP="00934F64">
            <w:pPr>
              <w:ind w:left="-164" w:right="-149"/>
              <w:jc w:val="center"/>
              <w:rPr>
                <w:b/>
                <w:bCs/>
                <w:sz w:val="18"/>
                <w:szCs w:val="18"/>
                <w:lang w:val="fr-CA" w:eastAsia="en-CA"/>
              </w:rPr>
            </w:pPr>
            <w:r w:rsidRPr="00CC0019">
              <w:rPr>
                <w:b/>
                <w:bCs/>
                <w:sz w:val="18"/>
                <w:szCs w:val="18"/>
                <w:lang w:val="fr-CA" w:eastAsia="en-CA"/>
              </w:rPr>
              <w:t xml:space="preserve"> </w:t>
            </w:r>
            <w:proofErr w:type="gramStart"/>
            <w:r w:rsidRPr="00CC0019">
              <w:rPr>
                <w:b/>
                <w:bCs/>
                <w:sz w:val="18"/>
                <w:szCs w:val="18"/>
                <w:lang w:val="fr-CA" w:eastAsia="en-CA"/>
              </w:rPr>
              <w:t>de</w:t>
            </w:r>
            <w:proofErr w:type="gramEnd"/>
            <w:r w:rsidRPr="00CC0019">
              <w:rPr>
                <w:b/>
                <w:bCs/>
                <w:sz w:val="18"/>
                <w:szCs w:val="18"/>
                <w:lang w:val="fr-CA" w:eastAsia="en-CA"/>
              </w:rPr>
              <w:t xml:space="preserve"> mois </w:t>
            </w:r>
          </w:p>
          <w:p w14:paraId="13AA34E3" w14:textId="211E850F" w:rsidR="00934F64" w:rsidRPr="00CC0019" w:rsidRDefault="00934F64" w:rsidP="00934F64">
            <w:pPr>
              <w:ind w:left="-164" w:right="-149"/>
              <w:jc w:val="center"/>
              <w:rPr>
                <w:b/>
                <w:bCs/>
                <w:sz w:val="18"/>
                <w:szCs w:val="18"/>
                <w:lang w:val="fr-CA" w:eastAsia="en-CA"/>
              </w:rPr>
            </w:pPr>
            <w:proofErr w:type="gramStart"/>
            <w:r w:rsidRPr="00CC0019">
              <w:rPr>
                <w:b/>
                <w:bCs/>
                <w:sz w:val="18"/>
                <w:szCs w:val="18"/>
                <w:lang w:val="fr-CA" w:eastAsia="en-CA"/>
              </w:rPr>
              <w:t>entre</w:t>
            </w:r>
            <w:proofErr w:type="gramEnd"/>
            <w:r w:rsidRPr="00CC0019">
              <w:rPr>
                <w:b/>
                <w:bCs/>
                <w:sz w:val="18"/>
                <w:szCs w:val="18"/>
                <w:lang w:val="fr-CA" w:eastAsia="en-CA"/>
              </w:rPr>
              <w:t xml:space="preserve"> l’</w:t>
            </w:r>
            <w:proofErr w:type="spellStart"/>
            <w:r w:rsidRPr="00CC0019">
              <w:rPr>
                <w:b/>
                <w:bCs/>
                <w:sz w:val="18"/>
                <w:szCs w:val="18"/>
                <w:lang w:val="fr-CA" w:eastAsia="en-CA"/>
              </w:rPr>
              <w:t>approba</w:t>
            </w:r>
            <w:r w:rsidR="00C02841">
              <w:rPr>
                <w:b/>
                <w:bCs/>
                <w:sz w:val="18"/>
                <w:szCs w:val="18"/>
                <w:lang w:val="fr-CA" w:eastAsia="en-CA"/>
              </w:rPr>
              <w:t>-</w:t>
            </w:r>
            <w:r w:rsidRPr="00CC0019">
              <w:rPr>
                <w:b/>
                <w:bCs/>
                <w:sz w:val="18"/>
                <w:szCs w:val="18"/>
                <w:lang w:val="fr-CA" w:eastAsia="en-CA"/>
              </w:rPr>
              <w:t>tion</w:t>
            </w:r>
            <w:proofErr w:type="spellEnd"/>
          </w:p>
          <w:p w14:paraId="7780DC03" w14:textId="2AE3535D" w:rsidR="00934F64" w:rsidRPr="00934F64" w:rsidRDefault="00934F64" w:rsidP="00934F64">
            <w:pPr>
              <w:ind w:left="-112" w:right="-112"/>
              <w:jc w:val="center"/>
              <w:rPr>
                <w:b/>
                <w:bCs/>
                <w:sz w:val="18"/>
                <w:szCs w:val="18"/>
                <w:lang w:val="fr-CA" w:eastAsia="en-CA"/>
              </w:rPr>
            </w:pPr>
            <w:r w:rsidRPr="00CC0019">
              <w:rPr>
                <w:b/>
                <w:bCs/>
                <w:sz w:val="18"/>
                <w:szCs w:val="18"/>
                <w:lang w:val="fr-CA" w:eastAsia="en-CA"/>
              </w:rPr>
              <w:t xml:space="preserve">et </w:t>
            </w:r>
            <w:r w:rsidRPr="00CC0019">
              <w:rPr>
                <w:b/>
                <w:bCs/>
                <w:sz w:val="18"/>
                <w:szCs w:val="18"/>
                <w:lang w:val="fr-CA" w:eastAsia="en-CA"/>
              </w:rPr>
              <w:br/>
              <w:t>l’</w:t>
            </w:r>
            <w:proofErr w:type="spellStart"/>
            <w:r w:rsidRPr="00CC0019">
              <w:rPr>
                <w:b/>
                <w:bCs/>
                <w:sz w:val="18"/>
                <w:szCs w:val="18"/>
                <w:lang w:val="fr-CA" w:eastAsia="en-CA"/>
              </w:rPr>
              <w:t>achève</w:t>
            </w:r>
            <w:r w:rsidR="00C02841">
              <w:rPr>
                <w:b/>
                <w:bCs/>
                <w:sz w:val="18"/>
                <w:szCs w:val="18"/>
                <w:lang w:val="fr-CA" w:eastAsia="en-CA"/>
              </w:rPr>
              <w:t>-</w:t>
            </w:r>
            <w:r w:rsidRPr="00CC0019">
              <w:rPr>
                <w:b/>
                <w:bCs/>
                <w:sz w:val="18"/>
                <w:szCs w:val="18"/>
                <w:lang w:val="fr-CA" w:eastAsia="en-CA"/>
              </w:rPr>
              <w:t>ment</w:t>
            </w:r>
            <w:proofErr w:type="spellEnd"/>
            <w:r w:rsidRPr="00CC0019">
              <w:rPr>
                <w:b/>
                <w:bCs/>
                <w:sz w:val="18"/>
                <w:szCs w:val="18"/>
                <w:lang w:val="fr-CA" w:eastAsia="en-CA"/>
              </w:rPr>
              <w:t xml:space="preserve"> prévu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8562AA" w14:textId="40716FEC" w:rsidR="00934F64" w:rsidRPr="00934F64" w:rsidRDefault="00934F64" w:rsidP="00934F64">
            <w:pPr>
              <w:ind w:left="-104" w:right="-36"/>
              <w:jc w:val="center"/>
              <w:rPr>
                <w:b/>
                <w:bCs/>
                <w:sz w:val="18"/>
                <w:szCs w:val="18"/>
                <w:lang w:val="fr-CA" w:eastAsia="en-CA"/>
              </w:rPr>
            </w:pPr>
            <w:r w:rsidRPr="00CC0019">
              <w:rPr>
                <w:b/>
                <w:bCs/>
                <w:sz w:val="18"/>
                <w:szCs w:val="18"/>
                <w:lang w:val="fr-CA" w:eastAsia="en-CA"/>
              </w:rPr>
              <w:t>Durée moyenne du retard dans l’</w:t>
            </w:r>
            <w:proofErr w:type="spellStart"/>
            <w:r w:rsidRPr="00CC0019">
              <w:rPr>
                <w:b/>
                <w:bCs/>
                <w:sz w:val="18"/>
                <w:szCs w:val="18"/>
                <w:lang w:val="fr-CA" w:eastAsia="en-CA"/>
              </w:rPr>
              <w:t>achève-ment</w:t>
            </w:r>
            <w:proofErr w:type="spellEnd"/>
            <w:r w:rsidRPr="00CC0019">
              <w:rPr>
                <w:b/>
                <w:bCs/>
                <w:sz w:val="18"/>
                <w:szCs w:val="18"/>
                <w:lang w:val="fr-CA" w:eastAsia="en-CA"/>
              </w:rPr>
              <w:t xml:space="preserve"> prévu du projet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53C5AD7" w14:textId="4EDF2389" w:rsidR="00934F64" w:rsidRPr="00934F64" w:rsidRDefault="00934F64" w:rsidP="00934F64">
            <w:pPr>
              <w:ind w:left="-180" w:right="-136"/>
              <w:jc w:val="center"/>
              <w:rPr>
                <w:b/>
                <w:bCs/>
                <w:sz w:val="18"/>
                <w:szCs w:val="18"/>
                <w:lang w:val="fr-CA" w:eastAsia="en-CA"/>
              </w:rPr>
            </w:pPr>
            <w:r w:rsidRPr="00CC0019">
              <w:rPr>
                <w:b/>
                <w:bCs/>
                <w:sz w:val="18"/>
                <w:szCs w:val="18"/>
                <w:lang w:val="fr-CA" w:eastAsia="en-CA"/>
              </w:rPr>
              <w:t xml:space="preserve">Rapport </w:t>
            </w:r>
            <w:r w:rsidRPr="00CC0019">
              <w:rPr>
                <w:b/>
                <w:bCs/>
                <w:sz w:val="18"/>
                <w:szCs w:val="18"/>
                <w:lang w:val="fr-CA" w:eastAsia="en-CA"/>
              </w:rPr>
              <w:br/>
              <w:t xml:space="preserve">de </w:t>
            </w:r>
            <w:r w:rsidRPr="00CC0019">
              <w:rPr>
                <w:b/>
                <w:bCs/>
                <w:sz w:val="18"/>
                <w:szCs w:val="18"/>
                <w:lang w:val="fr-CA" w:eastAsia="en-CA"/>
              </w:rPr>
              <w:br/>
              <w:t xml:space="preserve">coût-efficacité global pour le </w:t>
            </w:r>
            <w:r w:rsidRPr="00CC0019">
              <w:rPr>
                <w:b/>
                <w:bCs/>
                <w:sz w:val="18"/>
                <w:szCs w:val="18"/>
                <w:lang w:val="fr-CA" w:eastAsia="en-CA"/>
              </w:rPr>
              <w:br/>
              <w:t>Fonds ($US/kg)*</w:t>
            </w:r>
          </w:p>
        </w:tc>
      </w:tr>
      <w:tr w:rsidR="00CC07F4" w:rsidRPr="00934F64" w14:paraId="51EF014C"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2CB42389" w14:textId="77777777" w:rsidR="000460A6" w:rsidRPr="00934F64" w:rsidRDefault="000460A6" w:rsidP="001E39EE">
            <w:pPr>
              <w:jc w:val="left"/>
              <w:rPr>
                <w:b/>
                <w:bCs/>
                <w:sz w:val="18"/>
                <w:szCs w:val="18"/>
                <w:lang w:val="fr-CA" w:eastAsia="en-CA"/>
              </w:rPr>
            </w:pPr>
            <w:r w:rsidRPr="00934F64">
              <w:rPr>
                <w:b/>
                <w:bCs/>
                <w:sz w:val="18"/>
                <w:szCs w:val="18"/>
                <w:lang w:val="fr-CA" w:eastAsia="en-CA"/>
              </w:rPr>
              <w:t>TOTAL</w:t>
            </w:r>
          </w:p>
        </w:tc>
        <w:tc>
          <w:tcPr>
            <w:tcW w:w="856" w:type="dxa"/>
            <w:tcBorders>
              <w:top w:val="nil"/>
              <w:left w:val="nil"/>
              <w:bottom w:val="single" w:sz="4" w:space="0" w:color="auto"/>
              <w:right w:val="single" w:sz="4" w:space="0" w:color="auto"/>
            </w:tcBorders>
            <w:shd w:val="clear" w:color="auto" w:fill="auto"/>
            <w:noWrap/>
            <w:hideMark/>
          </w:tcPr>
          <w:p w14:paraId="15C4043B" w14:textId="77777777" w:rsidR="000460A6" w:rsidRPr="00934F64" w:rsidRDefault="000460A6" w:rsidP="001E39EE">
            <w:pPr>
              <w:jc w:val="right"/>
              <w:rPr>
                <w:b/>
                <w:bCs/>
                <w:sz w:val="18"/>
                <w:szCs w:val="18"/>
                <w:lang w:val="fr-CA" w:eastAsia="en-CA"/>
              </w:rPr>
            </w:pPr>
            <w:r w:rsidRPr="00934F64">
              <w:rPr>
                <w:b/>
                <w:bCs/>
                <w:sz w:val="18"/>
                <w:szCs w:val="18"/>
                <w:lang w:val="fr-CA" w:eastAsia="en-CA"/>
              </w:rPr>
              <w:t>262</w:t>
            </w:r>
          </w:p>
        </w:tc>
        <w:tc>
          <w:tcPr>
            <w:tcW w:w="1129" w:type="dxa"/>
            <w:tcBorders>
              <w:top w:val="nil"/>
              <w:left w:val="nil"/>
              <w:bottom w:val="single" w:sz="4" w:space="0" w:color="auto"/>
              <w:right w:val="single" w:sz="4" w:space="0" w:color="auto"/>
            </w:tcBorders>
            <w:shd w:val="clear" w:color="auto" w:fill="auto"/>
            <w:noWrap/>
            <w:hideMark/>
          </w:tcPr>
          <w:p w14:paraId="1BE30D86" w14:textId="63502ED6" w:rsidR="000460A6" w:rsidRPr="00934F64" w:rsidRDefault="000460A6" w:rsidP="001E39EE">
            <w:pPr>
              <w:jc w:val="right"/>
              <w:rPr>
                <w:b/>
                <w:bCs/>
                <w:sz w:val="18"/>
                <w:szCs w:val="18"/>
                <w:lang w:val="fr-CA" w:eastAsia="en-CA"/>
              </w:rPr>
            </w:pPr>
            <w:r w:rsidRPr="00934F64">
              <w:rPr>
                <w:b/>
                <w:bCs/>
                <w:sz w:val="18"/>
                <w:szCs w:val="18"/>
                <w:lang w:val="fr-CA" w:eastAsia="en-CA"/>
              </w:rPr>
              <w:t>350</w:t>
            </w:r>
            <w:r w:rsidR="000F7F52">
              <w:rPr>
                <w:b/>
                <w:bCs/>
                <w:sz w:val="18"/>
                <w:szCs w:val="18"/>
                <w:lang w:val="fr-CA" w:eastAsia="en-CA"/>
              </w:rPr>
              <w:t xml:space="preserve"> </w:t>
            </w:r>
            <w:r w:rsidRPr="00934F64">
              <w:rPr>
                <w:b/>
                <w:bCs/>
                <w:sz w:val="18"/>
                <w:szCs w:val="18"/>
                <w:lang w:val="fr-CA" w:eastAsia="en-CA"/>
              </w:rPr>
              <w:t>726</w:t>
            </w:r>
            <w:r w:rsidR="000F7F52">
              <w:rPr>
                <w:b/>
                <w:bCs/>
                <w:sz w:val="18"/>
                <w:szCs w:val="18"/>
                <w:lang w:val="fr-CA" w:eastAsia="en-CA"/>
              </w:rPr>
              <w:t xml:space="preserve"> </w:t>
            </w:r>
            <w:r w:rsidRPr="00934F64">
              <w:rPr>
                <w:b/>
                <w:bCs/>
                <w:sz w:val="18"/>
                <w:szCs w:val="18"/>
                <w:lang w:val="fr-CA" w:eastAsia="en-CA"/>
              </w:rPr>
              <w:t>061</w:t>
            </w:r>
          </w:p>
        </w:tc>
        <w:tc>
          <w:tcPr>
            <w:tcW w:w="850" w:type="dxa"/>
            <w:tcBorders>
              <w:top w:val="nil"/>
              <w:left w:val="nil"/>
              <w:bottom w:val="single" w:sz="4" w:space="0" w:color="auto"/>
              <w:right w:val="single" w:sz="4" w:space="0" w:color="auto"/>
            </w:tcBorders>
            <w:shd w:val="clear" w:color="auto" w:fill="auto"/>
            <w:noWrap/>
            <w:hideMark/>
          </w:tcPr>
          <w:p w14:paraId="708A8918" w14:textId="77777777" w:rsidR="000460A6" w:rsidRPr="00934F64" w:rsidRDefault="000460A6" w:rsidP="001E39EE">
            <w:pPr>
              <w:jc w:val="right"/>
              <w:rPr>
                <w:b/>
                <w:bCs/>
                <w:sz w:val="18"/>
                <w:szCs w:val="18"/>
                <w:lang w:val="fr-CA" w:eastAsia="en-CA"/>
              </w:rPr>
            </w:pPr>
            <w:r w:rsidRPr="00934F64">
              <w:rPr>
                <w:b/>
                <w:bCs/>
                <w:sz w:val="18"/>
                <w:szCs w:val="18"/>
                <w:lang w:val="fr-CA" w:eastAsia="en-CA"/>
              </w:rPr>
              <w:t>59</w:t>
            </w:r>
          </w:p>
        </w:tc>
        <w:tc>
          <w:tcPr>
            <w:tcW w:w="851" w:type="dxa"/>
            <w:tcBorders>
              <w:top w:val="nil"/>
              <w:left w:val="nil"/>
              <w:bottom w:val="single" w:sz="4" w:space="0" w:color="auto"/>
              <w:right w:val="single" w:sz="4" w:space="0" w:color="auto"/>
            </w:tcBorders>
            <w:shd w:val="clear" w:color="auto" w:fill="auto"/>
            <w:noWrap/>
            <w:hideMark/>
          </w:tcPr>
          <w:p w14:paraId="0DBA5F7F" w14:textId="77777777" w:rsidR="000460A6" w:rsidRPr="00934F64" w:rsidRDefault="000460A6" w:rsidP="001E39EE">
            <w:pPr>
              <w:jc w:val="right"/>
              <w:rPr>
                <w:b/>
                <w:bCs/>
                <w:sz w:val="18"/>
                <w:szCs w:val="18"/>
                <w:lang w:val="fr-CA" w:eastAsia="en-CA"/>
              </w:rPr>
            </w:pPr>
            <w:r w:rsidRPr="00934F64">
              <w:rPr>
                <w:b/>
                <w:bCs/>
                <w:sz w:val="18"/>
                <w:szCs w:val="18"/>
                <w:lang w:val="fr-CA" w:eastAsia="en-CA"/>
              </w:rPr>
              <w:t>156</w:t>
            </w:r>
          </w:p>
        </w:tc>
        <w:tc>
          <w:tcPr>
            <w:tcW w:w="992" w:type="dxa"/>
            <w:tcBorders>
              <w:top w:val="nil"/>
              <w:left w:val="nil"/>
              <w:bottom w:val="single" w:sz="4" w:space="0" w:color="auto"/>
              <w:right w:val="single" w:sz="4" w:space="0" w:color="auto"/>
            </w:tcBorders>
            <w:shd w:val="clear" w:color="auto" w:fill="auto"/>
            <w:noWrap/>
            <w:hideMark/>
          </w:tcPr>
          <w:p w14:paraId="41EE55B1" w14:textId="77777777" w:rsidR="000460A6" w:rsidRPr="00934F64" w:rsidRDefault="000460A6" w:rsidP="001E39EE">
            <w:pPr>
              <w:jc w:val="right"/>
              <w:rPr>
                <w:b/>
                <w:bCs/>
                <w:sz w:val="18"/>
                <w:szCs w:val="18"/>
                <w:lang w:val="fr-CA" w:eastAsia="en-CA"/>
              </w:rPr>
            </w:pPr>
            <w:r w:rsidRPr="00934F64">
              <w:rPr>
                <w:b/>
                <w:bCs/>
                <w:sz w:val="18"/>
                <w:szCs w:val="18"/>
                <w:lang w:val="fr-CA" w:eastAsia="en-CA"/>
              </w:rPr>
              <w:t>60</w:t>
            </w:r>
          </w:p>
        </w:tc>
        <w:tc>
          <w:tcPr>
            <w:tcW w:w="1134" w:type="dxa"/>
            <w:tcBorders>
              <w:top w:val="nil"/>
              <w:left w:val="nil"/>
              <w:bottom w:val="single" w:sz="4" w:space="0" w:color="auto"/>
              <w:right w:val="single" w:sz="4" w:space="0" w:color="auto"/>
            </w:tcBorders>
            <w:shd w:val="clear" w:color="auto" w:fill="auto"/>
            <w:noWrap/>
            <w:hideMark/>
          </w:tcPr>
          <w:p w14:paraId="6F5A36DF" w14:textId="77777777" w:rsidR="000460A6" w:rsidRPr="00934F64" w:rsidRDefault="000460A6" w:rsidP="001E39EE">
            <w:pPr>
              <w:jc w:val="right"/>
              <w:rPr>
                <w:b/>
                <w:bCs/>
                <w:sz w:val="18"/>
                <w:szCs w:val="18"/>
                <w:lang w:val="fr-CA" w:eastAsia="en-CA"/>
              </w:rPr>
            </w:pPr>
            <w:r w:rsidRPr="00934F64">
              <w:rPr>
                <w:b/>
                <w:bCs/>
                <w:sz w:val="18"/>
                <w:szCs w:val="18"/>
                <w:lang w:val="fr-CA" w:eastAsia="en-CA"/>
              </w:rPr>
              <w:t>11</w:t>
            </w:r>
          </w:p>
        </w:tc>
        <w:tc>
          <w:tcPr>
            <w:tcW w:w="992" w:type="dxa"/>
            <w:tcBorders>
              <w:top w:val="nil"/>
              <w:left w:val="nil"/>
              <w:bottom w:val="single" w:sz="4" w:space="0" w:color="auto"/>
              <w:right w:val="single" w:sz="4" w:space="0" w:color="auto"/>
            </w:tcBorders>
            <w:shd w:val="clear" w:color="auto" w:fill="auto"/>
            <w:noWrap/>
            <w:hideMark/>
          </w:tcPr>
          <w:p w14:paraId="72F80577" w14:textId="77777777" w:rsidR="000460A6" w:rsidRPr="00934F64" w:rsidRDefault="000460A6" w:rsidP="001E39EE">
            <w:pPr>
              <w:jc w:val="right"/>
              <w:rPr>
                <w:b/>
                <w:bCs/>
                <w:sz w:val="18"/>
                <w:szCs w:val="18"/>
                <w:lang w:val="fr-CA" w:eastAsia="en-CA"/>
              </w:rPr>
            </w:pPr>
            <w:r w:rsidRPr="00934F64">
              <w:rPr>
                <w:b/>
                <w:bCs/>
                <w:sz w:val="18"/>
                <w:szCs w:val="18"/>
                <w:lang w:val="fr-CA" w:eastAsia="en-CA"/>
              </w:rPr>
              <w:t>54</w:t>
            </w:r>
          </w:p>
        </w:tc>
        <w:tc>
          <w:tcPr>
            <w:tcW w:w="992" w:type="dxa"/>
            <w:tcBorders>
              <w:top w:val="nil"/>
              <w:left w:val="nil"/>
              <w:bottom w:val="single" w:sz="4" w:space="0" w:color="auto"/>
              <w:right w:val="single" w:sz="4" w:space="0" w:color="auto"/>
            </w:tcBorders>
            <w:shd w:val="clear" w:color="auto" w:fill="auto"/>
            <w:noWrap/>
            <w:hideMark/>
          </w:tcPr>
          <w:p w14:paraId="2FF69B32" w14:textId="77777777" w:rsidR="000460A6" w:rsidRPr="00934F64" w:rsidRDefault="000460A6" w:rsidP="001E39EE">
            <w:pPr>
              <w:jc w:val="right"/>
              <w:rPr>
                <w:b/>
                <w:bCs/>
                <w:sz w:val="18"/>
                <w:szCs w:val="18"/>
                <w:lang w:val="fr-CA" w:eastAsia="en-CA"/>
              </w:rPr>
            </w:pPr>
            <w:r w:rsidRPr="00934F64">
              <w:rPr>
                <w:b/>
                <w:bCs/>
                <w:sz w:val="18"/>
                <w:szCs w:val="18"/>
                <w:lang w:val="fr-CA" w:eastAsia="en-CA"/>
              </w:rPr>
              <w:t>32</w:t>
            </w:r>
          </w:p>
        </w:tc>
        <w:tc>
          <w:tcPr>
            <w:tcW w:w="1060" w:type="dxa"/>
            <w:tcBorders>
              <w:top w:val="nil"/>
              <w:left w:val="nil"/>
              <w:bottom w:val="single" w:sz="4" w:space="0" w:color="auto"/>
              <w:right w:val="single" w:sz="4" w:space="0" w:color="auto"/>
            </w:tcBorders>
            <w:shd w:val="clear" w:color="auto" w:fill="auto"/>
            <w:noWrap/>
            <w:hideMark/>
          </w:tcPr>
          <w:p w14:paraId="22AC9579" w14:textId="6AACCB39" w:rsidR="000460A6" w:rsidRPr="00934F64" w:rsidRDefault="000460A6" w:rsidP="001E39EE">
            <w:pPr>
              <w:jc w:val="right"/>
              <w:rPr>
                <w:b/>
                <w:bCs/>
                <w:sz w:val="18"/>
                <w:szCs w:val="18"/>
                <w:lang w:val="fr-CA" w:eastAsia="en-CA"/>
              </w:rPr>
            </w:pPr>
            <w:r w:rsidRPr="00934F64">
              <w:rPr>
                <w:b/>
                <w:bCs/>
                <w:sz w:val="18"/>
                <w:szCs w:val="18"/>
                <w:lang w:val="fr-CA" w:eastAsia="en-CA"/>
              </w:rPr>
              <w:t>50</w:t>
            </w:r>
            <w:r w:rsidR="000F7F52">
              <w:rPr>
                <w:b/>
                <w:bCs/>
                <w:sz w:val="18"/>
                <w:szCs w:val="18"/>
                <w:lang w:val="fr-CA" w:eastAsia="en-CA"/>
              </w:rPr>
              <w:t>,</w:t>
            </w:r>
            <w:r w:rsidRPr="00934F64">
              <w:rPr>
                <w:b/>
                <w:bCs/>
                <w:sz w:val="18"/>
                <w:szCs w:val="18"/>
                <w:lang w:val="fr-CA" w:eastAsia="en-CA"/>
              </w:rPr>
              <w:t>01</w:t>
            </w:r>
          </w:p>
        </w:tc>
      </w:tr>
      <w:tr w:rsidR="00CC07F4" w:rsidRPr="00934F64" w14:paraId="5097ED45" w14:textId="77777777" w:rsidTr="00CC07F4">
        <w:trPr>
          <w:gridAfter w:val="1"/>
          <w:wAfter w:w="8" w:type="dxa"/>
          <w:trHeight w:val="204"/>
        </w:trPr>
        <w:tc>
          <w:tcPr>
            <w:tcW w:w="1702" w:type="dxa"/>
            <w:tcBorders>
              <w:top w:val="nil"/>
              <w:left w:val="single" w:sz="4" w:space="0" w:color="auto"/>
              <w:bottom w:val="nil"/>
              <w:right w:val="nil"/>
            </w:tcBorders>
            <w:shd w:val="clear" w:color="auto" w:fill="auto"/>
            <w:noWrap/>
            <w:hideMark/>
          </w:tcPr>
          <w:p w14:paraId="59119F3E" w14:textId="56E7106E" w:rsidR="000460A6" w:rsidRPr="00934F64" w:rsidRDefault="00C02841" w:rsidP="001E39EE">
            <w:pPr>
              <w:jc w:val="left"/>
              <w:rPr>
                <w:b/>
                <w:bCs/>
                <w:sz w:val="18"/>
                <w:szCs w:val="18"/>
                <w:lang w:val="fr-CA" w:eastAsia="en-CA"/>
              </w:rPr>
            </w:pPr>
            <w:r>
              <w:rPr>
                <w:b/>
                <w:bCs/>
                <w:sz w:val="18"/>
                <w:szCs w:val="18"/>
                <w:lang w:val="fr-CA" w:eastAsia="en-CA"/>
              </w:rPr>
              <w:t>Ré</w:t>
            </w:r>
            <w:r w:rsidR="000460A6" w:rsidRPr="00934F64">
              <w:rPr>
                <w:b/>
                <w:bCs/>
                <w:sz w:val="18"/>
                <w:szCs w:val="18"/>
                <w:lang w:val="fr-CA" w:eastAsia="en-CA"/>
              </w:rPr>
              <w:t>gion</w:t>
            </w:r>
          </w:p>
        </w:tc>
        <w:tc>
          <w:tcPr>
            <w:tcW w:w="856" w:type="dxa"/>
            <w:tcBorders>
              <w:top w:val="nil"/>
              <w:left w:val="nil"/>
              <w:bottom w:val="nil"/>
              <w:right w:val="nil"/>
            </w:tcBorders>
            <w:shd w:val="clear" w:color="auto" w:fill="auto"/>
            <w:noWrap/>
            <w:hideMark/>
          </w:tcPr>
          <w:p w14:paraId="1416F72D" w14:textId="77777777" w:rsidR="000460A6" w:rsidRPr="00934F64" w:rsidRDefault="000460A6" w:rsidP="001E39EE">
            <w:pPr>
              <w:jc w:val="left"/>
              <w:rPr>
                <w:b/>
                <w:bCs/>
                <w:sz w:val="18"/>
                <w:szCs w:val="18"/>
                <w:lang w:val="fr-CA" w:eastAsia="en-CA"/>
              </w:rPr>
            </w:pPr>
          </w:p>
        </w:tc>
        <w:tc>
          <w:tcPr>
            <w:tcW w:w="1129" w:type="dxa"/>
            <w:tcBorders>
              <w:top w:val="nil"/>
              <w:left w:val="nil"/>
              <w:bottom w:val="nil"/>
              <w:right w:val="nil"/>
            </w:tcBorders>
            <w:shd w:val="clear" w:color="auto" w:fill="auto"/>
            <w:noWrap/>
            <w:hideMark/>
          </w:tcPr>
          <w:p w14:paraId="5015312B" w14:textId="77777777" w:rsidR="000460A6" w:rsidRPr="00934F64" w:rsidRDefault="000460A6" w:rsidP="001E39EE">
            <w:pPr>
              <w:jc w:val="left"/>
              <w:rPr>
                <w:sz w:val="18"/>
                <w:szCs w:val="18"/>
                <w:lang w:val="fr-CA" w:eastAsia="en-CA"/>
              </w:rPr>
            </w:pPr>
          </w:p>
        </w:tc>
        <w:tc>
          <w:tcPr>
            <w:tcW w:w="850" w:type="dxa"/>
            <w:tcBorders>
              <w:top w:val="nil"/>
              <w:left w:val="nil"/>
              <w:bottom w:val="nil"/>
              <w:right w:val="nil"/>
            </w:tcBorders>
            <w:shd w:val="clear" w:color="auto" w:fill="auto"/>
            <w:noWrap/>
            <w:hideMark/>
          </w:tcPr>
          <w:p w14:paraId="580C24D2" w14:textId="77777777" w:rsidR="000460A6" w:rsidRPr="00934F64" w:rsidRDefault="000460A6" w:rsidP="001E39EE">
            <w:pPr>
              <w:jc w:val="left"/>
              <w:rPr>
                <w:sz w:val="18"/>
                <w:szCs w:val="18"/>
                <w:lang w:val="fr-CA" w:eastAsia="en-CA"/>
              </w:rPr>
            </w:pPr>
          </w:p>
        </w:tc>
        <w:tc>
          <w:tcPr>
            <w:tcW w:w="851" w:type="dxa"/>
            <w:tcBorders>
              <w:top w:val="nil"/>
              <w:left w:val="nil"/>
              <w:bottom w:val="nil"/>
              <w:right w:val="nil"/>
            </w:tcBorders>
            <w:shd w:val="clear" w:color="auto" w:fill="auto"/>
            <w:noWrap/>
            <w:hideMark/>
          </w:tcPr>
          <w:p w14:paraId="64ED8333" w14:textId="77777777" w:rsidR="000460A6" w:rsidRPr="00934F64" w:rsidRDefault="000460A6" w:rsidP="001E39EE">
            <w:pPr>
              <w:jc w:val="left"/>
              <w:rPr>
                <w:sz w:val="18"/>
                <w:szCs w:val="18"/>
                <w:lang w:val="fr-CA" w:eastAsia="en-CA"/>
              </w:rPr>
            </w:pPr>
          </w:p>
        </w:tc>
        <w:tc>
          <w:tcPr>
            <w:tcW w:w="992" w:type="dxa"/>
            <w:tcBorders>
              <w:top w:val="nil"/>
              <w:left w:val="nil"/>
              <w:bottom w:val="nil"/>
              <w:right w:val="nil"/>
            </w:tcBorders>
            <w:shd w:val="clear" w:color="auto" w:fill="auto"/>
            <w:noWrap/>
            <w:hideMark/>
          </w:tcPr>
          <w:p w14:paraId="06CF1F7C" w14:textId="77777777" w:rsidR="000460A6" w:rsidRPr="00934F64" w:rsidRDefault="000460A6" w:rsidP="001E39EE">
            <w:pPr>
              <w:jc w:val="left"/>
              <w:rPr>
                <w:sz w:val="18"/>
                <w:szCs w:val="18"/>
                <w:lang w:val="fr-CA" w:eastAsia="en-CA"/>
              </w:rPr>
            </w:pPr>
          </w:p>
        </w:tc>
        <w:tc>
          <w:tcPr>
            <w:tcW w:w="1134" w:type="dxa"/>
            <w:tcBorders>
              <w:top w:val="nil"/>
              <w:left w:val="nil"/>
              <w:bottom w:val="nil"/>
              <w:right w:val="nil"/>
            </w:tcBorders>
            <w:shd w:val="clear" w:color="auto" w:fill="auto"/>
            <w:noWrap/>
            <w:hideMark/>
          </w:tcPr>
          <w:p w14:paraId="52F7975C" w14:textId="77777777" w:rsidR="000460A6" w:rsidRPr="00934F64" w:rsidRDefault="000460A6" w:rsidP="001E39EE">
            <w:pPr>
              <w:jc w:val="left"/>
              <w:rPr>
                <w:sz w:val="18"/>
                <w:szCs w:val="18"/>
                <w:lang w:val="fr-CA" w:eastAsia="en-CA"/>
              </w:rPr>
            </w:pPr>
          </w:p>
        </w:tc>
        <w:tc>
          <w:tcPr>
            <w:tcW w:w="992" w:type="dxa"/>
            <w:tcBorders>
              <w:top w:val="nil"/>
              <w:left w:val="nil"/>
              <w:bottom w:val="nil"/>
              <w:right w:val="nil"/>
            </w:tcBorders>
            <w:shd w:val="clear" w:color="auto" w:fill="auto"/>
            <w:noWrap/>
            <w:hideMark/>
          </w:tcPr>
          <w:p w14:paraId="7F7690EA" w14:textId="77777777" w:rsidR="000460A6" w:rsidRPr="00934F64" w:rsidRDefault="000460A6" w:rsidP="001E39EE">
            <w:pPr>
              <w:jc w:val="right"/>
              <w:rPr>
                <w:sz w:val="18"/>
                <w:szCs w:val="18"/>
                <w:lang w:val="fr-CA" w:eastAsia="en-CA"/>
              </w:rPr>
            </w:pPr>
          </w:p>
        </w:tc>
        <w:tc>
          <w:tcPr>
            <w:tcW w:w="992" w:type="dxa"/>
            <w:tcBorders>
              <w:top w:val="nil"/>
              <w:left w:val="nil"/>
              <w:bottom w:val="nil"/>
              <w:right w:val="nil"/>
            </w:tcBorders>
            <w:shd w:val="clear" w:color="auto" w:fill="auto"/>
            <w:noWrap/>
            <w:hideMark/>
          </w:tcPr>
          <w:p w14:paraId="02A261D0" w14:textId="77777777" w:rsidR="000460A6" w:rsidRPr="00934F64" w:rsidRDefault="000460A6" w:rsidP="001E39EE">
            <w:pPr>
              <w:jc w:val="right"/>
              <w:rPr>
                <w:sz w:val="18"/>
                <w:szCs w:val="18"/>
                <w:lang w:val="fr-CA" w:eastAsia="en-CA"/>
              </w:rPr>
            </w:pPr>
          </w:p>
        </w:tc>
        <w:tc>
          <w:tcPr>
            <w:tcW w:w="1060" w:type="dxa"/>
            <w:tcBorders>
              <w:top w:val="nil"/>
              <w:left w:val="nil"/>
              <w:bottom w:val="nil"/>
              <w:right w:val="single" w:sz="4" w:space="0" w:color="auto"/>
            </w:tcBorders>
            <w:shd w:val="clear" w:color="auto" w:fill="auto"/>
            <w:noWrap/>
            <w:hideMark/>
          </w:tcPr>
          <w:p w14:paraId="2A8F2555" w14:textId="77777777" w:rsidR="000460A6" w:rsidRPr="00934F64" w:rsidRDefault="000460A6" w:rsidP="001E39EE">
            <w:pPr>
              <w:jc w:val="right"/>
              <w:rPr>
                <w:sz w:val="18"/>
                <w:szCs w:val="18"/>
                <w:lang w:val="fr-CA" w:eastAsia="en-CA"/>
              </w:rPr>
            </w:pPr>
            <w:r w:rsidRPr="00934F64">
              <w:rPr>
                <w:sz w:val="18"/>
                <w:szCs w:val="18"/>
                <w:lang w:val="fr-CA" w:eastAsia="en-CA"/>
              </w:rPr>
              <w:t> </w:t>
            </w:r>
          </w:p>
        </w:tc>
      </w:tr>
      <w:tr w:rsidR="00072897" w:rsidRPr="00934F64" w14:paraId="71525D47" w14:textId="77777777" w:rsidTr="00072897">
        <w:trPr>
          <w:gridAfter w:val="1"/>
          <w:wAfter w:w="8" w:type="dxa"/>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6F76542B" w14:textId="27ACA401" w:rsidR="00072897" w:rsidRPr="00934F64" w:rsidRDefault="00072897" w:rsidP="00072897">
            <w:pPr>
              <w:jc w:val="left"/>
              <w:rPr>
                <w:sz w:val="18"/>
                <w:szCs w:val="18"/>
                <w:lang w:val="fr-CA" w:eastAsia="en-CA"/>
              </w:rPr>
            </w:pPr>
            <w:r>
              <w:rPr>
                <w:sz w:val="18"/>
                <w:szCs w:val="18"/>
                <w:lang w:val="fr-CA" w:eastAsia="en-CA"/>
              </w:rPr>
              <w:t>Afrique</w:t>
            </w:r>
          </w:p>
        </w:tc>
        <w:tc>
          <w:tcPr>
            <w:tcW w:w="856" w:type="dxa"/>
            <w:tcBorders>
              <w:top w:val="single" w:sz="4" w:space="0" w:color="auto"/>
              <w:left w:val="nil"/>
              <w:bottom w:val="single" w:sz="4" w:space="0" w:color="auto"/>
              <w:right w:val="single" w:sz="4" w:space="0" w:color="auto"/>
            </w:tcBorders>
            <w:shd w:val="clear" w:color="auto" w:fill="auto"/>
            <w:noWrap/>
          </w:tcPr>
          <w:p w14:paraId="2987E93D" w14:textId="56B63398" w:rsidR="00072897" w:rsidRPr="00934F64" w:rsidRDefault="00072897" w:rsidP="00072897">
            <w:pPr>
              <w:jc w:val="right"/>
              <w:rPr>
                <w:sz w:val="18"/>
                <w:szCs w:val="18"/>
                <w:lang w:val="fr-CA" w:eastAsia="en-CA"/>
              </w:rPr>
            </w:pPr>
            <w:r w:rsidRPr="001A0303">
              <w:rPr>
                <w:sz w:val="18"/>
                <w:szCs w:val="18"/>
                <w:lang w:eastAsia="en-CA"/>
              </w:rPr>
              <w:t>80</w:t>
            </w:r>
          </w:p>
        </w:tc>
        <w:tc>
          <w:tcPr>
            <w:tcW w:w="1129" w:type="dxa"/>
            <w:tcBorders>
              <w:top w:val="single" w:sz="4" w:space="0" w:color="auto"/>
              <w:left w:val="nil"/>
              <w:bottom w:val="single" w:sz="4" w:space="0" w:color="auto"/>
              <w:right w:val="single" w:sz="4" w:space="0" w:color="auto"/>
            </w:tcBorders>
            <w:shd w:val="clear" w:color="auto" w:fill="auto"/>
            <w:noWrap/>
          </w:tcPr>
          <w:p w14:paraId="5E0B8720" w14:textId="5A68AD8E" w:rsidR="00072897" w:rsidRPr="00934F64" w:rsidRDefault="00072897" w:rsidP="00072897">
            <w:pPr>
              <w:jc w:val="right"/>
              <w:rPr>
                <w:sz w:val="18"/>
                <w:szCs w:val="18"/>
                <w:lang w:val="fr-CA" w:eastAsia="en-CA"/>
              </w:rPr>
            </w:pPr>
            <w:r w:rsidRPr="001A0303">
              <w:rPr>
                <w:sz w:val="18"/>
                <w:szCs w:val="18"/>
                <w:lang w:eastAsia="en-CA"/>
              </w:rPr>
              <w:t>30</w:t>
            </w:r>
            <w:r w:rsidR="000F7F52">
              <w:rPr>
                <w:sz w:val="18"/>
                <w:szCs w:val="18"/>
                <w:lang w:eastAsia="en-CA"/>
              </w:rPr>
              <w:t xml:space="preserve"> </w:t>
            </w:r>
            <w:r w:rsidRPr="001A0303">
              <w:rPr>
                <w:sz w:val="18"/>
                <w:szCs w:val="18"/>
                <w:lang w:eastAsia="en-CA"/>
              </w:rPr>
              <w:t>647</w:t>
            </w:r>
            <w:r w:rsidR="000F7F52">
              <w:rPr>
                <w:sz w:val="18"/>
                <w:szCs w:val="18"/>
                <w:lang w:eastAsia="en-CA"/>
              </w:rPr>
              <w:t xml:space="preserve"> </w:t>
            </w:r>
            <w:r w:rsidRPr="001A0303">
              <w:rPr>
                <w:sz w:val="18"/>
                <w:szCs w:val="18"/>
                <w:lang w:eastAsia="en-CA"/>
              </w:rPr>
              <w:t>500</w:t>
            </w:r>
          </w:p>
        </w:tc>
        <w:tc>
          <w:tcPr>
            <w:tcW w:w="850" w:type="dxa"/>
            <w:tcBorders>
              <w:top w:val="single" w:sz="4" w:space="0" w:color="auto"/>
              <w:left w:val="nil"/>
              <w:bottom w:val="single" w:sz="4" w:space="0" w:color="auto"/>
              <w:right w:val="single" w:sz="4" w:space="0" w:color="auto"/>
            </w:tcBorders>
            <w:shd w:val="clear" w:color="auto" w:fill="auto"/>
            <w:noWrap/>
          </w:tcPr>
          <w:p w14:paraId="7B4BB8C7" w14:textId="66C6B72E" w:rsidR="00072897" w:rsidRPr="00934F64" w:rsidRDefault="00072897" w:rsidP="00072897">
            <w:pPr>
              <w:jc w:val="right"/>
              <w:rPr>
                <w:sz w:val="18"/>
                <w:szCs w:val="18"/>
                <w:lang w:val="fr-CA" w:eastAsia="en-CA"/>
              </w:rPr>
            </w:pPr>
            <w:r w:rsidRPr="001A0303">
              <w:rPr>
                <w:sz w:val="18"/>
                <w:szCs w:val="18"/>
                <w:lang w:eastAsia="en-CA"/>
              </w:rPr>
              <w:t>34</w:t>
            </w:r>
          </w:p>
        </w:tc>
        <w:tc>
          <w:tcPr>
            <w:tcW w:w="851" w:type="dxa"/>
            <w:tcBorders>
              <w:top w:val="single" w:sz="4" w:space="0" w:color="auto"/>
              <w:left w:val="nil"/>
              <w:bottom w:val="single" w:sz="4" w:space="0" w:color="auto"/>
              <w:right w:val="single" w:sz="4" w:space="0" w:color="auto"/>
            </w:tcBorders>
            <w:shd w:val="clear" w:color="auto" w:fill="auto"/>
            <w:noWrap/>
          </w:tcPr>
          <w:p w14:paraId="22FCA88D" w14:textId="706E4802" w:rsidR="00072897" w:rsidRPr="00934F64" w:rsidRDefault="00072897" w:rsidP="00072897">
            <w:pPr>
              <w:jc w:val="right"/>
              <w:rPr>
                <w:sz w:val="18"/>
                <w:szCs w:val="18"/>
                <w:lang w:val="fr-CA" w:eastAsia="en-CA"/>
              </w:rPr>
            </w:pPr>
            <w:r w:rsidRPr="001A0303">
              <w:rPr>
                <w:sz w:val="18"/>
                <w:szCs w:val="18"/>
                <w:lang w:eastAsia="en-CA"/>
              </w:rPr>
              <w:t>50</w:t>
            </w:r>
          </w:p>
        </w:tc>
        <w:tc>
          <w:tcPr>
            <w:tcW w:w="992" w:type="dxa"/>
            <w:tcBorders>
              <w:top w:val="single" w:sz="4" w:space="0" w:color="auto"/>
              <w:left w:val="nil"/>
              <w:bottom w:val="single" w:sz="4" w:space="0" w:color="auto"/>
              <w:right w:val="single" w:sz="4" w:space="0" w:color="auto"/>
            </w:tcBorders>
            <w:shd w:val="clear" w:color="auto" w:fill="auto"/>
            <w:noWrap/>
          </w:tcPr>
          <w:p w14:paraId="51DADF3F" w14:textId="51CD6EEF" w:rsidR="00072897" w:rsidRPr="00934F64" w:rsidRDefault="00072897" w:rsidP="00072897">
            <w:pPr>
              <w:jc w:val="right"/>
              <w:rPr>
                <w:sz w:val="18"/>
                <w:szCs w:val="18"/>
                <w:lang w:val="fr-CA" w:eastAsia="en-CA"/>
              </w:rPr>
            </w:pPr>
            <w:r w:rsidRPr="001A0303">
              <w:rPr>
                <w:sz w:val="18"/>
                <w:szCs w:val="18"/>
                <w:lang w:eastAsia="en-CA"/>
              </w:rPr>
              <w:t>63</w:t>
            </w:r>
          </w:p>
        </w:tc>
        <w:tc>
          <w:tcPr>
            <w:tcW w:w="1134" w:type="dxa"/>
            <w:tcBorders>
              <w:top w:val="single" w:sz="4" w:space="0" w:color="auto"/>
              <w:left w:val="nil"/>
              <w:bottom w:val="single" w:sz="4" w:space="0" w:color="auto"/>
              <w:right w:val="single" w:sz="4" w:space="0" w:color="auto"/>
            </w:tcBorders>
            <w:shd w:val="clear" w:color="auto" w:fill="auto"/>
            <w:noWrap/>
          </w:tcPr>
          <w:p w14:paraId="54B34C4D" w14:textId="5125AA8E" w:rsidR="00072897" w:rsidRPr="00934F64" w:rsidRDefault="00072897" w:rsidP="00072897">
            <w:pPr>
              <w:jc w:val="right"/>
              <w:rPr>
                <w:sz w:val="18"/>
                <w:szCs w:val="18"/>
                <w:lang w:val="fr-CA" w:eastAsia="en-CA"/>
              </w:rPr>
            </w:pPr>
            <w:r w:rsidRPr="001A0303">
              <w:rPr>
                <w:sz w:val="18"/>
                <w:szCs w:val="18"/>
                <w:lang w:eastAsia="en-CA"/>
              </w:rPr>
              <w:t>11</w:t>
            </w:r>
          </w:p>
        </w:tc>
        <w:tc>
          <w:tcPr>
            <w:tcW w:w="992" w:type="dxa"/>
            <w:tcBorders>
              <w:top w:val="single" w:sz="4" w:space="0" w:color="auto"/>
              <w:left w:val="nil"/>
              <w:bottom w:val="single" w:sz="4" w:space="0" w:color="auto"/>
              <w:right w:val="single" w:sz="4" w:space="0" w:color="auto"/>
            </w:tcBorders>
            <w:shd w:val="clear" w:color="auto" w:fill="auto"/>
            <w:noWrap/>
          </w:tcPr>
          <w:p w14:paraId="7D830CB2" w14:textId="2D0CDA5C" w:rsidR="00072897" w:rsidRPr="00934F64" w:rsidRDefault="00072897" w:rsidP="00072897">
            <w:pPr>
              <w:jc w:val="right"/>
              <w:rPr>
                <w:sz w:val="18"/>
                <w:szCs w:val="18"/>
                <w:lang w:val="fr-CA" w:eastAsia="en-CA"/>
              </w:rPr>
            </w:pPr>
            <w:r w:rsidRPr="001A0303">
              <w:rPr>
                <w:sz w:val="18"/>
                <w:szCs w:val="18"/>
                <w:lang w:eastAsia="en-CA"/>
              </w:rPr>
              <w:t>56</w:t>
            </w:r>
          </w:p>
        </w:tc>
        <w:tc>
          <w:tcPr>
            <w:tcW w:w="992" w:type="dxa"/>
            <w:tcBorders>
              <w:top w:val="single" w:sz="4" w:space="0" w:color="auto"/>
              <w:left w:val="nil"/>
              <w:bottom w:val="single" w:sz="4" w:space="0" w:color="auto"/>
              <w:right w:val="single" w:sz="4" w:space="0" w:color="auto"/>
            </w:tcBorders>
            <w:shd w:val="clear" w:color="auto" w:fill="auto"/>
            <w:noWrap/>
          </w:tcPr>
          <w:p w14:paraId="278B09FE" w14:textId="6121CDEB" w:rsidR="00072897" w:rsidRPr="00934F64" w:rsidRDefault="00072897" w:rsidP="00072897">
            <w:pPr>
              <w:jc w:val="right"/>
              <w:rPr>
                <w:sz w:val="18"/>
                <w:szCs w:val="18"/>
                <w:lang w:val="fr-CA" w:eastAsia="en-CA"/>
              </w:rPr>
            </w:pPr>
            <w:r w:rsidRPr="001A0303">
              <w:rPr>
                <w:sz w:val="18"/>
                <w:szCs w:val="18"/>
                <w:lang w:eastAsia="en-CA"/>
              </w:rPr>
              <w:t>28</w:t>
            </w:r>
          </w:p>
        </w:tc>
        <w:tc>
          <w:tcPr>
            <w:tcW w:w="1060" w:type="dxa"/>
            <w:tcBorders>
              <w:top w:val="single" w:sz="4" w:space="0" w:color="auto"/>
              <w:left w:val="nil"/>
              <w:bottom w:val="single" w:sz="4" w:space="0" w:color="auto"/>
              <w:right w:val="single" w:sz="4" w:space="0" w:color="auto"/>
            </w:tcBorders>
            <w:shd w:val="clear" w:color="auto" w:fill="auto"/>
            <w:noWrap/>
          </w:tcPr>
          <w:p w14:paraId="1C0B1C88" w14:textId="6A320209" w:rsidR="00072897" w:rsidRPr="00934F64" w:rsidRDefault="00072897" w:rsidP="00072897">
            <w:pPr>
              <w:jc w:val="right"/>
              <w:rPr>
                <w:sz w:val="18"/>
                <w:szCs w:val="18"/>
                <w:lang w:val="fr-CA" w:eastAsia="en-CA"/>
              </w:rPr>
            </w:pPr>
            <w:r w:rsidRPr="001A0303">
              <w:rPr>
                <w:sz w:val="18"/>
                <w:szCs w:val="18"/>
                <w:lang w:eastAsia="en-CA"/>
              </w:rPr>
              <w:t>84</w:t>
            </w:r>
            <w:r w:rsidR="000F7F52">
              <w:rPr>
                <w:sz w:val="18"/>
                <w:szCs w:val="18"/>
                <w:lang w:eastAsia="en-CA"/>
              </w:rPr>
              <w:t>,</w:t>
            </w:r>
            <w:r w:rsidRPr="001A0303">
              <w:rPr>
                <w:sz w:val="18"/>
                <w:szCs w:val="18"/>
                <w:lang w:eastAsia="en-CA"/>
              </w:rPr>
              <w:t>01</w:t>
            </w:r>
          </w:p>
        </w:tc>
      </w:tr>
      <w:tr w:rsidR="00072897" w:rsidRPr="00934F64" w14:paraId="3883AFAF"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7FD15EC1" w14:textId="531B2FD2" w:rsidR="00072897" w:rsidRPr="00934F64" w:rsidRDefault="00072897" w:rsidP="00072897">
            <w:pPr>
              <w:jc w:val="left"/>
              <w:rPr>
                <w:sz w:val="18"/>
                <w:szCs w:val="18"/>
                <w:lang w:val="fr-CA" w:eastAsia="en-CA"/>
              </w:rPr>
            </w:pPr>
            <w:r>
              <w:rPr>
                <w:sz w:val="18"/>
                <w:szCs w:val="18"/>
                <w:lang w:val="fr-CA" w:eastAsia="en-CA"/>
              </w:rPr>
              <w:t>Asie et Pacifique</w:t>
            </w:r>
          </w:p>
        </w:tc>
        <w:tc>
          <w:tcPr>
            <w:tcW w:w="856" w:type="dxa"/>
            <w:tcBorders>
              <w:top w:val="nil"/>
              <w:left w:val="nil"/>
              <w:bottom w:val="single" w:sz="4" w:space="0" w:color="auto"/>
              <w:right w:val="single" w:sz="4" w:space="0" w:color="auto"/>
            </w:tcBorders>
            <w:shd w:val="clear" w:color="auto" w:fill="auto"/>
            <w:noWrap/>
          </w:tcPr>
          <w:p w14:paraId="1E2D1CF5" w14:textId="51750A09" w:rsidR="00072897" w:rsidRPr="00934F64" w:rsidRDefault="00072897" w:rsidP="00072897">
            <w:pPr>
              <w:jc w:val="right"/>
              <w:rPr>
                <w:sz w:val="18"/>
                <w:szCs w:val="18"/>
                <w:lang w:val="fr-CA" w:eastAsia="en-CA"/>
              </w:rPr>
            </w:pPr>
            <w:r w:rsidRPr="001A0303">
              <w:rPr>
                <w:sz w:val="18"/>
                <w:szCs w:val="18"/>
                <w:lang w:eastAsia="en-CA"/>
              </w:rPr>
              <w:t>102</w:t>
            </w:r>
          </w:p>
        </w:tc>
        <w:tc>
          <w:tcPr>
            <w:tcW w:w="1129" w:type="dxa"/>
            <w:tcBorders>
              <w:top w:val="nil"/>
              <w:left w:val="nil"/>
              <w:bottom w:val="single" w:sz="4" w:space="0" w:color="auto"/>
              <w:right w:val="single" w:sz="4" w:space="0" w:color="auto"/>
            </w:tcBorders>
            <w:shd w:val="clear" w:color="auto" w:fill="auto"/>
            <w:noWrap/>
          </w:tcPr>
          <w:p w14:paraId="43BCACCF" w14:textId="4B8567A8" w:rsidR="00072897" w:rsidRPr="00934F64" w:rsidRDefault="00072897" w:rsidP="00072897">
            <w:pPr>
              <w:jc w:val="right"/>
              <w:rPr>
                <w:sz w:val="18"/>
                <w:szCs w:val="18"/>
                <w:lang w:val="fr-CA" w:eastAsia="en-CA"/>
              </w:rPr>
            </w:pPr>
            <w:r w:rsidRPr="001A0303">
              <w:rPr>
                <w:sz w:val="18"/>
                <w:szCs w:val="18"/>
                <w:lang w:eastAsia="en-CA"/>
              </w:rPr>
              <w:t>282</w:t>
            </w:r>
            <w:r w:rsidR="000F7F52">
              <w:rPr>
                <w:sz w:val="18"/>
                <w:szCs w:val="18"/>
                <w:lang w:eastAsia="en-CA"/>
              </w:rPr>
              <w:t xml:space="preserve"> </w:t>
            </w:r>
            <w:r w:rsidRPr="001A0303">
              <w:rPr>
                <w:sz w:val="18"/>
                <w:szCs w:val="18"/>
                <w:lang w:eastAsia="en-CA"/>
              </w:rPr>
              <w:t>482</w:t>
            </w:r>
            <w:r w:rsidR="000F7F52">
              <w:rPr>
                <w:sz w:val="18"/>
                <w:szCs w:val="18"/>
                <w:lang w:eastAsia="en-CA"/>
              </w:rPr>
              <w:t xml:space="preserve"> </w:t>
            </w:r>
            <w:r w:rsidRPr="001A0303">
              <w:rPr>
                <w:sz w:val="18"/>
                <w:szCs w:val="18"/>
                <w:lang w:eastAsia="en-CA"/>
              </w:rPr>
              <w:t>116</w:t>
            </w:r>
          </w:p>
        </w:tc>
        <w:tc>
          <w:tcPr>
            <w:tcW w:w="850" w:type="dxa"/>
            <w:tcBorders>
              <w:top w:val="nil"/>
              <w:left w:val="nil"/>
              <w:bottom w:val="single" w:sz="4" w:space="0" w:color="auto"/>
              <w:right w:val="single" w:sz="4" w:space="0" w:color="auto"/>
            </w:tcBorders>
            <w:shd w:val="clear" w:color="auto" w:fill="auto"/>
            <w:noWrap/>
          </w:tcPr>
          <w:p w14:paraId="383E57D1" w14:textId="61AFFB33" w:rsidR="00072897" w:rsidRPr="00934F64" w:rsidRDefault="00072897" w:rsidP="00072897">
            <w:pPr>
              <w:jc w:val="right"/>
              <w:rPr>
                <w:sz w:val="18"/>
                <w:szCs w:val="18"/>
                <w:lang w:val="fr-CA" w:eastAsia="en-CA"/>
              </w:rPr>
            </w:pPr>
            <w:r w:rsidRPr="001A0303">
              <w:rPr>
                <w:sz w:val="18"/>
                <w:szCs w:val="18"/>
                <w:lang w:eastAsia="en-CA"/>
              </w:rPr>
              <w:t>64</w:t>
            </w:r>
          </w:p>
        </w:tc>
        <w:tc>
          <w:tcPr>
            <w:tcW w:w="851" w:type="dxa"/>
            <w:tcBorders>
              <w:top w:val="nil"/>
              <w:left w:val="nil"/>
              <w:bottom w:val="single" w:sz="4" w:space="0" w:color="auto"/>
              <w:right w:val="single" w:sz="4" w:space="0" w:color="auto"/>
            </w:tcBorders>
            <w:shd w:val="clear" w:color="auto" w:fill="auto"/>
            <w:noWrap/>
          </w:tcPr>
          <w:p w14:paraId="4ABBC5DE" w14:textId="3744BCA7" w:rsidR="00072897" w:rsidRPr="00934F64" w:rsidRDefault="00072897" w:rsidP="00072897">
            <w:pPr>
              <w:jc w:val="right"/>
              <w:rPr>
                <w:sz w:val="18"/>
                <w:szCs w:val="18"/>
                <w:lang w:val="fr-CA" w:eastAsia="en-CA"/>
              </w:rPr>
            </w:pPr>
            <w:r w:rsidRPr="001A0303">
              <w:rPr>
                <w:sz w:val="18"/>
                <w:szCs w:val="18"/>
                <w:lang w:eastAsia="en-CA"/>
              </w:rPr>
              <w:t>62</w:t>
            </w:r>
          </w:p>
        </w:tc>
        <w:tc>
          <w:tcPr>
            <w:tcW w:w="992" w:type="dxa"/>
            <w:tcBorders>
              <w:top w:val="nil"/>
              <w:left w:val="nil"/>
              <w:bottom w:val="single" w:sz="4" w:space="0" w:color="auto"/>
              <w:right w:val="single" w:sz="4" w:space="0" w:color="auto"/>
            </w:tcBorders>
            <w:shd w:val="clear" w:color="auto" w:fill="auto"/>
            <w:noWrap/>
          </w:tcPr>
          <w:p w14:paraId="20A2A06E" w14:textId="63062670" w:rsidR="00072897" w:rsidRPr="00934F64" w:rsidRDefault="00072897" w:rsidP="00072897">
            <w:pPr>
              <w:jc w:val="right"/>
              <w:rPr>
                <w:sz w:val="18"/>
                <w:szCs w:val="18"/>
                <w:lang w:val="fr-CA" w:eastAsia="en-CA"/>
              </w:rPr>
            </w:pPr>
            <w:r w:rsidRPr="001A0303">
              <w:rPr>
                <w:sz w:val="18"/>
                <w:szCs w:val="18"/>
                <w:lang w:eastAsia="en-CA"/>
              </w:rPr>
              <w:t>61</w:t>
            </w:r>
          </w:p>
        </w:tc>
        <w:tc>
          <w:tcPr>
            <w:tcW w:w="1134" w:type="dxa"/>
            <w:tcBorders>
              <w:top w:val="nil"/>
              <w:left w:val="nil"/>
              <w:bottom w:val="single" w:sz="4" w:space="0" w:color="auto"/>
              <w:right w:val="single" w:sz="4" w:space="0" w:color="auto"/>
            </w:tcBorders>
            <w:shd w:val="clear" w:color="auto" w:fill="auto"/>
            <w:noWrap/>
          </w:tcPr>
          <w:p w14:paraId="19F15A14" w14:textId="7DFD735F" w:rsidR="00072897" w:rsidRPr="00934F64" w:rsidRDefault="00072897" w:rsidP="00072897">
            <w:pPr>
              <w:jc w:val="right"/>
              <w:rPr>
                <w:sz w:val="18"/>
                <w:szCs w:val="18"/>
                <w:lang w:val="fr-CA" w:eastAsia="en-CA"/>
              </w:rPr>
            </w:pPr>
            <w:r w:rsidRPr="001A0303">
              <w:rPr>
                <w:sz w:val="18"/>
                <w:szCs w:val="18"/>
                <w:lang w:eastAsia="en-CA"/>
              </w:rPr>
              <w:t>11</w:t>
            </w:r>
          </w:p>
        </w:tc>
        <w:tc>
          <w:tcPr>
            <w:tcW w:w="992" w:type="dxa"/>
            <w:tcBorders>
              <w:top w:val="nil"/>
              <w:left w:val="nil"/>
              <w:bottom w:val="single" w:sz="4" w:space="0" w:color="auto"/>
              <w:right w:val="single" w:sz="4" w:space="0" w:color="auto"/>
            </w:tcBorders>
            <w:shd w:val="clear" w:color="auto" w:fill="auto"/>
            <w:noWrap/>
          </w:tcPr>
          <w:p w14:paraId="5B197AFE" w14:textId="7F3FF7CC" w:rsidR="00072897" w:rsidRPr="00934F64" w:rsidRDefault="00072897" w:rsidP="00072897">
            <w:pPr>
              <w:jc w:val="right"/>
              <w:rPr>
                <w:sz w:val="18"/>
                <w:szCs w:val="18"/>
                <w:lang w:val="fr-CA" w:eastAsia="en-CA"/>
              </w:rPr>
            </w:pPr>
            <w:r w:rsidRPr="001A0303">
              <w:rPr>
                <w:sz w:val="18"/>
                <w:szCs w:val="18"/>
                <w:lang w:eastAsia="en-CA"/>
              </w:rPr>
              <w:t>60</w:t>
            </w:r>
          </w:p>
        </w:tc>
        <w:tc>
          <w:tcPr>
            <w:tcW w:w="992" w:type="dxa"/>
            <w:tcBorders>
              <w:top w:val="nil"/>
              <w:left w:val="nil"/>
              <w:bottom w:val="single" w:sz="4" w:space="0" w:color="auto"/>
              <w:right w:val="single" w:sz="4" w:space="0" w:color="auto"/>
            </w:tcBorders>
            <w:shd w:val="clear" w:color="auto" w:fill="auto"/>
            <w:noWrap/>
          </w:tcPr>
          <w:p w14:paraId="7B905848" w14:textId="541249B7" w:rsidR="00072897" w:rsidRPr="00934F64" w:rsidRDefault="00072897" w:rsidP="00072897">
            <w:pPr>
              <w:jc w:val="right"/>
              <w:rPr>
                <w:sz w:val="18"/>
                <w:szCs w:val="18"/>
                <w:lang w:val="fr-CA" w:eastAsia="en-CA"/>
              </w:rPr>
            </w:pPr>
            <w:r w:rsidRPr="001A0303">
              <w:rPr>
                <w:sz w:val="18"/>
                <w:szCs w:val="18"/>
                <w:lang w:eastAsia="en-CA"/>
              </w:rPr>
              <w:t>44</w:t>
            </w:r>
          </w:p>
        </w:tc>
        <w:tc>
          <w:tcPr>
            <w:tcW w:w="1060" w:type="dxa"/>
            <w:tcBorders>
              <w:top w:val="nil"/>
              <w:left w:val="nil"/>
              <w:bottom w:val="single" w:sz="4" w:space="0" w:color="auto"/>
              <w:right w:val="single" w:sz="4" w:space="0" w:color="auto"/>
            </w:tcBorders>
            <w:shd w:val="clear" w:color="auto" w:fill="auto"/>
            <w:noWrap/>
          </w:tcPr>
          <w:p w14:paraId="6B97C594" w14:textId="567D88DA" w:rsidR="00072897" w:rsidRPr="00934F64" w:rsidRDefault="00072897" w:rsidP="00072897">
            <w:pPr>
              <w:jc w:val="right"/>
              <w:rPr>
                <w:sz w:val="18"/>
                <w:szCs w:val="18"/>
                <w:lang w:val="fr-CA" w:eastAsia="en-CA"/>
              </w:rPr>
            </w:pPr>
            <w:r w:rsidRPr="001A0303">
              <w:rPr>
                <w:sz w:val="18"/>
                <w:szCs w:val="18"/>
                <w:lang w:eastAsia="en-CA"/>
              </w:rPr>
              <w:t>46</w:t>
            </w:r>
            <w:r w:rsidR="000F7F52">
              <w:rPr>
                <w:sz w:val="18"/>
                <w:szCs w:val="18"/>
                <w:lang w:eastAsia="en-CA"/>
              </w:rPr>
              <w:t>,</w:t>
            </w:r>
            <w:r w:rsidRPr="001A0303">
              <w:rPr>
                <w:sz w:val="18"/>
                <w:szCs w:val="18"/>
                <w:lang w:eastAsia="en-CA"/>
              </w:rPr>
              <w:t>18</w:t>
            </w:r>
          </w:p>
        </w:tc>
      </w:tr>
      <w:tr w:rsidR="00072897" w:rsidRPr="00934F64" w14:paraId="3FE58E7A"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2EF79C39" w14:textId="7533C8B0" w:rsidR="00072897" w:rsidRPr="00934F64" w:rsidRDefault="00072897" w:rsidP="00072897">
            <w:pPr>
              <w:jc w:val="left"/>
              <w:rPr>
                <w:sz w:val="18"/>
                <w:szCs w:val="18"/>
                <w:lang w:val="fr-CA" w:eastAsia="en-CA"/>
              </w:rPr>
            </w:pPr>
            <w:r w:rsidRPr="00EF62E4">
              <w:rPr>
                <w:sz w:val="18"/>
                <w:szCs w:val="18"/>
                <w:lang w:val="fr-CA" w:eastAsia="en-CA"/>
              </w:rPr>
              <w:t>Europe</w:t>
            </w:r>
          </w:p>
        </w:tc>
        <w:tc>
          <w:tcPr>
            <w:tcW w:w="856" w:type="dxa"/>
            <w:tcBorders>
              <w:top w:val="nil"/>
              <w:left w:val="nil"/>
              <w:bottom w:val="single" w:sz="4" w:space="0" w:color="auto"/>
              <w:right w:val="single" w:sz="4" w:space="0" w:color="auto"/>
            </w:tcBorders>
            <w:shd w:val="clear" w:color="auto" w:fill="auto"/>
            <w:noWrap/>
          </w:tcPr>
          <w:p w14:paraId="6C3113C4" w14:textId="0FD69E53" w:rsidR="00072897" w:rsidRPr="00934F64" w:rsidRDefault="00072897" w:rsidP="00072897">
            <w:pPr>
              <w:jc w:val="right"/>
              <w:rPr>
                <w:sz w:val="18"/>
                <w:szCs w:val="18"/>
                <w:lang w:val="fr-CA" w:eastAsia="en-CA"/>
              </w:rPr>
            </w:pPr>
            <w:r w:rsidRPr="001A0303">
              <w:rPr>
                <w:sz w:val="18"/>
                <w:szCs w:val="18"/>
                <w:lang w:eastAsia="en-CA"/>
              </w:rPr>
              <w:t>21</w:t>
            </w:r>
          </w:p>
        </w:tc>
        <w:tc>
          <w:tcPr>
            <w:tcW w:w="1129" w:type="dxa"/>
            <w:tcBorders>
              <w:top w:val="nil"/>
              <w:left w:val="nil"/>
              <w:bottom w:val="single" w:sz="4" w:space="0" w:color="auto"/>
              <w:right w:val="single" w:sz="4" w:space="0" w:color="auto"/>
            </w:tcBorders>
            <w:shd w:val="clear" w:color="auto" w:fill="auto"/>
            <w:noWrap/>
          </w:tcPr>
          <w:p w14:paraId="31D036F9" w14:textId="6043B507" w:rsidR="00072897" w:rsidRPr="00934F64" w:rsidRDefault="00072897" w:rsidP="00072897">
            <w:pPr>
              <w:jc w:val="right"/>
              <w:rPr>
                <w:sz w:val="18"/>
                <w:szCs w:val="18"/>
                <w:lang w:val="fr-CA" w:eastAsia="en-CA"/>
              </w:rPr>
            </w:pPr>
            <w:r w:rsidRPr="001A0303">
              <w:rPr>
                <w:sz w:val="18"/>
                <w:szCs w:val="18"/>
                <w:lang w:eastAsia="en-CA"/>
              </w:rPr>
              <w:t>5</w:t>
            </w:r>
            <w:r w:rsidR="000F7F52">
              <w:rPr>
                <w:sz w:val="18"/>
                <w:szCs w:val="18"/>
                <w:lang w:eastAsia="en-CA"/>
              </w:rPr>
              <w:t xml:space="preserve"> </w:t>
            </w:r>
            <w:r w:rsidRPr="001A0303">
              <w:rPr>
                <w:sz w:val="18"/>
                <w:szCs w:val="18"/>
                <w:lang w:eastAsia="en-CA"/>
              </w:rPr>
              <w:t>143</w:t>
            </w:r>
            <w:r w:rsidR="000F7F52">
              <w:rPr>
                <w:sz w:val="18"/>
                <w:szCs w:val="18"/>
                <w:lang w:eastAsia="en-CA"/>
              </w:rPr>
              <w:t xml:space="preserve"> </w:t>
            </w:r>
            <w:r w:rsidRPr="001A0303">
              <w:rPr>
                <w:sz w:val="18"/>
                <w:szCs w:val="18"/>
                <w:lang w:eastAsia="en-CA"/>
              </w:rPr>
              <w:t>646</w:t>
            </w:r>
          </w:p>
        </w:tc>
        <w:tc>
          <w:tcPr>
            <w:tcW w:w="850" w:type="dxa"/>
            <w:tcBorders>
              <w:top w:val="nil"/>
              <w:left w:val="nil"/>
              <w:bottom w:val="single" w:sz="4" w:space="0" w:color="auto"/>
              <w:right w:val="single" w:sz="4" w:space="0" w:color="auto"/>
            </w:tcBorders>
            <w:shd w:val="clear" w:color="auto" w:fill="auto"/>
            <w:noWrap/>
          </w:tcPr>
          <w:p w14:paraId="1BD9B02C" w14:textId="72EB73CB" w:rsidR="00072897" w:rsidRPr="00934F64" w:rsidRDefault="00072897" w:rsidP="00072897">
            <w:pPr>
              <w:jc w:val="right"/>
              <w:rPr>
                <w:sz w:val="18"/>
                <w:szCs w:val="18"/>
                <w:lang w:val="fr-CA" w:eastAsia="en-CA"/>
              </w:rPr>
            </w:pPr>
            <w:r w:rsidRPr="001A0303">
              <w:rPr>
                <w:sz w:val="18"/>
                <w:szCs w:val="18"/>
                <w:lang w:eastAsia="en-CA"/>
              </w:rPr>
              <w:t>29</w:t>
            </w:r>
          </w:p>
        </w:tc>
        <w:tc>
          <w:tcPr>
            <w:tcW w:w="851" w:type="dxa"/>
            <w:tcBorders>
              <w:top w:val="nil"/>
              <w:left w:val="nil"/>
              <w:bottom w:val="single" w:sz="4" w:space="0" w:color="auto"/>
              <w:right w:val="single" w:sz="4" w:space="0" w:color="auto"/>
            </w:tcBorders>
            <w:shd w:val="clear" w:color="auto" w:fill="auto"/>
            <w:noWrap/>
          </w:tcPr>
          <w:p w14:paraId="094846EE" w14:textId="4DC63A71" w:rsidR="00072897" w:rsidRPr="00934F64" w:rsidRDefault="00072897" w:rsidP="00072897">
            <w:pPr>
              <w:jc w:val="right"/>
              <w:rPr>
                <w:sz w:val="18"/>
                <w:szCs w:val="18"/>
                <w:lang w:val="fr-CA" w:eastAsia="en-CA"/>
              </w:rPr>
            </w:pPr>
            <w:r w:rsidRPr="001A0303">
              <w:rPr>
                <w:sz w:val="18"/>
                <w:szCs w:val="18"/>
                <w:lang w:eastAsia="en-CA"/>
              </w:rPr>
              <w:t>12</w:t>
            </w:r>
          </w:p>
        </w:tc>
        <w:tc>
          <w:tcPr>
            <w:tcW w:w="992" w:type="dxa"/>
            <w:tcBorders>
              <w:top w:val="nil"/>
              <w:left w:val="nil"/>
              <w:bottom w:val="single" w:sz="4" w:space="0" w:color="auto"/>
              <w:right w:val="single" w:sz="4" w:space="0" w:color="auto"/>
            </w:tcBorders>
            <w:shd w:val="clear" w:color="auto" w:fill="auto"/>
            <w:noWrap/>
          </w:tcPr>
          <w:p w14:paraId="34D5BBC1" w14:textId="48BCD917" w:rsidR="00072897" w:rsidRPr="00934F64" w:rsidRDefault="00072897" w:rsidP="00072897">
            <w:pPr>
              <w:jc w:val="right"/>
              <w:rPr>
                <w:sz w:val="18"/>
                <w:szCs w:val="18"/>
                <w:lang w:val="fr-CA" w:eastAsia="en-CA"/>
              </w:rPr>
            </w:pPr>
            <w:r w:rsidRPr="001A0303">
              <w:rPr>
                <w:sz w:val="18"/>
                <w:szCs w:val="18"/>
                <w:lang w:eastAsia="en-CA"/>
              </w:rPr>
              <w:t>57</w:t>
            </w:r>
          </w:p>
        </w:tc>
        <w:tc>
          <w:tcPr>
            <w:tcW w:w="1134" w:type="dxa"/>
            <w:tcBorders>
              <w:top w:val="nil"/>
              <w:left w:val="nil"/>
              <w:bottom w:val="single" w:sz="4" w:space="0" w:color="auto"/>
              <w:right w:val="single" w:sz="4" w:space="0" w:color="auto"/>
            </w:tcBorders>
            <w:shd w:val="clear" w:color="auto" w:fill="auto"/>
            <w:noWrap/>
          </w:tcPr>
          <w:p w14:paraId="0690A3CC" w14:textId="0FE1319B" w:rsidR="00072897" w:rsidRPr="00934F64" w:rsidRDefault="00072897" w:rsidP="00072897">
            <w:pPr>
              <w:jc w:val="right"/>
              <w:rPr>
                <w:sz w:val="18"/>
                <w:szCs w:val="18"/>
                <w:lang w:val="fr-CA" w:eastAsia="en-CA"/>
              </w:rPr>
            </w:pPr>
            <w:r w:rsidRPr="001A0303">
              <w:rPr>
                <w:sz w:val="18"/>
                <w:szCs w:val="18"/>
                <w:lang w:eastAsia="en-CA"/>
              </w:rPr>
              <w:t>8</w:t>
            </w:r>
          </w:p>
        </w:tc>
        <w:tc>
          <w:tcPr>
            <w:tcW w:w="992" w:type="dxa"/>
            <w:tcBorders>
              <w:top w:val="nil"/>
              <w:left w:val="nil"/>
              <w:bottom w:val="single" w:sz="4" w:space="0" w:color="auto"/>
              <w:right w:val="single" w:sz="4" w:space="0" w:color="auto"/>
            </w:tcBorders>
            <w:shd w:val="clear" w:color="auto" w:fill="auto"/>
            <w:noWrap/>
          </w:tcPr>
          <w:p w14:paraId="75E883ED" w14:textId="4D38D083" w:rsidR="00072897" w:rsidRPr="00934F64" w:rsidRDefault="00072897" w:rsidP="00072897">
            <w:pPr>
              <w:jc w:val="right"/>
              <w:rPr>
                <w:sz w:val="18"/>
                <w:szCs w:val="18"/>
                <w:lang w:val="fr-CA" w:eastAsia="en-CA"/>
              </w:rPr>
            </w:pPr>
            <w:r w:rsidRPr="001A0303">
              <w:rPr>
                <w:sz w:val="18"/>
                <w:szCs w:val="18"/>
                <w:lang w:eastAsia="en-CA"/>
              </w:rPr>
              <w:t>44</w:t>
            </w:r>
          </w:p>
        </w:tc>
        <w:tc>
          <w:tcPr>
            <w:tcW w:w="992" w:type="dxa"/>
            <w:tcBorders>
              <w:top w:val="nil"/>
              <w:left w:val="nil"/>
              <w:bottom w:val="single" w:sz="4" w:space="0" w:color="auto"/>
              <w:right w:val="single" w:sz="4" w:space="0" w:color="auto"/>
            </w:tcBorders>
            <w:shd w:val="clear" w:color="auto" w:fill="auto"/>
            <w:noWrap/>
          </w:tcPr>
          <w:p w14:paraId="741A0B7D" w14:textId="17A41D31" w:rsidR="00072897" w:rsidRPr="00934F64" w:rsidRDefault="00072897" w:rsidP="00072897">
            <w:pPr>
              <w:jc w:val="right"/>
              <w:rPr>
                <w:sz w:val="18"/>
                <w:szCs w:val="18"/>
                <w:lang w:val="fr-CA" w:eastAsia="en-CA"/>
              </w:rPr>
            </w:pPr>
            <w:r w:rsidRPr="001A0303">
              <w:rPr>
                <w:sz w:val="18"/>
                <w:szCs w:val="18"/>
                <w:lang w:eastAsia="en-CA"/>
              </w:rPr>
              <w:t>29</w:t>
            </w:r>
          </w:p>
        </w:tc>
        <w:tc>
          <w:tcPr>
            <w:tcW w:w="1060" w:type="dxa"/>
            <w:tcBorders>
              <w:top w:val="nil"/>
              <w:left w:val="nil"/>
              <w:bottom w:val="single" w:sz="4" w:space="0" w:color="auto"/>
              <w:right w:val="single" w:sz="4" w:space="0" w:color="auto"/>
            </w:tcBorders>
            <w:shd w:val="clear" w:color="auto" w:fill="auto"/>
            <w:noWrap/>
          </w:tcPr>
          <w:p w14:paraId="2637A5EF" w14:textId="4DDF5AD1" w:rsidR="00072897" w:rsidRPr="00934F64" w:rsidRDefault="00072897" w:rsidP="00072897">
            <w:pPr>
              <w:jc w:val="right"/>
              <w:rPr>
                <w:sz w:val="18"/>
                <w:szCs w:val="18"/>
                <w:lang w:val="fr-CA" w:eastAsia="en-CA"/>
              </w:rPr>
            </w:pPr>
            <w:r w:rsidRPr="001A0303">
              <w:rPr>
                <w:sz w:val="18"/>
                <w:szCs w:val="18"/>
                <w:lang w:eastAsia="en-CA"/>
              </w:rPr>
              <w:t>86</w:t>
            </w:r>
            <w:r w:rsidR="000F7F52">
              <w:rPr>
                <w:sz w:val="18"/>
                <w:szCs w:val="18"/>
                <w:lang w:eastAsia="en-CA"/>
              </w:rPr>
              <w:t>,</w:t>
            </w:r>
            <w:r w:rsidRPr="001A0303">
              <w:rPr>
                <w:sz w:val="18"/>
                <w:szCs w:val="18"/>
                <w:lang w:eastAsia="en-CA"/>
              </w:rPr>
              <w:t>30</w:t>
            </w:r>
          </w:p>
        </w:tc>
      </w:tr>
      <w:tr w:rsidR="00072897" w:rsidRPr="00934F64" w14:paraId="0772293D"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6497B130" w14:textId="45DC8243" w:rsidR="00072897" w:rsidRPr="00934F64" w:rsidRDefault="00072897" w:rsidP="00072897">
            <w:pPr>
              <w:jc w:val="left"/>
              <w:rPr>
                <w:sz w:val="18"/>
                <w:szCs w:val="18"/>
                <w:lang w:val="fr-CA" w:eastAsia="en-CA"/>
              </w:rPr>
            </w:pPr>
            <w:r>
              <w:rPr>
                <w:sz w:val="18"/>
                <w:szCs w:val="18"/>
                <w:lang w:val="fr-CA" w:eastAsia="en-CA"/>
              </w:rPr>
              <w:t>Amérique latine et Caraïbes</w:t>
            </w:r>
          </w:p>
        </w:tc>
        <w:tc>
          <w:tcPr>
            <w:tcW w:w="856" w:type="dxa"/>
            <w:tcBorders>
              <w:top w:val="nil"/>
              <w:left w:val="nil"/>
              <w:bottom w:val="single" w:sz="4" w:space="0" w:color="auto"/>
              <w:right w:val="single" w:sz="4" w:space="0" w:color="auto"/>
            </w:tcBorders>
            <w:shd w:val="clear" w:color="auto" w:fill="auto"/>
            <w:noWrap/>
          </w:tcPr>
          <w:p w14:paraId="2A757A98" w14:textId="169FA4CF" w:rsidR="00072897" w:rsidRPr="00934F64" w:rsidRDefault="00072897" w:rsidP="00072897">
            <w:pPr>
              <w:jc w:val="right"/>
              <w:rPr>
                <w:sz w:val="18"/>
                <w:szCs w:val="18"/>
                <w:lang w:val="fr-CA" w:eastAsia="en-CA"/>
              </w:rPr>
            </w:pPr>
            <w:r w:rsidRPr="001A0303">
              <w:rPr>
                <w:sz w:val="18"/>
                <w:szCs w:val="18"/>
                <w:lang w:eastAsia="en-CA"/>
              </w:rPr>
              <w:t>59</w:t>
            </w:r>
          </w:p>
        </w:tc>
        <w:tc>
          <w:tcPr>
            <w:tcW w:w="1129" w:type="dxa"/>
            <w:tcBorders>
              <w:top w:val="nil"/>
              <w:left w:val="nil"/>
              <w:bottom w:val="single" w:sz="4" w:space="0" w:color="auto"/>
              <w:right w:val="single" w:sz="4" w:space="0" w:color="auto"/>
            </w:tcBorders>
            <w:shd w:val="clear" w:color="auto" w:fill="auto"/>
            <w:noWrap/>
          </w:tcPr>
          <w:p w14:paraId="77ECF23B" w14:textId="40DA412E" w:rsidR="00072897" w:rsidRPr="00934F64" w:rsidRDefault="00072897" w:rsidP="00072897">
            <w:pPr>
              <w:jc w:val="right"/>
              <w:rPr>
                <w:sz w:val="18"/>
                <w:szCs w:val="18"/>
                <w:lang w:val="fr-CA" w:eastAsia="en-CA"/>
              </w:rPr>
            </w:pPr>
            <w:r w:rsidRPr="001A0303">
              <w:rPr>
                <w:sz w:val="18"/>
                <w:szCs w:val="18"/>
                <w:lang w:eastAsia="en-CA"/>
              </w:rPr>
              <w:t>32</w:t>
            </w:r>
            <w:r w:rsidR="000F7F52">
              <w:rPr>
                <w:sz w:val="18"/>
                <w:szCs w:val="18"/>
                <w:lang w:eastAsia="en-CA"/>
              </w:rPr>
              <w:t xml:space="preserve"> </w:t>
            </w:r>
            <w:r w:rsidRPr="001A0303">
              <w:rPr>
                <w:sz w:val="18"/>
                <w:szCs w:val="18"/>
                <w:lang w:eastAsia="en-CA"/>
              </w:rPr>
              <w:t>452</w:t>
            </w:r>
            <w:r w:rsidR="000F7F52">
              <w:rPr>
                <w:sz w:val="18"/>
                <w:szCs w:val="18"/>
                <w:lang w:eastAsia="en-CA"/>
              </w:rPr>
              <w:t xml:space="preserve"> </w:t>
            </w:r>
            <w:r w:rsidRPr="001A0303">
              <w:rPr>
                <w:sz w:val="18"/>
                <w:szCs w:val="18"/>
                <w:lang w:eastAsia="en-CA"/>
              </w:rPr>
              <w:t>799</w:t>
            </w:r>
          </w:p>
        </w:tc>
        <w:tc>
          <w:tcPr>
            <w:tcW w:w="850" w:type="dxa"/>
            <w:tcBorders>
              <w:top w:val="nil"/>
              <w:left w:val="nil"/>
              <w:bottom w:val="single" w:sz="4" w:space="0" w:color="auto"/>
              <w:right w:val="single" w:sz="4" w:space="0" w:color="auto"/>
            </w:tcBorders>
            <w:shd w:val="clear" w:color="auto" w:fill="auto"/>
            <w:noWrap/>
          </w:tcPr>
          <w:p w14:paraId="5815B98B" w14:textId="720F42AA" w:rsidR="00072897" w:rsidRPr="00934F64" w:rsidRDefault="00072897" w:rsidP="00072897">
            <w:pPr>
              <w:jc w:val="right"/>
              <w:rPr>
                <w:sz w:val="18"/>
                <w:szCs w:val="18"/>
                <w:lang w:val="fr-CA" w:eastAsia="en-CA"/>
              </w:rPr>
            </w:pPr>
            <w:r w:rsidRPr="001A0303">
              <w:rPr>
                <w:sz w:val="18"/>
                <w:szCs w:val="18"/>
                <w:lang w:eastAsia="en-CA"/>
              </w:rPr>
              <w:t>38</w:t>
            </w:r>
          </w:p>
        </w:tc>
        <w:tc>
          <w:tcPr>
            <w:tcW w:w="851" w:type="dxa"/>
            <w:tcBorders>
              <w:top w:val="nil"/>
              <w:left w:val="nil"/>
              <w:bottom w:val="single" w:sz="4" w:space="0" w:color="auto"/>
              <w:right w:val="single" w:sz="4" w:space="0" w:color="auto"/>
            </w:tcBorders>
            <w:shd w:val="clear" w:color="auto" w:fill="auto"/>
            <w:noWrap/>
          </w:tcPr>
          <w:p w14:paraId="547BE9EE" w14:textId="4E7D6A98" w:rsidR="00072897" w:rsidRPr="00934F64" w:rsidRDefault="00072897" w:rsidP="00072897">
            <w:pPr>
              <w:jc w:val="right"/>
              <w:rPr>
                <w:sz w:val="18"/>
                <w:szCs w:val="18"/>
                <w:lang w:val="fr-CA" w:eastAsia="en-CA"/>
              </w:rPr>
            </w:pPr>
            <w:r w:rsidRPr="001A0303">
              <w:rPr>
                <w:sz w:val="18"/>
                <w:szCs w:val="18"/>
                <w:lang w:eastAsia="en-CA"/>
              </w:rPr>
              <w:t>32</w:t>
            </w:r>
          </w:p>
        </w:tc>
        <w:tc>
          <w:tcPr>
            <w:tcW w:w="992" w:type="dxa"/>
            <w:tcBorders>
              <w:top w:val="nil"/>
              <w:left w:val="nil"/>
              <w:bottom w:val="single" w:sz="4" w:space="0" w:color="auto"/>
              <w:right w:val="single" w:sz="4" w:space="0" w:color="auto"/>
            </w:tcBorders>
            <w:shd w:val="clear" w:color="auto" w:fill="auto"/>
            <w:noWrap/>
          </w:tcPr>
          <w:p w14:paraId="30CA2089" w14:textId="3C6F265B" w:rsidR="00072897" w:rsidRPr="00934F64" w:rsidRDefault="00072897" w:rsidP="00072897">
            <w:pPr>
              <w:jc w:val="right"/>
              <w:rPr>
                <w:sz w:val="18"/>
                <w:szCs w:val="18"/>
                <w:lang w:val="fr-CA" w:eastAsia="en-CA"/>
              </w:rPr>
            </w:pPr>
            <w:r w:rsidRPr="001A0303">
              <w:rPr>
                <w:sz w:val="18"/>
                <w:szCs w:val="18"/>
                <w:lang w:eastAsia="en-CA"/>
              </w:rPr>
              <w:t>54</w:t>
            </w:r>
          </w:p>
        </w:tc>
        <w:tc>
          <w:tcPr>
            <w:tcW w:w="1134" w:type="dxa"/>
            <w:tcBorders>
              <w:top w:val="nil"/>
              <w:left w:val="nil"/>
              <w:bottom w:val="single" w:sz="4" w:space="0" w:color="auto"/>
              <w:right w:val="single" w:sz="4" w:space="0" w:color="auto"/>
            </w:tcBorders>
            <w:shd w:val="clear" w:color="auto" w:fill="auto"/>
            <w:noWrap/>
          </w:tcPr>
          <w:p w14:paraId="554EEFC6" w14:textId="0F1F426F" w:rsidR="00072897" w:rsidRPr="00934F64" w:rsidRDefault="00072897" w:rsidP="00072897">
            <w:pPr>
              <w:jc w:val="right"/>
              <w:rPr>
                <w:sz w:val="18"/>
                <w:szCs w:val="18"/>
                <w:lang w:val="fr-CA" w:eastAsia="en-CA"/>
              </w:rPr>
            </w:pPr>
            <w:r w:rsidRPr="001A0303">
              <w:rPr>
                <w:sz w:val="18"/>
                <w:szCs w:val="18"/>
                <w:lang w:eastAsia="en-CA"/>
              </w:rPr>
              <w:t>10</w:t>
            </w:r>
          </w:p>
        </w:tc>
        <w:tc>
          <w:tcPr>
            <w:tcW w:w="992" w:type="dxa"/>
            <w:tcBorders>
              <w:top w:val="nil"/>
              <w:left w:val="nil"/>
              <w:bottom w:val="single" w:sz="4" w:space="0" w:color="auto"/>
              <w:right w:val="single" w:sz="4" w:space="0" w:color="auto"/>
            </w:tcBorders>
            <w:shd w:val="clear" w:color="auto" w:fill="auto"/>
            <w:noWrap/>
          </w:tcPr>
          <w:p w14:paraId="50516E1F" w14:textId="3D4459D7" w:rsidR="00072897" w:rsidRPr="00934F64" w:rsidRDefault="00072897" w:rsidP="00072897">
            <w:pPr>
              <w:jc w:val="right"/>
              <w:rPr>
                <w:sz w:val="18"/>
                <w:szCs w:val="18"/>
                <w:lang w:val="fr-CA" w:eastAsia="en-CA"/>
              </w:rPr>
            </w:pPr>
            <w:r w:rsidRPr="001A0303">
              <w:rPr>
                <w:sz w:val="18"/>
                <w:szCs w:val="18"/>
                <w:lang w:eastAsia="en-CA"/>
              </w:rPr>
              <w:t>45</w:t>
            </w:r>
          </w:p>
        </w:tc>
        <w:tc>
          <w:tcPr>
            <w:tcW w:w="992" w:type="dxa"/>
            <w:tcBorders>
              <w:top w:val="nil"/>
              <w:left w:val="nil"/>
              <w:bottom w:val="single" w:sz="4" w:space="0" w:color="auto"/>
              <w:right w:val="single" w:sz="4" w:space="0" w:color="auto"/>
            </w:tcBorders>
            <w:shd w:val="clear" w:color="auto" w:fill="auto"/>
            <w:noWrap/>
          </w:tcPr>
          <w:p w14:paraId="5EFA8A61" w14:textId="02376BD2" w:rsidR="00072897" w:rsidRPr="00934F64" w:rsidRDefault="00072897" w:rsidP="00072897">
            <w:pPr>
              <w:jc w:val="right"/>
              <w:rPr>
                <w:sz w:val="18"/>
                <w:szCs w:val="18"/>
                <w:lang w:val="fr-CA" w:eastAsia="en-CA"/>
              </w:rPr>
            </w:pPr>
            <w:r w:rsidRPr="001A0303">
              <w:rPr>
                <w:sz w:val="18"/>
                <w:szCs w:val="18"/>
                <w:lang w:eastAsia="en-CA"/>
              </w:rPr>
              <w:t>20</w:t>
            </w:r>
          </w:p>
        </w:tc>
        <w:tc>
          <w:tcPr>
            <w:tcW w:w="1060" w:type="dxa"/>
            <w:tcBorders>
              <w:top w:val="nil"/>
              <w:left w:val="nil"/>
              <w:bottom w:val="single" w:sz="4" w:space="0" w:color="auto"/>
              <w:right w:val="single" w:sz="4" w:space="0" w:color="auto"/>
            </w:tcBorders>
            <w:shd w:val="clear" w:color="auto" w:fill="auto"/>
            <w:noWrap/>
          </w:tcPr>
          <w:p w14:paraId="4C9B9363" w14:textId="376A8542" w:rsidR="00072897" w:rsidRPr="00934F64" w:rsidRDefault="00072897" w:rsidP="00072897">
            <w:pPr>
              <w:jc w:val="right"/>
              <w:rPr>
                <w:sz w:val="18"/>
                <w:szCs w:val="18"/>
                <w:lang w:val="fr-CA" w:eastAsia="en-CA"/>
              </w:rPr>
            </w:pPr>
            <w:r w:rsidRPr="001A0303">
              <w:rPr>
                <w:sz w:val="18"/>
                <w:szCs w:val="18"/>
                <w:lang w:eastAsia="en-CA"/>
              </w:rPr>
              <w:t>68</w:t>
            </w:r>
            <w:r w:rsidR="000F7F52">
              <w:rPr>
                <w:sz w:val="18"/>
                <w:szCs w:val="18"/>
                <w:lang w:eastAsia="en-CA"/>
              </w:rPr>
              <w:t>,</w:t>
            </w:r>
            <w:r w:rsidRPr="001A0303">
              <w:rPr>
                <w:sz w:val="18"/>
                <w:szCs w:val="18"/>
                <w:lang w:eastAsia="en-CA"/>
              </w:rPr>
              <w:t>65</w:t>
            </w:r>
          </w:p>
        </w:tc>
      </w:tr>
      <w:tr w:rsidR="00072897" w:rsidRPr="00934F64" w14:paraId="1C03048B"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41A4CEB2" w14:textId="7A1116A2" w:rsidR="00072897" w:rsidRPr="00934F64" w:rsidRDefault="00072897" w:rsidP="00072897">
            <w:pPr>
              <w:jc w:val="left"/>
              <w:rPr>
                <w:sz w:val="18"/>
                <w:szCs w:val="18"/>
                <w:lang w:val="fr-CA" w:eastAsia="en-CA"/>
              </w:rPr>
            </w:pPr>
            <w:r>
              <w:rPr>
                <w:sz w:val="18"/>
                <w:szCs w:val="18"/>
                <w:lang w:val="fr-CA" w:eastAsia="en-CA"/>
              </w:rPr>
              <w:t>Mondial</w:t>
            </w:r>
          </w:p>
        </w:tc>
        <w:tc>
          <w:tcPr>
            <w:tcW w:w="856" w:type="dxa"/>
            <w:tcBorders>
              <w:top w:val="nil"/>
              <w:left w:val="nil"/>
              <w:bottom w:val="single" w:sz="4" w:space="0" w:color="auto"/>
              <w:right w:val="single" w:sz="4" w:space="0" w:color="auto"/>
            </w:tcBorders>
            <w:shd w:val="clear" w:color="auto" w:fill="auto"/>
            <w:noWrap/>
          </w:tcPr>
          <w:p w14:paraId="6A9A4BB8" w14:textId="3185C283" w:rsidR="00072897" w:rsidRPr="00934F64" w:rsidRDefault="00072897" w:rsidP="00072897">
            <w:pPr>
              <w:jc w:val="right"/>
              <w:rPr>
                <w:sz w:val="18"/>
                <w:szCs w:val="18"/>
                <w:lang w:val="fr-CA"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tcPr>
          <w:p w14:paraId="3C57AF81" w14:textId="7383DF8D" w:rsidR="00072897" w:rsidRPr="00934F64" w:rsidRDefault="00072897" w:rsidP="00072897">
            <w:pPr>
              <w:jc w:val="right"/>
              <w:rPr>
                <w:sz w:val="18"/>
                <w:szCs w:val="18"/>
                <w:lang w:val="fr-CA"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tcPr>
          <w:p w14:paraId="0AF4C3A7" w14:textId="25240B67" w:rsidR="00072897" w:rsidRPr="00934F64" w:rsidRDefault="00072897" w:rsidP="00072897">
            <w:pPr>
              <w:jc w:val="right"/>
              <w:rPr>
                <w:sz w:val="18"/>
                <w:szCs w:val="18"/>
                <w:lang w:val="fr-CA"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tcPr>
          <w:p w14:paraId="6B02A4B3" w14:textId="72D62689" w:rsidR="00072897" w:rsidRPr="00934F64" w:rsidRDefault="00072897" w:rsidP="00072897">
            <w:pPr>
              <w:jc w:val="right"/>
              <w:rPr>
                <w:sz w:val="18"/>
                <w:szCs w:val="18"/>
                <w:lang w:val="fr-CA"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tcPr>
          <w:p w14:paraId="5F75485C" w14:textId="1C9157D9" w:rsidR="00072897" w:rsidRPr="00934F64" w:rsidRDefault="00072897" w:rsidP="00072897">
            <w:pPr>
              <w:jc w:val="right"/>
              <w:rPr>
                <w:sz w:val="18"/>
                <w:szCs w:val="18"/>
                <w:lang w:val="fr-CA"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tcPr>
          <w:p w14:paraId="3165C977" w14:textId="0EE3DFE6" w:rsidR="00072897" w:rsidRPr="00934F64" w:rsidRDefault="00072897" w:rsidP="00072897">
            <w:pPr>
              <w:jc w:val="right"/>
              <w:rPr>
                <w:sz w:val="18"/>
                <w:szCs w:val="18"/>
                <w:lang w:val="fr-CA"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tcPr>
          <w:p w14:paraId="28EE9E1E" w14:textId="02DA1D70"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6534AE1A" w14:textId="3CAA1022"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1060" w:type="dxa"/>
            <w:tcBorders>
              <w:top w:val="nil"/>
              <w:left w:val="nil"/>
              <w:bottom w:val="single" w:sz="4" w:space="0" w:color="auto"/>
              <w:right w:val="single" w:sz="4" w:space="0" w:color="auto"/>
            </w:tcBorders>
            <w:shd w:val="clear" w:color="auto" w:fill="auto"/>
            <w:noWrap/>
          </w:tcPr>
          <w:p w14:paraId="3108070B" w14:textId="367CEE42"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r>
      <w:tr w:rsidR="00072897" w:rsidRPr="00934F64" w14:paraId="6FC50EFF" w14:textId="77777777" w:rsidTr="00072897">
        <w:trPr>
          <w:gridAfter w:val="1"/>
          <w:wAfter w:w="8" w:type="dxa"/>
          <w:trHeight w:val="204"/>
        </w:trPr>
        <w:tc>
          <w:tcPr>
            <w:tcW w:w="1702" w:type="dxa"/>
            <w:tcBorders>
              <w:top w:val="nil"/>
              <w:left w:val="single" w:sz="4" w:space="0" w:color="auto"/>
              <w:bottom w:val="nil"/>
              <w:right w:val="nil"/>
            </w:tcBorders>
            <w:shd w:val="clear" w:color="auto" w:fill="auto"/>
            <w:noWrap/>
          </w:tcPr>
          <w:p w14:paraId="3AD21047" w14:textId="5D9E297C" w:rsidR="00072897" w:rsidRPr="00934F64" w:rsidRDefault="00072897" w:rsidP="00072897">
            <w:pPr>
              <w:jc w:val="left"/>
              <w:rPr>
                <w:b/>
                <w:bCs/>
                <w:sz w:val="18"/>
                <w:szCs w:val="18"/>
                <w:lang w:val="fr-CA" w:eastAsia="en-CA"/>
              </w:rPr>
            </w:pPr>
            <w:r>
              <w:rPr>
                <w:b/>
                <w:bCs/>
                <w:sz w:val="18"/>
                <w:szCs w:val="18"/>
                <w:lang w:val="fr-CA" w:eastAsia="en-CA"/>
              </w:rPr>
              <w:t>Secteur</w:t>
            </w:r>
          </w:p>
        </w:tc>
        <w:tc>
          <w:tcPr>
            <w:tcW w:w="856" w:type="dxa"/>
            <w:tcBorders>
              <w:top w:val="nil"/>
              <w:left w:val="nil"/>
              <w:bottom w:val="nil"/>
              <w:right w:val="nil"/>
            </w:tcBorders>
            <w:shd w:val="clear" w:color="auto" w:fill="auto"/>
            <w:noWrap/>
          </w:tcPr>
          <w:p w14:paraId="27C74E15" w14:textId="77777777" w:rsidR="00072897" w:rsidRPr="00934F64" w:rsidRDefault="00072897" w:rsidP="00072897">
            <w:pPr>
              <w:jc w:val="left"/>
              <w:rPr>
                <w:b/>
                <w:bCs/>
                <w:sz w:val="18"/>
                <w:szCs w:val="18"/>
                <w:lang w:val="fr-CA" w:eastAsia="en-CA"/>
              </w:rPr>
            </w:pPr>
          </w:p>
        </w:tc>
        <w:tc>
          <w:tcPr>
            <w:tcW w:w="1129" w:type="dxa"/>
            <w:tcBorders>
              <w:top w:val="nil"/>
              <w:left w:val="nil"/>
              <w:bottom w:val="nil"/>
              <w:right w:val="nil"/>
            </w:tcBorders>
            <w:shd w:val="clear" w:color="auto" w:fill="auto"/>
            <w:noWrap/>
          </w:tcPr>
          <w:p w14:paraId="240B50C0" w14:textId="77777777" w:rsidR="00072897" w:rsidRPr="00934F64" w:rsidRDefault="00072897" w:rsidP="00072897">
            <w:pPr>
              <w:jc w:val="left"/>
              <w:rPr>
                <w:sz w:val="18"/>
                <w:szCs w:val="18"/>
                <w:lang w:val="fr-CA" w:eastAsia="en-CA"/>
              </w:rPr>
            </w:pPr>
          </w:p>
        </w:tc>
        <w:tc>
          <w:tcPr>
            <w:tcW w:w="850" w:type="dxa"/>
            <w:tcBorders>
              <w:top w:val="nil"/>
              <w:left w:val="nil"/>
              <w:bottom w:val="nil"/>
              <w:right w:val="nil"/>
            </w:tcBorders>
            <w:shd w:val="clear" w:color="auto" w:fill="auto"/>
            <w:noWrap/>
          </w:tcPr>
          <w:p w14:paraId="61259669" w14:textId="77777777" w:rsidR="00072897" w:rsidRPr="00934F64" w:rsidRDefault="00072897" w:rsidP="00072897">
            <w:pPr>
              <w:jc w:val="left"/>
              <w:rPr>
                <w:sz w:val="18"/>
                <w:szCs w:val="18"/>
                <w:lang w:val="fr-CA" w:eastAsia="en-CA"/>
              </w:rPr>
            </w:pPr>
          </w:p>
        </w:tc>
        <w:tc>
          <w:tcPr>
            <w:tcW w:w="851" w:type="dxa"/>
            <w:tcBorders>
              <w:top w:val="nil"/>
              <w:left w:val="nil"/>
              <w:bottom w:val="nil"/>
              <w:right w:val="nil"/>
            </w:tcBorders>
            <w:shd w:val="clear" w:color="auto" w:fill="auto"/>
            <w:noWrap/>
          </w:tcPr>
          <w:p w14:paraId="7A0830FA" w14:textId="77777777" w:rsidR="00072897" w:rsidRPr="00934F64" w:rsidRDefault="00072897" w:rsidP="00072897">
            <w:pPr>
              <w:jc w:val="left"/>
              <w:rPr>
                <w:sz w:val="18"/>
                <w:szCs w:val="18"/>
                <w:lang w:val="fr-CA" w:eastAsia="en-CA"/>
              </w:rPr>
            </w:pPr>
          </w:p>
        </w:tc>
        <w:tc>
          <w:tcPr>
            <w:tcW w:w="992" w:type="dxa"/>
            <w:tcBorders>
              <w:top w:val="nil"/>
              <w:left w:val="nil"/>
              <w:bottom w:val="nil"/>
              <w:right w:val="nil"/>
            </w:tcBorders>
            <w:shd w:val="clear" w:color="auto" w:fill="auto"/>
            <w:noWrap/>
          </w:tcPr>
          <w:p w14:paraId="274BEA2C" w14:textId="77777777" w:rsidR="00072897" w:rsidRPr="00934F64" w:rsidRDefault="00072897" w:rsidP="00072897">
            <w:pPr>
              <w:jc w:val="left"/>
              <w:rPr>
                <w:sz w:val="18"/>
                <w:szCs w:val="18"/>
                <w:lang w:val="fr-CA" w:eastAsia="en-CA"/>
              </w:rPr>
            </w:pPr>
          </w:p>
        </w:tc>
        <w:tc>
          <w:tcPr>
            <w:tcW w:w="1134" w:type="dxa"/>
            <w:tcBorders>
              <w:top w:val="nil"/>
              <w:left w:val="nil"/>
              <w:bottom w:val="nil"/>
              <w:right w:val="nil"/>
            </w:tcBorders>
            <w:shd w:val="clear" w:color="auto" w:fill="auto"/>
            <w:noWrap/>
          </w:tcPr>
          <w:p w14:paraId="26635D7F" w14:textId="77777777" w:rsidR="00072897" w:rsidRPr="00934F64" w:rsidRDefault="00072897" w:rsidP="00072897">
            <w:pPr>
              <w:jc w:val="left"/>
              <w:rPr>
                <w:sz w:val="18"/>
                <w:szCs w:val="18"/>
                <w:lang w:val="fr-CA" w:eastAsia="en-CA"/>
              </w:rPr>
            </w:pPr>
          </w:p>
        </w:tc>
        <w:tc>
          <w:tcPr>
            <w:tcW w:w="992" w:type="dxa"/>
            <w:tcBorders>
              <w:top w:val="nil"/>
              <w:left w:val="nil"/>
              <w:bottom w:val="nil"/>
              <w:right w:val="nil"/>
            </w:tcBorders>
            <w:shd w:val="clear" w:color="auto" w:fill="auto"/>
            <w:noWrap/>
          </w:tcPr>
          <w:p w14:paraId="4D069DDD" w14:textId="77777777" w:rsidR="00072897" w:rsidRPr="00934F64" w:rsidRDefault="00072897" w:rsidP="00072897">
            <w:pPr>
              <w:jc w:val="right"/>
              <w:rPr>
                <w:sz w:val="18"/>
                <w:szCs w:val="18"/>
                <w:lang w:val="fr-CA" w:eastAsia="en-CA"/>
              </w:rPr>
            </w:pPr>
          </w:p>
        </w:tc>
        <w:tc>
          <w:tcPr>
            <w:tcW w:w="992" w:type="dxa"/>
            <w:tcBorders>
              <w:top w:val="nil"/>
              <w:left w:val="nil"/>
              <w:bottom w:val="nil"/>
              <w:right w:val="nil"/>
            </w:tcBorders>
            <w:shd w:val="clear" w:color="auto" w:fill="auto"/>
            <w:noWrap/>
          </w:tcPr>
          <w:p w14:paraId="11E30121" w14:textId="77777777" w:rsidR="00072897" w:rsidRPr="00934F64" w:rsidRDefault="00072897" w:rsidP="00072897">
            <w:pPr>
              <w:jc w:val="right"/>
              <w:rPr>
                <w:sz w:val="18"/>
                <w:szCs w:val="18"/>
                <w:lang w:val="fr-CA" w:eastAsia="en-CA"/>
              </w:rPr>
            </w:pPr>
          </w:p>
        </w:tc>
        <w:tc>
          <w:tcPr>
            <w:tcW w:w="1060" w:type="dxa"/>
            <w:tcBorders>
              <w:top w:val="nil"/>
              <w:left w:val="nil"/>
              <w:bottom w:val="nil"/>
              <w:right w:val="single" w:sz="4" w:space="0" w:color="auto"/>
            </w:tcBorders>
            <w:shd w:val="clear" w:color="auto" w:fill="auto"/>
            <w:noWrap/>
          </w:tcPr>
          <w:p w14:paraId="4CAEFA4C" w14:textId="2742816D" w:rsidR="00072897" w:rsidRPr="00934F64" w:rsidRDefault="00072897" w:rsidP="00072897">
            <w:pPr>
              <w:jc w:val="right"/>
              <w:rPr>
                <w:sz w:val="18"/>
                <w:szCs w:val="18"/>
                <w:lang w:val="fr-CA" w:eastAsia="en-CA"/>
              </w:rPr>
            </w:pPr>
            <w:r w:rsidRPr="001A0303">
              <w:rPr>
                <w:sz w:val="18"/>
                <w:szCs w:val="18"/>
                <w:lang w:eastAsia="en-CA"/>
              </w:rPr>
              <w:t> </w:t>
            </w:r>
          </w:p>
        </w:tc>
      </w:tr>
      <w:tr w:rsidR="00072897" w:rsidRPr="00934F64" w14:paraId="43995058" w14:textId="77777777" w:rsidTr="00072897">
        <w:trPr>
          <w:gridAfter w:val="1"/>
          <w:wAfter w:w="8" w:type="dxa"/>
          <w:trHeight w:val="58"/>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75DD4139" w14:textId="0004533D" w:rsidR="00072897" w:rsidRPr="00934F64" w:rsidRDefault="00072897" w:rsidP="00072897">
            <w:pPr>
              <w:jc w:val="left"/>
              <w:rPr>
                <w:sz w:val="18"/>
                <w:szCs w:val="18"/>
                <w:lang w:val="fr-CA" w:eastAsia="en-CA"/>
              </w:rPr>
            </w:pPr>
            <w:r>
              <w:rPr>
                <w:sz w:val="18"/>
                <w:szCs w:val="18"/>
                <w:lang w:val="fr-CA" w:eastAsia="en-CA"/>
              </w:rPr>
              <w:t>Aérosols</w:t>
            </w:r>
          </w:p>
        </w:tc>
        <w:tc>
          <w:tcPr>
            <w:tcW w:w="856" w:type="dxa"/>
            <w:tcBorders>
              <w:top w:val="single" w:sz="4" w:space="0" w:color="auto"/>
              <w:left w:val="nil"/>
              <w:bottom w:val="single" w:sz="4" w:space="0" w:color="auto"/>
              <w:right w:val="single" w:sz="4" w:space="0" w:color="auto"/>
            </w:tcBorders>
            <w:shd w:val="clear" w:color="auto" w:fill="auto"/>
            <w:noWrap/>
          </w:tcPr>
          <w:p w14:paraId="441C19D3" w14:textId="719F5EF7" w:rsidR="00072897" w:rsidRPr="00934F64" w:rsidRDefault="00072897" w:rsidP="00072897">
            <w:pPr>
              <w:jc w:val="right"/>
              <w:rPr>
                <w:sz w:val="18"/>
                <w:szCs w:val="18"/>
                <w:lang w:val="fr-CA" w:eastAsia="en-CA"/>
              </w:rPr>
            </w:pPr>
            <w:r w:rsidRPr="001A0303">
              <w:rPr>
                <w:sz w:val="18"/>
                <w:szCs w:val="18"/>
                <w:lang w:eastAsia="en-CA"/>
              </w:rPr>
              <w:t>0</w:t>
            </w:r>
          </w:p>
        </w:tc>
        <w:tc>
          <w:tcPr>
            <w:tcW w:w="1129" w:type="dxa"/>
            <w:tcBorders>
              <w:top w:val="single" w:sz="4" w:space="0" w:color="auto"/>
              <w:left w:val="nil"/>
              <w:bottom w:val="single" w:sz="4" w:space="0" w:color="auto"/>
              <w:right w:val="single" w:sz="4" w:space="0" w:color="auto"/>
            </w:tcBorders>
            <w:shd w:val="clear" w:color="auto" w:fill="auto"/>
            <w:noWrap/>
          </w:tcPr>
          <w:p w14:paraId="05177FB5" w14:textId="0A0B1F26" w:rsidR="00072897" w:rsidRPr="00934F64" w:rsidRDefault="00072897" w:rsidP="00072897">
            <w:pPr>
              <w:jc w:val="right"/>
              <w:rPr>
                <w:sz w:val="18"/>
                <w:szCs w:val="18"/>
                <w:lang w:val="fr-CA" w:eastAsia="en-CA"/>
              </w:rPr>
            </w:pPr>
            <w:r w:rsidRPr="001A0303">
              <w:rPr>
                <w:sz w:val="18"/>
                <w:szCs w:val="18"/>
                <w:lang w:eastAsia="en-CA"/>
              </w:rPr>
              <w:t>0</w:t>
            </w:r>
          </w:p>
        </w:tc>
        <w:tc>
          <w:tcPr>
            <w:tcW w:w="850" w:type="dxa"/>
            <w:tcBorders>
              <w:top w:val="single" w:sz="4" w:space="0" w:color="auto"/>
              <w:left w:val="nil"/>
              <w:bottom w:val="single" w:sz="4" w:space="0" w:color="auto"/>
              <w:right w:val="single" w:sz="4" w:space="0" w:color="auto"/>
            </w:tcBorders>
            <w:shd w:val="clear" w:color="auto" w:fill="auto"/>
            <w:noWrap/>
          </w:tcPr>
          <w:p w14:paraId="718B043D" w14:textId="67B69A31" w:rsidR="00072897" w:rsidRPr="00934F64" w:rsidRDefault="00072897" w:rsidP="00072897">
            <w:pPr>
              <w:jc w:val="right"/>
              <w:rPr>
                <w:sz w:val="18"/>
                <w:szCs w:val="18"/>
                <w:lang w:val="fr-CA" w:eastAsia="en-CA"/>
              </w:rPr>
            </w:pPr>
            <w:r w:rsidRPr="001A0303">
              <w:rPr>
                <w:sz w:val="18"/>
                <w:szCs w:val="18"/>
                <w:lang w:eastAsia="en-CA"/>
              </w:rPr>
              <w:t>0</w:t>
            </w:r>
          </w:p>
        </w:tc>
        <w:tc>
          <w:tcPr>
            <w:tcW w:w="851" w:type="dxa"/>
            <w:tcBorders>
              <w:top w:val="single" w:sz="4" w:space="0" w:color="auto"/>
              <w:left w:val="nil"/>
              <w:bottom w:val="single" w:sz="4" w:space="0" w:color="auto"/>
              <w:right w:val="single" w:sz="4" w:space="0" w:color="auto"/>
            </w:tcBorders>
            <w:shd w:val="clear" w:color="auto" w:fill="auto"/>
            <w:noWrap/>
          </w:tcPr>
          <w:p w14:paraId="7D2E8EEB" w14:textId="63463C24" w:rsidR="00072897" w:rsidRPr="00934F64" w:rsidRDefault="00072897" w:rsidP="00072897">
            <w:pPr>
              <w:jc w:val="right"/>
              <w:rPr>
                <w:sz w:val="18"/>
                <w:szCs w:val="18"/>
                <w:lang w:val="fr-CA" w:eastAsia="en-CA"/>
              </w:rPr>
            </w:pPr>
            <w:r w:rsidRPr="001A0303">
              <w:rPr>
                <w:sz w:val="18"/>
                <w:szCs w:val="18"/>
                <w:lang w:eastAsia="en-CA"/>
              </w:rPr>
              <w:t>0</w:t>
            </w:r>
          </w:p>
        </w:tc>
        <w:tc>
          <w:tcPr>
            <w:tcW w:w="992" w:type="dxa"/>
            <w:tcBorders>
              <w:top w:val="single" w:sz="4" w:space="0" w:color="auto"/>
              <w:left w:val="nil"/>
              <w:bottom w:val="single" w:sz="4" w:space="0" w:color="auto"/>
              <w:right w:val="single" w:sz="4" w:space="0" w:color="auto"/>
            </w:tcBorders>
            <w:shd w:val="clear" w:color="auto" w:fill="auto"/>
            <w:noWrap/>
          </w:tcPr>
          <w:p w14:paraId="7E2DC9D3" w14:textId="187E11F7" w:rsidR="00072897" w:rsidRPr="00934F64" w:rsidRDefault="00072897" w:rsidP="00072897">
            <w:pPr>
              <w:jc w:val="right"/>
              <w:rPr>
                <w:sz w:val="18"/>
                <w:szCs w:val="18"/>
                <w:lang w:val="fr-CA" w:eastAsia="en-CA"/>
              </w:rPr>
            </w:pPr>
            <w:r w:rsidRPr="001A0303">
              <w:rPr>
                <w:sz w:val="18"/>
                <w:szCs w:val="18"/>
                <w:lang w:eastAsia="en-CA"/>
              </w:rPr>
              <w:t>0</w:t>
            </w:r>
          </w:p>
        </w:tc>
        <w:tc>
          <w:tcPr>
            <w:tcW w:w="1134" w:type="dxa"/>
            <w:tcBorders>
              <w:top w:val="single" w:sz="4" w:space="0" w:color="auto"/>
              <w:left w:val="nil"/>
              <w:bottom w:val="single" w:sz="4" w:space="0" w:color="auto"/>
              <w:right w:val="single" w:sz="4" w:space="0" w:color="auto"/>
            </w:tcBorders>
            <w:shd w:val="clear" w:color="auto" w:fill="auto"/>
            <w:noWrap/>
          </w:tcPr>
          <w:p w14:paraId="3DA4989E" w14:textId="69355FFE"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single" w:sz="4" w:space="0" w:color="auto"/>
              <w:left w:val="nil"/>
              <w:bottom w:val="single" w:sz="4" w:space="0" w:color="auto"/>
              <w:right w:val="single" w:sz="4" w:space="0" w:color="auto"/>
            </w:tcBorders>
            <w:shd w:val="clear" w:color="auto" w:fill="auto"/>
            <w:noWrap/>
          </w:tcPr>
          <w:p w14:paraId="6E7FADB4" w14:textId="6F5F374E"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single" w:sz="4" w:space="0" w:color="auto"/>
              <w:left w:val="nil"/>
              <w:bottom w:val="single" w:sz="4" w:space="0" w:color="auto"/>
              <w:right w:val="single" w:sz="4" w:space="0" w:color="auto"/>
            </w:tcBorders>
            <w:shd w:val="clear" w:color="auto" w:fill="auto"/>
            <w:noWrap/>
          </w:tcPr>
          <w:p w14:paraId="3337B718" w14:textId="6431D7E5"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1060" w:type="dxa"/>
            <w:tcBorders>
              <w:top w:val="single" w:sz="4" w:space="0" w:color="auto"/>
              <w:left w:val="nil"/>
              <w:bottom w:val="single" w:sz="4" w:space="0" w:color="auto"/>
              <w:right w:val="single" w:sz="4" w:space="0" w:color="auto"/>
            </w:tcBorders>
            <w:shd w:val="clear" w:color="auto" w:fill="auto"/>
            <w:noWrap/>
          </w:tcPr>
          <w:p w14:paraId="7B77F25A" w14:textId="5D8EBA22"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r>
      <w:tr w:rsidR="00072897" w:rsidRPr="00934F64" w14:paraId="0F641CB6"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6BAC1E4D" w14:textId="52B8B8BB" w:rsidR="00072897" w:rsidRPr="00934F64" w:rsidRDefault="00072897" w:rsidP="00072897">
            <w:pPr>
              <w:jc w:val="left"/>
              <w:rPr>
                <w:sz w:val="18"/>
                <w:szCs w:val="18"/>
                <w:lang w:val="fr-CA" w:eastAsia="en-CA"/>
              </w:rPr>
            </w:pPr>
            <w:r w:rsidRPr="00BF6C78">
              <w:rPr>
                <w:sz w:val="18"/>
                <w:szCs w:val="18"/>
                <w:lang w:val="fr-CA" w:eastAsia="en-CA"/>
              </w:rPr>
              <w:t>Destruction</w:t>
            </w:r>
          </w:p>
        </w:tc>
        <w:tc>
          <w:tcPr>
            <w:tcW w:w="856" w:type="dxa"/>
            <w:tcBorders>
              <w:top w:val="nil"/>
              <w:left w:val="nil"/>
              <w:bottom w:val="single" w:sz="4" w:space="0" w:color="auto"/>
              <w:right w:val="single" w:sz="4" w:space="0" w:color="auto"/>
            </w:tcBorders>
            <w:shd w:val="clear" w:color="auto" w:fill="auto"/>
            <w:noWrap/>
          </w:tcPr>
          <w:p w14:paraId="4513641D" w14:textId="1AB6AEB8" w:rsidR="00072897" w:rsidRPr="00934F64" w:rsidRDefault="00072897" w:rsidP="00072897">
            <w:pPr>
              <w:jc w:val="right"/>
              <w:rPr>
                <w:sz w:val="18"/>
                <w:szCs w:val="18"/>
                <w:lang w:val="fr-CA"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tcPr>
          <w:p w14:paraId="13F474FE" w14:textId="6D598EC0" w:rsidR="00072897" w:rsidRPr="00934F64" w:rsidRDefault="00072897" w:rsidP="00072897">
            <w:pPr>
              <w:jc w:val="right"/>
              <w:rPr>
                <w:sz w:val="18"/>
                <w:szCs w:val="18"/>
                <w:lang w:val="fr-CA"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tcPr>
          <w:p w14:paraId="2439008D" w14:textId="1FC647A6" w:rsidR="00072897" w:rsidRPr="00934F64" w:rsidRDefault="00072897" w:rsidP="00072897">
            <w:pPr>
              <w:jc w:val="right"/>
              <w:rPr>
                <w:sz w:val="18"/>
                <w:szCs w:val="18"/>
                <w:lang w:val="fr-CA"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tcPr>
          <w:p w14:paraId="39D6F79E" w14:textId="14B7745D" w:rsidR="00072897" w:rsidRPr="00934F64" w:rsidRDefault="00072897" w:rsidP="00072897">
            <w:pPr>
              <w:jc w:val="right"/>
              <w:rPr>
                <w:sz w:val="18"/>
                <w:szCs w:val="18"/>
                <w:lang w:val="fr-CA"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tcPr>
          <w:p w14:paraId="06E62C70" w14:textId="5CF7CB15" w:rsidR="00072897" w:rsidRPr="00934F64" w:rsidRDefault="00072897" w:rsidP="00072897">
            <w:pPr>
              <w:jc w:val="right"/>
              <w:rPr>
                <w:sz w:val="18"/>
                <w:szCs w:val="18"/>
                <w:lang w:val="fr-CA"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tcPr>
          <w:p w14:paraId="47437577" w14:textId="38D81014"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01FE3997" w14:textId="611E0FBA"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10F403CA" w14:textId="29690E88"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1060" w:type="dxa"/>
            <w:tcBorders>
              <w:top w:val="nil"/>
              <w:left w:val="nil"/>
              <w:bottom w:val="single" w:sz="4" w:space="0" w:color="auto"/>
              <w:right w:val="single" w:sz="4" w:space="0" w:color="auto"/>
            </w:tcBorders>
            <w:shd w:val="clear" w:color="auto" w:fill="auto"/>
            <w:noWrap/>
          </w:tcPr>
          <w:p w14:paraId="7C421D1F" w14:textId="65D73C6F"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r>
      <w:tr w:rsidR="00072897" w:rsidRPr="00934F64" w14:paraId="680A479E"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0EAE1BB5" w14:textId="2670C7EC" w:rsidR="00072897" w:rsidRPr="00934F64" w:rsidRDefault="00072897" w:rsidP="00072897">
            <w:pPr>
              <w:jc w:val="left"/>
              <w:rPr>
                <w:sz w:val="18"/>
                <w:szCs w:val="18"/>
                <w:lang w:val="fr-CA" w:eastAsia="en-CA"/>
              </w:rPr>
            </w:pPr>
            <w:r>
              <w:rPr>
                <w:sz w:val="18"/>
                <w:szCs w:val="18"/>
                <w:lang w:val="fr-CA" w:eastAsia="en-CA"/>
              </w:rPr>
              <w:t>Lutte contre les incendies</w:t>
            </w:r>
          </w:p>
        </w:tc>
        <w:tc>
          <w:tcPr>
            <w:tcW w:w="856" w:type="dxa"/>
            <w:tcBorders>
              <w:top w:val="nil"/>
              <w:left w:val="nil"/>
              <w:bottom w:val="single" w:sz="4" w:space="0" w:color="auto"/>
              <w:right w:val="single" w:sz="4" w:space="0" w:color="auto"/>
            </w:tcBorders>
            <w:shd w:val="clear" w:color="auto" w:fill="auto"/>
            <w:noWrap/>
          </w:tcPr>
          <w:p w14:paraId="48699AF6" w14:textId="00DD35AC" w:rsidR="00072897" w:rsidRPr="00934F64" w:rsidRDefault="00072897" w:rsidP="00072897">
            <w:pPr>
              <w:jc w:val="right"/>
              <w:rPr>
                <w:sz w:val="18"/>
                <w:szCs w:val="18"/>
                <w:lang w:val="fr-CA"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tcPr>
          <w:p w14:paraId="166AAFA7" w14:textId="4160A5FB" w:rsidR="00072897" w:rsidRPr="00934F64" w:rsidRDefault="00072897" w:rsidP="00072897">
            <w:pPr>
              <w:jc w:val="right"/>
              <w:rPr>
                <w:sz w:val="18"/>
                <w:szCs w:val="18"/>
                <w:lang w:val="fr-CA"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tcPr>
          <w:p w14:paraId="15E15CCE" w14:textId="33CC6541" w:rsidR="00072897" w:rsidRPr="00934F64" w:rsidRDefault="00072897" w:rsidP="00072897">
            <w:pPr>
              <w:jc w:val="right"/>
              <w:rPr>
                <w:sz w:val="18"/>
                <w:szCs w:val="18"/>
                <w:lang w:val="fr-CA"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tcPr>
          <w:p w14:paraId="01B21B17" w14:textId="4355301A" w:rsidR="00072897" w:rsidRPr="00934F64" w:rsidRDefault="00072897" w:rsidP="00072897">
            <w:pPr>
              <w:jc w:val="right"/>
              <w:rPr>
                <w:sz w:val="18"/>
                <w:szCs w:val="18"/>
                <w:lang w:val="fr-CA"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tcPr>
          <w:p w14:paraId="28C5E313" w14:textId="362325D8" w:rsidR="00072897" w:rsidRPr="00934F64" w:rsidRDefault="00072897" w:rsidP="00072897">
            <w:pPr>
              <w:jc w:val="right"/>
              <w:rPr>
                <w:sz w:val="18"/>
                <w:szCs w:val="18"/>
                <w:lang w:val="fr-CA"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tcPr>
          <w:p w14:paraId="4AA51FB4" w14:textId="77FF5378"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3BBE1807" w14:textId="3079BFCC"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06ACA401" w14:textId="5A14E441"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1060" w:type="dxa"/>
            <w:tcBorders>
              <w:top w:val="nil"/>
              <w:left w:val="nil"/>
              <w:bottom w:val="single" w:sz="4" w:space="0" w:color="auto"/>
              <w:right w:val="single" w:sz="4" w:space="0" w:color="auto"/>
            </w:tcBorders>
            <w:shd w:val="clear" w:color="auto" w:fill="auto"/>
            <w:noWrap/>
          </w:tcPr>
          <w:p w14:paraId="281C7D93" w14:textId="13ED3F79"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r>
      <w:tr w:rsidR="00072897" w:rsidRPr="00934F64" w14:paraId="796135CD"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6D6A62B8" w14:textId="0948ECA1" w:rsidR="00072897" w:rsidRPr="00934F64" w:rsidRDefault="00072897" w:rsidP="00072897">
            <w:pPr>
              <w:jc w:val="left"/>
              <w:rPr>
                <w:sz w:val="18"/>
                <w:szCs w:val="18"/>
                <w:lang w:val="fr-CA" w:eastAsia="en-CA"/>
              </w:rPr>
            </w:pPr>
            <w:r>
              <w:rPr>
                <w:sz w:val="18"/>
                <w:szCs w:val="18"/>
                <w:lang w:val="fr-CA" w:eastAsia="en-CA"/>
              </w:rPr>
              <w:t>Mousses</w:t>
            </w:r>
          </w:p>
        </w:tc>
        <w:tc>
          <w:tcPr>
            <w:tcW w:w="856" w:type="dxa"/>
            <w:tcBorders>
              <w:top w:val="nil"/>
              <w:left w:val="nil"/>
              <w:bottom w:val="single" w:sz="4" w:space="0" w:color="auto"/>
              <w:right w:val="single" w:sz="4" w:space="0" w:color="auto"/>
            </w:tcBorders>
            <w:shd w:val="clear" w:color="auto" w:fill="auto"/>
            <w:noWrap/>
          </w:tcPr>
          <w:p w14:paraId="255A2362" w14:textId="37B0B31E" w:rsidR="00072897" w:rsidRPr="00934F64" w:rsidRDefault="00072897" w:rsidP="00072897">
            <w:pPr>
              <w:jc w:val="right"/>
              <w:rPr>
                <w:sz w:val="18"/>
                <w:szCs w:val="18"/>
                <w:lang w:val="fr-CA" w:eastAsia="en-CA"/>
              </w:rPr>
            </w:pPr>
            <w:r w:rsidRPr="001A0303">
              <w:rPr>
                <w:sz w:val="18"/>
                <w:szCs w:val="18"/>
                <w:lang w:eastAsia="en-CA"/>
              </w:rPr>
              <w:t>3</w:t>
            </w:r>
          </w:p>
        </w:tc>
        <w:tc>
          <w:tcPr>
            <w:tcW w:w="1129" w:type="dxa"/>
            <w:tcBorders>
              <w:top w:val="nil"/>
              <w:left w:val="nil"/>
              <w:bottom w:val="single" w:sz="4" w:space="0" w:color="auto"/>
              <w:right w:val="single" w:sz="4" w:space="0" w:color="auto"/>
            </w:tcBorders>
            <w:shd w:val="clear" w:color="auto" w:fill="auto"/>
            <w:noWrap/>
          </w:tcPr>
          <w:p w14:paraId="0E0C27DE" w14:textId="362B43FE" w:rsidR="00072897" w:rsidRPr="00934F64" w:rsidRDefault="00072897" w:rsidP="00072897">
            <w:pPr>
              <w:jc w:val="right"/>
              <w:rPr>
                <w:sz w:val="18"/>
                <w:szCs w:val="18"/>
                <w:lang w:val="fr-CA" w:eastAsia="en-CA"/>
              </w:rPr>
            </w:pPr>
            <w:r w:rsidRPr="001A0303">
              <w:rPr>
                <w:sz w:val="18"/>
                <w:szCs w:val="18"/>
                <w:lang w:eastAsia="en-CA"/>
              </w:rPr>
              <w:t>3</w:t>
            </w:r>
            <w:r w:rsidR="000F7F52">
              <w:rPr>
                <w:sz w:val="18"/>
                <w:szCs w:val="18"/>
                <w:lang w:eastAsia="en-CA"/>
              </w:rPr>
              <w:t xml:space="preserve"> </w:t>
            </w:r>
            <w:r w:rsidRPr="001A0303">
              <w:rPr>
                <w:sz w:val="18"/>
                <w:szCs w:val="18"/>
                <w:lang w:eastAsia="en-CA"/>
              </w:rPr>
              <w:t>573</w:t>
            </w:r>
            <w:r w:rsidR="000F7F52">
              <w:rPr>
                <w:sz w:val="18"/>
                <w:szCs w:val="18"/>
                <w:lang w:eastAsia="en-CA"/>
              </w:rPr>
              <w:t xml:space="preserve"> </w:t>
            </w:r>
            <w:r w:rsidRPr="001A0303">
              <w:rPr>
                <w:sz w:val="18"/>
                <w:szCs w:val="18"/>
                <w:lang w:eastAsia="en-CA"/>
              </w:rPr>
              <w:t>740</w:t>
            </w:r>
          </w:p>
        </w:tc>
        <w:tc>
          <w:tcPr>
            <w:tcW w:w="850" w:type="dxa"/>
            <w:tcBorders>
              <w:top w:val="nil"/>
              <w:left w:val="nil"/>
              <w:bottom w:val="single" w:sz="4" w:space="0" w:color="auto"/>
              <w:right w:val="single" w:sz="4" w:space="0" w:color="auto"/>
            </w:tcBorders>
            <w:shd w:val="clear" w:color="auto" w:fill="auto"/>
            <w:noWrap/>
          </w:tcPr>
          <w:p w14:paraId="03622B25" w14:textId="3C1F41B7" w:rsidR="00072897" w:rsidRPr="00934F64" w:rsidRDefault="00072897" w:rsidP="00072897">
            <w:pPr>
              <w:jc w:val="right"/>
              <w:rPr>
                <w:sz w:val="18"/>
                <w:szCs w:val="18"/>
                <w:lang w:val="fr-CA" w:eastAsia="en-CA"/>
              </w:rPr>
            </w:pPr>
            <w:r w:rsidRPr="001A0303">
              <w:rPr>
                <w:sz w:val="18"/>
                <w:szCs w:val="18"/>
                <w:lang w:eastAsia="en-CA"/>
              </w:rPr>
              <w:t>68</w:t>
            </w:r>
          </w:p>
        </w:tc>
        <w:tc>
          <w:tcPr>
            <w:tcW w:w="851" w:type="dxa"/>
            <w:tcBorders>
              <w:top w:val="nil"/>
              <w:left w:val="nil"/>
              <w:bottom w:val="single" w:sz="4" w:space="0" w:color="auto"/>
              <w:right w:val="single" w:sz="4" w:space="0" w:color="auto"/>
            </w:tcBorders>
            <w:shd w:val="clear" w:color="auto" w:fill="auto"/>
            <w:noWrap/>
          </w:tcPr>
          <w:p w14:paraId="681DE675" w14:textId="1628DF93" w:rsidR="00072897" w:rsidRPr="00934F64" w:rsidRDefault="00072897" w:rsidP="00072897">
            <w:pPr>
              <w:jc w:val="right"/>
              <w:rPr>
                <w:sz w:val="18"/>
                <w:szCs w:val="18"/>
                <w:lang w:val="fr-CA" w:eastAsia="en-CA"/>
              </w:rPr>
            </w:pPr>
            <w:r w:rsidRPr="001A0303">
              <w:rPr>
                <w:sz w:val="18"/>
                <w:szCs w:val="18"/>
                <w:lang w:eastAsia="en-CA"/>
              </w:rPr>
              <w:t>3</w:t>
            </w:r>
          </w:p>
        </w:tc>
        <w:tc>
          <w:tcPr>
            <w:tcW w:w="992" w:type="dxa"/>
            <w:tcBorders>
              <w:top w:val="nil"/>
              <w:left w:val="nil"/>
              <w:bottom w:val="single" w:sz="4" w:space="0" w:color="auto"/>
              <w:right w:val="single" w:sz="4" w:space="0" w:color="auto"/>
            </w:tcBorders>
            <w:shd w:val="clear" w:color="auto" w:fill="auto"/>
            <w:noWrap/>
          </w:tcPr>
          <w:p w14:paraId="5E1F034C" w14:textId="3915D8EE" w:rsidR="00072897" w:rsidRPr="00934F64" w:rsidRDefault="00072897" w:rsidP="00072897">
            <w:pPr>
              <w:jc w:val="right"/>
              <w:rPr>
                <w:sz w:val="18"/>
                <w:szCs w:val="18"/>
                <w:lang w:val="fr-CA" w:eastAsia="en-CA"/>
              </w:rPr>
            </w:pPr>
            <w:r w:rsidRPr="001A0303">
              <w:rPr>
                <w:sz w:val="18"/>
                <w:szCs w:val="18"/>
                <w:lang w:eastAsia="en-CA"/>
              </w:rPr>
              <w:t>100</w:t>
            </w:r>
          </w:p>
        </w:tc>
        <w:tc>
          <w:tcPr>
            <w:tcW w:w="1134" w:type="dxa"/>
            <w:tcBorders>
              <w:top w:val="nil"/>
              <w:left w:val="nil"/>
              <w:bottom w:val="single" w:sz="4" w:space="0" w:color="auto"/>
              <w:right w:val="single" w:sz="4" w:space="0" w:color="auto"/>
            </w:tcBorders>
            <w:shd w:val="clear" w:color="auto" w:fill="auto"/>
            <w:noWrap/>
          </w:tcPr>
          <w:p w14:paraId="66CE70EB" w14:textId="162FE3BA" w:rsidR="00072897" w:rsidRPr="00934F64" w:rsidRDefault="00072897" w:rsidP="00072897">
            <w:pPr>
              <w:jc w:val="right"/>
              <w:rPr>
                <w:sz w:val="18"/>
                <w:szCs w:val="18"/>
                <w:lang w:val="fr-CA" w:eastAsia="en-CA"/>
              </w:rPr>
            </w:pPr>
            <w:r w:rsidRPr="001A0303">
              <w:rPr>
                <w:sz w:val="18"/>
                <w:szCs w:val="18"/>
                <w:lang w:eastAsia="en-CA"/>
              </w:rPr>
              <w:t>10</w:t>
            </w:r>
          </w:p>
        </w:tc>
        <w:tc>
          <w:tcPr>
            <w:tcW w:w="992" w:type="dxa"/>
            <w:tcBorders>
              <w:top w:val="nil"/>
              <w:left w:val="nil"/>
              <w:bottom w:val="single" w:sz="4" w:space="0" w:color="auto"/>
              <w:right w:val="single" w:sz="4" w:space="0" w:color="auto"/>
            </w:tcBorders>
            <w:shd w:val="clear" w:color="auto" w:fill="auto"/>
            <w:noWrap/>
          </w:tcPr>
          <w:p w14:paraId="18CEE04F" w14:textId="46401210" w:rsidR="00072897" w:rsidRPr="00934F64" w:rsidRDefault="00072897" w:rsidP="00072897">
            <w:pPr>
              <w:jc w:val="right"/>
              <w:rPr>
                <w:sz w:val="18"/>
                <w:szCs w:val="18"/>
                <w:lang w:val="fr-CA" w:eastAsia="en-CA"/>
              </w:rPr>
            </w:pPr>
            <w:r w:rsidRPr="001A0303">
              <w:rPr>
                <w:sz w:val="18"/>
                <w:szCs w:val="18"/>
                <w:lang w:eastAsia="en-CA"/>
              </w:rPr>
              <w:t>94</w:t>
            </w:r>
          </w:p>
        </w:tc>
        <w:tc>
          <w:tcPr>
            <w:tcW w:w="992" w:type="dxa"/>
            <w:tcBorders>
              <w:top w:val="nil"/>
              <w:left w:val="nil"/>
              <w:bottom w:val="single" w:sz="4" w:space="0" w:color="auto"/>
              <w:right w:val="single" w:sz="4" w:space="0" w:color="auto"/>
            </w:tcBorders>
            <w:shd w:val="clear" w:color="auto" w:fill="auto"/>
            <w:noWrap/>
          </w:tcPr>
          <w:p w14:paraId="537FF09E" w14:textId="2301D232" w:rsidR="00072897" w:rsidRPr="00934F64" w:rsidRDefault="00072897" w:rsidP="00072897">
            <w:pPr>
              <w:jc w:val="right"/>
              <w:rPr>
                <w:sz w:val="18"/>
                <w:szCs w:val="18"/>
                <w:lang w:val="fr-CA" w:eastAsia="en-CA"/>
              </w:rPr>
            </w:pPr>
            <w:r w:rsidRPr="001A0303">
              <w:rPr>
                <w:sz w:val="18"/>
                <w:szCs w:val="18"/>
                <w:lang w:eastAsia="en-CA"/>
              </w:rPr>
              <w:t>72</w:t>
            </w:r>
          </w:p>
        </w:tc>
        <w:tc>
          <w:tcPr>
            <w:tcW w:w="1060" w:type="dxa"/>
            <w:tcBorders>
              <w:top w:val="nil"/>
              <w:left w:val="nil"/>
              <w:bottom w:val="single" w:sz="4" w:space="0" w:color="auto"/>
              <w:right w:val="single" w:sz="4" w:space="0" w:color="auto"/>
            </w:tcBorders>
            <w:shd w:val="clear" w:color="auto" w:fill="auto"/>
            <w:noWrap/>
          </w:tcPr>
          <w:p w14:paraId="6E3EC6E5" w14:textId="311A1E96" w:rsidR="00072897" w:rsidRPr="00934F64" w:rsidRDefault="00072897" w:rsidP="00072897">
            <w:pPr>
              <w:jc w:val="right"/>
              <w:rPr>
                <w:sz w:val="18"/>
                <w:szCs w:val="18"/>
                <w:lang w:val="fr-CA" w:eastAsia="en-CA"/>
              </w:rPr>
            </w:pPr>
            <w:r w:rsidRPr="001A0303">
              <w:rPr>
                <w:sz w:val="18"/>
                <w:szCs w:val="18"/>
                <w:lang w:eastAsia="en-CA"/>
              </w:rPr>
              <w:t>73</w:t>
            </w:r>
            <w:r w:rsidR="000F7F52">
              <w:rPr>
                <w:sz w:val="18"/>
                <w:szCs w:val="18"/>
                <w:lang w:eastAsia="en-CA"/>
              </w:rPr>
              <w:t>,</w:t>
            </w:r>
            <w:r w:rsidRPr="001A0303">
              <w:rPr>
                <w:sz w:val="18"/>
                <w:szCs w:val="18"/>
                <w:lang w:eastAsia="en-CA"/>
              </w:rPr>
              <w:t>53</w:t>
            </w:r>
          </w:p>
        </w:tc>
      </w:tr>
      <w:tr w:rsidR="00072897" w:rsidRPr="00934F64" w14:paraId="57DC68F9"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2159E7FE" w14:textId="222E363E" w:rsidR="00072897" w:rsidRPr="00934F64" w:rsidRDefault="00072897" w:rsidP="00072897">
            <w:pPr>
              <w:jc w:val="left"/>
              <w:rPr>
                <w:sz w:val="18"/>
                <w:szCs w:val="18"/>
                <w:lang w:val="fr-CA" w:eastAsia="en-CA"/>
              </w:rPr>
            </w:pPr>
            <w:r>
              <w:rPr>
                <w:sz w:val="18"/>
                <w:szCs w:val="18"/>
                <w:lang w:val="fr-CA" w:eastAsia="en-CA"/>
              </w:rPr>
              <w:t>Fumigène</w:t>
            </w:r>
            <w:r w:rsidRPr="00BF6C78">
              <w:rPr>
                <w:sz w:val="18"/>
                <w:szCs w:val="18"/>
                <w:lang w:val="fr-CA" w:eastAsia="en-CA"/>
              </w:rPr>
              <w:t>s</w:t>
            </w:r>
          </w:p>
        </w:tc>
        <w:tc>
          <w:tcPr>
            <w:tcW w:w="856" w:type="dxa"/>
            <w:tcBorders>
              <w:top w:val="nil"/>
              <w:left w:val="nil"/>
              <w:bottom w:val="single" w:sz="4" w:space="0" w:color="auto"/>
              <w:right w:val="single" w:sz="4" w:space="0" w:color="auto"/>
            </w:tcBorders>
            <w:shd w:val="clear" w:color="auto" w:fill="auto"/>
            <w:noWrap/>
          </w:tcPr>
          <w:p w14:paraId="1125D21E" w14:textId="6B615AFA" w:rsidR="00072897" w:rsidRPr="00934F64" w:rsidRDefault="00072897" w:rsidP="00072897">
            <w:pPr>
              <w:jc w:val="right"/>
              <w:rPr>
                <w:sz w:val="18"/>
                <w:szCs w:val="18"/>
                <w:lang w:val="fr-CA"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tcPr>
          <w:p w14:paraId="72FA9061" w14:textId="10EC0942" w:rsidR="00072897" w:rsidRPr="00934F64" w:rsidRDefault="00072897" w:rsidP="00072897">
            <w:pPr>
              <w:jc w:val="right"/>
              <w:rPr>
                <w:sz w:val="18"/>
                <w:szCs w:val="18"/>
                <w:lang w:val="fr-CA"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tcPr>
          <w:p w14:paraId="1181BE05" w14:textId="4A2BD3C3" w:rsidR="00072897" w:rsidRPr="00934F64" w:rsidRDefault="00072897" w:rsidP="00072897">
            <w:pPr>
              <w:jc w:val="right"/>
              <w:rPr>
                <w:sz w:val="18"/>
                <w:szCs w:val="18"/>
                <w:lang w:val="fr-CA"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tcPr>
          <w:p w14:paraId="39638522" w14:textId="0E67AED1" w:rsidR="00072897" w:rsidRPr="00934F64" w:rsidRDefault="00072897" w:rsidP="00072897">
            <w:pPr>
              <w:jc w:val="right"/>
              <w:rPr>
                <w:sz w:val="18"/>
                <w:szCs w:val="18"/>
                <w:lang w:val="fr-CA"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tcPr>
          <w:p w14:paraId="39F72F7C" w14:textId="3AAA4CA3" w:rsidR="00072897" w:rsidRPr="00934F64" w:rsidRDefault="00072897" w:rsidP="00072897">
            <w:pPr>
              <w:jc w:val="right"/>
              <w:rPr>
                <w:sz w:val="18"/>
                <w:szCs w:val="18"/>
                <w:lang w:val="fr-CA"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tcPr>
          <w:p w14:paraId="5AE5827C" w14:textId="58B2353C"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31CBB21A" w14:textId="7083B174"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6E7C6E3A" w14:textId="14C03761"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1060" w:type="dxa"/>
            <w:tcBorders>
              <w:top w:val="nil"/>
              <w:left w:val="nil"/>
              <w:bottom w:val="single" w:sz="4" w:space="0" w:color="auto"/>
              <w:right w:val="single" w:sz="4" w:space="0" w:color="auto"/>
            </w:tcBorders>
            <w:shd w:val="clear" w:color="auto" w:fill="auto"/>
            <w:noWrap/>
          </w:tcPr>
          <w:p w14:paraId="369D9EA8" w14:textId="3B3EDBDE"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r>
      <w:tr w:rsidR="00072897" w:rsidRPr="00934F64" w14:paraId="7E4A7F73"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3DB3FF69" w14:textId="76AA7DBA" w:rsidR="00072897" w:rsidRPr="00934F64" w:rsidRDefault="00072897" w:rsidP="00072897">
            <w:pPr>
              <w:jc w:val="left"/>
              <w:rPr>
                <w:sz w:val="18"/>
                <w:szCs w:val="18"/>
                <w:lang w:val="fr-CA" w:eastAsia="en-CA"/>
              </w:rPr>
            </w:pPr>
            <w:r w:rsidRPr="00BF6C78">
              <w:rPr>
                <w:sz w:val="18"/>
                <w:szCs w:val="18"/>
                <w:lang w:val="fr-CA" w:eastAsia="en-CA"/>
              </w:rPr>
              <w:t>Halon</w:t>
            </w:r>
            <w:r>
              <w:rPr>
                <w:sz w:val="18"/>
                <w:szCs w:val="18"/>
                <w:lang w:val="fr-CA" w:eastAsia="en-CA"/>
              </w:rPr>
              <w:t>s</w:t>
            </w:r>
          </w:p>
        </w:tc>
        <w:tc>
          <w:tcPr>
            <w:tcW w:w="856" w:type="dxa"/>
            <w:tcBorders>
              <w:top w:val="nil"/>
              <w:left w:val="nil"/>
              <w:bottom w:val="single" w:sz="4" w:space="0" w:color="auto"/>
              <w:right w:val="single" w:sz="4" w:space="0" w:color="auto"/>
            </w:tcBorders>
            <w:shd w:val="clear" w:color="auto" w:fill="auto"/>
            <w:noWrap/>
          </w:tcPr>
          <w:p w14:paraId="3D5A28A6" w14:textId="186AFC9D" w:rsidR="00072897" w:rsidRPr="00934F64" w:rsidRDefault="00072897" w:rsidP="00072897">
            <w:pPr>
              <w:jc w:val="right"/>
              <w:rPr>
                <w:sz w:val="18"/>
                <w:szCs w:val="18"/>
                <w:lang w:val="fr-CA"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tcPr>
          <w:p w14:paraId="46D64969" w14:textId="5B69D293" w:rsidR="00072897" w:rsidRPr="00934F64" w:rsidRDefault="00072897" w:rsidP="00072897">
            <w:pPr>
              <w:jc w:val="right"/>
              <w:rPr>
                <w:sz w:val="18"/>
                <w:szCs w:val="18"/>
                <w:lang w:val="fr-CA"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tcPr>
          <w:p w14:paraId="25CB2A92" w14:textId="05C02C72" w:rsidR="00072897" w:rsidRPr="00934F64" w:rsidRDefault="00072897" w:rsidP="00072897">
            <w:pPr>
              <w:jc w:val="right"/>
              <w:rPr>
                <w:sz w:val="18"/>
                <w:szCs w:val="18"/>
                <w:lang w:val="fr-CA"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tcPr>
          <w:p w14:paraId="7E2CEC51" w14:textId="3875B920" w:rsidR="00072897" w:rsidRPr="00934F64" w:rsidRDefault="00072897" w:rsidP="00072897">
            <w:pPr>
              <w:jc w:val="right"/>
              <w:rPr>
                <w:sz w:val="18"/>
                <w:szCs w:val="18"/>
                <w:lang w:val="fr-CA"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tcPr>
          <w:p w14:paraId="1C72D1FE" w14:textId="174BE4CF" w:rsidR="00072897" w:rsidRPr="00934F64" w:rsidRDefault="00072897" w:rsidP="00072897">
            <w:pPr>
              <w:jc w:val="right"/>
              <w:rPr>
                <w:sz w:val="18"/>
                <w:szCs w:val="18"/>
                <w:lang w:val="fr-CA"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tcPr>
          <w:p w14:paraId="7BEECCC5" w14:textId="25C4B5EB"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1332970F" w14:textId="07A05043"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16D9C6BC" w14:textId="5AB6593C"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1060" w:type="dxa"/>
            <w:tcBorders>
              <w:top w:val="nil"/>
              <w:left w:val="nil"/>
              <w:bottom w:val="single" w:sz="4" w:space="0" w:color="auto"/>
              <w:right w:val="single" w:sz="4" w:space="0" w:color="auto"/>
            </w:tcBorders>
            <w:shd w:val="clear" w:color="auto" w:fill="auto"/>
            <w:noWrap/>
          </w:tcPr>
          <w:p w14:paraId="3BA9DB2F" w14:textId="70FEADF4"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r>
      <w:tr w:rsidR="00072897" w:rsidRPr="00934F64" w14:paraId="4CAE5D0E"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0B0855C4" w14:textId="5420A9AF" w:rsidR="00072897" w:rsidRPr="00934F64" w:rsidRDefault="00072897" w:rsidP="00072897">
            <w:pPr>
              <w:jc w:val="left"/>
              <w:rPr>
                <w:sz w:val="18"/>
                <w:szCs w:val="18"/>
                <w:lang w:val="fr-CA" w:eastAsia="en-CA"/>
              </w:rPr>
            </w:pPr>
            <w:r>
              <w:rPr>
                <w:sz w:val="18"/>
                <w:szCs w:val="18"/>
                <w:lang w:val="fr-CA" w:eastAsia="en-CA"/>
              </w:rPr>
              <w:t>Multiples secteurs</w:t>
            </w:r>
          </w:p>
        </w:tc>
        <w:tc>
          <w:tcPr>
            <w:tcW w:w="856" w:type="dxa"/>
            <w:tcBorders>
              <w:top w:val="nil"/>
              <w:left w:val="nil"/>
              <w:bottom w:val="single" w:sz="4" w:space="0" w:color="auto"/>
              <w:right w:val="single" w:sz="4" w:space="0" w:color="auto"/>
            </w:tcBorders>
            <w:shd w:val="clear" w:color="auto" w:fill="auto"/>
            <w:noWrap/>
          </w:tcPr>
          <w:p w14:paraId="59CF04C3" w14:textId="40C18321" w:rsidR="00072897" w:rsidRPr="00934F64" w:rsidRDefault="00072897" w:rsidP="00072897">
            <w:pPr>
              <w:jc w:val="right"/>
              <w:rPr>
                <w:sz w:val="18"/>
                <w:szCs w:val="18"/>
                <w:lang w:val="fr-CA"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tcPr>
          <w:p w14:paraId="75F68E65" w14:textId="5AD05351" w:rsidR="00072897" w:rsidRPr="00934F64" w:rsidRDefault="00072897" w:rsidP="00072897">
            <w:pPr>
              <w:jc w:val="right"/>
              <w:rPr>
                <w:sz w:val="18"/>
                <w:szCs w:val="18"/>
                <w:lang w:val="fr-CA"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tcPr>
          <w:p w14:paraId="0EC1A591" w14:textId="05192B76" w:rsidR="00072897" w:rsidRPr="00934F64" w:rsidRDefault="00072897" w:rsidP="00072897">
            <w:pPr>
              <w:jc w:val="right"/>
              <w:rPr>
                <w:sz w:val="18"/>
                <w:szCs w:val="18"/>
                <w:lang w:val="fr-CA"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tcPr>
          <w:p w14:paraId="35F95C4E" w14:textId="31A509F6" w:rsidR="00072897" w:rsidRPr="00934F64" w:rsidRDefault="00072897" w:rsidP="00072897">
            <w:pPr>
              <w:jc w:val="right"/>
              <w:rPr>
                <w:sz w:val="18"/>
                <w:szCs w:val="18"/>
                <w:lang w:val="fr-CA"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tcPr>
          <w:p w14:paraId="3A56F1C1" w14:textId="237BEFC5" w:rsidR="00072897" w:rsidRPr="00934F64" w:rsidRDefault="00072897" w:rsidP="00072897">
            <w:pPr>
              <w:jc w:val="right"/>
              <w:rPr>
                <w:sz w:val="18"/>
                <w:szCs w:val="18"/>
                <w:lang w:val="fr-CA"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tcPr>
          <w:p w14:paraId="348555A7" w14:textId="23E7C723"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7A33A7A7" w14:textId="6614684F"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2AB3B684" w14:textId="7198D7A8"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1060" w:type="dxa"/>
            <w:tcBorders>
              <w:top w:val="nil"/>
              <w:left w:val="nil"/>
              <w:bottom w:val="single" w:sz="4" w:space="0" w:color="auto"/>
              <w:right w:val="single" w:sz="4" w:space="0" w:color="auto"/>
            </w:tcBorders>
            <w:shd w:val="clear" w:color="auto" w:fill="auto"/>
            <w:noWrap/>
          </w:tcPr>
          <w:p w14:paraId="4B6DC1BD" w14:textId="11AECAF2"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r>
      <w:tr w:rsidR="00072897" w:rsidRPr="00934F64" w14:paraId="2E9187BD"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5834C36B" w14:textId="064DEEE6" w:rsidR="00072897" w:rsidRPr="00934F64" w:rsidRDefault="00072897" w:rsidP="00072897">
            <w:pPr>
              <w:jc w:val="left"/>
              <w:rPr>
                <w:sz w:val="18"/>
                <w:szCs w:val="18"/>
                <w:lang w:val="fr-CA" w:eastAsia="en-CA"/>
              </w:rPr>
            </w:pPr>
            <w:r>
              <w:rPr>
                <w:sz w:val="18"/>
                <w:szCs w:val="18"/>
                <w:lang w:val="fr-CA" w:eastAsia="en-CA"/>
              </w:rPr>
              <w:t>Autre</w:t>
            </w:r>
          </w:p>
        </w:tc>
        <w:tc>
          <w:tcPr>
            <w:tcW w:w="856" w:type="dxa"/>
            <w:tcBorders>
              <w:top w:val="nil"/>
              <w:left w:val="nil"/>
              <w:bottom w:val="single" w:sz="4" w:space="0" w:color="auto"/>
              <w:right w:val="single" w:sz="4" w:space="0" w:color="auto"/>
            </w:tcBorders>
            <w:shd w:val="clear" w:color="auto" w:fill="auto"/>
            <w:noWrap/>
          </w:tcPr>
          <w:p w14:paraId="7B39B7D5" w14:textId="307AF390" w:rsidR="00072897" w:rsidRPr="00934F64" w:rsidRDefault="00072897" w:rsidP="00072897">
            <w:pPr>
              <w:jc w:val="right"/>
              <w:rPr>
                <w:sz w:val="18"/>
                <w:szCs w:val="18"/>
                <w:lang w:val="fr-CA"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tcPr>
          <w:p w14:paraId="704E7005" w14:textId="77DEB7EC" w:rsidR="00072897" w:rsidRPr="00934F64" w:rsidRDefault="00072897" w:rsidP="00072897">
            <w:pPr>
              <w:jc w:val="right"/>
              <w:rPr>
                <w:sz w:val="18"/>
                <w:szCs w:val="18"/>
                <w:lang w:val="fr-CA"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tcPr>
          <w:p w14:paraId="0C2C6396" w14:textId="3642C60E" w:rsidR="00072897" w:rsidRPr="00934F64" w:rsidRDefault="00072897" w:rsidP="00072897">
            <w:pPr>
              <w:jc w:val="right"/>
              <w:rPr>
                <w:sz w:val="18"/>
                <w:szCs w:val="18"/>
                <w:lang w:val="fr-CA"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tcPr>
          <w:p w14:paraId="1DF51709" w14:textId="3AB4E186" w:rsidR="00072897" w:rsidRPr="00934F64" w:rsidRDefault="00072897" w:rsidP="00072897">
            <w:pPr>
              <w:jc w:val="right"/>
              <w:rPr>
                <w:sz w:val="18"/>
                <w:szCs w:val="18"/>
                <w:lang w:val="fr-CA"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tcPr>
          <w:p w14:paraId="5E8167D2" w14:textId="483CB4BC" w:rsidR="00072897" w:rsidRPr="00934F64" w:rsidRDefault="00072897" w:rsidP="00072897">
            <w:pPr>
              <w:jc w:val="right"/>
              <w:rPr>
                <w:sz w:val="18"/>
                <w:szCs w:val="18"/>
                <w:lang w:val="fr-CA"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tcPr>
          <w:p w14:paraId="2578BBEE" w14:textId="658EF03F"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23CE6EBB" w14:textId="180967D4"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417ACA89" w14:textId="3EC05C38"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1060" w:type="dxa"/>
            <w:tcBorders>
              <w:top w:val="nil"/>
              <w:left w:val="nil"/>
              <w:bottom w:val="single" w:sz="4" w:space="0" w:color="auto"/>
              <w:right w:val="single" w:sz="4" w:space="0" w:color="auto"/>
            </w:tcBorders>
            <w:shd w:val="clear" w:color="auto" w:fill="auto"/>
            <w:noWrap/>
          </w:tcPr>
          <w:p w14:paraId="1EB8B201" w14:textId="06F0935F"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r>
      <w:tr w:rsidR="00072897" w:rsidRPr="00934F64" w14:paraId="218DEAED"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20111A0E" w14:textId="0ADFD16A" w:rsidR="00072897" w:rsidRPr="00934F64" w:rsidRDefault="00072897" w:rsidP="00072897">
            <w:pPr>
              <w:jc w:val="left"/>
              <w:rPr>
                <w:sz w:val="18"/>
                <w:szCs w:val="18"/>
                <w:lang w:val="fr-CA" w:eastAsia="en-CA"/>
              </w:rPr>
            </w:pPr>
            <w:r>
              <w:rPr>
                <w:sz w:val="18"/>
                <w:szCs w:val="18"/>
                <w:lang w:val="fr-CA" w:eastAsia="en-CA"/>
              </w:rPr>
              <w:t>Plan d’élimination</w:t>
            </w:r>
          </w:p>
        </w:tc>
        <w:tc>
          <w:tcPr>
            <w:tcW w:w="856" w:type="dxa"/>
            <w:tcBorders>
              <w:top w:val="nil"/>
              <w:left w:val="nil"/>
              <w:bottom w:val="single" w:sz="4" w:space="0" w:color="auto"/>
              <w:right w:val="single" w:sz="4" w:space="0" w:color="auto"/>
            </w:tcBorders>
            <w:shd w:val="clear" w:color="auto" w:fill="auto"/>
            <w:noWrap/>
          </w:tcPr>
          <w:p w14:paraId="4B214DFF" w14:textId="402D2B3B" w:rsidR="00072897" w:rsidRPr="00934F64" w:rsidRDefault="00072897" w:rsidP="00072897">
            <w:pPr>
              <w:jc w:val="right"/>
              <w:rPr>
                <w:sz w:val="18"/>
                <w:szCs w:val="18"/>
                <w:lang w:val="fr-CA" w:eastAsia="en-CA"/>
              </w:rPr>
            </w:pPr>
            <w:r w:rsidRPr="001A0303">
              <w:rPr>
                <w:sz w:val="18"/>
                <w:szCs w:val="18"/>
                <w:lang w:eastAsia="en-CA"/>
              </w:rPr>
              <w:t>252</w:t>
            </w:r>
          </w:p>
        </w:tc>
        <w:tc>
          <w:tcPr>
            <w:tcW w:w="1129" w:type="dxa"/>
            <w:tcBorders>
              <w:top w:val="nil"/>
              <w:left w:val="nil"/>
              <w:bottom w:val="single" w:sz="4" w:space="0" w:color="auto"/>
              <w:right w:val="single" w:sz="4" w:space="0" w:color="auto"/>
            </w:tcBorders>
            <w:shd w:val="clear" w:color="auto" w:fill="auto"/>
            <w:noWrap/>
          </w:tcPr>
          <w:p w14:paraId="57BA1158" w14:textId="3E7966BC" w:rsidR="00072897" w:rsidRPr="00934F64" w:rsidRDefault="00072897" w:rsidP="00072897">
            <w:pPr>
              <w:jc w:val="right"/>
              <w:rPr>
                <w:sz w:val="18"/>
                <w:szCs w:val="18"/>
                <w:lang w:val="fr-CA" w:eastAsia="en-CA"/>
              </w:rPr>
            </w:pPr>
            <w:r w:rsidRPr="001A0303">
              <w:rPr>
                <w:sz w:val="18"/>
                <w:szCs w:val="18"/>
                <w:lang w:eastAsia="en-CA"/>
              </w:rPr>
              <w:t>317</w:t>
            </w:r>
            <w:r w:rsidR="000F7F52">
              <w:rPr>
                <w:sz w:val="18"/>
                <w:szCs w:val="18"/>
                <w:lang w:eastAsia="en-CA"/>
              </w:rPr>
              <w:t xml:space="preserve"> </w:t>
            </w:r>
            <w:r w:rsidRPr="001A0303">
              <w:rPr>
                <w:sz w:val="18"/>
                <w:szCs w:val="18"/>
                <w:lang w:eastAsia="en-CA"/>
              </w:rPr>
              <w:t>825</w:t>
            </w:r>
            <w:r w:rsidR="000F7F52">
              <w:rPr>
                <w:sz w:val="18"/>
                <w:szCs w:val="18"/>
                <w:lang w:eastAsia="en-CA"/>
              </w:rPr>
              <w:t xml:space="preserve"> </w:t>
            </w:r>
            <w:r w:rsidRPr="001A0303">
              <w:rPr>
                <w:sz w:val="18"/>
                <w:szCs w:val="18"/>
                <w:lang w:eastAsia="en-CA"/>
              </w:rPr>
              <w:t>367</w:t>
            </w:r>
          </w:p>
        </w:tc>
        <w:tc>
          <w:tcPr>
            <w:tcW w:w="850" w:type="dxa"/>
            <w:tcBorders>
              <w:top w:val="nil"/>
              <w:left w:val="nil"/>
              <w:bottom w:val="single" w:sz="4" w:space="0" w:color="auto"/>
              <w:right w:val="single" w:sz="4" w:space="0" w:color="auto"/>
            </w:tcBorders>
            <w:shd w:val="clear" w:color="auto" w:fill="auto"/>
            <w:noWrap/>
          </w:tcPr>
          <w:p w14:paraId="1838316A" w14:textId="7DCA4433" w:rsidR="00072897" w:rsidRPr="00934F64" w:rsidRDefault="00072897" w:rsidP="00072897">
            <w:pPr>
              <w:jc w:val="right"/>
              <w:rPr>
                <w:sz w:val="18"/>
                <w:szCs w:val="18"/>
                <w:lang w:val="fr-CA" w:eastAsia="en-CA"/>
              </w:rPr>
            </w:pPr>
            <w:r w:rsidRPr="001A0303">
              <w:rPr>
                <w:sz w:val="18"/>
                <w:szCs w:val="18"/>
                <w:lang w:eastAsia="en-CA"/>
              </w:rPr>
              <w:t>57</w:t>
            </w:r>
          </w:p>
        </w:tc>
        <w:tc>
          <w:tcPr>
            <w:tcW w:w="851" w:type="dxa"/>
            <w:tcBorders>
              <w:top w:val="nil"/>
              <w:left w:val="nil"/>
              <w:bottom w:val="single" w:sz="4" w:space="0" w:color="auto"/>
              <w:right w:val="single" w:sz="4" w:space="0" w:color="auto"/>
            </w:tcBorders>
            <w:shd w:val="clear" w:color="auto" w:fill="auto"/>
            <w:noWrap/>
          </w:tcPr>
          <w:p w14:paraId="3ECC7E2F" w14:textId="53A74B18" w:rsidR="00072897" w:rsidRPr="00934F64" w:rsidRDefault="00072897" w:rsidP="00072897">
            <w:pPr>
              <w:jc w:val="right"/>
              <w:rPr>
                <w:sz w:val="18"/>
                <w:szCs w:val="18"/>
                <w:lang w:val="fr-CA" w:eastAsia="en-CA"/>
              </w:rPr>
            </w:pPr>
            <w:r w:rsidRPr="001A0303">
              <w:rPr>
                <w:sz w:val="18"/>
                <w:szCs w:val="18"/>
                <w:lang w:eastAsia="en-CA"/>
              </w:rPr>
              <w:t>149</w:t>
            </w:r>
          </w:p>
        </w:tc>
        <w:tc>
          <w:tcPr>
            <w:tcW w:w="992" w:type="dxa"/>
            <w:tcBorders>
              <w:top w:val="nil"/>
              <w:left w:val="nil"/>
              <w:bottom w:val="single" w:sz="4" w:space="0" w:color="auto"/>
              <w:right w:val="single" w:sz="4" w:space="0" w:color="auto"/>
            </w:tcBorders>
            <w:shd w:val="clear" w:color="auto" w:fill="auto"/>
            <w:noWrap/>
          </w:tcPr>
          <w:p w14:paraId="4611A046" w14:textId="53F8A737" w:rsidR="00072897" w:rsidRPr="00934F64" w:rsidRDefault="00072897" w:rsidP="00072897">
            <w:pPr>
              <w:jc w:val="right"/>
              <w:rPr>
                <w:sz w:val="18"/>
                <w:szCs w:val="18"/>
                <w:lang w:val="fr-CA" w:eastAsia="en-CA"/>
              </w:rPr>
            </w:pPr>
            <w:r w:rsidRPr="001A0303">
              <w:rPr>
                <w:sz w:val="18"/>
                <w:szCs w:val="18"/>
                <w:lang w:eastAsia="en-CA"/>
              </w:rPr>
              <w:t>59</w:t>
            </w:r>
          </w:p>
        </w:tc>
        <w:tc>
          <w:tcPr>
            <w:tcW w:w="1134" w:type="dxa"/>
            <w:tcBorders>
              <w:top w:val="nil"/>
              <w:left w:val="nil"/>
              <w:bottom w:val="single" w:sz="4" w:space="0" w:color="auto"/>
              <w:right w:val="single" w:sz="4" w:space="0" w:color="auto"/>
            </w:tcBorders>
            <w:shd w:val="clear" w:color="auto" w:fill="auto"/>
            <w:noWrap/>
          </w:tcPr>
          <w:p w14:paraId="2D3E770C" w14:textId="0533DE79" w:rsidR="00072897" w:rsidRPr="00934F64" w:rsidRDefault="00072897" w:rsidP="00072897">
            <w:pPr>
              <w:jc w:val="right"/>
              <w:rPr>
                <w:sz w:val="18"/>
                <w:szCs w:val="18"/>
                <w:lang w:val="fr-CA" w:eastAsia="en-CA"/>
              </w:rPr>
            </w:pPr>
            <w:r w:rsidRPr="001A0303">
              <w:rPr>
                <w:sz w:val="18"/>
                <w:szCs w:val="18"/>
                <w:lang w:eastAsia="en-CA"/>
              </w:rPr>
              <w:t>11</w:t>
            </w:r>
          </w:p>
        </w:tc>
        <w:tc>
          <w:tcPr>
            <w:tcW w:w="992" w:type="dxa"/>
            <w:tcBorders>
              <w:top w:val="nil"/>
              <w:left w:val="nil"/>
              <w:bottom w:val="single" w:sz="4" w:space="0" w:color="auto"/>
              <w:right w:val="single" w:sz="4" w:space="0" w:color="auto"/>
            </w:tcBorders>
            <w:shd w:val="clear" w:color="auto" w:fill="auto"/>
            <w:noWrap/>
          </w:tcPr>
          <w:p w14:paraId="5069C420" w14:textId="31EA743E" w:rsidR="00072897" w:rsidRPr="00934F64" w:rsidRDefault="00072897" w:rsidP="00072897">
            <w:pPr>
              <w:jc w:val="right"/>
              <w:rPr>
                <w:sz w:val="18"/>
                <w:szCs w:val="18"/>
                <w:lang w:val="fr-CA" w:eastAsia="en-CA"/>
              </w:rPr>
            </w:pPr>
            <w:r w:rsidRPr="001A0303">
              <w:rPr>
                <w:sz w:val="18"/>
                <w:szCs w:val="18"/>
                <w:lang w:eastAsia="en-CA"/>
              </w:rPr>
              <w:t>53</w:t>
            </w:r>
          </w:p>
        </w:tc>
        <w:tc>
          <w:tcPr>
            <w:tcW w:w="992" w:type="dxa"/>
            <w:tcBorders>
              <w:top w:val="nil"/>
              <w:left w:val="nil"/>
              <w:bottom w:val="single" w:sz="4" w:space="0" w:color="auto"/>
              <w:right w:val="single" w:sz="4" w:space="0" w:color="auto"/>
            </w:tcBorders>
            <w:shd w:val="clear" w:color="auto" w:fill="auto"/>
            <w:noWrap/>
          </w:tcPr>
          <w:p w14:paraId="0495E562" w14:textId="0A7A2F6A" w:rsidR="00072897" w:rsidRPr="00934F64" w:rsidRDefault="00072897" w:rsidP="00072897">
            <w:pPr>
              <w:jc w:val="right"/>
              <w:rPr>
                <w:sz w:val="18"/>
                <w:szCs w:val="18"/>
                <w:lang w:val="fr-CA" w:eastAsia="en-CA"/>
              </w:rPr>
            </w:pPr>
            <w:r w:rsidRPr="001A0303">
              <w:rPr>
                <w:sz w:val="18"/>
                <w:szCs w:val="18"/>
                <w:lang w:eastAsia="en-CA"/>
              </w:rPr>
              <w:t>30</w:t>
            </w:r>
          </w:p>
        </w:tc>
        <w:tc>
          <w:tcPr>
            <w:tcW w:w="1060" w:type="dxa"/>
            <w:tcBorders>
              <w:top w:val="nil"/>
              <w:left w:val="nil"/>
              <w:bottom w:val="single" w:sz="4" w:space="0" w:color="auto"/>
              <w:right w:val="single" w:sz="4" w:space="0" w:color="auto"/>
            </w:tcBorders>
            <w:shd w:val="clear" w:color="auto" w:fill="auto"/>
            <w:noWrap/>
          </w:tcPr>
          <w:p w14:paraId="058D8758" w14:textId="6B6533B0" w:rsidR="00072897" w:rsidRPr="00934F64" w:rsidRDefault="00072897" w:rsidP="00072897">
            <w:pPr>
              <w:jc w:val="right"/>
              <w:rPr>
                <w:sz w:val="18"/>
                <w:szCs w:val="18"/>
                <w:lang w:val="fr-CA" w:eastAsia="en-CA"/>
              </w:rPr>
            </w:pPr>
            <w:r w:rsidRPr="001A0303">
              <w:rPr>
                <w:sz w:val="18"/>
                <w:szCs w:val="18"/>
                <w:lang w:eastAsia="en-CA"/>
              </w:rPr>
              <w:t>47</w:t>
            </w:r>
            <w:r w:rsidR="000F7F52">
              <w:rPr>
                <w:sz w:val="18"/>
                <w:szCs w:val="18"/>
                <w:lang w:eastAsia="en-CA"/>
              </w:rPr>
              <w:t>,</w:t>
            </w:r>
            <w:r w:rsidRPr="001A0303">
              <w:rPr>
                <w:sz w:val="18"/>
                <w:szCs w:val="18"/>
                <w:lang w:eastAsia="en-CA"/>
              </w:rPr>
              <w:t>13</w:t>
            </w:r>
          </w:p>
        </w:tc>
      </w:tr>
      <w:tr w:rsidR="00072897" w:rsidRPr="00934F64" w14:paraId="2D5FF1EB"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5C7A432A" w14:textId="6BF6A9F8" w:rsidR="00072897" w:rsidRPr="00934F64" w:rsidRDefault="00072897" w:rsidP="00072897">
            <w:pPr>
              <w:jc w:val="left"/>
              <w:rPr>
                <w:sz w:val="18"/>
                <w:szCs w:val="18"/>
                <w:lang w:val="fr-CA" w:eastAsia="en-CA"/>
              </w:rPr>
            </w:pPr>
            <w:r>
              <w:rPr>
                <w:sz w:val="18"/>
                <w:szCs w:val="18"/>
                <w:lang w:val="fr-CA" w:eastAsia="en-CA"/>
              </w:rPr>
              <w:t>Agent de transformation</w:t>
            </w:r>
          </w:p>
        </w:tc>
        <w:tc>
          <w:tcPr>
            <w:tcW w:w="856" w:type="dxa"/>
            <w:tcBorders>
              <w:top w:val="nil"/>
              <w:left w:val="nil"/>
              <w:bottom w:val="single" w:sz="4" w:space="0" w:color="auto"/>
              <w:right w:val="single" w:sz="4" w:space="0" w:color="auto"/>
            </w:tcBorders>
            <w:shd w:val="clear" w:color="auto" w:fill="auto"/>
            <w:noWrap/>
          </w:tcPr>
          <w:p w14:paraId="596F7D85" w14:textId="497BF9E5" w:rsidR="00072897" w:rsidRPr="00934F64" w:rsidRDefault="00072897" w:rsidP="00072897">
            <w:pPr>
              <w:jc w:val="right"/>
              <w:rPr>
                <w:sz w:val="18"/>
                <w:szCs w:val="18"/>
                <w:lang w:val="fr-CA"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tcPr>
          <w:p w14:paraId="252F3A4C" w14:textId="342EA7C0" w:rsidR="00072897" w:rsidRPr="00934F64" w:rsidRDefault="00072897" w:rsidP="00072897">
            <w:pPr>
              <w:jc w:val="right"/>
              <w:rPr>
                <w:sz w:val="18"/>
                <w:szCs w:val="18"/>
                <w:lang w:val="fr-CA"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tcPr>
          <w:p w14:paraId="1FDC4D6D" w14:textId="7CE63741" w:rsidR="00072897" w:rsidRPr="00934F64" w:rsidRDefault="00072897" w:rsidP="00072897">
            <w:pPr>
              <w:jc w:val="right"/>
              <w:rPr>
                <w:sz w:val="18"/>
                <w:szCs w:val="18"/>
                <w:lang w:val="fr-CA"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tcPr>
          <w:p w14:paraId="619323F0" w14:textId="26E2B5E5" w:rsidR="00072897" w:rsidRPr="00934F64" w:rsidRDefault="00072897" w:rsidP="00072897">
            <w:pPr>
              <w:jc w:val="right"/>
              <w:rPr>
                <w:sz w:val="18"/>
                <w:szCs w:val="18"/>
                <w:lang w:val="fr-CA"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tcPr>
          <w:p w14:paraId="64D6AA1E" w14:textId="6268E0A4" w:rsidR="00072897" w:rsidRPr="00934F64" w:rsidRDefault="00072897" w:rsidP="00072897">
            <w:pPr>
              <w:jc w:val="right"/>
              <w:rPr>
                <w:sz w:val="18"/>
                <w:szCs w:val="18"/>
                <w:lang w:val="fr-CA"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tcPr>
          <w:p w14:paraId="1A492B60" w14:textId="2D39981B"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0411B9A0" w14:textId="5DEBA6B0"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370AE7FF" w14:textId="5E289B4E"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1060" w:type="dxa"/>
            <w:tcBorders>
              <w:top w:val="nil"/>
              <w:left w:val="nil"/>
              <w:bottom w:val="single" w:sz="4" w:space="0" w:color="auto"/>
              <w:right w:val="single" w:sz="4" w:space="0" w:color="auto"/>
            </w:tcBorders>
            <w:shd w:val="clear" w:color="auto" w:fill="auto"/>
            <w:noWrap/>
          </w:tcPr>
          <w:p w14:paraId="3872F64E" w14:textId="2895F94F"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r>
      <w:tr w:rsidR="00072897" w:rsidRPr="00934F64" w14:paraId="72519067"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54D08735" w14:textId="6547E4FE" w:rsidR="00072897" w:rsidRPr="00934F64" w:rsidRDefault="00072897" w:rsidP="00072897">
            <w:pPr>
              <w:jc w:val="left"/>
              <w:rPr>
                <w:sz w:val="18"/>
                <w:szCs w:val="18"/>
                <w:lang w:val="fr-CA" w:eastAsia="en-CA"/>
              </w:rPr>
            </w:pPr>
            <w:r w:rsidRPr="00BF6C78">
              <w:rPr>
                <w:sz w:val="18"/>
                <w:szCs w:val="18"/>
                <w:lang w:val="fr-CA" w:eastAsia="en-CA"/>
              </w:rPr>
              <w:t>Production</w:t>
            </w:r>
          </w:p>
        </w:tc>
        <w:tc>
          <w:tcPr>
            <w:tcW w:w="856" w:type="dxa"/>
            <w:tcBorders>
              <w:top w:val="nil"/>
              <w:left w:val="nil"/>
              <w:bottom w:val="single" w:sz="4" w:space="0" w:color="auto"/>
              <w:right w:val="single" w:sz="4" w:space="0" w:color="auto"/>
            </w:tcBorders>
            <w:shd w:val="clear" w:color="auto" w:fill="auto"/>
            <w:noWrap/>
          </w:tcPr>
          <w:p w14:paraId="5EDFD6FE" w14:textId="76FACDC0" w:rsidR="00072897" w:rsidRPr="00934F64" w:rsidRDefault="00072897" w:rsidP="00072897">
            <w:pPr>
              <w:jc w:val="right"/>
              <w:rPr>
                <w:sz w:val="18"/>
                <w:szCs w:val="18"/>
                <w:lang w:val="fr-CA" w:eastAsia="en-CA"/>
              </w:rPr>
            </w:pPr>
            <w:r w:rsidRPr="001A0303">
              <w:rPr>
                <w:sz w:val="18"/>
                <w:szCs w:val="18"/>
                <w:lang w:eastAsia="en-CA"/>
              </w:rPr>
              <w:t>3</w:t>
            </w:r>
          </w:p>
        </w:tc>
        <w:tc>
          <w:tcPr>
            <w:tcW w:w="1129" w:type="dxa"/>
            <w:tcBorders>
              <w:top w:val="nil"/>
              <w:left w:val="nil"/>
              <w:bottom w:val="single" w:sz="4" w:space="0" w:color="auto"/>
              <w:right w:val="single" w:sz="4" w:space="0" w:color="auto"/>
            </w:tcBorders>
            <w:shd w:val="clear" w:color="auto" w:fill="auto"/>
            <w:noWrap/>
          </w:tcPr>
          <w:p w14:paraId="4C47A6D7" w14:textId="3624C060" w:rsidR="00072897" w:rsidRPr="00934F64" w:rsidRDefault="00072897" w:rsidP="00072897">
            <w:pPr>
              <w:jc w:val="right"/>
              <w:rPr>
                <w:sz w:val="18"/>
                <w:szCs w:val="18"/>
                <w:lang w:val="fr-CA" w:eastAsia="en-CA"/>
              </w:rPr>
            </w:pPr>
            <w:r w:rsidRPr="001A0303">
              <w:rPr>
                <w:sz w:val="18"/>
                <w:szCs w:val="18"/>
                <w:lang w:eastAsia="en-CA"/>
              </w:rPr>
              <w:t>25</w:t>
            </w:r>
            <w:r w:rsidR="000F7F52">
              <w:rPr>
                <w:sz w:val="18"/>
                <w:szCs w:val="18"/>
                <w:lang w:eastAsia="en-CA"/>
              </w:rPr>
              <w:t xml:space="preserve"> </w:t>
            </w:r>
            <w:r w:rsidRPr="001A0303">
              <w:rPr>
                <w:sz w:val="18"/>
                <w:szCs w:val="18"/>
                <w:lang w:eastAsia="en-CA"/>
              </w:rPr>
              <w:t>273</w:t>
            </w:r>
            <w:r w:rsidR="000F7F52">
              <w:rPr>
                <w:sz w:val="18"/>
                <w:szCs w:val="18"/>
                <w:lang w:eastAsia="en-CA"/>
              </w:rPr>
              <w:t xml:space="preserve"> </w:t>
            </w:r>
            <w:r w:rsidRPr="001A0303">
              <w:rPr>
                <w:sz w:val="18"/>
                <w:szCs w:val="18"/>
                <w:lang w:eastAsia="en-CA"/>
              </w:rPr>
              <w:t>058</w:t>
            </w:r>
          </w:p>
        </w:tc>
        <w:tc>
          <w:tcPr>
            <w:tcW w:w="850" w:type="dxa"/>
            <w:tcBorders>
              <w:top w:val="nil"/>
              <w:left w:val="nil"/>
              <w:bottom w:val="single" w:sz="4" w:space="0" w:color="auto"/>
              <w:right w:val="single" w:sz="4" w:space="0" w:color="auto"/>
            </w:tcBorders>
            <w:shd w:val="clear" w:color="auto" w:fill="auto"/>
            <w:noWrap/>
          </w:tcPr>
          <w:p w14:paraId="73D85467" w14:textId="313986E9" w:rsidR="00072897" w:rsidRPr="00934F64" w:rsidRDefault="00072897" w:rsidP="00072897">
            <w:pPr>
              <w:jc w:val="right"/>
              <w:rPr>
                <w:sz w:val="18"/>
                <w:szCs w:val="18"/>
                <w:lang w:val="fr-CA" w:eastAsia="en-CA"/>
              </w:rPr>
            </w:pPr>
            <w:r w:rsidRPr="001A0303">
              <w:rPr>
                <w:sz w:val="18"/>
                <w:szCs w:val="18"/>
                <w:lang w:eastAsia="en-CA"/>
              </w:rPr>
              <w:t>79</w:t>
            </w:r>
          </w:p>
        </w:tc>
        <w:tc>
          <w:tcPr>
            <w:tcW w:w="851" w:type="dxa"/>
            <w:tcBorders>
              <w:top w:val="nil"/>
              <w:left w:val="nil"/>
              <w:bottom w:val="single" w:sz="4" w:space="0" w:color="auto"/>
              <w:right w:val="single" w:sz="4" w:space="0" w:color="auto"/>
            </w:tcBorders>
            <w:shd w:val="clear" w:color="auto" w:fill="auto"/>
            <w:noWrap/>
          </w:tcPr>
          <w:p w14:paraId="4D2AEC80" w14:textId="06F96021" w:rsidR="00072897" w:rsidRPr="00934F64" w:rsidRDefault="00072897" w:rsidP="00072897">
            <w:pPr>
              <w:jc w:val="right"/>
              <w:rPr>
                <w:sz w:val="18"/>
                <w:szCs w:val="18"/>
                <w:lang w:val="fr-CA" w:eastAsia="en-CA"/>
              </w:rPr>
            </w:pPr>
            <w:r w:rsidRPr="001A0303">
              <w:rPr>
                <w:sz w:val="18"/>
                <w:szCs w:val="18"/>
                <w:lang w:eastAsia="en-CA"/>
              </w:rPr>
              <w:t>2</w:t>
            </w:r>
          </w:p>
        </w:tc>
        <w:tc>
          <w:tcPr>
            <w:tcW w:w="992" w:type="dxa"/>
            <w:tcBorders>
              <w:top w:val="nil"/>
              <w:left w:val="nil"/>
              <w:bottom w:val="single" w:sz="4" w:space="0" w:color="auto"/>
              <w:right w:val="single" w:sz="4" w:space="0" w:color="auto"/>
            </w:tcBorders>
            <w:shd w:val="clear" w:color="auto" w:fill="auto"/>
            <w:noWrap/>
          </w:tcPr>
          <w:p w14:paraId="02BFD8B9" w14:textId="27E99068" w:rsidR="00072897" w:rsidRPr="00934F64" w:rsidRDefault="00072897" w:rsidP="00072897">
            <w:pPr>
              <w:jc w:val="right"/>
              <w:rPr>
                <w:sz w:val="18"/>
                <w:szCs w:val="18"/>
                <w:lang w:val="fr-CA" w:eastAsia="en-CA"/>
              </w:rPr>
            </w:pPr>
            <w:r w:rsidRPr="001A0303">
              <w:rPr>
                <w:sz w:val="18"/>
                <w:szCs w:val="18"/>
                <w:lang w:eastAsia="en-CA"/>
              </w:rPr>
              <w:t>67</w:t>
            </w:r>
          </w:p>
        </w:tc>
        <w:tc>
          <w:tcPr>
            <w:tcW w:w="1134" w:type="dxa"/>
            <w:tcBorders>
              <w:top w:val="nil"/>
              <w:left w:val="nil"/>
              <w:bottom w:val="single" w:sz="4" w:space="0" w:color="auto"/>
              <w:right w:val="single" w:sz="4" w:space="0" w:color="auto"/>
            </w:tcBorders>
            <w:shd w:val="clear" w:color="auto" w:fill="auto"/>
            <w:noWrap/>
          </w:tcPr>
          <w:p w14:paraId="14E9EC1B" w14:textId="4655A505" w:rsidR="00072897" w:rsidRPr="00934F64" w:rsidRDefault="00072897" w:rsidP="00072897">
            <w:pPr>
              <w:jc w:val="right"/>
              <w:rPr>
                <w:sz w:val="18"/>
                <w:szCs w:val="18"/>
                <w:lang w:val="fr-CA" w:eastAsia="en-CA"/>
              </w:rPr>
            </w:pPr>
            <w:r w:rsidRPr="001A0303">
              <w:rPr>
                <w:sz w:val="18"/>
                <w:szCs w:val="18"/>
                <w:lang w:eastAsia="en-CA"/>
              </w:rPr>
              <w:t>12</w:t>
            </w:r>
          </w:p>
        </w:tc>
        <w:tc>
          <w:tcPr>
            <w:tcW w:w="992" w:type="dxa"/>
            <w:tcBorders>
              <w:top w:val="nil"/>
              <w:left w:val="nil"/>
              <w:bottom w:val="single" w:sz="4" w:space="0" w:color="auto"/>
              <w:right w:val="single" w:sz="4" w:space="0" w:color="auto"/>
            </w:tcBorders>
            <w:shd w:val="clear" w:color="auto" w:fill="auto"/>
            <w:noWrap/>
          </w:tcPr>
          <w:p w14:paraId="6D137271" w14:textId="5EA89658" w:rsidR="00072897" w:rsidRPr="00934F64" w:rsidRDefault="00072897" w:rsidP="00072897">
            <w:pPr>
              <w:jc w:val="right"/>
              <w:rPr>
                <w:sz w:val="18"/>
                <w:szCs w:val="18"/>
                <w:lang w:val="fr-CA" w:eastAsia="en-CA"/>
              </w:rPr>
            </w:pPr>
            <w:r w:rsidRPr="001A0303">
              <w:rPr>
                <w:sz w:val="18"/>
                <w:szCs w:val="18"/>
                <w:lang w:eastAsia="en-CA"/>
              </w:rPr>
              <w:t>54</w:t>
            </w:r>
          </w:p>
        </w:tc>
        <w:tc>
          <w:tcPr>
            <w:tcW w:w="992" w:type="dxa"/>
            <w:tcBorders>
              <w:top w:val="nil"/>
              <w:left w:val="nil"/>
              <w:bottom w:val="single" w:sz="4" w:space="0" w:color="auto"/>
              <w:right w:val="single" w:sz="4" w:space="0" w:color="auto"/>
            </w:tcBorders>
            <w:shd w:val="clear" w:color="auto" w:fill="auto"/>
            <w:noWrap/>
          </w:tcPr>
          <w:p w14:paraId="1E1A5775" w14:textId="049C8C88" w:rsidR="00072897" w:rsidRPr="00934F64" w:rsidRDefault="00072897" w:rsidP="00072897">
            <w:pPr>
              <w:jc w:val="right"/>
              <w:rPr>
                <w:sz w:val="18"/>
                <w:szCs w:val="18"/>
                <w:lang w:val="fr-CA" w:eastAsia="en-CA"/>
              </w:rPr>
            </w:pPr>
            <w:r w:rsidRPr="001A0303">
              <w:rPr>
                <w:sz w:val="18"/>
                <w:szCs w:val="18"/>
                <w:lang w:eastAsia="en-CA"/>
              </w:rPr>
              <w:t>36</w:t>
            </w:r>
          </w:p>
        </w:tc>
        <w:tc>
          <w:tcPr>
            <w:tcW w:w="1060" w:type="dxa"/>
            <w:tcBorders>
              <w:top w:val="nil"/>
              <w:left w:val="nil"/>
              <w:bottom w:val="single" w:sz="4" w:space="0" w:color="auto"/>
              <w:right w:val="single" w:sz="4" w:space="0" w:color="auto"/>
            </w:tcBorders>
            <w:shd w:val="clear" w:color="auto" w:fill="auto"/>
            <w:noWrap/>
          </w:tcPr>
          <w:p w14:paraId="7399E776" w14:textId="78F78603"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r>
      <w:tr w:rsidR="00072897" w:rsidRPr="00934F64" w14:paraId="73D569E1"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3E1DA70B" w14:textId="423FD71E" w:rsidR="00072897" w:rsidRPr="00934F64" w:rsidRDefault="00072897" w:rsidP="00072897">
            <w:pPr>
              <w:jc w:val="left"/>
              <w:rPr>
                <w:sz w:val="18"/>
                <w:szCs w:val="18"/>
                <w:lang w:val="fr-CA" w:eastAsia="en-CA"/>
              </w:rPr>
            </w:pPr>
            <w:r>
              <w:rPr>
                <w:sz w:val="18"/>
                <w:szCs w:val="18"/>
                <w:lang w:val="fr-CA" w:eastAsia="en-CA"/>
              </w:rPr>
              <w:t>Réfrigération</w:t>
            </w:r>
          </w:p>
        </w:tc>
        <w:tc>
          <w:tcPr>
            <w:tcW w:w="856" w:type="dxa"/>
            <w:tcBorders>
              <w:top w:val="nil"/>
              <w:left w:val="nil"/>
              <w:bottom w:val="single" w:sz="4" w:space="0" w:color="auto"/>
              <w:right w:val="single" w:sz="4" w:space="0" w:color="auto"/>
            </w:tcBorders>
            <w:shd w:val="clear" w:color="auto" w:fill="auto"/>
            <w:noWrap/>
          </w:tcPr>
          <w:p w14:paraId="129E32EE" w14:textId="2ABA576B" w:rsidR="00072897" w:rsidRPr="00934F64" w:rsidRDefault="00072897" w:rsidP="00072897">
            <w:pPr>
              <w:jc w:val="right"/>
              <w:rPr>
                <w:sz w:val="18"/>
                <w:szCs w:val="18"/>
                <w:lang w:val="fr-CA" w:eastAsia="en-CA"/>
              </w:rPr>
            </w:pPr>
            <w:r w:rsidRPr="001A0303">
              <w:rPr>
                <w:sz w:val="18"/>
                <w:szCs w:val="18"/>
                <w:lang w:eastAsia="en-CA"/>
              </w:rPr>
              <w:t>4</w:t>
            </w:r>
          </w:p>
        </w:tc>
        <w:tc>
          <w:tcPr>
            <w:tcW w:w="1129" w:type="dxa"/>
            <w:tcBorders>
              <w:top w:val="nil"/>
              <w:left w:val="nil"/>
              <w:bottom w:val="single" w:sz="4" w:space="0" w:color="auto"/>
              <w:right w:val="single" w:sz="4" w:space="0" w:color="auto"/>
            </w:tcBorders>
            <w:shd w:val="clear" w:color="auto" w:fill="auto"/>
            <w:noWrap/>
          </w:tcPr>
          <w:p w14:paraId="5A149772" w14:textId="28B84947" w:rsidR="00072897" w:rsidRPr="00934F64" w:rsidRDefault="00072897" w:rsidP="00072897">
            <w:pPr>
              <w:jc w:val="right"/>
              <w:rPr>
                <w:sz w:val="18"/>
                <w:szCs w:val="18"/>
                <w:lang w:val="fr-CA" w:eastAsia="en-CA"/>
              </w:rPr>
            </w:pPr>
            <w:r w:rsidRPr="001A0303">
              <w:rPr>
                <w:sz w:val="18"/>
                <w:szCs w:val="18"/>
                <w:lang w:eastAsia="en-CA"/>
              </w:rPr>
              <w:t>4</w:t>
            </w:r>
            <w:r w:rsidR="000F7F52">
              <w:rPr>
                <w:sz w:val="18"/>
                <w:szCs w:val="18"/>
                <w:lang w:eastAsia="en-CA"/>
              </w:rPr>
              <w:t xml:space="preserve"> </w:t>
            </w:r>
            <w:r w:rsidRPr="001A0303">
              <w:rPr>
                <w:sz w:val="18"/>
                <w:szCs w:val="18"/>
                <w:lang w:eastAsia="en-CA"/>
              </w:rPr>
              <w:t>053</w:t>
            </w:r>
            <w:r w:rsidR="000F7F52">
              <w:rPr>
                <w:sz w:val="18"/>
                <w:szCs w:val="18"/>
                <w:lang w:eastAsia="en-CA"/>
              </w:rPr>
              <w:t xml:space="preserve"> </w:t>
            </w:r>
            <w:r w:rsidRPr="001A0303">
              <w:rPr>
                <w:sz w:val="18"/>
                <w:szCs w:val="18"/>
                <w:lang w:eastAsia="en-CA"/>
              </w:rPr>
              <w:t>896</w:t>
            </w:r>
          </w:p>
        </w:tc>
        <w:tc>
          <w:tcPr>
            <w:tcW w:w="850" w:type="dxa"/>
            <w:tcBorders>
              <w:top w:val="nil"/>
              <w:left w:val="nil"/>
              <w:bottom w:val="single" w:sz="4" w:space="0" w:color="auto"/>
              <w:right w:val="single" w:sz="4" w:space="0" w:color="auto"/>
            </w:tcBorders>
            <w:shd w:val="clear" w:color="auto" w:fill="auto"/>
            <w:noWrap/>
          </w:tcPr>
          <w:p w14:paraId="6302D916" w14:textId="44DE2ABF" w:rsidR="00072897" w:rsidRPr="00934F64" w:rsidRDefault="00072897" w:rsidP="00072897">
            <w:pPr>
              <w:jc w:val="right"/>
              <w:rPr>
                <w:sz w:val="18"/>
                <w:szCs w:val="18"/>
                <w:lang w:val="fr-CA" w:eastAsia="en-CA"/>
              </w:rPr>
            </w:pPr>
            <w:r w:rsidRPr="001A0303">
              <w:rPr>
                <w:sz w:val="18"/>
                <w:szCs w:val="18"/>
                <w:lang w:eastAsia="en-CA"/>
              </w:rPr>
              <w:t>73</w:t>
            </w:r>
          </w:p>
        </w:tc>
        <w:tc>
          <w:tcPr>
            <w:tcW w:w="851" w:type="dxa"/>
            <w:tcBorders>
              <w:top w:val="nil"/>
              <w:left w:val="nil"/>
              <w:bottom w:val="single" w:sz="4" w:space="0" w:color="auto"/>
              <w:right w:val="single" w:sz="4" w:space="0" w:color="auto"/>
            </w:tcBorders>
            <w:shd w:val="clear" w:color="auto" w:fill="auto"/>
            <w:noWrap/>
          </w:tcPr>
          <w:p w14:paraId="7F4F17AD" w14:textId="1A1AC532" w:rsidR="00072897" w:rsidRPr="00934F64" w:rsidRDefault="00072897" w:rsidP="00072897">
            <w:pPr>
              <w:jc w:val="right"/>
              <w:rPr>
                <w:sz w:val="18"/>
                <w:szCs w:val="18"/>
                <w:lang w:val="fr-CA" w:eastAsia="en-CA"/>
              </w:rPr>
            </w:pPr>
            <w:r w:rsidRPr="001A0303">
              <w:rPr>
                <w:sz w:val="18"/>
                <w:szCs w:val="18"/>
                <w:lang w:eastAsia="en-CA"/>
              </w:rPr>
              <w:t>2</w:t>
            </w:r>
          </w:p>
        </w:tc>
        <w:tc>
          <w:tcPr>
            <w:tcW w:w="992" w:type="dxa"/>
            <w:tcBorders>
              <w:top w:val="nil"/>
              <w:left w:val="nil"/>
              <w:bottom w:val="single" w:sz="4" w:space="0" w:color="auto"/>
              <w:right w:val="single" w:sz="4" w:space="0" w:color="auto"/>
            </w:tcBorders>
            <w:shd w:val="clear" w:color="auto" w:fill="auto"/>
            <w:noWrap/>
          </w:tcPr>
          <w:p w14:paraId="184C3D43" w14:textId="100BC08C" w:rsidR="00072897" w:rsidRPr="00934F64" w:rsidRDefault="00072897" w:rsidP="00072897">
            <w:pPr>
              <w:jc w:val="right"/>
              <w:rPr>
                <w:sz w:val="18"/>
                <w:szCs w:val="18"/>
                <w:lang w:val="fr-CA" w:eastAsia="en-CA"/>
              </w:rPr>
            </w:pPr>
            <w:r w:rsidRPr="001A0303">
              <w:rPr>
                <w:sz w:val="18"/>
                <w:szCs w:val="18"/>
                <w:lang w:eastAsia="en-CA"/>
              </w:rPr>
              <w:t>50</w:t>
            </w:r>
          </w:p>
        </w:tc>
        <w:tc>
          <w:tcPr>
            <w:tcW w:w="1134" w:type="dxa"/>
            <w:tcBorders>
              <w:top w:val="nil"/>
              <w:left w:val="nil"/>
              <w:bottom w:val="single" w:sz="4" w:space="0" w:color="auto"/>
              <w:right w:val="single" w:sz="4" w:space="0" w:color="auto"/>
            </w:tcBorders>
            <w:shd w:val="clear" w:color="auto" w:fill="auto"/>
            <w:noWrap/>
          </w:tcPr>
          <w:p w14:paraId="3FD6FF18" w14:textId="2DE662DF" w:rsidR="00072897" w:rsidRPr="00934F64" w:rsidRDefault="00072897" w:rsidP="00072897">
            <w:pPr>
              <w:jc w:val="right"/>
              <w:rPr>
                <w:sz w:val="18"/>
                <w:szCs w:val="18"/>
                <w:lang w:val="fr-CA" w:eastAsia="en-CA"/>
              </w:rPr>
            </w:pPr>
            <w:r w:rsidRPr="001A0303">
              <w:rPr>
                <w:sz w:val="18"/>
                <w:szCs w:val="18"/>
                <w:lang w:eastAsia="en-CA"/>
              </w:rPr>
              <w:t>7</w:t>
            </w:r>
          </w:p>
        </w:tc>
        <w:tc>
          <w:tcPr>
            <w:tcW w:w="992" w:type="dxa"/>
            <w:tcBorders>
              <w:top w:val="nil"/>
              <w:left w:val="nil"/>
              <w:bottom w:val="single" w:sz="4" w:space="0" w:color="auto"/>
              <w:right w:val="single" w:sz="4" w:space="0" w:color="auto"/>
            </w:tcBorders>
            <w:shd w:val="clear" w:color="auto" w:fill="auto"/>
            <w:noWrap/>
          </w:tcPr>
          <w:p w14:paraId="360507B2" w14:textId="7A6BDEB3" w:rsidR="00072897" w:rsidRPr="00934F64" w:rsidRDefault="00072897" w:rsidP="00072897">
            <w:pPr>
              <w:jc w:val="right"/>
              <w:rPr>
                <w:sz w:val="18"/>
                <w:szCs w:val="18"/>
                <w:lang w:val="fr-CA" w:eastAsia="en-CA"/>
              </w:rPr>
            </w:pPr>
            <w:r w:rsidRPr="001A0303">
              <w:rPr>
                <w:sz w:val="18"/>
                <w:szCs w:val="18"/>
                <w:lang w:eastAsia="en-CA"/>
              </w:rPr>
              <w:t>97</w:t>
            </w:r>
          </w:p>
        </w:tc>
        <w:tc>
          <w:tcPr>
            <w:tcW w:w="992" w:type="dxa"/>
            <w:tcBorders>
              <w:top w:val="nil"/>
              <w:left w:val="nil"/>
              <w:bottom w:val="single" w:sz="4" w:space="0" w:color="auto"/>
              <w:right w:val="single" w:sz="4" w:space="0" w:color="auto"/>
            </w:tcBorders>
            <w:shd w:val="clear" w:color="auto" w:fill="auto"/>
            <w:noWrap/>
          </w:tcPr>
          <w:p w14:paraId="7A05188B" w14:textId="174B6321" w:rsidR="00072897" w:rsidRPr="00934F64" w:rsidRDefault="00072897" w:rsidP="00072897">
            <w:pPr>
              <w:jc w:val="right"/>
              <w:rPr>
                <w:sz w:val="18"/>
                <w:szCs w:val="18"/>
                <w:lang w:val="fr-CA" w:eastAsia="en-CA"/>
              </w:rPr>
            </w:pPr>
            <w:r w:rsidRPr="001A0303">
              <w:rPr>
                <w:sz w:val="18"/>
                <w:szCs w:val="18"/>
                <w:lang w:eastAsia="en-CA"/>
              </w:rPr>
              <w:t>71</w:t>
            </w:r>
          </w:p>
        </w:tc>
        <w:tc>
          <w:tcPr>
            <w:tcW w:w="1060" w:type="dxa"/>
            <w:tcBorders>
              <w:top w:val="nil"/>
              <w:left w:val="nil"/>
              <w:bottom w:val="single" w:sz="4" w:space="0" w:color="auto"/>
              <w:right w:val="single" w:sz="4" w:space="0" w:color="auto"/>
            </w:tcBorders>
            <w:shd w:val="clear" w:color="auto" w:fill="auto"/>
            <w:noWrap/>
          </w:tcPr>
          <w:p w14:paraId="308B8761" w14:textId="66156953" w:rsidR="00072897" w:rsidRPr="00934F64" w:rsidRDefault="00072897" w:rsidP="00072897">
            <w:pPr>
              <w:jc w:val="right"/>
              <w:rPr>
                <w:sz w:val="18"/>
                <w:szCs w:val="18"/>
                <w:lang w:val="fr-CA" w:eastAsia="en-CA"/>
              </w:rPr>
            </w:pPr>
            <w:r w:rsidRPr="001A0303">
              <w:rPr>
                <w:sz w:val="18"/>
                <w:szCs w:val="18"/>
                <w:lang w:eastAsia="en-CA"/>
              </w:rPr>
              <w:t>18</w:t>
            </w:r>
            <w:r w:rsidR="000F7F52">
              <w:rPr>
                <w:sz w:val="18"/>
                <w:szCs w:val="18"/>
                <w:lang w:eastAsia="en-CA"/>
              </w:rPr>
              <w:t>,</w:t>
            </w:r>
            <w:r w:rsidRPr="001A0303">
              <w:rPr>
                <w:sz w:val="18"/>
                <w:szCs w:val="18"/>
                <w:lang w:eastAsia="en-CA"/>
              </w:rPr>
              <w:t>34</w:t>
            </w:r>
          </w:p>
        </w:tc>
      </w:tr>
      <w:tr w:rsidR="00072897" w:rsidRPr="00934F64" w14:paraId="3D669ECB"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5D4BCE2E" w14:textId="4CF31ECB" w:rsidR="00072897" w:rsidRPr="00934F64" w:rsidRDefault="000F7F52" w:rsidP="00072897">
            <w:pPr>
              <w:jc w:val="left"/>
              <w:rPr>
                <w:sz w:val="18"/>
                <w:szCs w:val="18"/>
                <w:lang w:val="fr-CA" w:eastAsia="en-CA"/>
              </w:rPr>
            </w:pPr>
            <w:r>
              <w:rPr>
                <w:sz w:val="18"/>
                <w:szCs w:val="18"/>
                <w:lang w:val="fr-CA" w:eastAsia="en-CA"/>
              </w:rPr>
              <w:t>Solvants</w:t>
            </w:r>
          </w:p>
        </w:tc>
        <w:tc>
          <w:tcPr>
            <w:tcW w:w="856" w:type="dxa"/>
            <w:tcBorders>
              <w:top w:val="nil"/>
              <w:left w:val="nil"/>
              <w:bottom w:val="single" w:sz="4" w:space="0" w:color="auto"/>
              <w:right w:val="single" w:sz="4" w:space="0" w:color="auto"/>
            </w:tcBorders>
            <w:shd w:val="clear" w:color="auto" w:fill="auto"/>
            <w:noWrap/>
          </w:tcPr>
          <w:p w14:paraId="403194DA" w14:textId="240D45F0" w:rsidR="00072897" w:rsidRPr="00934F64" w:rsidRDefault="00072897" w:rsidP="00072897">
            <w:pPr>
              <w:jc w:val="right"/>
              <w:rPr>
                <w:sz w:val="18"/>
                <w:szCs w:val="18"/>
                <w:lang w:val="fr-CA"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tcPr>
          <w:p w14:paraId="49283661" w14:textId="2C40D703" w:rsidR="00072897" w:rsidRPr="00934F64" w:rsidRDefault="00072897" w:rsidP="00072897">
            <w:pPr>
              <w:jc w:val="right"/>
              <w:rPr>
                <w:sz w:val="18"/>
                <w:szCs w:val="18"/>
                <w:lang w:val="fr-CA"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tcPr>
          <w:p w14:paraId="26BAF025" w14:textId="4E856B3A" w:rsidR="00072897" w:rsidRPr="00934F64" w:rsidRDefault="00072897" w:rsidP="00072897">
            <w:pPr>
              <w:jc w:val="right"/>
              <w:rPr>
                <w:sz w:val="18"/>
                <w:szCs w:val="18"/>
                <w:lang w:val="fr-CA"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tcPr>
          <w:p w14:paraId="6C9B8B2A" w14:textId="6F6F6171" w:rsidR="00072897" w:rsidRPr="00934F64" w:rsidRDefault="00072897" w:rsidP="00072897">
            <w:pPr>
              <w:jc w:val="right"/>
              <w:rPr>
                <w:sz w:val="18"/>
                <w:szCs w:val="18"/>
                <w:lang w:val="fr-CA"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tcPr>
          <w:p w14:paraId="2636AE4A" w14:textId="1EFA0FEF" w:rsidR="00072897" w:rsidRPr="00934F64" w:rsidRDefault="00072897" w:rsidP="00072897">
            <w:pPr>
              <w:jc w:val="right"/>
              <w:rPr>
                <w:sz w:val="18"/>
                <w:szCs w:val="18"/>
                <w:lang w:val="fr-CA"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tcPr>
          <w:p w14:paraId="1AC9133E" w14:textId="1E0E661E"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2EF3FA81" w14:textId="57619AFF"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60DDFD8E" w14:textId="2270E7B5"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1060" w:type="dxa"/>
            <w:tcBorders>
              <w:top w:val="nil"/>
              <w:left w:val="nil"/>
              <w:bottom w:val="single" w:sz="4" w:space="0" w:color="auto"/>
              <w:right w:val="single" w:sz="4" w:space="0" w:color="auto"/>
            </w:tcBorders>
            <w:shd w:val="clear" w:color="auto" w:fill="auto"/>
            <w:noWrap/>
          </w:tcPr>
          <w:p w14:paraId="3F55107F" w14:textId="24905B3F"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r>
      <w:tr w:rsidR="00072897" w:rsidRPr="00934F64" w14:paraId="11B0E902" w14:textId="77777777" w:rsidTr="00072897">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tcPr>
          <w:p w14:paraId="24E6B69A" w14:textId="6914C025" w:rsidR="00072897" w:rsidRPr="00934F64" w:rsidRDefault="00072897" w:rsidP="000F7F52">
            <w:pPr>
              <w:jc w:val="left"/>
              <w:rPr>
                <w:sz w:val="18"/>
                <w:szCs w:val="18"/>
                <w:lang w:val="fr-CA" w:eastAsia="en-CA"/>
              </w:rPr>
            </w:pPr>
            <w:r>
              <w:rPr>
                <w:sz w:val="18"/>
                <w:szCs w:val="18"/>
                <w:lang w:val="fr-CA" w:eastAsia="en-CA"/>
              </w:rPr>
              <w:t>S</w:t>
            </w:r>
            <w:r w:rsidR="000F7F52">
              <w:rPr>
                <w:sz w:val="18"/>
                <w:szCs w:val="18"/>
                <w:lang w:val="fr-CA" w:eastAsia="en-CA"/>
              </w:rPr>
              <w:t>térilisants</w:t>
            </w:r>
          </w:p>
        </w:tc>
        <w:tc>
          <w:tcPr>
            <w:tcW w:w="856" w:type="dxa"/>
            <w:tcBorders>
              <w:top w:val="nil"/>
              <w:left w:val="nil"/>
              <w:bottom w:val="single" w:sz="4" w:space="0" w:color="auto"/>
              <w:right w:val="single" w:sz="4" w:space="0" w:color="auto"/>
            </w:tcBorders>
            <w:shd w:val="clear" w:color="auto" w:fill="auto"/>
            <w:noWrap/>
          </w:tcPr>
          <w:p w14:paraId="41F7F827" w14:textId="4BC372DB" w:rsidR="00072897" w:rsidRPr="00934F64" w:rsidRDefault="00072897" w:rsidP="00072897">
            <w:pPr>
              <w:jc w:val="right"/>
              <w:rPr>
                <w:sz w:val="18"/>
                <w:szCs w:val="18"/>
                <w:lang w:val="fr-CA" w:eastAsia="en-CA"/>
              </w:rPr>
            </w:pPr>
            <w:r w:rsidRPr="001A0303">
              <w:rPr>
                <w:sz w:val="18"/>
                <w:szCs w:val="18"/>
                <w:lang w:eastAsia="en-CA"/>
              </w:rPr>
              <w:t>0</w:t>
            </w:r>
          </w:p>
        </w:tc>
        <w:tc>
          <w:tcPr>
            <w:tcW w:w="1129" w:type="dxa"/>
            <w:tcBorders>
              <w:top w:val="nil"/>
              <w:left w:val="nil"/>
              <w:bottom w:val="single" w:sz="4" w:space="0" w:color="auto"/>
              <w:right w:val="single" w:sz="4" w:space="0" w:color="auto"/>
            </w:tcBorders>
            <w:shd w:val="clear" w:color="auto" w:fill="auto"/>
            <w:noWrap/>
          </w:tcPr>
          <w:p w14:paraId="60F7D193" w14:textId="241A1CE4" w:rsidR="00072897" w:rsidRPr="00934F64" w:rsidRDefault="00072897" w:rsidP="00072897">
            <w:pPr>
              <w:jc w:val="right"/>
              <w:rPr>
                <w:sz w:val="18"/>
                <w:szCs w:val="18"/>
                <w:lang w:val="fr-CA" w:eastAsia="en-CA"/>
              </w:rPr>
            </w:pPr>
            <w:r w:rsidRPr="001A0303">
              <w:rPr>
                <w:sz w:val="18"/>
                <w:szCs w:val="18"/>
                <w:lang w:eastAsia="en-CA"/>
              </w:rPr>
              <w:t>0</w:t>
            </w:r>
          </w:p>
        </w:tc>
        <w:tc>
          <w:tcPr>
            <w:tcW w:w="850" w:type="dxa"/>
            <w:tcBorders>
              <w:top w:val="nil"/>
              <w:left w:val="nil"/>
              <w:bottom w:val="single" w:sz="4" w:space="0" w:color="auto"/>
              <w:right w:val="single" w:sz="4" w:space="0" w:color="auto"/>
            </w:tcBorders>
            <w:shd w:val="clear" w:color="auto" w:fill="auto"/>
            <w:noWrap/>
          </w:tcPr>
          <w:p w14:paraId="1E2FD357" w14:textId="18D32ECC" w:rsidR="00072897" w:rsidRPr="00934F64" w:rsidRDefault="00072897" w:rsidP="00072897">
            <w:pPr>
              <w:jc w:val="right"/>
              <w:rPr>
                <w:sz w:val="18"/>
                <w:szCs w:val="18"/>
                <w:lang w:val="fr-CA" w:eastAsia="en-CA"/>
              </w:rPr>
            </w:pPr>
            <w:r w:rsidRPr="001A0303">
              <w:rPr>
                <w:sz w:val="18"/>
                <w:szCs w:val="18"/>
                <w:lang w:eastAsia="en-CA"/>
              </w:rPr>
              <w:t>0</w:t>
            </w:r>
          </w:p>
        </w:tc>
        <w:tc>
          <w:tcPr>
            <w:tcW w:w="851" w:type="dxa"/>
            <w:tcBorders>
              <w:top w:val="nil"/>
              <w:left w:val="nil"/>
              <w:bottom w:val="single" w:sz="4" w:space="0" w:color="auto"/>
              <w:right w:val="single" w:sz="4" w:space="0" w:color="auto"/>
            </w:tcBorders>
            <w:shd w:val="clear" w:color="auto" w:fill="auto"/>
            <w:noWrap/>
          </w:tcPr>
          <w:p w14:paraId="2BCB6967" w14:textId="78B70506" w:rsidR="00072897" w:rsidRPr="00934F64" w:rsidRDefault="00072897" w:rsidP="00072897">
            <w:pPr>
              <w:jc w:val="right"/>
              <w:rPr>
                <w:sz w:val="18"/>
                <w:szCs w:val="18"/>
                <w:lang w:val="fr-CA" w:eastAsia="en-CA"/>
              </w:rPr>
            </w:pPr>
            <w:r w:rsidRPr="001A0303">
              <w:rPr>
                <w:sz w:val="18"/>
                <w:szCs w:val="18"/>
                <w:lang w:eastAsia="en-CA"/>
              </w:rPr>
              <w:t>0</w:t>
            </w:r>
          </w:p>
        </w:tc>
        <w:tc>
          <w:tcPr>
            <w:tcW w:w="992" w:type="dxa"/>
            <w:tcBorders>
              <w:top w:val="nil"/>
              <w:left w:val="nil"/>
              <w:bottom w:val="single" w:sz="4" w:space="0" w:color="auto"/>
              <w:right w:val="single" w:sz="4" w:space="0" w:color="auto"/>
            </w:tcBorders>
            <w:shd w:val="clear" w:color="auto" w:fill="auto"/>
            <w:noWrap/>
          </w:tcPr>
          <w:p w14:paraId="3597621F" w14:textId="2048AADF" w:rsidR="00072897" w:rsidRPr="00934F64" w:rsidRDefault="00072897" w:rsidP="00072897">
            <w:pPr>
              <w:jc w:val="right"/>
              <w:rPr>
                <w:sz w:val="18"/>
                <w:szCs w:val="18"/>
                <w:lang w:val="fr-CA" w:eastAsia="en-CA"/>
              </w:rPr>
            </w:pPr>
            <w:r w:rsidRPr="001A0303">
              <w:rPr>
                <w:sz w:val="18"/>
                <w:szCs w:val="18"/>
                <w:lang w:eastAsia="en-CA"/>
              </w:rPr>
              <w:t>0</w:t>
            </w:r>
          </w:p>
        </w:tc>
        <w:tc>
          <w:tcPr>
            <w:tcW w:w="1134" w:type="dxa"/>
            <w:tcBorders>
              <w:top w:val="nil"/>
              <w:left w:val="nil"/>
              <w:bottom w:val="single" w:sz="4" w:space="0" w:color="auto"/>
              <w:right w:val="single" w:sz="4" w:space="0" w:color="auto"/>
            </w:tcBorders>
            <w:shd w:val="clear" w:color="auto" w:fill="auto"/>
            <w:noWrap/>
          </w:tcPr>
          <w:p w14:paraId="0B9C009A" w14:textId="6E42AC0F"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7ACFD667" w14:textId="5159331C"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992" w:type="dxa"/>
            <w:tcBorders>
              <w:top w:val="nil"/>
              <w:left w:val="nil"/>
              <w:bottom w:val="single" w:sz="4" w:space="0" w:color="auto"/>
              <w:right w:val="single" w:sz="4" w:space="0" w:color="auto"/>
            </w:tcBorders>
            <w:shd w:val="clear" w:color="auto" w:fill="auto"/>
            <w:noWrap/>
          </w:tcPr>
          <w:p w14:paraId="1261320B" w14:textId="3D5ADB69"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c>
          <w:tcPr>
            <w:tcW w:w="1060" w:type="dxa"/>
            <w:tcBorders>
              <w:top w:val="nil"/>
              <w:left w:val="nil"/>
              <w:bottom w:val="single" w:sz="4" w:space="0" w:color="auto"/>
              <w:right w:val="single" w:sz="4" w:space="0" w:color="auto"/>
            </w:tcBorders>
            <w:shd w:val="clear" w:color="auto" w:fill="auto"/>
            <w:noWrap/>
          </w:tcPr>
          <w:p w14:paraId="35C996F4" w14:textId="57A38A1F" w:rsidR="00072897" w:rsidRPr="00934F64" w:rsidRDefault="000F7F52" w:rsidP="00072897">
            <w:pPr>
              <w:jc w:val="right"/>
              <w:rPr>
                <w:sz w:val="18"/>
                <w:szCs w:val="18"/>
                <w:lang w:val="fr-CA" w:eastAsia="en-CA"/>
              </w:rPr>
            </w:pPr>
            <w:proofErr w:type="spellStart"/>
            <w:r>
              <w:rPr>
                <w:sz w:val="18"/>
                <w:szCs w:val="18"/>
                <w:lang w:eastAsia="en-CA"/>
              </w:rPr>
              <w:t>S.o</w:t>
            </w:r>
            <w:proofErr w:type="spellEnd"/>
            <w:r>
              <w:rPr>
                <w:sz w:val="18"/>
                <w:szCs w:val="18"/>
                <w:lang w:eastAsia="en-CA"/>
              </w:rPr>
              <w:t>.</w:t>
            </w:r>
          </w:p>
        </w:tc>
      </w:tr>
      <w:tr w:rsidR="000460A6" w:rsidRPr="00D303D6" w14:paraId="340FC9AF" w14:textId="77777777" w:rsidTr="00CC07F4">
        <w:trPr>
          <w:trHeight w:val="264"/>
        </w:trPr>
        <w:tc>
          <w:tcPr>
            <w:tcW w:w="10566" w:type="dxa"/>
            <w:gridSpan w:val="11"/>
            <w:tcBorders>
              <w:top w:val="nil"/>
              <w:left w:val="single" w:sz="4" w:space="0" w:color="auto"/>
              <w:bottom w:val="nil"/>
              <w:right w:val="single" w:sz="4" w:space="0" w:color="auto"/>
            </w:tcBorders>
            <w:shd w:val="clear" w:color="auto" w:fill="auto"/>
            <w:noWrap/>
            <w:hideMark/>
          </w:tcPr>
          <w:p w14:paraId="4AE7A773" w14:textId="16E89E7C" w:rsidR="000460A6" w:rsidRPr="00934F64" w:rsidRDefault="00934F64" w:rsidP="001E39EE">
            <w:pPr>
              <w:jc w:val="left"/>
              <w:rPr>
                <w:sz w:val="18"/>
                <w:szCs w:val="18"/>
                <w:lang w:val="fr-CA" w:eastAsia="en-CA"/>
              </w:rPr>
            </w:pPr>
            <w:r>
              <w:rPr>
                <w:b/>
                <w:bCs/>
                <w:sz w:val="18"/>
                <w:szCs w:val="18"/>
                <w:lang w:val="fr-CA" w:eastAsia="en-CA"/>
              </w:rPr>
              <w:t xml:space="preserve">Caractéristiques de la mise en œuvre </w:t>
            </w:r>
          </w:p>
        </w:tc>
      </w:tr>
      <w:tr w:rsidR="00934F64" w:rsidRPr="00934F64" w14:paraId="7B993393" w14:textId="77777777" w:rsidTr="00CC07F4">
        <w:trPr>
          <w:gridAfter w:val="1"/>
          <w:wAfter w:w="8" w:type="dxa"/>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14:paraId="5CB90F6C" w14:textId="1F4A0BC9" w:rsidR="00934F64" w:rsidRPr="00934F64" w:rsidRDefault="00934F64" w:rsidP="00934F64">
            <w:pPr>
              <w:jc w:val="left"/>
              <w:rPr>
                <w:sz w:val="18"/>
                <w:szCs w:val="18"/>
                <w:lang w:val="fr-CA" w:eastAsia="en-CA"/>
              </w:rPr>
            </w:pPr>
            <w:r>
              <w:rPr>
                <w:sz w:val="18"/>
                <w:szCs w:val="18"/>
                <w:lang w:val="fr-CA" w:eastAsia="en-CA"/>
              </w:rPr>
              <w:t>Mise en œuvre par l’agence</w:t>
            </w:r>
          </w:p>
        </w:tc>
        <w:tc>
          <w:tcPr>
            <w:tcW w:w="856" w:type="dxa"/>
            <w:tcBorders>
              <w:top w:val="single" w:sz="4" w:space="0" w:color="auto"/>
              <w:left w:val="nil"/>
              <w:bottom w:val="single" w:sz="4" w:space="0" w:color="auto"/>
              <w:right w:val="single" w:sz="4" w:space="0" w:color="auto"/>
            </w:tcBorders>
            <w:shd w:val="clear" w:color="auto" w:fill="auto"/>
            <w:noWrap/>
            <w:hideMark/>
          </w:tcPr>
          <w:p w14:paraId="42917BB3" w14:textId="77777777" w:rsidR="00934F64" w:rsidRPr="00934F64" w:rsidRDefault="00934F64" w:rsidP="00934F64">
            <w:pPr>
              <w:jc w:val="right"/>
              <w:rPr>
                <w:sz w:val="18"/>
                <w:szCs w:val="18"/>
                <w:lang w:val="fr-CA" w:eastAsia="en-CA"/>
              </w:rPr>
            </w:pPr>
            <w:r w:rsidRPr="00934F64">
              <w:rPr>
                <w:sz w:val="18"/>
                <w:szCs w:val="18"/>
                <w:lang w:val="fr-CA" w:eastAsia="en-CA"/>
              </w:rPr>
              <w:t>183</w:t>
            </w:r>
          </w:p>
        </w:tc>
        <w:tc>
          <w:tcPr>
            <w:tcW w:w="1129" w:type="dxa"/>
            <w:tcBorders>
              <w:top w:val="single" w:sz="4" w:space="0" w:color="auto"/>
              <w:left w:val="nil"/>
              <w:bottom w:val="single" w:sz="4" w:space="0" w:color="auto"/>
              <w:right w:val="single" w:sz="4" w:space="0" w:color="auto"/>
            </w:tcBorders>
            <w:shd w:val="clear" w:color="auto" w:fill="auto"/>
            <w:noWrap/>
            <w:hideMark/>
          </w:tcPr>
          <w:p w14:paraId="62435738" w14:textId="6CF06A57" w:rsidR="00934F64" w:rsidRPr="00934F64" w:rsidRDefault="00934F64" w:rsidP="00934F64">
            <w:pPr>
              <w:jc w:val="right"/>
              <w:rPr>
                <w:sz w:val="18"/>
                <w:szCs w:val="18"/>
                <w:lang w:val="fr-CA" w:eastAsia="en-CA"/>
              </w:rPr>
            </w:pPr>
            <w:r w:rsidRPr="00934F64">
              <w:rPr>
                <w:sz w:val="18"/>
                <w:szCs w:val="18"/>
                <w:lang w:val="fr-CA" w:eastAsia="en-CA"/>
              </w:rPr>
              <w:t>216</w:t>
            </w:r>
            <w:r w:rsidR="00C65D2E">
              <w:rPr>
                <w:sz w:val="18"/>
                <w:szCs w:val="18"/>
                <w:lang w:val="fr-CA" w:eastAsia="en-CA"/>
              </w:rPr>
              <w:t xml:space="preserve"> </w:t>
            </w:r>
            <w:r w:rsidRPr="00934F64">
              <w:rPr>
                <w:sz w:val="18"/>
                <w:szCs w:val="18"/>
                <w:lang w:val="fr-CA" w:eastAsia="en-CA"/>
              </w:rPr>
              <w:t>878</w:t>
            </w:r>
            <w:r w:rsidR="00C65D2E">
              <w:rPr>
                <w:sz w:val="18"/>
                <w:szCs w:val="18"/>
                <w:lang w:val="fr-CA" w:eastAsia="en-CA"/>
              </w:rPr>
              <w:t xml:space="preserve"> </w:t>
            </w:r>
            <w:r w:rsidRPr="00934F64">
              <w:rPr>
                <w:sz w:val="18"/>
                <w:szCs w:val="18"/>
                <w:lang w:val="fr-CA" w:eastAsia="en-CA"/>
              </w:rPr>
              <w:t>898</w:t>
            </w:r>
          </w:p>
        </w:tc>
        <w:tc>
          <w:tcPr>
            <w:tcW w:w="850" w:type="dxa"/>
            <w:tcBorders>
              <w:top w:val="single" w:sz="4" w:space="0" w:color="auto"/>
              <w:left w:val="nil"/>
              <w:bottom w:val="single" w:sz="4" w:space="0" w:color="auto"/>
              <w:right w:val="single" w:sz="4" w:space="0" w:color="auto"/>
            </w:tcBorders>
            <w:shd w:val="clear" w:color="auto" w:fill="auto"/>
            <w:noWrap/>
            <w:hideMark/>
          </w:tcPr>
          <w:p w14:paraId="4C75ED57" w14:textId="77777777" w:rsidR="00934F64" w:rsidRPr="00934F64" w:rsidRDefault="00934F64" w:rsidP="00934F64">
            <w:pPr>
              <w:jc w:val="right"/>
              <w:rPr>
                <w:sz w:val="18"/>
                <w:szCs w:val="18"/>
                <w:lang w:val="fr-CA" w:eastAsia="en-CA"/>
              </w:rPr>
            </w:pPr>
            <w:r w:rsidRPr="00934F64">
              <w:rPr>
                <w:sz w:val="18"/>
                <w:szCs w:val="18"/>
                <w:lang w:val="fr-CA" w:eastAsia="en-CA"/>
              </w:rPr>
              <w:t>58</w:t>
            </w:r>
          </w:p>
        </w:tc>
        <w:tc>
          <w:tcPr>
            <w:tcW w:w="851" w:type="dxa"/>
            <w:tcBorders>
              <w:top w:val="single" w:sz="4" w:space="0" w:color="auto"/>
              <w:left w:val="nil"/>
              <w:bottom w:val="single" w:sz="4" w:space="0" w:color="auto"/>
              <w:right w:val="single" w:sz="4" w:space="0" w:color="auto"/>
            </w:tcBorders>
            <w:shd w:val="clear" w:color="auto" w:fill="auto"/>
            <w:noWrap/>
            <w:hideMark/>
          </w:tcPr>
          <w:p w14:paraId="631EEEF5" w14:textId="77777777" w:rsidR="00934F64" w:rsidRPr="00934F64" w:rsidRDefault="00934F64" w:rsidP="00934F64">
            <w:pPr>
              <w:jc w:val="right"/>
              <w:rPr>
                <w:sz w:val="18"/>
                <w:szCs w:val="18"/>
                <w:lang w:val="fr-CA" w:eastAsia="en-CA"/>
              </w:rPr>
            </w:pPr>
            <w:r w:rsidRPr="00934F64">
              <w:rPr>
                <w:sz w:val="18"/>
                <w:szCs w:val="18"/>
                <w:lang w:val="fr-CA" w:eastAsia="en-CA"/>
              </w:rPr>
              <w:t>126</w:t>
            </w:r>
          </w:p>
        </w:tc>
        <w:tc>
          <w:tcPr>
            <w:tcW w:w="992" w:type="dxa"/>
            <w:tcBorders>
              <w:top w:val="single" w:sz="4" w:space="0" w:color="auto"/>
              <w:left w:val="nil"/>
              <w:bottom w:val="single" w:sz="4" w:space="0" w:color="auto"/>
              <w:right w:val="single" w:sz="4" w:space="0" w:color="auto"/>
            </w:tcBorders>
            <w:shd w:val="clear" w:color="auto" w:fill="auto"/>
            <w:noWrap/>
            <w:hideMark/>
          </w:tcPr>
          <w:p w14:paraId="34C20A5E" w14:textId="77777777" w:rsidR="00934F64" w:rsidRPr="00934F64" w:rsidRDefault="00934F64" w:rsidP="00934F64">
            <w:pPr>
              <w:jc w:val="right"/>
              <w:rPr>
                <w:sz w:val="18"/>
                <w:szCs w:val="18"/>
                <w:lang w:val="fr-CA" w:eastAsia="en-CA"/>
              </w:rPr>
            </w:pPr>
            <w:r w:rsidRPr="00934F64">
              <w:rPr>
                <w:sz w:val="18"/>
                <w:szCs w:val="18"/>
                <w:lang w:val="fr-CA" w:eastAsia="en-CA"/>
              </w:rPr>
              <w:t>69</w:t>
            </w:r>
          </w:p>
        </w:tc>
        <w:tc>
          <w:tcPr>
            <w:tcW w:w="1134" w:type="dxa"/>
            <w:tcBorders>
              <w:top w:val="single" w:sz="4" w:space="0" w:color="auto"/>
              <w:left w:val="nil"/>
              <w:bottom w:val="single" w:sz="4" w:space="0" w:color="auto"/>
              <w:right w:val="single" w:sz="4" w:space="0" w:color="auto"/>
            </w:tcBorders>
            <w:shd w:val="clear" w:color="auto" w:fill="auto"/>
            <w:noWrap/>
            <w:hideMark/>
          </w:tcPr>
          <w:p w14:paraId="13147811" w14:textId="77777777" w:rsidR="00934F64" w:rsidRPr="00934F64" w:rsidRDefault="00934F64" w:rsidP="00934F64">
            <w:pPr>
              <w:jc w:val="right"/>
              <w:rPr>
                <w:sz w:val="18"/>
                <w:szCs w:val="18"/>
                <w:lang w:val="fr-CA" w:eastAsia="en-CA"/>
              </w:rPr>
            </w:pPr>
            <w:r w:rsidRPr="00934F64">
              <w:rPr>
                <w:sz w:val="18"/>
                <w:szCs w:val="18"/>
                <w:lang w:val="fr-CA" w:eastAsia="en-CA"/>
              </w:rPr>
              <w:t>10</w:t>
            </w:r>
          </w:p>
        </w:tc>
        <w:tc>
          <w:tcPr>
            <w:tcW w:w="992" w:type="dxa"/>
            <w:tcBorders>
              <w:top w:val="single" w:sz="4" w:space="0" w:color="auto"/>
              <w:left w:val="nil"/>
              <w:bottom w:val="single" w:sz="4" w:space="0" w:color="auto"/>
              <w:right w:val="single" w:sz="4" w:space="0" w:color="auto"/>
            </w:tcBorders>
            <w:shd w:val="clear" w:color="auto" w:fill="auto"/>
            <w:noWrap/>
            <w:hideMark/>
          </w:tcPr>
          <w:p w14:paraId="134ED555" w14:textId="77777777" w:rsidR="00934F64" w:rsidRPr="00934F64" w:rsidRDefault="00934F64" w:rsidP="00934F64">
            <w:pPr>
              <w:jc w:val="right"/>
              <w:rPr>
                <w:sz w:val="18"/>
                <w:szCs w:val="18"/>
                <w:lang w:val="fr-CA" w:eastAsia="en-CA"/>
              </w:rPr>
            </w:pPr>
            <w:r w:rsidRPr="00934F64">
              <w:rPr>
                <w:sz w:val="18"/>
                <w:szCs w:val="18"/>
                <w:lang w:val="fr-CA" w:eastAsia="en-CA"/>
              </w:rPr>
              <w:t>60</w:t>
            </w:r>
          </w:p>
        </w:tc>
        <w:tc>
          <w:tcPr>
            <w:tcW w:w="992" w:type="dxa"/>
            <w:tcBorders>
              <w:top w:val="single" w:sz="4" w:space="0" w:color="auto"/>
              <w:left w:val="nil"/>
              <w:bottom w:val="single" w:sz="4" w:space="0" w:color="auto"/>
              <w:right w:val="single" w:sz="4" w:space="0" w:color="auto"/>
            </w:tcBorders>
            <w:shd w:val="clear" w:color="auto" w:fill="auto"/>
            <w:noWrap/>
            <w:hideMark/>
          </w:tcPr>
          <w:p w14:paraId="525AD759" w14:textId="77777777" w:rsidR="00934F64" w:rsidRPr="00934F64" w:rsidRDefault="00934F64" w:rsidP="00934F64">
            <w:pPr>
              <w:jc w:val="right"/>
              <w:rPr>
                <w:sz w:val="18"/>
                <w:szCs w:val="18"/>
                <w:lang w:val="fr-CA" w:eastAsia="en-CA"/>
              </w:rPr>
            </w:pPr>
            <w:r w:rsidRPr="00934F64">
              <w:rPr>
                <w:sz w:val="18"/>
                <w:szCs w:val="18"/>
                <w:lang w:val="fr-CA" w:eastAsia="en-CA"/>
              </w:rPr>
              <w:t>33</w:t>
            </w:r>
          </w:p>
        </w:tc>
        <w:tc>
          <w:tcPr>
            <w:tcW w:w="1060" w:type="dxa"/>
            <w:tcBorders>
              <w:top w:val="single" w:sz="4" w:space="0" w:color="auto"/>
              <w:left w:val="nil"/>
              <w:bottom w:val="single" w:sz="4" w:space="0" w:color="auto"/>
              <w:right w:val="single" w:sz="4" w:space="0" w:color="auto"/>
            </w:tcBorders>
            <w:shd w:val="clear" w:color="auto" w:fill="auto"/>
            <w:noWrap/>
            <w:hideMark/>
          </w:tcPr>
          <w:p w14:paraId="02045763" w14:textId="2604DB9A" w:rsidR="00934F64" w:rsidRPr="00934F64" w:rsidRDefault="00934F64" w:rsidP="00934F64">
            <w:pPr>
              <w:jc w:val="right"/>
              <w:rPr>
                <w:sz w:val="18"/>
                <w:szCs w:val="18"/>
                <w:lang w:val="fr-CA" w:eastAsia="en-CA"/>
              </w:rPr>
            </w:pPr>
            <w:r w:rsidRPr="00934F64">
              <w:rPr>
                <w:sz w:val="18"/>
                <w:szCs w:val="18"/>
                <w:lang w:val="fr-CA" w:eastAsia="en-CA"/>
              </w:rPr>
              <w:t>47</w:t>
            </w:r>
            <w:r w:rsidR="00C65D2E">
              <w:rPr>
                <w:sz w:val="18"/>
                <w:szCs w:val="18"/>
                <w:lang w:val="fr-CA" w:eastAsia="en-CA"/>
              </w:rPr>
              <w:t>,</w:t>
            </w:r>
            <w:r w:rsidRPr="00934F64">
              <w:rPr>
                <w:sz w:val="18"/>
                <w:szCs w:val="18"/>
                <w:lang w:val="fr-CA" w:eastAsia="en-CA"/>
              </w:rPr>
              <w:t>57</w:t>
            </w:r>
          </w:p>
        </w:tc>
      </w:tr>
      <w:tr w:rsidR="00934F64" w:rsidRPr="00934F64" w14:paraId="6FE31732"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3F5C7A9A" w14:textId="4920D882" w:rsidR="00934F64" w:rsidRPr="00934F64" w:rsidRDefault="00934F64" w:rsidP="00934F64">
            <w:pPr>
              <w:jc w:val="left"/>
              <w:rPr>
                <w:sz w:val="18"/>
                <w:szCs w:val="18"/>
                <w:lang w:val="fr-CA" w:eastAsia="en-CA"/>
              </w:rPr>
            </w:pPr>
            <w:r>
              <w:rPr>
                <w:sz w:val="18"/>
                <w:szCs w:val="18"/>
                <w:lang w:val="fr-CA" w:eastAsia="en-CA"/>
              </w:rPr>
              <w:t>Mise en œuvre par le pays</w:t>
            </w:r>
          </w:p>
        </w:tc>
        <w:tc>
          <w:tcPr>
            <w:tcW w:w="856" w:type="dxa"/>
            <w:tcBorders>
              <w:top w:val="nil"/>
              <w:left w:val="nil"/>
              <w:bottom w:val="single" w:sz="4" w:space="0" w:color="auto"/>
              <w:right w:val="single" w:sz="4" w:space="0" w:color="auto"/>
            </w:tcBorders>
            <w:shd w:val="clear" w:color="auto" w:fill="auto"/>
            <w:noWrap/>
            <w:hideMark/>
          </w:tcPr>
          <w:p w14:paraId="59D83B96" w14:textId="77777777" w:rsidR="00934F64" w:rsidRPr="00934F64" w:rsidRDefault="00934F64" w:rsidP="00934F64">
            <w:pPr>
              <w:jc w:val="right"/>
              <w:rPr>
                <w:sz w:val="18"/>
                <w:szCs w:val="18"/>
                <w:lang w:val="fr-CA" w:eastAsia="en-CA"/>
              </w:rPr>
            </w:pPr>
            <w:r w:rsidRPr="00934F64">
              <w:rPr>
                <w:sz w:val="18"/>
                <w:szCs w:val="18"/>
                <w:lang w:val="fr-CA" w:eastAsia="en-CA"/>
              </w:rPr>
              <w:t>79</w:t>
            </w:r>
          </w:p>
        </w:tc>
        <w:tc>
          <w:tcPr>
            <w:tcW w:w="1129" w:type="dxa"/>
            <w:tcBorders>
              <w:top w:val="nil"/>
              <w:left w:val="nil"/>
              <w:bottom w:val="single" w:sz="4" w:space="0" w:color="auto"/>
              <w:right w:val="single" w:sz="4" w:space="0" w:color="auto"/>
            </w:tcBorders>
            <w:shd w:val="clear" w:color="auto" w:fill="auto"/>
            <w:noWrap/>
            <w:hideMark/>
          </w:tcPr>
          <w:p w14:paraId="5772DAEF" w14:textId="7FB87065" w:rsidR="00934F64" w:rsidRPr="00934F64" w:rsidRDefault="00934F64" w:rsidP="00934F64">
            <w:pPr>
              <w:jc w:val="right"/>
              <w:rPr>
                <w:sz w:val="18"/>
                <w:szCs w:val="18"/>
                <w:lang w:val="fr-CA" w:eastAsia="en-CA"/>
              </w:rPr>
            </w:pPr>
            <w:r w:rsidRPr="00934F64">
              <w:rPr>
                <w:sz w:val="18"/>
                <w:szCs w:val="18"/>
                <w:lang w:val="fr-CA" w:eastAsia="en-CA"/>
              </w:rPr>
              <w:t>133</w:t>
            </w:r>
            <w:r w:rsidR="00C65D2E">
              <w:rPr>
                <w:sz w:val="18"/>
                <w:szCs w:val="18"/>
                <w:lang w:val="fr-CA" w:eastAsia="en-CA"/>
              </w:rPr>
              <w:t xml:space="preserve"> </w:t>
            </w:r>
            <w:r w:rsidRPr="00934F64">
              <w:rPr>
                <w:sz w:val="18"/>
                <w:szCs w:val="18"/>
                <w:lang w:val="fr-CA" w:eastAsia="en-CA"/>
              </w:rPr>
              <w:t>847</w:t>
            </w:r>
            <w:r w:rsidR="00C65D2E">
              <w:rPr>
                <w:sz w:val="18"/>
                <w:szCs w:val="18"/>
                <w:lang w:val="fr-CA" w:eastAsia="en-CA"/>
              </w:rPr>
              <w:t xml:space="preserve"> </w:t>
            </w:r>
            <w:r w:rsidRPr="00934F64">
              <w:rPr>
                <w:sz w:val="18"/>
                <w:szCs w:val="18"/>
                <w:lang w:val="fr-CA" w:eastAsia="en-CA"/>
              </w:rPr>
              <w:t>163</w:t>
            </w:r>
          </w:p>
        </w:tc>
        <w:tc>
          <w:tcPr>
            <w:tcW w:w="850" w:type="dxa"/>
            <w:tcBorders>
              <w:top w:val="nil"/>
              <w:left w:val="nil"/>
              <w:bottom w:val="single" w:sz="4" w:space="0" w:color="auto"/>
              <w:right w:val="single" w:sz="4" w:space="0" w:color="auto"/>
            </w:tcBorders>
            <w:shd w:val="clear" w:color="auto" w:fill="auto"/>
            <w:noWrap/>
            <w:hideMark/>
          </w:tcPr>
          <w:p w14:paraId="6C45DCD0" w14:textId="77777777" w:rsidR="00934F64" w:rsidRPr="00934F64" w:rsidRDefault="00934F64" w:rsidP="00934F64">
            <w:pPr>
              <w:jc w:val="right"/>
              <w:rPr>
                <w:sz w:val="18"/>
                <w:szCs w:val="18"/>
                <w:lang w:val="fr-CA" w:eastAsia="en-CA"/>
              </w:rPr>
            </w:pPr>
            <w:r w:rsidRPr="00934F64">
              <w:rPr>
                <w:sz w:val="18"/>
                <w:szCs w:val="18"/>
                <w:lang w:val="fr-CA" w:eastAsia="en-CA"/>
              </w:rPr>
              <w:t>60</w:t>
            </w:r>
          </w:p>
        </w:tc>
        <w:tc>
          <w:tcPr>
            <w:tcW w:w="851" w:type="dxa"/>
            <w:tcBorders>
              <w:top w:val="nil"/>
              <w:left w:val="nil"/>
              <w:bottom w:val="single" w:sz="4" w:space="0" w:color="auto"/>
              <w:right w:val="single" w:sz="4" w:space="0" w:color="auto"/>
            </w:tcBorders>
            <w:shd w:val="clear" w:color="auto" w:fill="auto"/>
            <w:noWrap/>
            <w:hideMark/>
          </w:tcPr>
          <w:p w14:paraId="4F34F72C" w14:textId="77777777" w:rsidR="00934F64" w:rsidRPr="00934F64" w:rsidRDefault="00934F64" w:rsidP="00934F64">
            <w:pPr>
              <w:jc w:val="right"/>
              <w:rPr>
                <w:sz w:val="18"/>
                <w:szCs w:val="18"/>
                <w:lang w:val="fr-CA" w:eastAsia="en-CA"/>
              </w:rPr>
            </w:pPr>
            <w:r w:rsidRPr="00934F64">
              <w:rPr>
                <w:sz w:val="18"/>
                <w:szCs w:val="18"/>
                <w:lang w:val="fr-CA" w:eastAsia="en-CA"/>
              </w:rPr>
              <w:t>30</w:t>
            </w:r>
          </w:p>
        </w:tc>
        <w:tc>
          <w:tcPr>
            <w:tcW w:w="992" w:type="dxa"/>
            <w:tcBorders>
              <w:top w:val="nil"/>
              <w:left w:val="nil"/>
              <w:bottom w:val="single" w:sz="4" w:space="0" w:color="auto"/>
              <w:right w:val="single" w:sz="4" w:space="0" w:color="auto"/>
            </w:tcBorders>
            <w:shd w:val="clear" w:color="auto" w:fill="auto"/>
            <w:noWrap/>
            <w:hideMark/>
          </w:tcPr>
          <w:p w14:paraId="3DFB2422" w14:textId="77777777" w:rsidR="00934F64" w:rsidRPr="00934F64" w:rsidRDefault="00934F64" w:rsidP="00934F64">
            <w:pPr>
              <w:jc w:val="right"/>
              <w:rPr>
                <w:sz w:val="18"/>
                <w:szCs w:val="18"/>
                <w:lang w:val="fr-CA" w:eastAsia="en-CA"/>
              </w:rPr>
            </w:pPr>
            <w:r w:rsidRPr="00934F64">
              <w:rPr>
                <w:sz w:val="18"/>
                <w:szCs w:val="18"/>
                <w:lang w:val="fr-CA" w:eastAsia="en-CA"/>
              </w:rPr>
              <w:t>38</w:t>
            </w:r>
          </w:p>
        </w:tc>
        <w:tc>
          <w:tcPr>
            <w:tcW w:w="1134" w:type="dxa"/>
            <w:tcBorders>
              <w:top w:val="nil"/>
              <w:left w:val="nil"/>
              <w:bottom w:val="single" w:sz="4" w:space="0" w:color="auto"/>
              <w:right w:val="single" w:sz="4" w:space="0" w:color="auto"/>
            </w:tcBorders>
            <w:shd w:val="clear" w:color="auto" w:fill="auto"/>
            <w:noWrap/>
            <w:hideMark/>
          </w:tcPr>
          <w:p w14:paraId="66A5FB53" w14:textId="77777777" w:rsidR="00934F64" w:rsidRPr="00934F64" w:rsidRDefault="00934F64" w:rsidP="00934F64">
            <w:pPr>
              <w:jc w:val="right"/>
              <w:rPr>
                <w:sz w:val="18"/>
                <w:szCs w:val="18"/>
                <w:lang w:val="fr-CA" w:eastAsia="en-CA"/>
              </w:rPr>
            </w:pPr>
            <w:r w:rsidRPr="00934F64">
              <w:rPr>
                <w:sz w:val="18"/>
                <w:szCs w:val="18"/>
                <w:lang w:val="fr-CA" w:eastAsia="en-CA"/>
              </w:rPr>
              <w:t>13</w:t>
            </w:r>
          </w:p>
        </w:tc>
        <w:tc>
          <w:tcPr>
            <w:tcW w:w="992" w:type="dxa"/>
            <w:tcBorders>
              <w:top w:val="nil"/>
              <w:left w:val="nil"/>
              <w:bottom w:val="single" w:sz="4" w:space="0" w:color="auto"/>
              <w:right w:val="single" w:sz="4" w:space="0" w:color="auto"/>
            </w:tcBorders>
            <w:shd w:val="clear" w:color="auto" w:fill="auto"/>
            <w:noWrap/>
            <w:hideMark/>
          </w:tcPr>
          <w:p w14:paraId="08A78A3B" w14:textId="77777777" w:rsidR="00934F64" w:rsidRPr="00934F64" w:rsidRDefault="00934F64" w:rsidP="00934F64">
            <w:pPr>
              <w:jc w:val="right"/>
              <w:rPr>
                <w:sz w:val="18"/>
                <w:szCs w:val="18"/>
                <w:lang w:val="fr-CA" w:eastAsia="en-CA"/>
              </w:rPr>
            </w:pPr>
            <w:r w:rsidRPr="00934F64">
              <w:rPr>
                <w:sz w:val="18"/>
                <w:szCs w:val="18"/>
                <w:lang w:val="fr-CA" w:eastAsia="en-CA"/>
              </w:rPr>
              <w:t>40</w:t>
            </w:r>
          </w:p>
        </w:tc>
        <w:tc>
          <w:tcPr>
            <w:tcW w:w="992" w:type="dxa"/>
            <w:tcBorders>
              <w:top w:val="nil"/>
              <w:left w:val="nil"/>
              <w:bottom w:val="single" w:sz="4" w:space="0" w:color="auto"/>
              <w:right w:val="single" w:sz="4" w:space="0" w:color="auto"/>
            </w:tcBorders>
            <w:shd w:val="clear" w:color="auto" w:fill="auto"/>
            <w:noWrap/>
            <w:hideMark/>
          </w:tcPr>
          <w:p w14:paraId="1E6E9C34" w14:textId="77777777" w:rsidR="00934F64" w:rsidRPr="00934F64" w:rsidRDefault="00934F64" w:rsidP="00934F64">
            <w:pPr>
              <w:jc w:val="right"/>
              <w:rPr>
                <w:sz w:val="18"/>
                <w:szCs w:val="18"/>
                <w:lang w:val="fr-CA" w:eastAsia="en-CA"/>
              </w:rPr>
            </w:pPr>
            <w:r w:rsidRPr="00934F64">
              <w:rPr>
                <w:sz w:val="18"/>
                <w:szCs w:val="18"/>
                <w:lang w:val="fr-CA" w:eastAsia="en-CA"/>
              </w:rPr>
              <w:t>25</w:t>
            </w:r>
          </w:p>
        </w:tc>
        <w:tc>
          <w:tcPr>
            <w:tcW w:w="1060" w:type="dxa"/>
            <w:tcBorders>
              <w:top w:val="nil"/>
              <w:left w:val="nil"/>
              <w:bottom w:val="single" w:sz="4" w:space="0" w:color="auto"/>
              <w:right w:val="single" w:sz="4" w:space="0" w:color="auto"/>
            </w:tcBorders>
            <w:shd w:val="clear" w:color="auto" w:fill="auto"/>
            <w:noWrap/>
            <w:hideMark/>
          </w:tcPr>
          <w:p w14:paraId="146B3529" w14:textId="1C5BB0F1" w:rsidR="00934F64" w:rsidRPr="00934F64" w:rsidRDefault="00934F64" w:rsidP="00934F64">
            <w:pPr>
              <w:jc w:val="right"/>
              <w:rPr>
                <w:sz w:val="18"/>
                <w:szCs w:val="18"/>
                <w:lang w:val="fr-CA" w:eastAsia="en-CA"/>
              </w:rPr>
            </w:pPr>
            <w:r w:rsidRPr="00934F64">
              <w:rPr>
                <w:sz w:val="18"/>
                <w:szCs w:val="18"/>
                <w:lang w:val="fr-CA" w:eastAsia="en-CA"/>
              </w:rPr>
              <w:t>54</w:t>
            </w:r>
            <w:r w:rsidR="00C65D2E">
              <w:rPr>
                <w:sz w:val="18"/>
                <w:szCs w:val="18"/>
                <w:lang w:val="fr-CA" w:eastAsia="en-CA"/>
              </w:rPr>
              <w:t>,</w:t>
            </w:r>
            <w:r w:rsidRPr="00934F64">
              <w:rPr>
                <w:sz w:val="18"/>
                <w:szCs w:val="18"/>
                <w:lang w:val="fr-CA" w:eastAsia="en-CA"/>
              </w:rPr>
              <w:t>53</w:t>
            </w:r>
          </w:p>
        </w:tc>
      </w:tr>
      <w:tr w:rsidR="000460A6" w:rsidRPr="00934F64" w14:paraId="23C59CB6" w14:textId="77777777" w:rsidTr="00CC07F4">
        <w:trPr>
          <w:trHeight w:val="58"/>
        </w:trPr>
        <w:tc>
          <w:tcPr>
            <w:tcW w:w="10566" w:type="dxa"/>
            <w:gridSpan w:val="11"/>
            <w:tcBorders>
              <w:top w:val="nil"/>
              <w:left w:val="single" w:sz="4" w:space="0" w:color="auto"/>
              <w:bottom w:val="nil"/>
              <w:right w:val="single" w:sz="4" w:space="0" w:color="auto"/>
            </w:tcBorders>
            <w:shd w:val="clear" w:color="auto" w:fill="auto"/>
            <w:noWrap/>
            <w:hideMark/>
          </w:tcPr>
          <w:p w14:paraId="75FDC6EE" w14:textId="53AD605E" w:rsidR="000460A6" w:rsidRPr="00934F64" w:rsidRDefault="00934F64" w:rsidP="001E39EE">
            <w:pPr>
              <w:jc w:val="left"/>
              <w:rPr>
                <w:sz w:val="18"/>
                <w:szCs w:val="18"/>
                <w:lang w:val="fr-CA" w:eastAsia="en-CA"/>
              </w:rPr>
            </w:pPr>
            <w:r>
              <w:rPr>
                <w:b/>
                <w:bCs/>
                <w:sz w:val="18"/>
                <w:szCs w:val="18"/>
                <w:lang w:val="fr-CA" w:eastAsia="en-CA"/>
              </w:rPr>
              <w:t>Mode de décaissement</w:t>
            </w:r>
            <w:r w:rsidR="000460A6" w:rsidRPr="00934F64">
              <w:rPr>
                <w:sz w:val="18"/>
                <w:szCs w:val="18"/>
                <w:lang w:val="fr-CA" w:eastAsia="en-CA"/>
              </w:rPr>
              <w:t> </w:t>
            </w:r>
          </w:p>
        </w:tc>
      </w:tr>
      <w:tr w:rsidR="00934F64" w:rsidRPr="00934F64" w14:paraId="1BF7E210" w14:textId="77777777" w:rsidTr="00CC07F4">
        <w:trPr>
          <w:gridAfter w:val="1"/>
          <w:wAfter w:w="8" w:type="dxa"/>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14:paraId="6F19BC85" w14:textId="6B4855C8" w:rsidR="00934F64" w:rsidRPr="00934F64" w:rsidRDefault="00934F64" w:rsidP="00934F64">
            <w:pPr>
              <w:jc w:val="left"/>
              <w:rPr>
                <w:sz w:val="18"/>
                <w:szCs w:val="18"/>
                <w:lang w:val="fr-CA" w:eastAsia="en-CA"/>
              </w:rPr>
            </w:pPr>
            <w:r>
              <w:rPr>
                <w:sz w:val="18"/>
                <w:szCs w:val="18"/>
                <w:lang w:val="fr-CA" w:eastAsia="en-CA"/>
              </w:rPr>
              <w:t xml:space="preserve">Au cours de la mise en œuvre </w:t>
            </w:r>
          </w:p>
        </w:tc>
        <w:tc>
          <w:tcPr>
            <w:tcW w:w="856" w:type="dxa"/>
            <w:tcBorders>
              <w:top w:val="single" w:sz="4" w:space="0" w:color="auto"/>
              <w:left w:val="nil"/>
              <w:bottom w:val="single" w:sz="4" w:space="0" w:color="auto"/>
              <w:right w:val="single" w:sz="4" w:space="0" w:color="auto"/>
            </w:tcBorders>
            <w:shd w:val="clear" w:color="auto" w:fill="auto"/>
            <w:noWrap/>
            <w:hideMark/>
          </w:tcPr>
          <w:p w14:paraId="49622251" w14:textId="77777777" w:rsidR="00934F64" w:rsidRPr="00934F64" w:rsidRDefault="00934F64" w:rsidP="00934F64">
            <w:pPr>
              <w:jc w:val="right"/>
              <w:rPr>
                <w:sz w:val="18"/>
                <w:szCs w:val="18"/>
                <w:lang w:val="fr-CA" w:eastAsia="en-CA"/>
              </w:rPr>
            </w:pPr>
            <w:r w:rsidRPr="00934F64">
              <w:rPr>
                <w:sz w:val="18"/>
                <w:szCs w:val="18"/>
                <w:lang w:val="fr-CA" w:eastAsia="en-CA"/>
              </w:rPr>
              <w:t>248</w:t>
            </w:r>
          </w:p>
        </w:tc>
        <w:tc>
          <w:tcPr>
            <w:tcW w:w="1129" w:type="dxa"/>
            <w:tcBorders>
              <w:top w:val="single" w:sz="4" w:space="0" w:color="auto"/>
              <w:left w:val="nil"/>
              <w:bottom w:val="single" w:sz="4" w:space="0" w:color="auto"/>
              <w:right w:val="single" w:sz="4" w:space="0" w:color="auto"/>
            </w:tcBorders>
            <w:shd w:val="clear" w:color="auto" w:fill="auto"/>
            <w:noWrap/>
            <w:hideMark/>
          </w:tcPr>
          <w:p w14:paraId="54CB5BC2" w14:textId="0EB7F9AE" w:rsidR="00934F64" w:rsidRPr="00934F64" w:rsidRDefault="00934F64" w:rsidP="00934F64">
            <w:pPr>
              <w:jc w:val="right"/>
              <w:rPr>
                <w:sz w:val="18"/>
                <w:szCs w:val="18"/>
                <w:lang w:val="fr-CA" w:eastAsia="en-CA"/>
              </w:rPr>
            </w:pPr>
            <w:r w:rsidRPr="00934F64">
              <w:rPr>
                <w:sz w:val="18"/>
                <w:szCs w:val="18"/>
                <w:lang w:val="fr-CA" w:eastAsia="en-CA"/>
              </w:rPr>
              <w:t>163</w:t>
            </w:r>
            <w:r w:rsidR="00C65D2E">
              <w:rPr>
                <w:sz w:val="18"/>
                <w:szCs w:val="18"/>
                <w:lang w:val="fr-CA" w:eastAsia="en-CA"/>
              </w:rPr>
              <w:t xml:space="preserve"> </w:t>
            </w:r>
            <w:r w:rsidRPr="00934F64">
              <w:rPr>
                <w:sz w:val="18"/>
                <w:szCs w:val="18"/>
                <w:lang w:val="fr-CA" w:eastAsia="en-CA"/>
              </w:rPr>
              <w:t>326</w:t>
            </w:r>
            <w:r w:rsidR="00C65D2E">
              <w:rPr>
                <w:sz w:val="18"/>
                <w:szCs w:val="18"/>
                <w:lang w:val="fr-CA" w:eastAsia="en-CA"/>
              </w:rPr>
              <w:t xml:space="preserve"> </w:t>
            </w:r>
            <w:r w:rsidRPr="00934F64">
              <w:rPr>
                <w:sz w:val="18"/>
                <w:szCs w:val="18"/>
                <w:lang w:val="fr-CA" w:eastAsia="en-CA"/>
              </w:rPr>
              <w:t>691</w:t>
            </w:r>
          </w:p>
        </w:tc>
        <w:tc>
          <w:tcPr>
            <w:tcW w:w="850" w:type="dxa"/>
            <w:tcBorders>
              <w:top w:val="single" w:sz="4" w:space="0" w:color="auto"/>
              <w:left w:val="nil"/>
              <w:bottom w:val="single" w:sz="4" w:space="0" w:color="auto"/>
              <w:right w:val="single" w:sz="4" w:space="0" w:color="auto"/>
            </w:tcBorders>
            <w:shd w:val="clear" w:color="auto" w:fill="auto"/>
            <w:noWrap/>
            <w:hideMark/>
          </w:tcPr>
          <w:p w14:paraId="188C159E" w14:textId="77777777" w:rsidR="00934F64" w:rsidRPr="00934F64" w:rsidRDefault="00934F64" w:rsidP="00934F64">
            <w:pPr>
              <w:jc w:val="right"/>
              <w:rPr>
                <w:sz w:val="18"/>
                <w:szCs w:val="18"/>
                <w:lang w:val="fr-CA" w:eastAsia="en-CA"/>
              </w:rPr>
            </w:pPr>
            <w:r w:rsidRPr="00934F64">
              <w:rPr>
                <w:sz w:val="18"/>
                <w:szCs w:val="18"/>
                <w:lang w:val="fr-CA" w:eastAsia="en-CA"/>
              </w:rPr>
              <w:t>37</w:t>
            </w:r>
          </w:p>
        </w:tc>
        <w:tc>
          <w:tcPr>
            <w:tcW w:w="851" w:type="dxa"/>
            <w:tcBorders>
              <w:top w:val="single" w:sz="4" w:space="0" w:color="auto"/>
              <w:left w:val="nil"/>
              <w:bottom w:val="single" w:sz="4" w:space="0" w:color="auto"/>
              <w:right w:val="single" w:sz="4" w:space="0" w:color="auto"/>
            </w:tcBorders>
            <w:shd w:val="clear" w:color="auto" w:fill="auto"/>
            <w:noWrap/>
            <w:hideMark/>
          </w:tcPr>
          <w:p w14:paraId="512616B4" w14:textId="77777777" w:rsidR="00934F64" w:rsidRPr="00934F64" w:rsidRDefault="00934F64" w:rsidP="00934F64">
            <w:pPr>
              <w:jc w:val="right"/>
              <w:rPr>
                <w:sz w:val="18"/>
                <w:szCs w:val="18"/>
                <w:lang w:val="fr-CA" w:eastAsia="en-CA"/>
              </w:rPr>
            </w:pPr>
            <w:r w:rsidRPr="00934F64">
              <w:rPr>
                <w:sz w:val="18"/>
                <w:szCs w:val="18"/>
                <w:lang w:val="fr-CA" w:eastAsia="en-CA"/>
              </w:rPr>
              <w:t>142</w:t>
            </w:r>
          </w:p>
        </w:tc>
        <w:tc>
          <w:tcPr>
            <w:tcW w:w="992" w:type="dxa"/>
            <w:tcBorders>
              <w:top w:val="single" w:sz="4" w:space="0" w:color="auto"/>
              <w:left w:val="nil"/>
              <w:bottom w:val="single" w:sz="4" w:space="0" w:color="auto"/>
              <w:right w:val="single" w:sz="4" w:space="0" w:color="auto"/>
            </w:tcBorders>
            <w:shd w:val="clear" w:color="auto" w:fill="auto"/>
            <w:noWrap/>
            <w:hideMark/>
          </w:tcPr>
          <w:p w14:paraId="3D41DC18" w14:textId="77777777" w:rsidR="00934F64" w:rsidRPr="00934F64" w:rsidRDefault="00934F64" w:rsidP="00934F64">
            <w:pPr>
              <w:jc w:val="right"/>
              <w:rPr>
                <w:sz w:val="18"/>
                <w:szCs w:val="18"/>
                <w:lang w:val="fr-CA" w:eastAsia="en-CA"/>
              </w:rPr>
            </w:pPr>
            <w:r w:rsidRPr="00934F64">
              <w:rPr>
                <w:sz w:val="18"/>
                <w:szCs w:val="18"/>
                <w:lang w:val="fr-CA" w:eastAsia="en-CA"/>
              </w:rPr>
              <w:t>57</w:t>
            </w:r>
          </w:p>
        </w:tc>
        <w:tc>
          <w:tcPr>
            <w:tcW w:w="1134" w:type="dxa"/>
            <w:tcBorders>
              <w:top w:val="single" w:sz="4" w:space="0" w:color="auto"/>
              <w:left w:val="nil"/>
              <w:bottom w:val="single" w:sz="4" w:space="0" w:color="auto"/>
              <w:right w:val="single" w:sz="4" w:space="0" w:color="auto"/>
            </w:tcBorders>
            <w:shd w:val="clear" w:color="auto" w:fill="auto"/>
            <w:noWrap/>
            <w:hideMark/>
          </w:tcPr>
          <w:p w14:paraId="22A5635B" w14:textId="77777777" w:rsidR="00934F64" w:rsidRPr="00934F64" w:rsidRDefault="00934F64" w:rsidP="00934F64">
            <w:pPr>
              <w:jc w:val="right"/>
              <w:rPr>
                <w:sz w:val="18"/>
                <w:szCs w:val="18"/>
                <w:lang w:val="fr-CA" w:eastAsia="en-CA"/>
              </w:rPr>
            </w:pPr>
            <w:r w:rsidRPr="00934F64">
              <w:rPr>
                <w:sz w:val="18"/>
                <w:szCs w:val="18"/>
                <w:lang w:val="fr-CA" w:eastAsia="en-CA"/>
              </w:rPr>
              <w:t>11</w:t>
            </w:r>
          </w:p>
        </w:tc>
        <w:tc>
          <w:tcPr>
            <w:tcW w:w="992" w:type="dxa"/>
            <w:tcBorders>
              <w:top w:val="single" w:sz="4" w:space="0" w:color="auto"/>
              <w:left w:val="nil"/>
              <w:bottom w:val="single" w:sz="4" w:space="0" w:color="auto"/>
              <w:right w:val="single" w:sz="4" w:space="0" w:color="auto"/>
            </w:tcBorders>
            <w:shd w:val="clear" w:color="auto" w:fill="auto"/>
            <w:noWrap/>
            <w:hideMark/>
          </w:tcPr>
          <w:p w14:paraId="3DE15D58" w14:textId="77777777" w:rsidR="00934F64" w:rsidRPr="00934F64" w:rsidRDefault="00934F64" w:rsidP="00934F64">
            <w:pPr>
              <w:jc w:val="right"/>
              <w:rPr>
                <w:sz w:val="18"/>
                <w:szCs w:val="18"/>
                <w:lang w:val="fr-CA" w:eastAsia="en-CA"/>
              </w:rPr>
            </w:pPr>
            <w:r w:rsidRPr="00934F64">
              <w:rPr>
                <w:sz w:val="18"/>
                <w:szCs w:val="18"/>
                <w:lang w:val="fr-CA" w:eastAsia="en-CA"/>
              </w:rPr>
              <w:t>53</w:t>
            </w:r>
          </w:p>
        </w:tc>
        <w:tc>
          <w:tcPr>
            <w:tcW w:w="992" w:type="dxa"/>
            <w:tcBorders>
              <w:top w:val="single" w:sz="4" w:space="0" w:color="auto"/>
              <w:left w:val="nil"/>
              <w:bottom w:val="single" w:sz="4" w:space="0" w:color="auto"/>
              <w:right w:val="single" w:sz="4" w:space="0" w:color="auto"/>
            </w:tcBorders>
            <w:shd w:val="clear" w:color="auto" w:fill="auto"/>
            <w:noWrap/>
            <w:hideMark/>
          </w:tcPr>
          <w:p w14:paraId="09C6D728" w14:textId="77777777" w:rsidR="00934F64" w:rsidRPr="00934F64" w:rsidRDefault="00934F64" w:rsidP="00934F64">
            <w:pPr>
              <w:jc w:val="right"/>
              <w:rPr>
                <w:sz w:val="18"/>
                <w:szCs w:val="18"/>
                <w:lang w:val="fr-CA" w:eastAsia="en-CA"/>
              </w:rPr>
            </w:pPr>
            <w:r w:rsidRPr="00934F64">
              <w:rPr>
                <w:sz w:val="18"/>
                <w:szCs w:val="18"/>
                <w:lang w:val="fr-CA" w:eastAsia="en-CA"/>
              </w:rPr>
              <w:t>30</w:t>
            </w:r>
          </w:p>
        </w:tc>
        <w:tc>
          <w:tcPr>
            <w:tcW w:w="1060" w:type="dxa"/>
            <w:tcBorders>
              <w:top w:val="single" w:sz="4" w:space="0" w:color="auto"/>
              <w:left w:val="nil"/>
              <w:bottom w:val="single" w:sz="4" w:space="0" w:color="auto"/>
              <w:right w:val="single" w:sz="4" w:space="0" w:color="auto"/>
            </w:tcBorders>
            <w:shd w:val="clear" w:color="auto" w:fill="auto"/>
            <w:noWrap/>
            <w:hideMark/>
          </w:tcPr>
          <w:p w14:paraId="2C38D95F" w14:textId="01F6219D" w:rsidR="00934F64" w:rsidRPr="00934F64" w:rsidRDefault="00934F64" w:rsidP="00934F64">
            <w:pPr>
              <w:jc w:val="right"/>
              <w:rPr>
                <w:sz w:val="18"/>
                <w:szCs w:val="18"/>
                <w:lang w:val="fr-CA" w:eastAsia="en-CA"/>
              </w:rPr>
            </w:pPr>
            <w:r w:rsidRPr="00934F64">
              <w:rPr>
                <w:sz w:val="18"/>
                <w:szCs w:val="18"/>
                <w:lang w:val="fr-CA" w:eastAsia="en-CA"/>
              </w:rPr>
              <w:t>36</w:t>
            </w:r>
            <w:r w:rsidR="00C65D2E">
              <w:rPr>
                <w:sz w:val="18"/>
                <w:szCs w:val="18"/>
                <w:lang w:val="fr-CA" w:eastAsia="en-CA"/>
              </w:rPr>
              <w:t>,</w:t>
            </w:r>
            <w:r w:rsidRPr="00934F64">
              <w:rPr>
                <w:sz w:val="18"/>
                <w:szCs w:val="18"/>
                <w:lang w:val="fr-CA" w:eastAsia="en-CA"/>
              </w:rPr>
              <w:t>02</w:t>
            </w:r>
          </w:p>
        </w:tc>
      </w:tr>
      <w:tr w:rsidR="00934F64" w:rsidRPr="00934F64" w14:paraId="77538204"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0FA83D68" w14:textId="637F9435" w:rsidR="00934F64" w:rsidRPr="00934F64" w:rsidRDefault="00934F64" w:rsidP="00934F64">
            <w:pPr>
              <w:jc w:val="left"/>
              <w:rPr>
                <w:sz w:val="18"/>
                <w:szCs w:val="18"/>
                <w:lang w:val="fr-CA" w:eastAsia="en-CA"/>
              </w:rPr>
            </w:pPr>
            <w:r>
              <w:rPr>
                <w:sz w:val="18"/>
                <w:szCs w:val="18"/>
                <w:lang w:val="fr-CA" w:eastAsia="en-CA"/>
              </w:rPr>
              <w:t xml:space="preserve">Après la mise en œuvre </w:t>
            </w:r>
          </w:p>
        </w:tc>
        <w:tc>
          <w:tcPr>
            <w:tcW w:w="856" w:type="dxa"/>
            <w:tcBorders>
              <w:top w:val="nil"/>
              <w:left w:val="nil"/>
              <w:bottom w:val="single" w:sz="4" w:space="0" w:color="auto"/>
              <w:right w:val="single" w:sz="4" w:space="0" w:color="auto"/>
            </w:tcBorders>
            <w:shd w:val="clear" w:color="auto" w:fill="auto"/>
            <w:noWrap/>
            <w:hideMark/>
          </w:tcPr>
          <w:p w14:paraId="44487E19" w14:textId="77777777" w:rsidR="00934F64" w:rsidRPr="00934F64" w:rsidRDefault="00934F64" w:rsidP="00934F64">
            <w:pPr>
              <w:jc w:val="right"/>
              <w:rPr>
                <w:sz w:val="18"/>
                <w:szCs w:val="18"/>
                <w:lang w:val="fr-CA" w:eastAsia="en-CA"/>
              </w:rPr>
            </w:pPr>
            <w:r w:rsidRPr="00934F64">
              <w:rPr>
                <w:sz w:val="18"/>
                <w:szCs w:val="18"/>
                <w:lang w:val="fr-CA" w:eastAsia="en-CA"/>
              </w:rPr>
              <w:t>0</w:t>
            </w:r>
          </w:p>
        </w:tc>
        <w:tc>
          <w:tcPr>
            <w:tcW w:w="1129" w:type="dxa"/>
            <w:tcBorders>
              <w:top w:val="nil"/>
              <w:left w:val="nil"/>
              <w:bottom w:val="single" w:sz="4" w:space="0" w:color="auto"/>
              <w:right w:val="single" w:sz="4" w:space="0" w:color="auto"/>
            </w:tcBorders>
            <w:shd w:val="clear" w:color="auto" w:fill="auto"/>
            <w:noWrap/>
            <w:hideMark/>
          </w:tcPr>
          <w:p w14:paraId="2C1A4B37" w14:textId="77777777" w:rsidR="00934F64" w:rsidRPr="00934F64" w:rsidRDefault="00934F64" w:rsidP="00934F64">
            <w:pPr>
              <w:jc w:val="right"/>
              <w:rPr>
                <w:sz w:val="18"/>
                <w:szCs w:val="18"/>
                <w:lang w:val="fr-CA" w:eastAsia="en-CA"/>
              </w:rPr>
            </w:pPr>
            <w:r w:rsidRPr="00934F64">
              <w:rPr>
                <w:sz w:val="18"/>
                <w:szCs w:val="18"/>
                <w:lang w:val="fr-CA" w:eastAsia="en-CA"/>
              </w:rPr>
              <w:t>0</w:t>
            </w:r>
          </w:p>
        </w:tc>
        <w:tc>
          <w:tcPr>
            <w:tcW w:w="850" w:type="dxa"/>
            <w:tcBorders>
              <w:top w:val="nil"/>
              <w:left w:val="nil"/>
              <w:bottom w:val="single" w:sz="4" w:space="0" w:color="auto"/>
              <w:right w:val="single" w:sz="4" w:space="0" w:color="auto"/>
            </w:tcBorders>
            <w:shd w:val="clear" w:color="auto" w:fill="auto"/>
            <w:noWrap/>
            <w:hideMark/>
          </w:tcPr>
          <w:p w14:paraId="07C4576C" w14:textId="77777777" w:rsidR="00934F64" w:rsidRPr="00934F64" w:rsidRDefault="00934F64" w:rsidP="00934F64">
            <w:pPr>
              <w:jc w:val="right"/>
              <w:rPr>
                <w:sz w:val="18"/>
                <w:szCs w:val="18"/>
                <w:lang w:val="fr-CA" w:eastAsia="en-CA"/>
              </w:rPr>
            </w:pPr>
            <w:r w:rsidRPr="00934F64">
              <w:rPr>
                <w:sz w:val="18"/>
                <w:szCs w:val="18"/>
                <w:lang w:val="fr-CA" w:eastAsia="en-CA"/>
              </w:rPr>
              <w:t>0</w:t>
            </w:r>
          </w:p>
        </w:tc>
        <w:tc>
          <w:tcPr>
            <w:tcW w:w="851" w:type="dxa"/>
            <w:tcBorders>
              <w:top w:val="nil"/>
              <w:left w:val="nil"/>
              <w:bottom w:val="single" w:sz="4" w:space="0" w:color="auto"/>
              <w:right w:val="single" w:sz="4" w:space="0" w:color="auto"/>
            </w:tcBorders>
            <w:shd w:val="clear" w:color="auto" w:fill="auto"/>
            <w:noWrap/>
            <w:hideMark/>
          </w:tcPr>
          <w:p w14:paraId="125A86EE" w14:textId="77777777" w:rsidR="00934F64" w:rsidRPr="00934F64" w:rsidRDefault="00934F64" w:rsidP="00934F64">
            <w:pPr>
              <w:jc w:val="right"/>
              <w:rPr>
                <w:sz w:val="18"/>
                <w:szCs w:val="18"/>
                <w:lang w:val="fr-CA" w:eastAsia="en-CA"/>
              </w:rPr>
            </w:pPr>
            <w:r w:rsidRPr="00934F64">
              <w:rPr>
                <w:sz w:val="18"/>
                <w:szCs w:val="18"/>
                <w:lang w:val="fr-CA" w:eastAsia="en-CA"/>
              </w:rPr>
              <w:t>0</w:t>
            </w:r>
          </w:p>
        </w:tc>
        <w:tc>
          <w:tcPr>
            <w:tcW w:w="992" w:type="dxa"/>
            <w:tcBorders>
              <w:top w:val="nil"/>
              <w:left w:val="nil"/>
              <w:bottom w:val="single" w:sz="4" w:space="0" w:color="auto"/>
              <w:right w:val="single" w:sz="4" w:space="0" w:color="auto"/>
            </w:tcBorders>
            <w:shd w:val="clear" w:color="auto" w:fill="auto"/>
            <w:noWrap/>
            <w:hideMark/>
          </w:tcPr>
          <w:p w14:paraId="35F710E2" w14:textId="77777777" w:rsidR="00934F64" w:rsidRPr="00934F64" w:rsidRDefault="00934F64" w:rsidP="00934F64">
            <w:pPr>
              <w:jc w:val="right"/>
              <w:rPr>
                <w:sz w:val="18"/>
                <w:szCs w:val="18"/>
                <w:lang w:val="fr-CA" w:eastAsia="en-CA"/>
              </w:rPr>
            </w:pPr>
            <w:r w:rsidRPr="00934F64">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624F7F52" w14:textId="3513E588" w:rsidR="00934F64" w:rsidRPr="00934F64" w:rsidRDefault="00C65D2E" w:rsidP="00934F64">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992" w:type="dxa"/>
            <w:tcBorders>
              <w:top w:val="nil"/>
              <w:left w:val="nil"/>
              <w:bottom w:val="single" w:sz="4" w:space="0" w:color="auto"/>
              <w:right w:val="single" w:sz="4" w:space="0" w:color="auto"/>
            </w:tcBorders>
            <w:shd w:val="clear" w:color="auto" w:fill="auto"/>
            <w:noWrap/>
            <w:hideMark/>
          </w:tcPr>
          <w:p w14:paraId="1ED46919" w14:textId="1DEDAF4D" w:rsidR="00934F64" w:rsidRPr="00934F64" w:rsidRDefault="00C65D2E" w:rsidP="00934F64">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992" w:type="dxa"/>
            <w:tcBorders>
              <w:top w:val="nil"/>
              <w:left w:val="nil"/>
              <w:bottom w:val="single" w:sz="4" w:space="0" w:color="auto"/>
              <w:right w:val="single" w:sz="4" w:space="0" w:color="auto"/>
            </w:tcBorders>
            <w:shd w:val="clear" w:color="auto" w:fill="auto"/>
            <w:noWrap/>
            <w:hideMark/>
          </w:tcPr>
          <w:p w14:paraId="55D0A4AB" w14:textId="189788C3" w:rsidR="00934F64" w:rsidRPr="00934F64" w:rsidRDefault="00C65D2E" w:rsidP="00934F64">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060" w:type="dxa"/>
            <w:tcBorders>
              <w:top w:val="nil"/>
              <w:left w:val="nil"/>
              <w:bottom w:val="single" w:sz="4" w:space="0" w:color="auto"/>
              <w:right w:val="single" w:sz="4" w:space="0" w:color="auto"/>
            </w:tcBorders>
            <w:shd w:val="clear" w:color="auto" w:fill="auto"/>
            <w:noWrap/>
            <w:hideMark/>
          </w:tcPr>
          <w:p w14:paraId="404A23FD" w14:textId="5798464A" w:rsidR="00934F64" w:rsidRPr="00934F64" w:rsidRDefault="00C65D2E" w:rsidP="00934F64">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934F64" w:rsidRPr="00934F64" w14:paraId="664BAD6D"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59AFBCE0" w14:textId="46E112D8" w:rsidR="00934F64" w:rsidRPr="00934F64" w:rsidRDefault="00934F64" w:rsidP="00934F64">
            <w:pPr>
              <w:jc w:val="left"/>
              <w:rPr>
                <w:sz w:val="18"/>
                <w:szCs w:val="18"/>
                <w:lang w:val="fr-CA" w:eastAsia="en-CA"/>
              </w:rPr>
            </w:pPr>
            <w:r>
              <w:rPr>
                <w:sz w:val="18"/>
                <w:szCs w:val="18"/>
                <w:lang w:val="fr-CA" w:eastAsia="en-CA"/>
              </w:rPr>
              <w:t>Financement rétroactif</w:t>
            </w:r>
          </w:p>
        </w:tc>
        <w:tc>
          <w:tcPr>
            <w:tcW w:w="856" w:type="dxa"/>
            <w:tcBorders>
              <w:top w:val="nil"/>
              <w:left w:val="nil"/>
              <w:bottom w:val="single" w:sz="4" w:space="0" w:color="auto"/>
              <w:right w:val="single" w:sz="4" w:space="0" w:color="auto"/>
            </w:tcBorders>
            <w:shd w:val="clear" w:color="auto" w:fill="auto"/>
            <w:noWrap/>
            <w:hideMark/>
          </w:tcPr>
          <w:p w14:paraId="45EDCD18" w14:textId="77777777" w:rsidR="00934F64" w:rsidRPr="00934F64" w:rsidRDefault="00934F64" w:rsidP="00934F64">
            <w:pPr>
              <w:jc w:val="right"/>
              <w:rPr>
                <w:sz w:val="18"/>
                <w:szCs w:val="18"/>
                <w:lang w:val="fr-CA" w:eastAsia="en-CA"/>
              </w:rPr>
            </w:pPr>
            <w:r w:rsidRPr="00934F64">
              <w:rPr>
                <w:sz w:val="18"/>
                <w:szCs w:val="18"/>
                <w:lang w:val="fr-CA" w:eastAsia="en-CA"/>
              </w:rPr>
              <w:t>0</w:t>
            </w:r>
          </w:p>
        </w:tc>
        <w:tc>
          <w:tcPr>
            <w:tcW w:w="1129" w:type="dxa"/>
            <w:tcBorders>
              <w:top w:val="nil"/>
              <w:left w:val="nil"/>
              <w:bottom w:val="single" w:sz="4" w:space="0" w:color="auto"/>
              <w:right w:val="single" w:sz="4" w:space="0" w:color="auto"/>
            </w:tcBorders>
            <w:shd w:val="clear" w:color="auto" w:fill="auto"/>
            <w:noWrap/>
            <w:hideMark/>
          </w:tcPr>
          <w:p w14:paraId="4EE1E4E3" w14:textId="77777777" w:rsidR="00934F64" w:rsidRPr="00934F64" w:rsidRDefault="00934F64" w:rsidP="00934F64">
            <w:pPr>
              <w:jc w:val="right"/>
              <w:rPr>
                <w:sz w:val="18"/>
                <w:szCs w:val="18"/>
                <w:lang w:val="fr-CA" w:eastAsia="en-CA"/>
              </w:rPr>
            </w:pPr>
            <w:r w:rsidRPr="00934F64">
              <w:rPr>
                <w:sz w:val="18"/>
                <w:szCs w:val="18"/>
                <w:lang w:val="fr-CA" w:eastAsia="en-CA"/>
              </w:rPr>
              <w:t>0</w:t>
            </w:r>
          </w:p>
        </w:tc>
        <w:tc>
          <w:tcPr>
            <w:tcW w:w="850" w:type="dxa"/>
            <w:tcBorders>
              <w:top w:val="nil"/>
              <w:left w:val="nil"/>
              <w:bottom w:val="single" w:sz="4" w:space="0" w:color="auto"/>
              <w:right w:val="single" w:sz="4" w:space="0" w:color="auto"/>
            </w:tcBorders>
            <w:shd w:val="clear" w:color="auto" w:fill="auto"/>
            <w:noWrap/>
            <w:hideMark/>
          </w:tcPr>
          <w:p w14:paraId="4B16CA21" w14:textId="77777777" w:rsidR="00934F64" w:rsidRPr="00934F64" w:rsidRDefault="00934F64" w:rsidP="00934F64">
            <w:pPr>
              <w:jc w:val="right"/>
              <w:rPr>
                <w:sz w:val="18"/>
                <w:szCs w:val="18"/>
                <w:lang w:val="fr-CA" w:eastAsia="en-CA"/>
              </w:rPr>
            </w:pPr>
            <w:r w:rsidRPr="00934F64">
              <w:rPr>
                <w:sz w:val="18"/>
                <w:szCs w:val="18"/>
                <w:lang w:val="fr-CA" w:eastAsia="en-CA"/>
              </w:rPr>
              <w:t>0</w:t>
            </w:r>
          </w:p>
        </w:tc>
        <w:tc>
          <w:tcPr>
            <w:tcW w:w="851" w:type="dxa"/>
            <w:tcBorders>
              <w:top w:val="nil"/>
              <w:left w:val="nil"/>
              <w:bottom w:val="single" w:sz="4" w:space="0" w:color="auto"/>
              <w:right w:val="single" w:sz="4" w:space="0" w:color="auto"/>
            </w:tcBorders>
            <w:shd w:val="clear" w:color="auto" w:fill="auto"/>
            <w:noWrap/>
            <w:hideMark/>
          </w:tcPr>
          <w:p w14:paraId="445542E2" w14:textId="77777777" w:rsidR="00934F64" w:rsidRPr="00934F64" w:rsidRDefault="00934F64" w:rsidP="00934F64">
            <w:pPr>
              <w:jc w:val="right"/>
              <w:rPr>
                <w:sz w:val="18"/>
                <w:szCs w:val="18"/>
                <w:lang w:val="fr-CA" w:eastAsia="en-CA"/>
              </w:rPr>
            </w:pPr>
            <w:r w:rsidRPr="00934F64">
              <w:rPr>
                <w:sz w:val="18"/>
                <w:szCs w:val="18"/>
                <w:lang w:val="fr-CA" w:eastAsia="en-CA"/>
              </w:rPr>
              <w:t>0</w:t>
            </w:r>
          </w:p>
        </w:tc>
        <w:tc>
          <w:tcPr>
            <w:tcW w:w="992" w:type="dxa"/>
            <w:tcBorders>
              <w:top w:val="nil"/>
              <w:left w:val="nil"/>
              <w:bottom w:val="single" w:sz="4" w:space="0" w:color="auto"/>
              <w:right w:val="single" w:sz="4" w:space="0" w:color="auto"/>
            </w:tcBorders>
            <w:shd w:val="clear" w:color="auto" w:fill="auto"/>
            <w:noWrap/>
            <w:hideMark/>
          </w:tcPr>
          <w:p w14:paraId="15F3AB5A" w14:textId="77777777" w:rsidR="00934F64" w:rsidRPr="00934F64" w:rsidRDefault="00934F64" w:rsidP="00934F64">
            <w:pPr>
              <w:jc w:val="right"/>
              <w:rPr>
                <w:sz w:val="18"/>
                <w:szCs w:val="18"/>
                <w:lang w:val="fr-CA" w:eastAsia="en-CA"/>
              </w:rPr>
            </w:pPr>
            <w:r w:rsidRPr="00934F64">
              <w:rPr>
                <w:sz w:val="18"/>
                <w:szCs w:val="18"/>
                <w:lang w:val="fr-CA" w:eastAsia="en-CA"/>
              </w:rPr>
              <w:t>0</w:t>
            </w:r>
          </w:p>
        </w:tc>
        <w:tc>
          <w:tcPr>
            <w:tcW w:w="1134" w:type="dxa"/>
            <w:tcBorders>
              <w:top w:val="nil"/>
              <w:left w:val="nil"/>
              <w:bottom w:val="single" w:sz="4" w:space="0" w:color="auto"/>
              <w:right w:val="single" w:sz="4" w:space="0" w:color="auto"/>
            </w:tcBorders>
            <w:shd w:val="clear" w:color="auto" w:fill="auto"/>
            <w:noWrap/>
            <w:hideMark/>
          </w:tcPr>
          <w:p w14:paraId="4001479B" w14:textId="6C67347F" w:rsidR="00934F64" w:rsidRPr="00934F64" w:rsidRDefault="00C65D2E" w:rsidP="00934F64">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992" w:type="dxa"/>
            <w:tcBorders>
              <w:top w:val="nil"/>
              <w:left w:val="nil"/>
              <w:bottom w:val="single" w:sz="4" w:space="0" w:color="auto"/>
              <w:right w:val="single" w:sz="4" w:space="0" w:color="auto"/>
            </w:tcBorders>
            <w:shd w:val="clear" w:color="auto" w:fill="auto"/>
            <w:noWrap/>
            <w:hideMark/>
          </w:tcPr>
          <w:p w14:paraId="0C24C9B9" w14:textId="5152D79C" w:rsidR="00934F64" w:rsidRPr="00934F64" w:rsidRDefault="00C65D2E" w:rsidP="00934F64">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992" w:type="dxa"/>
            <w:tcBorders>
              <w:top w:val="nil"/>
              <w:left w:val="nil"/>
              <w:bottom w:val="single" w:sz="4" w:space="0" w:color="auto"/>
              <w:right w:val="single" w:sz="4" w:space="0" w:color="auto"/>
            </w:tcBorders>
            <w:shd w:val="clear" w:color="auto" w:fill="auto"/>
            <w:noWrap/>
            <w:hideMark/>
          </w:tcPr>
          <w:p w14:paraId="7A5B6B76" w14:textId="45E19AC9" w:rsidR="00934F64" w:rsidRPr="00934F64" w:rsidRDefault="00C65D2E" w:rsidP="00934F64">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060" w:type="dxa"/>
            <w:tcBorders>
              <w:top w:val="nil"/>
              <w:left w:val="nil"/>
              <w:bottom w:val="single" w:sz="4" w:space="0" w:color="auto"/>
              <w:right w:val="single" w:sz="4" w:space="0" w:color="auto"/>
            </w:tcBorders>
            <w:shd w:val="clear" w:color="auto" w:fill="auto"/>
            <w:noWrap/>
            <w:hideMark/>
          </w:tcPr>
          <w:p w14:paraId="203682FB" w14:textId="2C70D6FA" w:rsidR="00934F64" w:rsidRPr="00934F64" w:rsidRDefault="00C65D2E" w:rsidP="00934F64">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934F64" w:rsidRPr="00934F64" w14:paraId="3ADDCFEB" w14:textId="77777777" w:rsidTr="00CC07F4">
        <w:trPr>
          <w:gridAfter w:val="1"/>
          <w:wAfter w:w="8" w:type="dxa"/>
          <w:trHeight w:val="204"/>
        </w:trPr>
        <w:tc>
          <w:tcPr>
            <w:tcW w:w="1702" w:type="dxa"/>
            <w:tcBorders>
              <w:top w:val="nil"/>
              <w:left w:val="single" w:sz="4" w:space="0" w:color="auto"/>
              <w:bottom w:val="single" w:sz="4" w:space="0" w:color="auto"/>
              <w:right w:val="single" w:sz="4" w:space="0" w:color="auto"/>
            </w:tcBorders>
            <w:shd w:val="clear" w:color="auto" w:fill="auto"/>
            <w:noWrap/>
            <w:hideMark/>
          </w:tcPr>
          <w:p w14:paraId="00490B10" w14:textId="6DCED9C7" w:rsidR="00934F64" w:rsidRPr="00934F64" w:rsidRDefault="00934F64" w:rsidP="00934F64">
            <w:pPr>
              <w:jc w:val="left"/>
              <w:rPr>
                <w:sz w:val="18"/>
                <w:szCs w:val="18"/>
                <w:lang w:val="fr-CA" w:eastAsia="en-CA"/>
              </w:rPr>
            </w:pPr>
            <w:r>
              <w:rPr>
                <w:sz w:val="18"/>
                <w:szCs w:val="18"/>
                <w:lang w:val="fr-CA" w:eastAsia="en-CA"/>
              </w:rPr>
              <w:t>Du pays aux bénéficiaires finaux</w:t>
            </w:r>
          </w:p>
        </w:tc>
        <w:tc>
          <w:tcPr>
            <w:tcW w:w="856" w:type="dxa"/>
            <w:tcBorders>
              <w:top w:val="nil"/>
              <w:left w:val="nil"/>
              <w:bottom w:val="single" w:sz="4" w:space="0" w:color="auto"/>
              <w:right w:val="single" w:sz="4" w:space="0" w:color="auto"/>
            </w:tcBorders>
            <w:shd w:val="clear" w:color="auto" w:fill="auto"/>
            <w:noWrap/>
            <w:hideMark/>
          </w:tcPr>
          <w:p w14:paraId="0D3A1DD6" w14:textId="77777777" w:rsidR="00934F64" w:rsidRPr="00934F64" w:rsidRDefault="00934F64" w:rsidP="00934F64">
            <w:pPr>
              <w:jc w:val="right"/>
              <w:rPr>
                <w:sz w:val="18"/>
                <w:szCs w:val="18"/>
                <w:lang w:val="fr-CA" w:eastAsia="en-CA"/>
              </w:rPr>
            </w:pPr>
            <w:r w:rsidRPr="00934F64">
              <w:rPr>
                <w:sz w:val="18"/>
                <w:szCs w:val="18"/>
                <w:lang w:val="fr-CA" w:eastAsia="en-CA"/>
              </w:rPr>
              <w:t>14</w:t>
            </w:r>
          </w:p>
        </w:tc>
        <w:tc>
          <w:tcPr>
            <w:tcW w:w="1129" w:type="dxa"/>
            <w:tcBorders>
              <w:top w:val="nil"/>
              <w:left w:val="nil"/>
              <w:bottom w:val="single" w:sz="4" w:space="0" w:color="auto"/>
              <w:right w:val="single" w:sz="4" w:space="0" w:color="auto"/>
            </w:tcBorders>
            <w:shd w:val="clear" w:color="auto" w:fill="auto"/>
            <w:noWrap/>
            <w:hideMark/>
          </w:tcPr>
          <w:p w14:paraId="099756FD" w14:textId="0A33B09F" w:rsidR="00934F64" w:rsidRPr="00934F64" w:rsidRDefault="00934F64" w:rsidP="00934F64">
            <w:pPr>
              <w:jc w:val="right"/>
              <w:rPr>
                <w:sz w:val="18"/>
                <w:szCs w:val="18"/>
                <w:lang w:val="fr-CA" w:eastAsia="en-CA"/>
              </w:rPr>
            </w:pPr>
            <w:r w:rsidRPr="00934F64">
              <w:rPr>
                <w:sz w:val="18"/>
                <w:szCs w:val="18"/>
                <w:lang w:val="fr-CA" w:eastAsia="en-CA"/>
              </w:rPr>
              <w:t>187</w:t>
            </w:r>
            <w:r w:rsidR="00C65D2E">
              <w:rPr>
                <w:sz w:val="18"/>
                <w:szCs w:val="18"/>
                <w:lang w:val="fr-CA" w:eastAsia="en-CA"/>
              </w:rPr>
              <w:t xml:space="preserve"> </w:t>
            </w:r>
            <w:r w:rsidRPr="00934F64">
              <w:rPr>
                <w:sz w:val="18"/>
                <w:szCs w:val="18"/>
                <w:lang w:val="fr-CA" w:eastAsia="en-CA"/>
              </w:rPr>
              <w:t>399</w:t>
            </w:r>
            <w:r w:rsidR="00C65D2E">
              <w:rPr>
                <w:sz w:val="18"/>
                <w:szCs w:val="18"/>
                <w:lang w:val="fr-CA" w:eastAsia="en-CA"/>
              </w:rPr>
              <w:t xml:space="preserve"> </w:t>
            </w:r>
            <w:r w:rsidRPr="00934F64">
              <w:rPr>
                <w:sz w:val="18"/>
                <w:szCs w:val="18"/>
                <w:lang w:val="fr-CA" w:eastAsia="en-CA"/>
              </w:rPr>
              <w:t>370</w:t>
            </w:r>
          </w:p>
        </w:tc>
        <w:tc>
          <w:tcPr>
            <w:tcW w:w="850" w:type="dxa"/>
            <w:tcBorders>
              <w:top w:val="nil"/>
              <w:left w:val="nil"/>
              <w:bottom w:val="single" w:sz="4" w:space="0" w:color="auto"/>
              <w:right w:val="single" w:sz="4" w:space="0" w:color="auto"/>
            </w:tcBorders>
            <w:shd w:val="clear" w:color="auto" w:fill="auto"/>
            <w:noWrap/>
            <w:hideMark/>
          </w:tcPr>
          <w:p w14:paraId="0DF0EB44" w14:textId="77777777" w:rsidR="00934F64" w:rsidRPr="00934F64" w:rsidRDefault="00934F64" w:rsidP="00934F64">
            <w:pPr>
              <w:jc w:val="right"/>
              <w:rPr>
                <w:sz w:val="18"/>
                <w:szCs w:val="18"/>
                <w:lang w:val="fr-CA" w:eastAsia="en-CA"/>
              </w:rPr>
            </w:pPr>
            <w:r w:rsidRPr="00934F64">
              <w:rPr>
                <w:sz w:val="18"/>
                <w:szCs w:val="18"/>
                <w:lang w:val="fr-CA" w:eastAsia="en-CA"/>
              </w:rPr>
              <w:t>77</w:t>
            </w:r>
          </w:p>
        </w:tc>
        <w:tc>
          <w:tcPr>
            <w:tcW w:w="851" w:type="dxa"/>
            <w:tcBorders>
              <w:top w:val="nil"/>
              <w:left w:val="nil"/>
              <w:bottom w:val="single" w:sz="4" w:space="0" w:color="auto"/>
              <w:right w:val="single" w:sz="4" w:space="0" w:color="auto"/>
            </w:tcBorders>
            <w:shd w:val="clear" w:color="auto" w:fill="auto"/>
            <w:noWrap/>
            <w:hideMark/>
          </w:tcPr>
          <w:p w14:paraId="6E7E3F3C" w14:textId="77777777" w:rsidR="00934F64" w:rsidRPr="00934F64" w:rsidRDefault="00934F64" w:rsidP="00934F64">
            <w:pPr>
              <w:jc w:val="right"/>
              <w:rPr>
                <w:sz w:val="18"/>
                <w:szCs w:val="18"/>
                <w:lang w:val="fr-CA" w:eastAsia="en-CA"/>
              </w:rPr>
            </w:pPr>
            <w:r w:rsidRPr="00934F64">
              <w:rPr>
                <w:sz w:val="18"/>
                <w:szCs w:val="18"/>
                <w:lang w:val="fr-CA" w:eastAsia="en-CA"/>
              </w:rPr>
              <w:t>14</w:t>
            </w:r>
          </w:p>
        </w:tc>
        <w:tc>
          <w:tcPr>
            <w:tcW w:w="992" w:type="dxa"/>
            <w:tcBorders>
              <w:top w:val="nil"/>
              <w:left w:val="nil"/>
              <w:bottom w:val="single" w:sz="4" w:space="0" w:color="auto"/>
              <w:right w:val="single" w:sz="4" w:space="0" w:color="auto"/>
            </w:tcBorders>
            <w:shd w:val="clear" w:color="auto" w:fill="auto"/>
            <w:noWrap/>
            <w:hideMark/>
          </w:tcPr>
          <w:p w14:paraId="7C4CC832" w14:textId="77777777" w:rsidR="00934F64" w:rsidRPr="00934F64" w:rsidRDefault="00934F64" w:rsidP="00934F64">
            <w:pPr>
              <w:jc w:val="right"/>
              <w:rPr>
                <w:sz w:val="18"/>
                <w:szCs w:val="18"/>
                <w:lang w:val="fr-CA" w:eastAsia="en-CA"/>
              </w:rPr>
            </w:pPr>
            <w:r w:rsidRPr="00934F64">
              <w:rPr>
                <w:sz w:val="18"/>
                <w:szCs w:val="18"/>
                <w:lang w:val="fr-CA" w:eastAsia="en-CA"/>
              </w:rPr>
              <w:t>100</w:t>
            </w:r>
          </w:p>
        </w:tc>
        <w:tc>
          <w:tcPr>
            <w:tcW w:w="1134" w:type="dxa"/>
            <w:tcBorders>
              <w:top w:val="nil"/>
              <w:left w:val="nil"/>
              <w:bottom w:val="single" w:sz="4" w:space="0" w:color="auto"/>
              <w:right w:val="single" w:sz="4" w:space="0" w:color="auto"/>
            </w:tcBorders>
            <w:shd w:val="clear" w:color="auto" w:fill="auto"/>
            <w:noWrap/>
            <w:hideMark/>
          </w:tcPr>
          <w:p w14:paraId="28A9197B" w14:textId="77777777" w:rsidR="00934F64" w:rsidRPr="00934F64" w:rsidRDefault="00934F64" w:rsidP="00934F64">
            <w:pPr>
              <w:jc w:val="right"/>
              <w:rPr>
                <w:sz w:val="18"/>
                <w:szCs w:val="18"/>
                <w:lang w:val="fr-CA" w:eastAsia="en-CA"/>
              </w:rPr>
            </w:pPr>
            <w:r w:rsidRPr="00934F64">
              <w:rPr>
                <w:sz w:val="18"/>
                <w:szCs w:val="18"/>
                <w:lang w:val="fr-CA" w:eastAsia="en-CA"/>
              </w:rPr>
              <w:t>10</w:t>
            </w:r>
          </w:p>
        </w:tc>
        <w:tc>
          <w:tcPr>
            <w:tcW w:w="992" w:type="dxa"/>
            <w:tcBorders>
              <w:top w:val="nil"/>
              <w:left w:val="nil"/>
              <w:bottom w:val="single" w:sz="4" w:space="0" w:color="auto"/>
              <w:right w:val="single" w:sz="4" w:space="0" w:color="auto"/>
            </w:tcBorders>
            <w:shd w:val="clear" w:color="auto" w:fill="auto"/>
            <w:noWrap/>
            <w:hideMark/>
          </w:tcPr>
          <w:p w14:paraId="7A434C23" w14:textId="77777777" w:rsidR="00934F64" w:rsidRPr="00934F64" w:rsidRDefault="00934F64" w:rsidP="00934F64">
            <w:pPr>
              <w:jc w:val="right"/>
              <w:rPr>
                <w:sz w:val="18"/>
                <w:szCs w:val="18"/>
                <w:lang w:val="fr-CA" w:eastAsia="en-CA"/>
              </w:rPr>
            </w:pPr>
            <w:r w:rsidRPr="00934F64">
              <w:rPr>
                <w:sz w:val="18"/>
                <w:szCs w:val="18"/>
                <w:lang w:val="fr-CA" w:eastAsia="en-CA"/>
              </w:rPr>
              <w:t>80</w:t>
            </w:r>
          </w:p>
        </w:tc>
        <w:tc>
          <w:tcPr>
            <w:tcW w:w="992" w:type="dxa"/>
            <w:tcBorders>
              <w:top w:val="nil"/>
              <w:left w:val="nil"/>
              <w:bottom w:val="single" w:sz="4" w:space="0" w:color="auto"/>
              <w:right w:val="single" w:sz="4" w:space="0" w:color="auto"/>
            </w:tcBorders>
            <w:shd w:val="clear" w:color="auto" w:fill="auto"/>
            <w:noWrap/>
            <w:hideMark/>
          </w:tcPr>
          <w:p w14:paraId="02CCCD5C" w14:textId="77777777" w:rsidR="00934F64" w:rsidRPr="00934F64" w:rsidRDefault="00934F64" w:rsidP="00934F64">
            <w:pPr>
              <w:jc w:val="right"/>
              <w:rPr>
                <w:sz w:val="18"/>
                <w:szCs w:val="18"/>
                <w:lang w:val="fr-CA" w:eastAsia="en-CA"/>
              </w:rPr>
            </w:pPr>
            <w:r w:rsidRPr="00934F64">
              <w:rPr>
                <w:sz w:val="18"/>
                <w:szCs w:val="18"/>
                <w:lang w:val="fr-CA" w:eastAsia="en-CA"/>
              </w:rPr>
              <w:t>53</w:t>
            </w:r>
          </w:p>
        </w:tc>
        <w:tc>
          <w:tcPr>
            <w:tcW w:w="1060" w:type="dxa"/>
            <w:tcBorders>
              <w:top w:val="nil"/>
              <w:left w:val="nil"/>
              <w:bottom w:val="single" w:sz="4" w:space="0" w:color="auto"/>
              <w:right w:val="single" w:sz="4" w:space="0" w:color="auto"/>
            </w:tcBorders>
            <w:shd w:val="clear" w:color="auto" w:fill="auto"/>
            <w:noWrap/>
            <w:hideMark/>
          </w:tcPr>
          <w:p w14:paraId="05EEF29B" w14:textId="35E480E3" w:rsidR="00934F64" w:rsidRPr="00934F64" w:rsidRDefault="00934F64" w:rsidP="00934F64">
            <w:pPr>
              <w:jc w:val="right"/>
              <w:rPr>
                <w:sz w:val="18"/>
                <w:szCs w:val="18"/>
                <w:lang w:val="fr-CA" w:eastAsia="en-CA"/>
              </w:rPr>
            </w:pPr>
            <w:r w:rsidRPr="00934F64">
              <w:rPr>
                <w:sz w:val="18"/>
                <w:szCs w:val="18"/>
                <w:lang w:val="fr-CA" w:eastAsia="en-CA"/>
              </w:rPr>
              <w:t>75</w:t>
            </w:r>
            <w:r w:rsidR="00C65D2E">
              <w:rPr>
                <w:sz w:val="18"/>
                <w:szCs w:val="18"/>
                <w:lang w:val="fr-CA" w:eastAsia="en-CA"/>
              </w:rPr>
              <w:t>,</w:t>
            </w:r>
            <w:r w:rsidRPr="00934F64">
              <w:rPr>
                <w:sz w:val="18"/>
                <w:szCs w:val="18"/>
                <w:lang w:val="fr-CA" w:eastAsia="en-CA"/>
              </w:rPr>
              <w:t>60</w:t>
            </w:r>
          </w:p>
        </w:tc>
      </w:tr>
    </w:tbl>
    <w:p w14:paraId="6A7E5043" w14:textId="509AC5C3" w:rsidR="00D631A9" w:rsidRPr="00C65D2E" w:rsidRDefault="00D631A9" w:rsidP="001E39EE">
      <w:pPr>
        <w:pStyle w:val="Header"/>
        <w:rPr>
          <w:sz w:val="18"/>
          <w:szCs w:val="18"/>
          <w:lang w:val="fr-CA"/>
        </w:rPr>
      </w:pPr>
      <w:r w:rsidRPr="00C65D2E">
        <w:rPr>
          <w:sz w:val="18"/>
          <w:szCs w:val="18"/>
          <w:lang w:val="fr-CA"/>
        </w:rPr>
        <w:t>*</w:t>
      </w:r>
      <w:r w:rsidR="00C65D2E" w:rsidRPr="000377E6">
        <w:rPr>
          <w:sz w:val="18"/>
          <w:szCs w:val="18"/>
          <w:lang w:val="fr-CA"/>
        </w:rPr>
        <w:t>À partir des SAO à éliminer selon la proposition</w:t>
      </w:r>
      <w:r w:rsidRPr="00C65D2E">
        <w:rPr>
          <w:sz w:val="18"/>
          <w:szCs w:val="18"/>
          <w:lang w:val="fr-CA"/>
        </w:rPr>
        <w:t>.</w:t>
      </w:r>
    </w:p>
    <w:p w14:paraId="0ADA0C76" w14:textId="77777777" w:rsidR="00D631A9" w:rsidRPr="00C65D2E" w:rsidRDefault="00D631A9" w:rsidP="001E39EE">
      <w:pPr>
        <w:pStyle w:val="Header"/>
        <w:rPr>
          <w:lang w:val="fr-CA"/>
        </w:rPr>
      </w:pPr>
    </w:p>
    <w:p w14:paraId="6A1CB07B" w14:textId="1A794F7E" w:rsidR="00D631A9" w:rsidRPr="00934F64" w:rsidRDefault="00C65D2E" w:rsidP="001E39EE">
      <w:pPr>
        <w:pStyle w:val="Heading1"/>
        <w:rPr>
          <w:lang w:val="fr-CA"/>
        </w:rPr>
      </w:pPr>
      <w:r>
        <w:rPr>
          <w:lang w:val="fr-CA"/>
        </w:rPr>
        <w:t>Deux cent soixante-deux projets d’investissement sont en cours de mise en œuvre pour une valeur totale de plus de 350,72 millions $US. Environ 59 p. cent des sommes ont déjà été décaissées. Le rapport coût-efficacité moyen des projets d’investissement en cours est de 50,01 $US/kg PAO à éliminer. Le délai moyen entre l’approbation et le premier décaissement est de 11 mois</w:t>
      </w:r>
      <w:r w:rsidRPr="00BF6C78">
        <w:rPr>
          <w:lang w:val="fr-CA"/>
        </w:rPr>
        <w:t>.</w:t>
      </w:r>
      <w:r>
        <w:rPr>
          <w:lang w:val="fr-CA"/>
        </w:rPr>
        <w:t xml:space="preserve"> La durée moyenne d’un projet d’investissement en cours est de 54 mois. De façon générale, les projets d’investissement sont menés à terme 32 mois plus tard que prévu, ce qui constitue un retard moyen</w:t>
      </w:r>
      <w:r w:rsidR="00D631A9" w:rsidRPr="00934F64">
        <w:rPr>
          <w:lang w:val="fr-CA"/>
        </w:rPr>
        <w:t>.</w:t>
      </w:r>
    </w:p>
    <w:p w14:paraId="0FD0A31B" w14:textId="77777777" w:rsidR="000F7F52" w:rsidRDefault="000F7F52">
      <w:pPr>
        <w:jc w:val="left"/>
        <w:rPr>
          <w:b/>
          <w:spacing w:val="-3"/>
          <w:lang w:val="fr-CA"/>
        </w:rPr>
      </w:pPr>
      <w:r>
        <w:rPr>
          <w:b/>
          <w:spacing w:val="-3"/>
          <w:lang w:val="fr-CA"/>
        </w:rPr>
        <w:br w:type="page"/>
      </w:r>
    </w:p>
    <w:p w14:paraId="69B27231" w14:textId="37F6BD80" w:rsidR="00D631A9" w:rsidRDefault="00C65D2E" w:rsidP="001E39EE">
      <w:pPr>
        <w:suppressAutoHyphens/>
        <w:rPr>
          <w:b/>
          <w:spacing w:val="-3"/>
          <w:lang w:val="fr-CA"/>
        </w:rPr>
      </w:pPr>
      <w:r>
        <w:rPr>
          <w:b/>
          <w:spacing w:val="-3"/>
          <w:lang w:val="fr-CA"/>
        </w:rPr>
        <w:lastRenderedPageBreak/>
        <w:t>Projets ne portant pas sur des investissements en cours</w:t>
      </w:r>
    </w:p>
    <w:p w14:paraId="63DC9575" w14:textId="77777777" w:rsidR="00C65D2E" w:rsidRPr="00934F64" w:rsidRDefault="00C65D2E" w:rsidP="001E39EE">
      <w:pPr>
        <w:suppressAutoHyphens/>
        <w:rPr>
          <w:spacing w:val="-3"/>
          <w:lang w:val="fr-CA"/>
        </w:rPr>
      </w:pPr>
    </w:p>
    <w:p w14:paraId="7DD3BDCE" w14:textId="0BB7E16E" w:rsidR="00D631A9" w:rsidRPr="00934F64" w:rsidRDefault="00C65D2E" w:rsidP="001E39EE">
      <w:pPr>
        <w:pStyle w:val="Heading1"/>
        <w:rPr>
          <w:lang w:val="fr-CA"/>
        </w:rPr>
      </w:pPr>
      <w:r>
        <w:rPr>
          <w:lang w:val="fr-CA"/>
        </w:rPr>
        <w:t>Le tableau 7 présente des informations sur l’état des projets ne portant pas sur des investissements en cours par région, secteur et caractéristique de la mise en œuvre</w:t>
      </w:r>
      <w:r w:rsidR="00D631A9" w:rsidRPr="00934F64">
        <w:rPr>
          <w:lang w:val="fr-CA"/>
        </w:rPr>
        <w:t>.</w:t>
      </w:r>
    </w:p>
    <w:p w14:paraId="3F257947" w14:textId="7C84BBDA" w:rsidR="00D631A9" w:rsidRPr="00934F64" w:rsidRDefault="00D631A9" w:rsidP="001E39EE">
      <w:pPr>
        <w:keepNext/>
        <w:rPr>
          <w:b/>
          <w:lang w:val="fr-CA"/>
        </w:rPr>
      </w:pPr>
      <w:r w:rsidRPr="00934F64">
        <w:rPr>
          <w:b/>
          <w:lang w:val="fr-CA"/>
        </w:rPr>
        <w:t>Table</w:t>
      </w:r>
      <w:r w:rsidR="001D510D">
        <w:rPr>
          <w:b/>
          <w:lang w:val="fr-CA"/>
        </w:rPr>
        <w:t>au</w:t>
      </w:r>
      <w:r w:rsidRPr="00934F64">
        <w:rPr>
          <w:b/>
          <w:lang w:val="fr-CA"/>
        </w:rPr>
        <w:t xml:space="preserve"> 7. </w:t>
      </w:r>
      <w:r w:rsidR="001D510D">
        <w:rPr>
          <w:b/>
          <w:lang w:val="fr-CA"/>
        </w:rPr>
        <w:t>Cumul des projets ne portant pas sur des investissements en cours</w:t>
      </w:r>
    </w:p>
    <w:tbl>
      <w:tblPr>
        <w:tblW w:w="10126" w:type="dxa"/>
        <w:tblInd w:w="-5" w:type="dxa"/>
        <w:tblLook w:val="04A0" w:firstRow="1" w:lastRow="0" w:firstColumn="1" w:lastColumn="0" w:noHBand="0" w:noVBand="1"/>
      </w:tblPr>
      <w:tblGrid>
        <w:gridCol w:w="1701"/>
        <w:gridCol w:w="856"/>
        <w:gridCol w:w="1216"/>
        <w:gridCol w:w="892"/>
        <w:gridCol w:w="919"/>
        <w:gridCol w:w="1045"/>
        <w:gridCol w:w="1144"/>
        <w:gridCol w:w="1117"/>
        <w:gridCol w:w="1216"/>
        <w:gridCol w:w="20"/>
      </w:tblGrid>
      <w:tr w:rsidR="001D510D" w:rsidRPr="003D423A" w14:paraId="67654FB4" w14:textId="77777777" w:rsidTr="001D510D">
        <w:trPr>
          <w:trHeight w:val="1051"/>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A72EF" w14:textId="6247B645" w:rsidR="001D510D" w:rsidRPr="00934F64" w:rsidRDefault="001D510D" w:rsidP="001D510D">
            <w:pPr>
              <w:jc w:val="center"/>
              <w:rPr>
                <w:b/>
                <w:bCs/>
                <w:sz w:val="18"/>
                <w:szCs w:val="18"/>
                <w:lang w:val="fr-CA" w:eastAsia="en-CA"/>
              </w:rPr>
            </w:pPr>
            <w:r>
              <w:rPr>
                <w:b/>
                <w:bCs/>
                <w:sz w:val="18"/>
                <w:szCs w:val="18"/>
                <w:lang w:val="fr-CA" w:eastAsia="en-CA"/>
              </w:rPr>
              <w:t>Élément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75080201" w14:textId="4BB53171" w:rsidR="001D510D" w:rsidRPr="00934F64" w:rsidRDefault="001D510D" w:rsidP="001D510D">
            <w:pPr>
              <w:jc w:val="center"/>
              <w:rPr>
                <w:b/>
                <w:bCs/>
                <w:sz w:val="18"/>
                <w:szCs w:val="18"/>
                <w:lang w:val="fr-CA" w:eastAsia="en-CA"/>
              </w:rPr>
            </w:pPr>
            <w:r w:rsidRPr="001907BC">
              <w:rPr>
                <w:b/>
                <w:bCs/>
                <w:sz w:val="18"/>
                <w:szCs w:val="18"/>
                <w:lang w:val="fr-CA" w:eastAsia="en-CA"/>
              </w:rPr>
              <w:t>Nombre</w:t>
            </w:r>
            <w:r w:rsidRPr="001907BC">
              <w:rPr>
                <w:b/>
                <w:bCs/>
                <w:sz w:val="18"/>
                <w:szCs w:val="18"/>
                <w:lang w:val="fr-CA" w:eastAsia="en-CA"/>
              </w:rPr>
              <w:br/>
              <w:t>de</w:t>
            </w:r>
            <w:r w:rsidRPr="001907BC">
              <w:rPr>
                <w:b/>
                <w:bCs/>
                <w:sz w:val="18"/>
                <w:szCs w:val="18"/>
                <w:lang w:val="fr-CA" w:eastAsia="en-CA"/>
              </w:rPr>
              <w:br/>
              <w:t>projets</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4F41CFA2" w14:textId="25F31F92" w:rsidR="001D510D" w:rsidRPr="00934F64" w:rsidRDefault="001D510D" w:rsidP="001D510D">
            <w:pPr>
              <w:jc w:val="center"/>
              <w:rPr>
                <w:b/>
                <w:bCs/>
                <w:sz w:val="18"/>
                <w:szCs w:val="18"/>
                <w:lang w:val="fr-CA" w:eastAsia="en-CA"/>
              </w:rPr>
            </w:pPr>
            <w:r w:rsidRPr="001907BC">
              <w:rPr>
                <w:b/>
                <w:bCs/>
                <w:sz w:val="18"/>
                <w:szCs w:val="18"/>
                <w:lang w:val="fr-CA" w:eastAsia="en-CA"/>
              </w:rPr>
              <w:t>Sommes approuvées plus les rajustements ($US)</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2AC749A7" w14:textId="077F5150" w:rsidR="001D510D" w:rsidRPr="00934F64" w:rsidRDefault="001D510D" w:rsidP="001D510D">
            <w:pPr>
              <w:ind w:left="-212" w:right="-178"/>
              <w:jc w:val="center"/>
              <w:rPr>
                <w:b/>
                <w:bCs/>
                <w:sz w:val="18"/>
                <w:szCs w:val="18"/>
                <w:lang w:val="fr-CA" w:eastAsia="en-CA"/>
              </w:rPr>
            </w:pPr>
            <w:r w:rsidRPr="001907BC">
              <w:rPr>
                <w:b/>
                <w:bCs/>
                <w:sz w:val="18"/>
                <w:szCs w:val="18"/>
                <w:lang w:val="fr-CA" w:eastAsia="en-CA"/>
              </w:rPr>
              <w:t>% des sommes décaissées</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3A61504E" w14:textId="70C5E8BB" w:rsidR="001D510D" w:rsidRPr="00934F64" w:rsidRDefault="001D510D" w:rsidP="001D510D">
            <w:pPr>
              <w:ind w:left="-108" w:right="-69"/>
              <w:jc w:val="center"/>
              <w:rPr>
                <w:b/>
                <w:bCs/>
                <w:sz w:val="18"/>
                <w:szCs w:val="18"/>
                <w:lang w:val="fr-CA" w:eastAsia="en-CA"/>
              </w:rPr>
            </w:pPr>
            <w:r w:rsidRPr="001907BC">
              <w:rPr>
                <w:b/>
                <w:bCs/>
                <w:sz w:val="18"/>
                <w:szCs w:val="18"/>
                <w:lang w:val="fr-CA" w:eastAsia="en-CA"/>
              </w:rPr>
              <w:t xml:space="preserve">Nombre de projets </w:t>
            </w:r>
            <w:r w:rsidRPr="001907BC">
              <w:rPr>
                <w:b/>
                <w:bCs/>
                <w:sz w:val="18"/>
                <w:szCs w:val="18"/>
                <w:lang w:val="fr-CA" w:eastAsia="en-CA"/>
              </w:rPr>
              <w:br/>
              <w:t xml:space="preserve">dans lesquels il y a </w:t>
            </w:r>
            <w:proofErr w:type="spellStart"/>
            <w:r w:rsidRPr="001907BC">
              <w:rPr>
                <w:b/>
                <w:bCs/>
                <w:sz w:val="18"/>
                <w:szCs w:val="18"/>
                <w:lang w:val="fr-CA" w:eastAsia="en-CA"/>
              </w:rPr>
              <w:t>décaisse-ment</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4252827F" w14:textId="4BC851A8" w:rsidR="001D510D" w:rsidRPr="00934F64" w:rsidRDefault="001D510D" w:rsidP="001D510D">
            <w:pPr>
              <w:ind w:left="-181" w:right="-149"/>
              <w:jc w:val="center"/>
              <w:rPr>
                <w:b/>
                <w:bCs/>
                <w:sz w:val="18"/>
                <w:szCs w:val="18"/>
                <w:lang w:val="fr-CA" w:eastAsia="en-CA"/>
              </w:rPr>
            </w:pPr>
            <w:r w:rsidRPr="001907BC">
              <w:rPr>
                <w:b/>
                <w:bCs/>
                <w:sz w:val="18"/>
                <w:szCs w:val="18"/>
                <w:lang w:val="fr-CA" w:eastAsia="en-CA"/>
              </w:rPr>
              <w:t>Pourcentage des projets dans lesquels il y a décaissement</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7041C052" w14:textId="77777777" w:rsidR="001D510D" w:rsidRPr="001907BC" w:rsidRDefault="001D510D" w:rsidP="001D510D">
            <w:pPr>
              <w:ind w:left="-164" w:right="-149"/>
              <w:jc w:val="center"/>
              <w:rPr>
                <w:b/>
                <w:bCs/>
                <w:sz w:val="18"/>
                <w:szCs w:val="18"/>
                <w:lang w:val="fr-CA" w:eastAsia="en-CA"/>
              </w:rPr>
            </w:pPr>
            <w:r w:rsidRPr="001907BC">
              <w:rPr>
                <w:b/>
                <w:bCs/>
                <w:sz w:val="18"/>
                <w:szCs w:val="18"/>
                <w:lang w:val="fr-CA" w:eastAsia="en-CA"/>
              </w:rPr>
              <w:t>N</w:t>
            </w:r>
            <w:r w:rsidRPr="001907BC">
              <w:rPr>
                <w:b/>
                <w:bCs/>
                <w:sz w:val="18"/>
                <w:szCs w:val="18"/>
                <w:vertAlign w:val="superscript"/>
                <w:lang w:val="fr-CA" w:eastAsia="en-CA"/>
              </w:rPr>
              <w:t>bre</w:t>
            </w:r>
            <w:r w:rsidRPr="001907BC">
              <w:rPr>
                <w:b/>
                <w:bCs/>
                <w:sz w:val="18"/>
                <w:szCs w:val="18"/>
                <w:lang w:val="fr-CA" w:eastAsia="en-CA"/>
              </w:rPr>
              <w:t xml:space="preserve"> moyen de </w:t>
            </w:r>
            <w:r w:rsidRPr="001907BC">
              <w:rPr>
                <w:b/>
                <w:bCs/>
                <w:sz w:val="18"/>
                <w:szCs w:val="18"/>
                <w:lang w:val="fr-CA" w:eastAsia="en-CA"/>
              </w:rPr>
              <w:br/>
              <w:t>mois entre l’approbation</w:t>
            </w:r>
          </w:p>
          <w:p w14:paraId="72652AE2" w14:textId="257BEB1F" w:rsidR="001D510D" w:rsidRPr="00934F64" w:rsidRDefault="001D510D" w:rsidP="001D510D">
            <w:pPr>
              <w:ind w:left="-113" w:right="-131"/>
              <w:jc w:val="center"/>
              <w:rPr>
                <w:b/>
                <w:bCs/>
                <w:sz w:val="18"/>
                <w:szCs w:val="18"/>
                <w:lang w:val="fr-CA" w:eastAsia="en-CA"/>
              </w:rPr>
            </w:pPr>
            <w:r w:rsidRPr="001907BC">
              <w:rPr>
                <w:b/>
                <w:bCs/>
                <w:sz w:val="18"/>
                <w:szCs w:val="18"/>
                <w:lang w:val="fr-CA" w:eastAsia="en-CA"/>
              </w:rPr>
              <w:t>et le premier</w:t>
            </w:r>
            <w:r w:rsidRPr="001907BC">
              <w:rPr>
                <w:b/>
                <w:bCs/>
                <w:sz w:val="18"/>
                <w:szCs w:val="18"/>
                <w:lang w:val="fr-CA" w:eastAsia="en-CA"/>
              </w:rPr>
              <w:br/>
              <w:t>décaissement</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48CB6039" w14:textId="77777777" w:rsidR="001D510D" w:rsidRPr="001907BC" w:rsidRDefault="001D510D" w:rsidP="001D510D">
            <w:pPr>
              <w:ind w:left="-164" w:right="-149"/>
              <w:jc w:val="center"/>
              <w:rPr>
                <w:b/>
                <w:bCs/>
                <w:sz w:val="18"/>
                <w:szCs w:val="18"/>
                <w:lang w:val="fr-CA" w:eastAsia="en-CA"/>
              </w:rPr>
            </w:pPr>
            <w:r w:rsidRPr="001907BC">
              <w:rPr>
                <w:b/>
                <w:bCs/>
                <w:sz w:val="18"/>
                <w:szCs w:val="18"/>
                <w:lang w:val="fr-CA" w:eastAsia="en-CA"/>
              </w:rPr>
              <w:t>N</w:t>
            </w:r>
            <w:r w:rsidRPr="001907BC">
              <w:rPr>
                <w:b/>
                <w:bCs/>
                <w:sz w:val="18"/>
                <w:szCs w:val="18"/>
                <w:vertAlign w:val="superscript"/>
                <w:lang w:val="fr-CA" w:eastAsia="en-CA"/>
              </w:rPr>
              <w:t>bre</w:t>
            </w:r>
            <w:r w:rsidRPr="001907BC">
              <w:rPr>
                <w:b/>
                <w:bCs/>
                <w:sz w:val="18"/>
                <w:szCs w:val="18"/>
                <w:lang w:val="fr-CA" w:eastAsia="en-CA"/>
              </w:rPr>
              <w:t xml:space="preserve"> moyen de </w:t>
            </w:r>
            <w:r w:rsidRPr="001907BC">
              <w:rPr>
                <w:b/>
                <w:bCs/>
                <w:sz w:val="18"/>
                <w:szCs w:val="18"/>
                <w:lang w:val="fr-CA" w:eastAsia="en-CA"/>
              </w:rPr>
              <w:br/>
              <w:t>mois entre l’approbation</w:t>
            </w:r>
          </w:p>
          <w:p w14:paraId="2E2B1DC2" w14:textId="3D3733EA" w:rsidR="001D510D" w:rsidRPr="00934F64" w:rsidRDefault="001D510D" w:rsidP="001D510D">
            <w:pPr>
              <w:ind w:left="-119" w:right="-163"/>
              <w:jc w:val="center"/>
              <w:rPr>
                <w:b/>
                <w:bCs/>
                <w:sz w:val="18"/>
                <w:szCs w:val="18"/>
                <w:lang w:val="fr-CA" w:eastAsia="en-CA"/>
              </w:rPr>
            </w:pPr>
            <w:r w:rsidRPr="001907BC">
              <w:rPr>
                <w:b/>
                <w:bCs/>
                <w:sz w:val="18"/>
                <w:szCs w:val="18"/>
                <w:lang w:val="fr-CA" w:eastAsia="en-CA"/>
              </w:rPr>
              <w:t xml:space="preserve">et </w:t>
            </w:r>
            <w:r w:rsidRPr="001907BC">
              <w:rPr>
                <w:b/>
                <w:bCs/>
                <w:sz w:val="18"/>
                <w:szCs w:val="18"/>
                <w:lang w:val="fr-CA" w:eastAsia="en-CA"/>
              </w:rPr>
              <w:br/>
              <w:t>l’achèvement prévu</w:t>
            </w:r>
          </w:p>
        </w:tc>
        <w:tc>
          <w:tcPr>
            <w:tcW w:w="1236" w:type="dxa"/>
            <w:gridSpan w:val="2"/>
            <w:tcBorders>
              <w:top w:val="single" w:sz="4" w:space="0" w:color="auto"/>
              <w:left w:val="nil"/>
              <w:bottom w:val="single" w:sz="4" w:space="0" w:color="auto"/>
              <w:right w:val="single" w:sz="4" w:space="0" w:color="auto"/>
            </w:tcBorders>
            <w:shd w:val="clear" w:color="auto" w:fill="auto"/>
            <w:vAlign w:val="center"/>
            <w:hideMark/>
          </w:tcPr>
          <w:p w14:paraId="4721667B" w14:textId="7338E711" w:rsidR="001D510D" w:rsidRPr="00934F64" w:rsidRDefault="001D510D" w:rsidP="001D510D">
            <w:pPr>
              <w:jc w:val="center"/>
              <w:rPr>
                <w:b/>
                <w:bCs/>
                <w:sz w:val="18"/>
                <w:szCs w:val="18"/>
                <w:lang w:val="fr-CA" w:eastAsia="en-CA"/>
              </w:rPr>
            </w:pPr>
            <w:r w:rsidRPr="001907BC">
              <w:rPr>
                <w:b/>
                <w:bCs/>
                <w:sz w:val="18"/>
                <w:szCs w:val="18"/>
                <w:lang w:val="fr-CA" w:eastAsia="en-CA"/>
              </w:rPr>
              <w:t>Durée moyenne du retard dans l’achèvement prévu du projet</w:t>
            </w:r>
          </w:p>
        </w:tc>
      </w:tr>
      <w:tr w:rsidR="007C55C7" w:rsidRPr="00934F64" w14:paraId="30A4563D"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4AF901F" w14:textId="77777777" w:rsidR="007C55C7" w:rsidRPr="00934F64" w:rsidRDefault="007C55C7" w:rsidP="001E39EE">
            <w:pPr>
              <w:jc w:val="left"/>
              <w:rPr>
                <w:b/>
                <w:bCs/>
                <w:sz w:val="18"/>
                <w:szCs w:val="18"/>
                <w:lang w:val="fr-CA" w:eastAsia="en-CA"/>
              </w:rPr>
            </w:pPr>
            <w:r w:rsidRPr="00934F64">
              <w:rPr>
                <w:b/>
                <w:bCs/>
                <w:sz w:val="18"/>
                <w:szCs w:val="18"/>
                <w:lang w:val="fr-CA" w:eastAsia="en-CA"/>
              </w:rPr>
              <w:t>TOTAL</w:t>
            </w:r>
          </w:p>
        </w:tc>
        <w:tc>
          <w:tcPr>
            <w:tcW w:w="856" w:type="dxa"/>
            <w:tcBorders>
              <w:top w:val="nil"/>
              <w:left w:val="nil"/>
              <w:bottom w:val="single" w:sz="4" w:space="0" w:color="auto"/>
              <w:right w:val="single" w:sz="4" w:space="0" w:color="auto"/>
            </w:tcBorders>
            <w:shd w:val="clear" w:color="auto" w:fill="auto"/>
            <w:noWrap/>
            <w:hideMark/>
          </w:tcPr>
          <w:p w14:paraId="4E38C609" w14:textId="77777777" w:rsidR="007C55C7" w:rsidRPr="00934F64" w:rsidRDefault="007C55C7" w:rsidP="001E39EE">
            <w:pPr>
              <w:jc w:val="right"/>
              <w:rPr>
                <w:b/>
                <w:bCs/>
                <w:sz w:val="18"/>
                <w:szCs w:val="18"/>
                <w:lang w:val="fr-CA" w:eastAsia="en-CA"/>
              </w:rPr>
            </w:pPr>
            <w:r w:rsidRPr="00934F64">
              <w:rPr>
                <w:b/>
                <w:bCs/>
                <w:sz w:val="18"/>
                <w:szCs w:val="18"/>
                <w:lang w:val="fr-CA" w:eastAsia="en-CA"/>
              </w:rPr>
              <w:t>447</w:t>
            </w:r>
          </w:p>
        </w:tc>
        <w:tc>
          <w:tcPr>
            <w:tcW w:w="1216" w:type="dxa"/>
            <w:tcBorders>
              <w:top w:val="nil"/>
              <w:left w:val="nil"/>
              <w:bottom w:val="single" w:sz="4" w:space="0" w:color="auto"/>
              <w:right w:val="single" w:sz="4" w:space="0" w:color="auto"/>
            </w:tcBorders>
            <w:shd w:val="clear" w:color="auto" w:fill="auto"/>
            <w:noWrap/>
            <w:hideMark/>
          </w:tcPr>
          <w:p w14:paraId="731219C3" w14:textId="27D38D08" w:rsidR="007C55C7" w:rsidRPr="00934F64" w:rsidRDefault="007C55C7" w:rsidP="001E39EE">
            <w:pPr>
              <w:jc w:val="right"/>
              <w:rPr>
                <w:b/>
                <w:bCs/>
                <w:sz w:val="18"/>
                <w:szCs w:val="18"/>
                <w:lang w:val="fr-CA" w:eastAsia="en-CA"/>
              </w:rPr>
            </w:pPr>
            <w:r w:rsidRPr="00934F64">
              <w:rPr>
                <w:b/>
                <w:bCs/>
                <w:sz w:val="18"/>
                <w:szCs w:val="18"/>
                <w:lang w:val="fr-CA" w:eastAsia="en-CA"/>
              </w:rPr>
              <w:t>81</w:t>
            </w:r>
            <w:r w:rsidR="005F4F67">
              <w:rPr>
                <w:b/>
                <w:bCs/>
                <w:sz w:val="18"/>
                <w:szCs w:val="18"/>
                <w:lang w:val="fr-CA" w:eastAsia="en-CA"/>
              </w:rPr>
              <w:t xml:space="preserve"> </w:t>
            </w:r>
            <w:r w:rsidRPr="00934F64">
              <w:rPr>
                <w:b/>
                <w:bCs/>
                <w:sz w:val="18"/>
                <w:szCs w:val="18"/>
                <w:lang w:val="fr-CA" w:eastAsia="en-CA"/>
              </w:rPr>
              <w:t>990</w:t>
            </w:r>
            <w:r w:rsidR="005F4F67">
              <w:rPr>
                <w:b/>
                <w:bCs/>
                <w:sz w:val="18"/>
                <w:szCs w:val="18"/>
                <w:lang w:val="fr-CA" w:eastAsia="en-CA"/>
              </w:rPr>
              <w:t xml:space="preserve"> </w:t>
            </w:r>
            <w:r w:rsidRPr="00934F64">
              <w:rPr>
                <w:b/>
                <w:bCs/>
                <w:sz w:val="18"/>
                <w:szCs w:val="18"/>
                <w:lang w:val="fr-CA" w:eastAsia="en-CA"/>
              </w:rPr>
              <w:t>312</w:t>
            </w:r>
          </w:p>
        </w:tc>
        <w:tc>
          <w:tcPr>
            <w:tcW w:w="892" w:type="dxa"/>
            <w:tcBorders>
              <w:top w:val="nil"/>
              <w:left w:val="nil"/>
              <w:bottom w:val="single" w:sz="4" w:space="0" w:color="auto"/>
              <w:right w:val="single" w:sz="4" w:space="0" w:color="auto"/>
            </w:tcBorders>
            <w:shd w:val="clear" w:color="auto" w:fill="auto"/>
            <w:noWrap/>
            <w:hideMark/>
          </w:tcPr>
          <w:p w14:paraId="18734D85" w14:textId="77777777" w:rsidR="007C55C7" w:rsidRPr="00934F64" w:rsidRDefault="008720F3" w:rsidP="001E39EE">
            <w:pPr>
              <w:jc w:val="right"/>
              <w:rPr>
                <w:b/>
                <w:bCs/>
                <w:sz w:val="18"/>
                <w:szCs w:val="18"/>
                <w:lang w:val="fr-CA" w:eastAsia="en-CA"/>
              </w:rPr>
            </w:pPr>
            <w:r w:rsidRPr="00934F64">
              <w:rPr>
                <w:b/>
                <w:bCs/>
                <w:sz w:val="18"/>
                <w:szCs w:val="18"/>
                <w:lang w:val="fr-CA" w:eastAsia="en-CA"/>
              </w:rPr>
              <w:t>22</w:t>
            </w:r>
          </w:p>
        </w:tc>
        <w:tc>
          <w:tcPr>
            <w:tcW w:w="919" w:type="dxa"/>
            <w:tcBorders>
              <w:top w:val="nil"/>
              <w:left w:val="nil"/>
              <w:bottom w:val="single" w:sz="4" w:space="0" w:color="auto"/>
              <w:right w:val="single" w:sz="4" w:space="0" w:color="auto"/>
            </w:tcBorders>
            <w:shd w:val="clear" w:color="auto" w:fill="auto"/>
            <w:noWrap/>
            <w:hideMark/>
          </w:tcPr>
          <w:p w14:paraId="1A71AE93" w14:textId="77777777" w:rsidR="007C55C7" w:rsidRPr="00934F64" w:rsidRDefault="007C55C7" w:rsidP="001E39EE">
            <w:pPr>
              <w:jc w:val="right"/>
              <w:rPr>
                <w:b/>
                <w:bCs/>
                <w:sz w:val="18"/>
                <w:szCs w:val="18"/>
                <w:lang w:val="fr-CA" w:eastAsia="en-CA"/>
              </w:rPr>
            </w:pPr>
            <w:r w:rsidRPr="00934F64">
              <w:rPr>
                <w:b/>
                <w:bCs/>
                <w:sz w:val="18"/>
                <w:szCs w:val="18"/>
                <w:lang w:val="fr-CA" w:eastAsia="en-CA"/>
              </w:rPr>
              <w:t>210</w:t>
            </w:r>
          </w:p>
        </w:tc>
        <w:tc>
          <w:tcPr>
            <w:tcW w:w="1045" w:type="dxa"/>
            <w:tcBorders>
              <w:top w:val="nil"/>
              <w:left w:val="nil"/>
              <w:bottom w:val="single" w:sz="4" w:space="0" w:color="auto"/>
              <w:right w:val="single" w:sz="4" w:space="0" w:color="auto"/>
            </w:tcBorders>
            <w:shd w:val="clear" w:color="auto" w:fill="auto"/>
            <w:noWrap/>
            <w:hideMark/>
          </w:tcPr>
          <w:p w14:paraId="16430D47" w14:textId="77777777" w:rsidR="007C55C7" w:rsidRPr="00934F64" w:rsidRDefault="008720F3" w:rsidP="001E39EE">
            <w:pPr>
              <w:jc w:val="right"/>
              <w:rPr>
                <w:b/>
                <w:bCs/>
                <w:sz w:val="18"/>
                <w:szCs w:val="18"/>
                <w:lang w:val="fr-CA" w:eastAsia="en-CA"/>
              </w:rPr>
            </w:pPr>
            <w:r w:rsidRPr="00934F64">
              <w:rPr>
                <w:b/>
                <w:bCs/>
                <w:sz w:val="18"/>
                <w:szCs w:val="18"/>
                <w:lang w:val="fr-CA" w:eastAsia="en-CA"/>
              </w:rPr>
              <w:t>47</w:t>
            </w:r>
          </w:p>
        </w:tc>
        <w:tc>
          <w:tcPr>
            <w:tcW w:w="1144" w:type="dxa"/>
            <w:tcBorders>
              <w:top w:val="nil"/>
              <w:left w:val="nil"/>
              <w:bottom w:val="single" w:sz="4" w:space="0" w:color="auto"/>
              <w:right w:val="single" w:sz="4" w:space="0" w:color="auto"/>
            </w:tcBorders>
            <w:shd w:val="clear" w:color="auto" w:fill="auto"/>
            <w:noWrap/>
            <w:hideMark/>
          </w:tcPr>
          <w:p w14:paraId="25612866" w14:textId="77777777" w:rsidR="007C55C7" w:rsidRPr="00934F64" w:rsidRDefault="007C55C7" w:rsidP="001E39EE">
            <w:pPr>
              <w:jc w:val="right"/>
              <w:rPr>
                <w:b/>
                <w:bCs/>
                <w:sz w:val="18"/>
                <w:szCs w:val="18"/>
                <w:lang w:val="fr-CA" w:eastAsia="en-CA"/>
              </w:rPr>
            </w:pPr>
            <w:r w:rsidRPr="00934F64">
              <w:rPr>
                <w:b/>
                <w:bCs/>
                <w:sz w:val="18"/>
                <w:szCs w:val="18"/>
                <w:lang w:val="fr-CA" w:eastAsia="en-CA"/>
              </w:rPr>
              <w:t>12</w:t>
            </w:r>
          </w:p>
        </w:tc>
        <w:tc>
          <w:tcPr>
            <w:tcW w:w="1117" w:type="dxa"/>
            <w:tcBorders>
              <w:top w:val="nil"/>
              <w:left w:val="nil"/>
              <w:bottom w:val="single" w:sz="4" w:space="0" w:color="auto"/>
              <w:right w:val="single" w:sz="4" w:space="0" w:color="auto"/>
            </w:tcBorders>
            <w:shd w:val="clear" w:color="auto" w:fill="auto"/>
            <w:noWrap/>
            <w:hideMark/>
          </w:tcPr>
          <w:p w14:paraId="1B578F19" w14:textId="77777777" w:rsidR="007C55C7" w:rsidRPr="00934F64" w:rsidRDefault="007C55C7" w:rsidP="001E39EE">
            <w:pPr>
              <w:jc w:val="right"/>
              <w:rPr>
                <w:b/>
                <w:bCs/>
                <w:sz w:val="18"/>
                <w:szCs w:val="18"/>
                <w:lang w:val="fr-CA" w:eastAsia="en-CA"/>
              </w:rPr>
            </w:pPr>
            <w:r w:rsidRPr="00934F64">
              <w:rPr>
                <w:b/>
                <w:bCs/>
                <w:sz w:val="18"/>
                <w:szCs w:val="18"/>
                <w:lang w:val="fr-CA" w:eastAsia="en-CA"/>
              </w:rPr>
              <w:t>38</w:t>
            </w:r>
          </w:p>
        </w:tc>
        <w:tc>
          <w:tcPr>
            <w:tcW w:w="1236" w:type="dxa"/>
            <w:gridSpan w:val="2"/>
            <w:tcBorders>
              <w:top w:val="nil"/>
              <w:left w:val="nil"/>
              <w:bottom w:val="single" w:sz="4" w:space="0" w:color="auto"/>
              <w:right w:val="single" w:sz="4" w:space="0" w:color="auto"/>
            </w:tcBorders>
            <w:shd w:val="clear" w:color="auto" w:fill="auto"/>
            <w:noWrap/>
            <w:hideMark/>
          </w:tcPr>
          <w:p w14:paraId="091974D9" w14:textId="77777777" w:rsidR="007C55C7" w:rsidRPr="00934F64" w:rsidRDefault="007C55C7" w:rsidP="001E39EE">
            <w:pPr>
              <w:jc w:val="right"/>
              <w:rPr>
                <w:b/>
                <w:bCs/>
                <w:sz w:val="18"/>
                <w:szCs w:val="18"/>
                <w:lang w:val="fr-CA" w:eastAsia="en-CA"/>
              </w:rPr>
            </w:pPr>
            <w:r w:rsidRPr="00934F64">
              <w:rPr>
                <w:b/>
                <w:bCs/>
                <w:sz w:val="18"/>
                <w:szCs w:val="18"/>
                <w:lang w:val="fr-CA" w:eastAsia="en-CA"/>
              </w:rPr>
              <w:t>11</w:t>
            </w:r>
          </w:p>
        </w:tc>
      </w:tr>
      <w:tr w:rsidR="001D510D" w:rsidRPr="00934F64" w14:paraId="3D57F1E3" w14:textId="77777777" w:rsidTr="001D510D">
        <w:trPr>
          <w:trHeight w:val="204"/>
        </w:trPr>
        <w:tc>
          <w:tcPr>
            <w:tcW w:w="1701" w:type="dxa"/>
            <w:tcBorders>
              <w:top w:val="nil"/>
              <w:left w:val="single" w:sz="4" w:space="0" w:color="auto"/>
              <w:bottom w:val="nil"/>
              <w:right w:val="nil"/>
            </w:tcBorders>
            <w:shd w:val="clear" w:color="auto" w:fill="auto"/>
            <w:noWrap/>
            <w:hideMark/>
          </w:tcPr>
          <w:p w14:paraId="2B8D3ED9" w14:textId="3A8CC2C7" w:rsidR="001D510D" w:rsidRPr="00934F64" w:rsidRDefault="001D510D" w:rsidP="001D510D">
            <w:pPr>
              <w:jc w:val="left"/>
              <w:rPr>
                <w:b/>
                <w:bCs/>
                <w:sz w:val="18"/>
                <w:szCs w:val="18"/>
                <w:lang w:val="fr-CA" w:eastAsia="en-CA"/>
              </w:rPr>
            </w:pPr>
            <w:r>
              <w:rPr>
                <w:b/>
                <w:bCs/>
                <w:sz w:val="18"/>
                <w:szCs w:val="18"/>
                <w:lang w:val="fr-CA" w:eastAsia="en-CA"/>
              </w:rPr>
              <w:t>Ré</w:t>
            </w:r>
            <w:r w:rsidRPr="00BF6C78">
              <w:rPr>
                <w:b/>
                <w:bCs/>
                <w:sz w:val="18"/>
                <w:szCs w:val="18"/>
                <w:lang w:val="fr-CA" w:eastAsia="en-CA"/>
              </w:rPr>
              <w:t>gion</w:t>
            </w:r>
          </w:p>
        </w:tc>
        <w:tc>
          <w:tcPr>
            <w:tcW w:w="856" w:type="dxa"/>
            <w:tcBorders>
              <w:top w:val="nil"/>
              <w:left w:val="nil"/>
              <w:bottom w:val="nil"/>
              <w:right w:val="nil"/>
            </w:tcBorders>
            <w:shd w:val="clear" w:color="auto" w:fill="auto"/>
            <w:noWrap/>
            <w:hideMark/>
          </w:tcPr>
          <w:p w14:paraId="64B0D8C1" w14:textId="77777777" w:rsidR="001D510D" w:rsidRPr="00934F64" w:rsidRDefault="001D510D" w:rsidP="001D510D">
            <w:pPr>
              <w:jc w:val="left"/>
              <w:rPr>
                <w:b/>
                <w:bCs/>
                <w:sz w:val="18"/>
                <w:szCs w:val="18"/>
                <w:lang w:val="fr-CA" w:eastAsia="en-CA"/>
              </w:rPr>
            </w:pPr>
          </w:p>
        </w:tc>
        <w:tc>
          <w:tcPr>
            <w:tcW w:w="1216" w:type="dxa"/>
            <w:tcBorders>
              <w:top w:val="nil"/>
              <w:left w:val="nil"/>
              <w:bottom w:val="nil"/>
              <w:right w:val="nil"/>
            </w:tcBorders>
            <w:shd w:val="clear" w:color="auto" w:fill="auto"/>
            <w:noWrap/>
            <w:hideMark/>
          </w:tcPr>
          <w:p w14:paraId="6F7860B7" w14:textId="77777777" w:rsidR="001D510D" w:rsidRPr="00934F64" w:rsidRDefault="001D510D" w:rsidP="001D510D">
            <w:pPr>
              <w:jc w:val="left"/>
              <w:rPr>
                <w:sz w:val="18"/>
                <w:szCs w:val="18"/>
                <w:lang w:val="fr-CA" w:eastAsia="en-CA"/>
              </w:rPr>
            </w:pPr>
          </w:p>
        </w:tc>
        <w:tc>
          <w:tcPr>
            <w:tcW w:w="892" w:type="dxa"/>
            <w:tcBorders>
              <w:top w:val="nil"/>
              <w:left w:val="nil"/>
              <w:bottom w:val="nil"/>
              <w:right w:val="nil"/>
            </w:tcBorders>
            <w:shd w:val="clear" w:color="auto" w:fill="auto"/>
            <w:noWrap/>
            <w:hideMark/>
          </w:tcPr>
          <w:p w14:paraId="78234F4D" w14:textId="77777777" w:rsidR="001D510D" w:rsidRPr="00934F64" w:rsidRDefault="001D510D" w:rsidP="001D510D">
            <w:pPr>
              <w:jc w:val="left"/>
              <w:rPr>
                <w:sz w:val="18"/>
                <w:szCs w:val="18"/>
                <w:lang w:val="fr-CA" w:eastAsia="en-CA"/>
              </w:rPr>
            </w:pPr>
          </w:p>
        </w:tc>
        <w:tc>
          <w:tcPr>
            <w:tcW w:w="919" w:type="dxa"/>
            <w:tcBorders>
              <w:top w:val="nil"/>
              <w:left w:val="nil"/>
              <w:bottom w:val="nil"/>
              <w:right w:val="nil"/>
            </w:tcBorders>
            <w:shd w:val="clear" w:color="auto" w:fill="auto"/>
            <w:noWrap/>
            <w:hideMark/>
          </w:tcPr>
          <w:p w14:paraId="7DA642DE" w14:textId="77777777" w:rsidR="001D510D" w:rsidRPr="00934F64" w:rsidRDefault="001D510D" w:rsidP="001D510D">
            <w:pPr>
              <w:jc w:val="left"/>
              <w:rPr>
                <w:sz w:val="18"/>
                <w:szCs w:val="18"/>
                <w:lang w:val="fr-CA" w:eastAsia="en-CA"/>
              </w:rPr>
            </w:pPr>
          </w:p>
        </w:tc>
        <w:tc>
          <w:tcPr>
            <w:tcW w:w="1045" w:type="dxa"/>
            <w:tcBorders>
              <w:top w:val="nil"/>
              <w:left w:val="nil"/>
              <w:bottom w:val="nil"/>
              <w:right w:val="nil"/>
            </w:tcBorders>
            <w:shd w:val="clear" w:color="auto" w:fill="auto"/>
            <w:noWrap/>
            <w:hideMark/>
          </w:tcPr>
          <w:p w14:paraId="6E602F43" w14:textId="77777777" w:rsidR="001D510D" w:rsidRPr="00934F64" w:rsidRDefault="001D510D" w:rsidP="001D510D">
            <w:pPr>
              <w:jc w:val="left"/>
              <w:rPr>
                <w:sz w:val="18"/>
                <w:szCs w:val="18"/>
                <w:lang w:val="fr-CA" w:eastAsia="en-CA"/>
              </w:rPr>
            </w:pPr>
          </w:p>
        </w:tc>
        <w:tc>
          <w:tcPr>
            <w:tcW w:w="1144" w:type="dxa"/>
            <w:tcBorders>
              <w:top w:val="nil"/>
              <w:left w:val="nil"/>
              <w:bottom w:val="nil"/>
              <w:right w:val="nil"/>
            </w:tcBorders>
            <w:shd w:val="clear" w:color="auto" w:fill="auto"/>
            <w:noWrap/>
            <w:hideMark/>
          </w:tcPr>
          <w:p w14:paraId="7B021DD7" w14:textId="77777777" w:rsidR="001D510D" w:rsidRPr="00934F64" w:rsidRDefault="001D510D" w:rsidP="001D510D">
            <w:pPr>
              <w:jc w:val="left"/>
              <w:rPr>
                <w:sz w:val="18"/>
                <w:szCs w:val="18"/>
                <w:lang w:val="fr-CA" w:eastAsia="en-CA"/>
              </w:rPr>
            </w:pPr>
          </w:p>
        </w:tc>
        <w:tc>
          <w:tcPr>
            <w:tcW w:w="1117" w:type="dxa"/>
            <w:tcBorders>
              <w:top w:val="nil"/>
              <w:left w:val="nil"/>
              <w:bottom w:val="nil"/>
              <w:right w:val="single" w:sz="4" w:space="0" w:color="auto"/>
            </w:tcBorders>
            <w:shd w:val="clear" w:color="auto" w:fill="auto"/>
            <w:noWrap/>
            <w:hideMark/>
          </w:tcPr>
          <w:p w14:paraId="1B3FAEBA" w14:textId="77777777" w:rsidR="001D510D" w:rsidRPr="00934F64" w:rsidRDefault="001D510D" w:rsidP="001D510D">
            <w:pPr>
              <w:jc w:val="right"/>
              <w:rPr>
                <w:sz w:val="18"/>
                <w:szCs w:val="18"/>
                <w:lang w:val="fr-CA" w:eastAsia="en-CA"/>
              </w:rPr>
            </w:pPr>
            <w:r w:rsidRPr="00934F64">
              <w:rPr>
                <w:sz w:val="18"/>
                <w:szCs w:val="18"/>
                <w:lang w:val="fr-CA" w:eastAsia="en-CA"/>
              </w:rPr>
              <w:t> </w:t>
            </w:r>
          </w:p>
        </w:tc>
        <w:tc>
          <w:tcPr>
            <w:tcW w:w="1236" w:type="dxa"/>
            <w:gridSpan w:val="2"/>
            <w:tcBorders>
              <w:top w:val="nil"/>
              <w:left w:val="nil"/>
              <w:bottom w:val="nil"/>
              <w:right w:val="single" w:sz="4" w:space="0" w:color="auto"/>
            </w:tcBorders>
            <w:shd w:val="clear" w:color="auto" w:fill="auto"/>
            <w:noWrap/>
            <w:hideMark/>
          </w:tcPr>
          <w:p w14:paraId="751EE584" w14:textId="77777777" w:rsidR="001D510D" w:rsidRPr="00934F64" w:rsidRDefault="001D510D" w:rsidP="001D510D">
            <w:pPr>
              <w:jc w:val="right"/>
              <w:rPr>
                <w:sz w:val="18"/>
                <w:szCs w:val="18"/>
                <w:lang w:val="fr-CA" w:eastAsia="en-CA"/>
              </w:rPr>
            </w:pPr>
            <w:r w:rsidRPr="00934F64">
              <w:rPr>
                <w:sz w:val="18"/>
                <w:szCs w:val="18"/>
                <w:lang w:val="fr-CA" w:eastAsia="en-CA"/>
              </w:rPr>
              <w:t> </w:t>
            </w:r>
          </w:p>
        </w:tc>
      </w:tr>
      <w:tr w:rsidR="001D510D" w:rsidRPr="00934F64" w14:paraId="125BAD72" w14:textId="77777777" w:rsidTr="001D510D">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1E771E5" w14:textId="6D2CC24F" w:rsidR="001D510D" w:rsidRPr="00934F64" w:rsidRDefault="001D510D" w:rsidP="001D510D">
            <w:pPr>
              <w:jc w:val="left"/>
              <w:rPr>
                <w:sz w:val="18"/>
                <w:szCs w:val="18"/>
                <w:lang w:val="fr-CA" w:eastAsia="en-CA"/>
              </w:rPr>
            </w:pPr>
            <w:r>
              <w:rPr>
                <w:sz w:val="18"/>
                <w:szCs w:val="18"/>
                <w:lang w:val="fr-CA" w:eastAsia="en-CA"/>
              </w:rPr>
              <w:t>Afrique</w:t>
            </w:r>
          </w:p>
        </w:tc>
        <w:tc>
          <w:tcPr>
            <w:tcW w:w="856" w:type="dxa"/>
            <w:tcBorders>
              <w:top w:val="single" w:sz="4" w:space="0" w:color="auto"/>
              <w:left w:val="nil"/>
              <w:bottom w:val="single" w:sz="4" w:space="0" w:color="auto"/>
              <w:right w:val="single" w:sz="4" w:space="0" w:color="auto"/>
            </w:tcBorders>
            <w:shd w:val="clear" w:color="auto" w:fill="auto"/>
            <w:noWrap/>
            <w:hideMark/>
          </w:tcPr>
          <w:p w14:paraId="570955A0" w14:textId="77777777" w:rsidR="001D510D" w:rsidRPr="00934F64" w:rsidRDefault="001D510D" w:rsidP="001D510D">
            <w:pPr>
              <w:jc w:val="right"/>
              <w:rPr>
                <w:sz w:val="18"/>
                <w:szCs w:val="18"/>
                <w:lang w:val="fr-CA" w:eastAsia="en-CA"/>
              </w:rPr>
            </w:pPr>
            <w:r w:rsidRPr="00934F64">
              <w:rPr>
                <w:sz w:val="18"/>
                <w:szCs w:val="18"/>
                <w:lang w:val="fr-CA" w:eastAsia="en-CA"/>
              </w:rPr>
              <w:t>126</w:t>
            </w:r>
          </w:p>
        </w:tc>
        <w:tc>
          <w:tcPr>
            <w:tcW w:w="1216" w:type="dxa"/>
            <w:tcBorders>
              <w:top w:val="single" w:sz="4" w:space="0" w:color="auto"/>
              <w:left w:val="nil"/>
              <w:bottom w:val="single" w:sz="4" w:space="0" w:color="auto"/>
              <w:right w:val="single" w:sz="4" w:space="0" w:color="auto"/>
            </w:tcBorders>
            <w:shd w:val="clear" w:color="auto" w:fill="auto"/>
            <w:noWrap/>
            <w:hideMark/>
          </w:tcPr>
          <w:p w14:paraId="1C26C9A6" w14:textId="0C69087B" w:rsidR="001D510D" w:rsidRPr="00934F64" w:rsidRDefault="001D510D" w:rsidP="001D510D">
            <w:pPr>
              <w:jc w:val="right"/>
              <w:rPr>
                <w:sz w:val="18"/>
                <w:szCs w:val="18"/>
                <w:lang w:val="fr-CA" w:eastAsia="en-CA"/>
              </w:rPr>
            </w:pPr>
            <w:r w:rsidRPr="00934F64">
              <w:rPr>
                <w:sz w:val="18"/>
                <w:szCs w:val="18"/>
                <w:lang w:val="fr-CA" w:eastAsia="en-CA"/>
              </w:rPr>
              <w:t>14</w:t>
            </w:r>
            <w:r w:rsidR="005F4F67">
              <w:rPr>
                <w:sz w:val="18"/>
                <w:szCs w:val="18"/>
                <w:lang w:val="fr-CA" w:eastAsia="en-CA"/>
              </w:rPr>
              <w:t xml:space="preserve"> </w:t>
            </w:r>
            <w:r w:rsidRPr="00934F64">
              <w:rPr>
                <w:sz w:val="18"/>
                <w:szCs w:val="18"/>
                <w:lang w:val="fr-CA" w:eastAsia="en-CA"/>
              </w:rPr>
              <w:t>065</w:t>
            </w:r>
            <w:r w:rsidR="005F4F67">
              <w:rPr>
                <w:sz w:val="18"/>
                <w:szCs w:val="18"/>
                <w:lang w:val="fr-CA" w:eastAsia="en-CA"/>
              </w:rPr>
              <w:t xml:space="preserve"> </w:t>
            </w:r>
            <w:r w:rsidRPr="00934F64">
              <w:rPr>
                <w:sz w:val="18"/>
                <w:szCs w:val="18"/>
                <w:lang w:val="fr-CA" w:eastAsia="en-CA"/>
              </w:rPr>
              <w:t>461</w:t>
            </w:r>
          </w:p>
        </w:tc>
        <w:tc>
          <w:tcPr>
            <w:tcW w:w="892" w:type="dxa"/>
            <w:tcBorders>
              <w:top w:val="single" w:sz="4" w:space="0" w:color="auto"/>
              <w:left w:val="nil"/>
              <w:bottom w:val="single" w:sz="4" w:space="0" w:color="auto"/>
              <w:right w:val="single" w:sz="4" w:space="0" w:color="auto"/>
            </w:tcBorders>
            <w:shd w:val="clear" w:color="auto" w:fill="auto"/>
            <w:noWrap/>
            <w:hideMark/>
          </w:tcPr>
          <w:p w14:paraId="171295B6" w14:textId="77777777" w:rsidR="001D510D" w:rsidRPr="00934F64" w:rsidRDefault="001D510D" w:rsidP="001D510D">
            <w:pPr>
              <w:jc w:val="right"/>
              <w:rPr>
                <w:sz w:val="18"/>
                <w:szCs w:val="18"/>
                <w:lang w:val="fr-CA" w:eastAsia="en-CA"/>
              </w:rPr>
            </w:pPr>
            <w:r w:rsidRPr="00934F64">
              <w:rPr>
                <w:sz w:val="18"/>
                <w:szCs w:val="18"/>
                <w:lang w:val="fr-CA" w:eastAsia="en-CA"/>
              </w:rPr>
              <w:t>18</w:t>
            </w:r>
          </w:p>
        </w:tc>
        <w:tc>
          <w:tcPr>
            <w:tcW w:w="919" w:type="dxa"/>
            <w:tcBorders>
              <w:top w:val="single" w:sz="4" w:space="0" w:color="auto"/>
              <w:left w:val="nil"/>
              <w:bottom w:val="single" w:sz="4" w:space="0" w:color="auto"/>
              <w:right w:val="single" w:sz="4" w:space="0" w:color="auto"/>
            </w:tcBorders>
            <w:shd w:val="clear" w:color="auto" w:fill="auto"/>
            <w:noWrap/>
            <w:hideMark/>
          </w:tcPr>
          <w:p w14:paraId="3F0627A1" w14:textId="77777777" w:rsidR="001D510D" w:rsidRPr="00934F64" w:rsidRDefault="001D510D" w:rsidP="001D510D">
            <w:pPr>
              <w:jc w:val="right"/>
              <w:rPr>
                <w:sz w:val="18"/>
                <w:szCs w:val="18"/>
                <w:lang w:val="fr-CA" w:eastAsia="en-CA"/>
              </w:rPr>
            </w:pPr>
            <w:r w:rsidRPr="00934F64">
              <w:rPr>
                <w:sz w:val="18"/>
                <w:szCs w:val="18"/>
                <w:lang w:val="fr-CA" w:eastAsia="en-CA"/>
              </w:rPr>
              <w:t>47</w:t>
            </w:r>
          </w:p>
        </w:tc>
        <w:tc>
          <w:tcPr>
            <w:tcW w:w="1045" w:type="dxa"/>
            <w:tcBorders>
              <w:top w:val="single" w:sz="4" w:space="0" w:color="auto"/>
              <w:left w:val="nil"/>
              <w:bottom w:val="single" w:sz="4" w:space="0" w:color="auto"/>
              <w:right w:val="single" w:sz="4" w:space="0" w:color="auto"/>
            </w:tcBorders>
            <w:shd w:val="clear" w:color="auto" w:fill="auto"/>
            <w:noWrap/>
            <w:hideMark/>
          </w:tcPr>
          <w:p w14:paraId="6A2B3463" w14:textId="77777777" w:rsidR="001D510D" w:rsidRPr="00934F64" w:rsidRDefault="001D510D" w:rsidP="001D510D">
            <w:pPr>
              <w:jc w:val="right"/>
              <w:rPr>
                <w:sz w:val="18"/>
                <w:szCs w:val="18"/>
                <w:lang w:val="fr-CA" w:eastAsia="en-CA"/>
              </w:rPr>
            </w:pPr>
            <w:r w:rsidRPr="00934F64">
              <w:rPr>
                <w:sz w:val="18"/>
                <w:szCs w:val="18"/>
                <w:lang w:val="fr-CA" w:eastAsia="en-CA"/>
              </w:rPr>
              <w:t>37</w:t>
            </w:r>
          </w:p>
        </w:tc>
        <w:tc>
          <w:tcPr>
            <w:tcW w:w="1144" w:type="dxa"/>
            <w:tcBorders>
              <w:top w:val="single" w:sz="4" w:space="0" w:color="auto"/>
              <w:left w:val="nil"/>
              <w:bottom w:val="single" w:sz="4" w:space="0" w:color="auto"/>
              <w:right w:val="single" w:sz="4" w:space="0" w:color="auto"/>
            </w:tcBorders>
            <w:shd w:val="clear" w:color="auto" w:fill="auto"/>
            <w:noWrap/>
            <w:hideMark/>
          </w:tcPr>
          <w:p w14:paraId="16859F32" w14:textId="77777777" w:rsidR="001D510D" w:rsidRPr="00934F64" w:rsidRDefault="001D510D" w:rsidP="001D510D">
            <w:pPr>
              <w:jc w:val="right"/>
              <w:rPr>
                <w:sz w:val="18"/>
                <w:szCs w:val="18"/>
                <w:lang w:val="fr-CA" w:eastAsia="en-CA"/>
              </w:rPr>
            </w:pPr>
            <w:r w:rsidRPr="00934F64">
              <w:rPr>
                <w:sz w:val="18"/>
                <w:szCs w:val="18"/>
                <w:lang w:val="fr-CA" w:eastAsia="en-CA"/>
              </w:rPr>
              <w:t>15</w:t>
            </w:r>
          </w:p>
        </w:tc>
        <w:tc>
          <w:tcPr>
            <w:tcW w:w="1117" w:type="dxa"/>
            <w:tcBorders>
              <w:top w:val="single" w:sz="4" w:space="0" w:color="auto"/>
              <w:left w:val="nil"/>
              <w:bottom w:val="single" w:sz="4" w:space="0" w:color="auto"/>
              <w:right w:val="single" w:sz="4" w:space="0" w:color="auto"/>
            </w:tcBorders>
            <w:shd w:val="clear" w:color="auto" w:fill="auto"/>
            <w:noWrap/>
            <w:hideMark/>
          </w:tcPr>
          <w:p w14:paraId="1F3903DA" w14:textId="77777777" w:rsidR="001D510D" w:rsidRPr="00934F64" w:rsidRDefault="001D510D" w:rsidP="001D510D">
            <w:pPr>
              <w:jc w:val="right"/>
              <w:rPr>
                <w:sz w:val="18"/>
                <w:szCs w:val="18"/>
                <w:lang w:val="fr-CA" w:eastAsia="en-CA"/>
              </w:rPr>
            </w:pPr>
            <w:r w:rsidRPr="00934F64">
              <w:rPr>
                <w:sz w:val="18"/>
                <w:szCs w:val="18"/>
                <w:lang w:val="fr-CA" w:eastAsia="en-CA"/>
              </w:rPr>
              <w:t>34</w:t>
            </w:r>
          </w:p>
        </w:tc>
        <w:tc>
          <w:tcPr>
            <w:tcW w:w="1236" w:type="dxa"/>
            <w:gridSpan w:val="2"/>
            <w:tcBorders>
              <w:top w:val="single" w:sz="4" w:space="0" w:color="auto"/>
              <w:left w:val="nil"/>
              <w:bottom w:val="single" w:sz="4" w:space="0" w:color="auto"/>
              <w:right w:val="single" w:sz="4" w:space="0" w:color="auto"/>
            </w:tcBorders>
            <w:shd w:val="clear" w:color="auto" w:fill="auto"/>
            <w:noWrap/>
            <w:hideMark/>
          </w:tcPr>
          <w:p w14:paraId="69558EFF" w14:textId="77777777" w:rsidR="001D510D" w:rsidRPr="00934F64" w:rsidRDefault="001D510D" w:rsidP="001D510D">
            <w:pPr>
              <w:jc w:val="right"/>
              <w:rPr>
                <w:sz w:val="18"/>
                <w:szCs w:val="18"/>
                <w:lang w:val="fr-CA" w:eastAsia="en-CA"/>
              </w:rPr>
            </w:pPr>
            <w:r w:rsidRPr="00934F64">
              <w:rPr>
                <w:sz w:val="18"/>
                <w:szCs w:val="18"/>
                <w:lang w:val="fr-CA" w:eastAsia="en-CA"/>
              </w:rPr>
              <w:t>8</w:t>
            </w:r>
          </w:p>
        </w:tc>
      </w:tr>
      <w:tr w:rsidR="001D510D" w:rsidRPr="00934F64" w14:paraId="2F57B673"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219BBF7" w14:textId="2501181D" w:rsidR="001D510D" w:rsidRPr="00934F64" w:rsidRDefault="001D510D" w:rsidP="001D510D">
            <w:pPr>
              <w:jc w:val="left"/>
              <w:rPr>
                <w:sz w:val="18"/>
                <w:szCs w:val="18"/>
                <w:lang w:val="fr-CA" w:eastAsia="en-CA"/>
              </w:rPr>
            </w:pPr>
            <w:r>
              <w:rPr>
                <w:sz w:val="18"/>
                <w:szCs w:val="18"/>
                <w:lang w:val="fr-CA" w:eastAsia="en-CA"/>
              </w:rPr>
              <w:t>Asie et Pacifique</w:t>
            </w:r>
          </w:p>
        </w:tc>
        <w:tc>
          <w:tcPr>
            <w:tcW w:w="856" w:type="dxa"/>
            <w:tcBorders>
              <w:top w:val="nil"/>
              <w:left w:val="nil"/>
              <w:bottom w:val="single" w:sz="4" w:space="0" w:color="auto"/>
              <w:right w:val="single" w:sz="4" w:space="0" w:color="auto"/>
            </w:tcBorders>
            <w:shd w:val="clear" w:color="auto" w:fill="auto"/>
            <w:noWrap/>
            <w:hideMark/>
          </w:tcPr>
          <w:p w14:paraId="104CCC7F" w14:textId="77777777" w:rsidR="001D510D" w:rsidRPr="00934F64" w:rsidRDefault="001D510D" w:rsidP="001D510D">
            <w:pPr>
              <w:jc w:val="right"/>
              <w:rPr>
                <w:sz w:val="18"/>
                <w:szCs w:val="18"/>
                <w:lang w:val="fr-CA" w:eastAsia="en-CA"/>
              </w:rPr>
            </w:pPr>
            <w:r w:rsidRPr="00934F64">
              <w:rPr>
                <w:sz w:val="18"/>
                <w:szCs w:val="18"/>
                <w:lang w:val="fr-CA" w:eastAsia="en-CA"/>
              </w:rPr>
              <w:t>180</w:t>
            </w:r>
          </w:p>
        </w:tc>
        <w:tc>
          <w:tcPr>
            <w:tcW w:w="1216" w:type="dxa"/>
            <w:tcBorders>
              <w:top w:val="nil"/>
              <w:left w:val="nil"/>
              <w:bottom w:val="single" w:sz="4" w:space="0" w:color="auto"/>
              <w:right w:val="single" w:sz="4" w:space="0" w:color="auto"/>
            </w:tcBorders>
            <w:shd w:val="clear" w:color="auto" w:fill="auto"/>
            <w:noWrap/>
            <w:hideMark/>
          </w:tcPr>
          <w:p w14:paraId="6D4DEED6" w14:textId="68C611FA" w:rsidR="001D510D" w:rsidRPr="00934F64" w:rsidRDefault="001D510D" w:rsidP="001D510D">
            <w:pPr>
              <w:jc w:val="right"/>
              <w:rPr>
                <w:sz w:val="18"/>
                <w:szCs w:val="18"/>
                <w:lang w:val="fr-CA" w:eastAsia="en-CA"/>
              </w:rPr>
            </w:pPr>
            <w:r w:rsidRPr="00934F64">
              <w:rPr>
                <w:sz w:val="18"/>
                <w:szCs w:val="18"/>
                <w:lang w:val="fr-CA" w:eastAsia="en-CA"/>
              </w:rPr>
              <w:t>36</w:t>
            </w:r>
            <w:r w:rsidR="005F4F67">
              <w:rPr>
                <w:sz w:val="18"/>
                <w:szCs w:val="18"/>
                <w:lang w:val="fr-CA" w:eastAsia="en-CA"/>
              </w:rPr>
              <w:t xml:space="preserve"> </w:t>
            </w:r>
            <w:r w:rsidRPr="00934F64">
              <w:rPr>
                <w:sz w:val="18"/>
                <w:szCs w:val="18"/>
                <w:lang w:val="fr-CA" w:eastAsia="en-CA"/>
              </w:rPr>
              <w:t>612</w:t>
            </w:r>
            <w:r w:rsidR="005F4F67">
              <w:rPr>
                <w:sz w:val="18"/>
                <w:szCs w:val="18"/>
                <w:lang w:val="fr-CA" w:eastAsia="en-CA"/>
              </w:rPr>
              <w:t xml:space="preserve"> </w:t>
            </w:r>
            <w:r w:rsidRPr="00934F64">
              <w:rPr>
                <w:sz w:val="18"/>
                <w:szCs w:val="18"/>
                <w:lang w:val="fr-CA" w:eastAsia="en-CA"/>
              </w:rPr>
              <w:t>607</w:t>
            </w:r>
          </w:p>
        </w:tc>
        <w:tc>
          <w:tcPr>
            <w:tcW w:w="892" w:type="dxa"/>
            <w:tcBorders>
              <w:top w:val="nil"/>
              <w:left w:val="nil"/>
              <w:bottom w:val="single" w:sz="4" w:space="0" w:color="auto"/>
              <w:right w:val="single" w:sz="4" w:space="0" w:color="auto"/>
            </w:tcBorders>
            <w:shd w:val="clear" w:color="auto" w:fill="auto"/>
            <w:noWrap/>
            <w:hideMark/>
          </w:tcPr>
          <w:p w14:paraId="61D08B9D" w14:textId="77777777" w:rsidR="001D510D" w:rsidRPr="00934F64" w:rsidRDefault="001D510D" w:rsidP="001D510D">
            <w:pPr>
              <w:jc w:val="right"/>
              <w:rPr>
                <w:sz w:val="18"/>
                <w:szCs w:val="18"/>
                <w:lang w:val="fr-CA" w:eastAsia="en-CA"/>
              </w:rPr>
            </w:pPr>
            <w:r w:rsidRPr="00934F64">
              <w:rPr>
                <w:sz w:val="18"/>
                <w:szCs w:val="18"/>
                <w:lang w:val="fr-CA" w:eastAsia="en-CA"/>
              </w:rPr>
              <w:t>25</w:t>
            </w:r>
          </w:p>
        </w:tc>
        <w:tc>
          <w:tcPr>
            <w:tcW w:w="919" w:type="dxa"/>
            <w:tcBorders>
              <w:top w:val="nil"/>
              <w:left w:val="nil"/>
              <w:bottom w:val="single" w:sz="4" w:space="0" w:color="auto"/>
              <w:right w:val="single" w:sz="4" w:space="0" w:color="auto"/>
            </w:tcBorders>
            <w:shd w:val="clear" w:color="auto" w:fill="auto"/>
            <w:noWrap/>
            <w:hideMark/>
          </w:tcPr>
          <w:p w14:paraId="1888FA40" w14:textId="77777777" w:rsidR="001D510D" w:rsidRPr="00934F64" w:rsidRDefault="001D510D" w:rsidP="001D510D">
            <w:pPr>
              <w:jc w:val="right"/>
              <w:rPr>
                <w:sz w:val="18"/>
                <w:szCs w:val="18"/>
                <w:lang w:val="fr-CA" w:eastAsia="en-CA"/>
              </w:rPr>
            </w:pPr>
            <w:r w:rsidRPr="00934F64">
              <w:rPr>
                <w:sz w:val="18"/>
                <w:szCs w:val="18"/>
                <w:lang w:val="fr-CA" w:eastAsia="en-CA"/>
              </w:rPr>
              <w:t>92</w:t>
            </w:r>
          </w:p>
        </w:tc>
        <w:tc>
          <w:tcPr>
            <w:tcW w:w="1045" w:type="dxa"/>
            <w:tcBorders>
              <w:top w:val="nil"/>
              <w:left w:val="nil"/>
              <w:bottom w:val="single" w:sz="4" w:space="0" w:color="auto"/>
              <w:right w:val="single" w:sz="4" w:space="0" w:color="auto"/>
            </w:tcBorders>
            <w:shd w:val="clear" w:color="auto" w:fill="auto"/>
            <w:noWrap/>
            <w:hideMark/>
          </w:tcPr>
          <w:p w14:paraId="59F53886" w14:textId="77777777" w:rsidR="001D510D" w:rsidRPr="00934F64" w:rsidRDefault="001D510D" w:rsidP="001D510D">
            <w:pPr>
              <w:jc w:val="right"/>
              <w:rPr>
                <w:sz w:val="18"/>
                <w:szCs w:val="18"/>
                <w:lang w:val="fr-CA" w:eastAsia="en-CA"/>
              </w:rPr>
            </w:pPr>
            <w:r w:rsidRPr="00934F64">
              <w:rPr>
                <w:sz w:val="18"/>
                <w:szCs w:val="18"/>
                <w:lang w:val="fr-CA" w:eastAsia="en-CA"/>
              </w:rPr>
              <w:t>51</w:t>
            </w:r>
          </w:p>
        </w:tc>
        <w:tc>
          <w:tcPr>
            <w:tcW w:w="1144" w:type="dxa"/>
            <w:tcBorders>
              <w:top w:val="nil"/>
              <w:left w:val="nil"/>
              <w:bottom w:val="single" w:sz="4" w:space="0" w:color="auto"/>
              <w:right w:val="single" w:sz="4" w:space="0" w:color="auto"/>
            </w:tcBorders>
            <w:shd w:val="clear" w:color="auto" w:fill="auto"/>
            <w:noWrap/>
            <w:hideMark/>
          </w:tcPr>
          <w:p w14:paraId="2F864D43" w14:textId="77777777" w:rsidR="001D510D" w:rsidRPr="00934F64" w:rsidRDefault="001D510D" w:rsidP="001D510D">
            <w:pPr>
              <w:jc w:val="right"/>
              <w:rPr>
                <w:sz w:val="18"/>
                <w:szCs w:val="18"/>
                <w:lang w:val="fr-CA" w:eastAsia="en-CA"/>
              </w:rPr>
            </w:pPr>
            <w:r w:rsidRPr="00934F64">
              <w:rPr>
                <w:sz w:val="18"/>
                <w:szCs w:val="18"/>
                <w:lang w:val="fr-CA" w:eastAsia="en-CA"/>
              </w:rPr>
              <w:t>11</w:t>
            </w:r>
          </w:p>
        </w:tc>
        <w:tc>
          <w:tcPr>
            <w:tcW w:w="1117" w:type="dxa"/>
            <w:tcBorders>
              <w:top w:val="nil"/>
              <w:left w:val="nil"/>
              <w:bottom w:val="single" w:sz="4" w:space="0" w:color="auto"/>
              <w:right w:val="single" w:sz="4" w:space="0" w:color="auto"/>
            </w:tcBorders>
            <w:shd w:val="clear" w:color="auto" w:fill="auto"/>
            <w:noWrap/>
            <w:hideMark/>
          </w:tcPr>
          <w:p w14:paraId="4E4EE259" w14:textId="77777777" w:rsidR="001D510D" w:rsidRPr="00934F64" w:rsidRDefault="001D510D" w:rsidP="001D510D">
            <w:pPr>
              <w:jc w:val="right"/>
              <w:rPr>
                <w:sz w:val="18"/>
                <w:szCs w:val="18"/>
                <w:lang w:val="fr-CA" w:eastAsia="en-CA"/>
              </w:rPr>
            </w:pPr>
            <w:r w:rsidRPr="00934F64">
              <w:rPr>
                <w:sz w:val="18"/>
                <w:szCs w:val="18"/>
                <w:lang w:val="fr-CA" w:eastAsia="en-CA"/>
              </w:rPr>
              <w:t>42</w:t>
            </w:r>
          </w:p>
        </w:tc>
        <w:tc>
          <w:tcPr>
            <w:tcW w:w="1236" w:type="dxa"/>
            <w:gridSpan w:val="2"/>
            <w:tcBorders>
              <w:top w:val="nil"/>
              <w:left w:val="nil"/>
              <w:bottom w:val="single" w:sz="4" w:space="0" w:color="auto"/>
              <w:right w:val="single" w:sz="4" w:space="0" w:color="auto"/>
            </w:tcBorders>
            <w:shd w:val="clear" w:color="auto" w:fill="auto"/>
            <w:noWrap/>
            <w:hideMark/>
          </w:tcPr>
          <w:p w14:paraId="434E5676" w14:textId="77777777" w:rsidR="001D510D" w:rsidRPr="00934F64" w:rsidRDefault="001D510D" w:rsidP="001D510D">
            <w:pPr>
              <w:jc w:val="right"/>
              <w:rPr>
                <w:sz w:val="18"/>
                <w:szCs w:val="18"/>
                <w:lang w:val="fr-CA" w:eastAsia="en-CA"/>
              </w:rPr>
            </w:pPr>
            <w:r w:rsidRPr="00934F64">
              <w:rPr>
                <w:sz w:val="18"/>
                <w:szCs w:val="18"/>
                <w:lang w:val="fr-CA" w:eastAsia="en-CA"/>
              </w:rPr>
              <w:t>12</w:t>
            </w:r>
          </w:p>
        </w:tc>
      </w:tr>
      <w:tr w:rsidR="001D510D" w:rsidRPr="00934F64" w14:paraId="3D3327BE"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52FF1B7D" w14:textId="3CAE97DB" w:rsidR="001D510D" w:rsidRPr="00934F64" w:rsidRDefault="001D510D" w:rsidP="001D510D">
            <w:pPr>
              <w:jc w:val="left"/>
              <w:rPr>
                <w:sz w:val="18"/>
                <w:szCs w:val="18"/>
                <w:lang w:val="fr-CA" w:eastAsia="en-CA"/>
              </w:rPr>
            </w:pPr>
            <w:r w:rsidRPr="00EF62E4">
              <w:rPr>
                <w:sz w:val="18"/>
                <w:szCs w:val="18"/>
                <w:lang w:val="fr-CA" w:eastAsia="en-CA"/>
              </w:rPr>
              <w:t>Europe</w:t>
            </w:r>
          </w:p>
        </w:tc>
        <w:tc>
          <w:tcPr>
            <w:tcW w:w="856" w:type="dxa"/>
            <w:tcBorders>
              <w:top w:val="nil"/>
              <w:left w:val="nil"/>
              <w:bottom w:val="single" w:sz="4" w:space="0" w:color="auto"/>
              <w:right w:val="single" w:sz="4" w:space="0" w:color="auto"/>
            </w:tcBorders>
            <w:shd w:val="clear" w:color="auto" w:fill="auto"/>
            <w:noWrap/>
            <w:hideMark/>
          </w:tcPr>
          <w:p w14:paraId="1FCE6FB7" w14:textId="77777777" w:rsidR="001D510D" w:rsidRPr="00934F64" w:rsidRDefault="001D510D" w:rsidP="001D510D">
            <w:pPr>
              <w:jc w:val="right"/>
              <w:rPr>
                <w:sz w:val="18"/>
                <w:szCs w:val="18"/>
                <w:lang w:val="fr-CA" w:eastAsia="en-CA"/>
              </w:rPr>
            </w:pPr>
            <w:r w:rsidRPr="00934F64">
              <w:rPr>
                <w:sz w:val="18"/>
                <w:szCs w:val="18"/>
                <w:lang w:val="fr-CA" w:eastAsia="en-CA"/>
              </w:rPr>
              <w:t>27</w:t>
            </w:r>
          </w:p>
        </w:tc>
        <w:tc>
          <w:tcPr>
            <w:tcW w:w="1216" w:type="dxa"/>
            <w:tcBorders>
              <w:top w:val="nil"/>
              <w:left w:val="nil"/>
              <w:bottom w:val="single" w:sz="4" w:space="0" w:color="auto"/>
              <w:right w:val="single" w:sz="4" w:space="0" w:color="auto"/>
            </w:tcBorders>
            <w:shd w:val="clear" w:color="auto" w:fill="auto"/>
            <w:noWrap/>
            <w:hideMark/>
          </w:tcPr>
          <w:p w14:paraId="4DA08922" w14:textId="69AA874F" w:rsidR="001D510D" w:rsidRPr="00934F64" w:rsidRDefault="001D510D" w:rsidP="001D510D">
            <w:pPr>
              <w:jc w:val="right"/>
              <w:rPr>
                <w:sz w:val="18"/>
                <w:szCs w:val="18"/>
                <w:lang w:val="fr-CA" w:eastAsia="en-CA"/>
              </w:rPr>
            </w:pPr>
            <w:r w:rsidRPr="00934F64">
              <w:rPr>
                <w:sz w:val="18"/>
                <w:szCs w:val="18"/>
                <w:lang w:val="fr-CA" w:eastAsia="en-CA"/>
              </w:rPr>
              <w:t>2</w:t>
            </w:r>
            <w:r w:rsidR="005F4F67">
              <w:rPr>
                <w:sz w:val="18"/>
                <w:szCs w:val="18"/>
                <w:lang w:val="fr-CA" w:eastAsia="en-CA"/>
              </w:rPr>
              <w:t xml:space="preserve"> </w:t>
            </w:r>
            <w:r w:rsidRPr="00934F64">
              <w:rPr>
                <w:sz w:val="18"/>
                <w:szCs w:val="18"/>
                <w:lang w:val="fr-CA" w:eastAsia="en-CA"/>
              </w:rPr>
              <w:t>669</w:t>
            </w:r>
            <w:r w:rsidR="005F4F67">
              <w:rPr>
                <w:sz w:val="18"/>
                <w:szCs w:val="18"/>
                <w:lang w:val="fr-CA" w:eastAsia="en-CA"/>
              </w:rPr>
              <w:t xml:space="preserve"> </w:t>
            </w:r>
            <w:r w:rsidRPr="00934F64">
              <w:rPr>
                <w:sz w:val="18"/>
                <w:szCs w:val="18"/>
                <w:lang w:val="fr-CA" w:eastAsia="en-CA"/>
              </w:rPr>
              <w:t>826</w:t>
            </w:r>
          </w:p>
        </w:tc>
        <w:tc>
          <w:tcPr>
            <w:tcW w:w="892" w:type="dxa"/>
            <w:tcBorders>
              <w:top w:val="nil"/>
              <w:left w:val="nil"/>
              <w:bottom w:val="single" w:sz="4" w:space="0" w:color="auto"/>
              <w:right w:val="single" w:sz="4" w:space="0" w:color="auto"/>
            </w:tcBorders>
            <w:shd w:val="clear" w:color="auto" w:fill="auto"/>
            <w:noWrap/>
            <w:hideMark/>
          </w:tcPr>
          <w:p w14:paraId="22B9CC66" w14:textId="77777777" w:rsidR="001D510D" w:rsidRPr="00934F64" w:rsidRDefault="001D510D" w:rsidP="001D510D">
            <w:pPr>
              <w:jc w:val="right"/>
              <w:rPr>
                <w:sz w:val="18"/>
                <w:szCs w:val="18"/>
                <w:lang w:val="fr-CA" w:eastAsia="en-CA"/>
              </w:rPr>
            </w:pPr>
            <w:r w:rsidRPr="00934F64">
              <w:rPr>
                <w:sz w:val="18"/>
                <w:szCs w:val="18"/>
                <w:lang w:val="fr-CA" w:eastAsia="en-CA"/>
              </w:rPr>
              <w:t>36</w:t>
            </w:r>
          </w:p>
        </w:tc>
        <w:tc>
          <w:tcPr>
            <w:tcW w:w="919" w:type="dxa"/>
            <w:tcBorders>
              <w:top w:val="nil"/>
              <w:left w:val="nil"/>
              <w:bottom w:val="single" w:sz="4" w:space="0" w:color="auto"/>
              <w:right w:val="single" w:sz="4" w:space="0" w:color="auto"/>
            </w:tcBorders>
            <w:shd w:val="clear" w:color="auto" w:fill="auto"/>
            <w:noWrap/>
            <w:hideMark/>
          </w:tcPr>
          <w:p w14:paraId="4CE31FDF" w14:textId="77777777" w:rsidR="001D510D" w:rsidRPr="00934F64" w:rsidRDefault="001D510D" w:rsidP="001D510D">
            <w:pPr>
              <w:jc w:val="right"/>
              <w:rPr>
                <w:sz w:val="18"/>
                <w:szCs w:val="18"/>
                <w:lang w:val="fr-CA" w:eastAsia="en-CA"/>
              </w:rPr>
            </w:pPr>
            <w:r w:rsidRPr="00934F64">
              <w:rPr>
                <w:sz w:val="18"/>
                <w:szCs w:val="18"/>
                <w:lang w:val="fr-CA" w:eastAsia="en-CA"/>
              </w:rPr>
              <w:t>13</w:t>
            </w:r>
          </w:p>
        </w:tc>
        <w:tc>
          <w:tcPr>
            <w:tcW w:w="1045" w:type="dxa"/>
            <w:tcBorders>
              <w:top w:val="nil"/>
              <w:left w:val="nil"/>
              <w:bottom w:val="single" w:sz="4" w:space="0" w:color="auto"/>
              <w:right w:val="single" w:sz="4" w:space="0" w:color="auto"/>
            </w:tcBorders>
            <w:shd w:val="clear" w:color="auto" w:fill="auto"/>
            <w:noWrap/>
            <w:hideMark/>
          </w:tcPr>
          <w:p w14:paraId="404A9E68" w14:textId="77777777" w:rsidR="001D510D" w:rsidRPr="00934F64" w:rsidRDefault="001D510D" w:rsidP="001D510D">
            <w:pPr>
              <w:jc w:val="right"/>
              <w:rPr>
                <w:sz w:val="18"/>
                <w:szCs w:val="18"/>
                <w:lang w:val="fr-CA" w:eastAsia="en-CA"/>
              </w:rPr>
            </w:pPr>
            <w:r w:rsidRPr="00934F64">
              <w:rPr>
                <w:sz w:val="18"/>
                <w:szCs w:val="18"/>
                <w:lang w:val="fr-CA" w:eastAsia="en-CA"/>
              </w:rPr>
              <w:t>48</w:t>
            </w:r>
          </w:p>
        </w:tc>
        <w:tc>
          <w:tcPr>
            <w:tcW w:w="1144" w:type="dxa"/>
            <w:tcBorders>
              <w:top w:val="nil"/>
              <w:left w:val="nil"/>
              <w:bottom w:val="single" w:sz="4" w:space="0" w:color="auto"/>
              <w:right w:val="single" w:sz="4" w:space="0" w:color="auto"/>
            </w:tcBorders>
            <w:shd w:val="clear" w:color="auto" w:fill="auto"/>
            <w:noWrap/>
            <w:hideMark/>
          </w:tcPr>
          <w:p w14:paraId="09ABC0F2" w14:textId="77777777" w:rsidR="001D510D" w:rsidRPr="00934F64" w:rsidRDefault="001D510D" w:rsidP="001D510D">
            <w:pPr>
              <w:jc w:val="right"/>
              <w:rPr>
                <w:sz w:val="18"/>
                <w:szCs w:val="18"/>
                <w:lang w:val="fr-CA" w:eastAsia="en-CA"/>
              </w:rPr>
            </w:pPr>
            <w:r w:rsidRPr="00934F64">
              <w:rPr>
                <w:sz w:val="18"/>
                <w:szCs w:val="18"/>
                <w:lang w:val="fr-CA" w:eastAsia="en-CA"/>
              </w:rPr>
              <w:t>7</w:t>
            </w:r>
          </w:p>
        </w:tc>
        <w:tc>
          <w:tcPr>
            <w:tcW w:w="1117" w:type="dxa"/>
            <w:tcBorders>
              <w:top w:val="nil"/>
              <w:left w:val="nil"/>
              <w:bottom w:val="single" w:sz="4" w:space="0" w:color="auto"/>
              <w:right w:val="single" w:sz="4" w:space="0" w:color="auto"/>
            </w:tcBorders>
            <w:shd w:val="clear" w:color="auto" w:fill="auto"/>
            <w:noWrap/>
            <w:hideMark/>
          </w:tcPr>
          <w:p w14:paraId="1D15AA21" w14:textId="77777777" w:rsidR="001D510D" w:rsidRPr="00934F64" w:rsidRDefault="001D510D" w:rsidP="001D510D">
            <w:pPr>
              <w:jc w:val="right"/>
              <w:rPr>
                <w:sz w:val="18"/>
                <w:szCs w:val="18"/>
                <w:lang w:val="fr-CA" w:eastAsia="en-CA"/>
              </w:rPr>
            </w:pPr>
            <w:r w:rsidRPr="00934F64">
              <w:rPr>
                <w:sz w:val="18"/>
                <w:szCs w:val="18"/>
                <w:lang w:val="fr-CA" w:eastAsia="en-CA"/>
              </w:rPr>
              <w:t>30</w:t>
            </w:r>
          </w:p>
        </w:tc>
        <w:tc>
          <w:tcPr>
            <w:tcW w:w="1236" w:type="dxa"/>
            <w:gridSpan w:val="2"/>
            <w:tcBorders>
              <w:top w:val="nil"/>
              <w:left w:val="nil"/>
              <w:bottom w:val="single" w:sz="4" w:space="0" w:color="auto"/>
              <w:right w:val="single" w:sz="4" w:space="0" w:color="auto"/>
            </w:tcBorders>
            <w:shd w:val="clear" w:color="auto" w:fill="auto"/>
            <w:noWrap/>
            <w:hideMark/>
          </w:tcPr>
          <w:p w14:paraId="632C7FE4" w14:textId="77777777" w:rsidR="001D510D" w:rsidRPr="00934F64" w:rsidRDefault="001D510D" w:rsidP="001D510D">
            <w:pPr>
              <w:jc w:val="right"/>
              <w:rPr>
                <w:sz w:val="18"/>
                <w:szCs w:val="18"/>
                <w:lang w:val="fr-CA" w:eastAsia="en-CA"/>
              </w:rPr>
            </w:pPr>
            <w:r w:rsidRPr="00934F64">
              <w:rPr>
                <w:sz w:val="18"/>
                <w:szCs w:val="18"/>
                <w:lang w:val="fr-CA" w:eastAsia="en-CA"/>
              </w:rPr>
              <w:t>5</w:t>
            </w:r>
          </w:p>
        </w:tc>
      </w:tr>
      <w:tr w:rsidR="001D510D" w:rsidRPr="00934F64" w14:paraId="0D2093D4"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E887CA9" w14:textId="77009913" w:rsidR="001D510D" w:rsidRPr="00934F64" w:rsidRDefault="001D510D" w:rsidP="001D510D">
            <w:pPr>
              <w:jc w:val="left"/>
              <w:rPr>
                <w:sz w:val="18"/>
                <w:szCs w:val="18"/>
                <w:lang w:val="fr-CA" w:eastAsia="en-CA"/>
              </w:rPr>
            </w:pPr>
            <w:r>
              <w:rPr>
                <w:sz w:val="18"/>
                <w:szCs w:val="18"/>
                <w:lang w:val="fr-CA" w:eastAsia="en-CA"/>
              </w:rPr>
              <w:t>Amérique latine et Caraïbes</w:t>
            </w:r>
          </w:p>
        </w:tc>
        <w:tc>
          <w:tcPr>
            <w:tcW w:w="856" w:type="dxa"/>
            <w:tcBorders>
              <w:top w:val="nil"/>
              <w:left w:val="nil"/>
              <w:bottom w:val="single" w:sz="4" w:space="0" w:color="auto"/>
              <w:right w:val="single" w:sz="4" w:space="0" w:color="auto"/>
            </w:tcBorders>
            <w:shd w:val="clear" w:color="auto" w:fill="auto"/>
            <w:noWrap/>
            <w:hideMark/>
          </w:tcPr>
          <w:p w14:paraId="05235B08" w14:textId="77777777" w:rsidR="001D510D" w:rsidRPr="00934F64" w:rsidRDefault="001D510D" w:rsidP="001D510D">
            <w:pPr>
              <w:jc w:val="right"/>
              <w:rPr>
                <w:sz w:val="18"/>
                <w:szCs w:val="18"/>
                <w:lang w:val="fr-CA" w:eastAsia="en-CA"/>
              </w:rPr>
            </w:pPr>
            <w:r w:rsidRPr="00934F64">
              <w:rPr>
                <w:sz w:val="18"/>
                <w:szCs w:val="18"/>
                <w:lang w:val="fr-CA" w:eastAsia="en-CA"/>
              </w:rPr>
              <w:t>109</w:t>
            </w:r>
          </w:p>
        </w:tc>
        <w:tc>
          <w:tcPr>
            <w:tcW w:w="1216" w:type="dxa"/>
            <w:tcBorders>
              <w:top w:val="nil"/>
              <w:left w:val="nil"/>
              <w:bottom w:val="single" w:sz="4" w:space="0" w:color="auto"/>
              <w:right w:val="single" w:sz="4" w:space="0" w:color="auto"/>
            </w:tcBorders>
            <w:shd w:val="clear" w:color="auto" w:fill="auto"/>
            <w:noWrap/>
            <w:hideMark/>
          </w:tcPr>
          <w:p w14:paraId="3867EA4B" w14:textId="3604F96D" w:rsidR="001D510D" w:rsidRPr="00934F64" w:rsidRDefault="001D510D" w:rsidP="001D510D">
            <w:pPr>
              <w:jc w:val="right"/>
              <w:rPr>
                <w:sz w:val="18"/>
                <w:szCs w:val="18"/>
                <w:lang w:val="fr-CA" w:eastAsia="en-CA"/>
              </w:rPr>
            </w:pPr>
            <w:r w:rsidRPr="00934F64">
              <w:rPr>
                <w:sz w:val="18"/>
                <w:szCs w:val="18"/>
                <w:lang w:val="fr-CA" w:eastAsia="en-CA"/>
              </w:rPr>
              <w:t>17</w:t>
            </w:r>
            <w:r w:rsidR="005F4F67">
              <w:rPr>
                <w:sz w:val="18"/>
                <w:szCs w:val="18"/>
                <w:lang w:val="fr-CA" w:eastAsia="en-CA"/>
              </w:rPr>
              <w:t xml:space="preserve"> </w:t>
            </w:r>
            <w:r w:rsidRPr="00934F64">
              <w:rPr>
                <w:sz w:val="18"/>
                <w:szCs w:val="18"/>
                <w:lang w:val="fr-CA" w:eastAsia="en-CA"/>
              </w:rPr>
              <w:t>859</w:t>
            </w:r>
            <w:r w:rsidR="005F4F67">
              <w:rPr>
                <w:sz w:val="18"/>
                <w:szCs w:val="18"/>
                <w:lang w:val="fr-CA" w:eastAsia="en-CA"/>
              </w:rPr>
              <w:t xml:space="preserve"> </w:t>
            </w:r>
            <w:r w:rsidRPr="00934F64">
              <w:rPr>
                <w:sz w:val="18"/>
                <w:szCs w:val="18"/>
                <w:lang w:val="fr-CA" w:eastAsia="en-CA"/>
              </w:rPr>
              <w:t>980</w:t>
            </w:r>
          </w:p>
        </w:tc>
        <w:tc>
          <w:tcPr>
            <w:tcW w:w="892" w:type="dxa"/>
            <w:tcBorders>
              <w:top w:val="nil"/>
              <w:left w:val="nil"/>
              <w:bottom w:val="single" w:sz="4" w:space="0" w:color="auto"/>
              <w:right w:val="single" w:sz="4" w:space="0" w:color="auto"/>
            </w:tcBorders>
            <w:shd w:val="clear" w:color="auto" w:fill="auto"/>
            <w:noWrap/>
            <w:hideMark/>
          </w:tcPr>
          <w:p w14:paraId="0594156B" w14:textId="77777777" w:rsidR="001D510D" w:rsidRPr="00934F64" w:rsidRDefault="001D510D" w:rsidP="001D510D">
            <w:pPr>
              <w:jc w:val="right"/>
              <w:rPr>
                <w:sz w:val="18"/>
                <w:szCs w:val="18"/>
                <w:lang w:val="fr-CA" w:eastAsia="en-CA"/>
              </w:rPr>
            </w:pPr>
            <w:r w:rsidRPr="00934F64">
              <w:rPr>
                <w:sz w:val="18"/>
                <w:szCs w:val="18"/>
                <w:lang w:val="fr-CA" w:eastAsia="en-CA"/>
              </w:rPr>
              <w:t>29</w:t>
            </w:r>
          </w:p>
        </w:tc>
        <w:tc>
          <w:tcPr>
            <w:tcW w:w="919" w:type="dxa"/>
            <w:tcBorders>
              <w:top w:val="nil"/>
              <w:left w:val="nil"/>
              <w:bottom w:val="single" w:sz="4" w:space="0" w:color="auto"/>
              <w:right w:val="single" w:sz="4" w:space="0" w:color="auto"/>
            </w:tcBorders>
            <w:shd w:val="clear" w:color="auto" w:fill="auto"/>
            <w:noWrap/>
            <w:hideMark/>
          </w:tcPr>
          <w:p w14:paraId="1D065901" w14:textId="77777777" w:rsidR="001D510D" w:rsidRPr="00934F64" w:rsidRDefault="001D510D" w:rsidP="001D510D">
            <w:pPr>
              <w:jc w:val="right"/>
              <w:rPr>
                <w:sz w:val="18"/>
                <w:szCs w:val="18"/>
                <w:lang w:val="fr-CA" w:eastAsia="en-CA"/>
              </w:rPr>
            </w:pPr>
            <w:r w:rsidRPr="00934F64">
              <w:rPr>
                <w:sz w:val="18"/>
                <w:szCs w:val="18"/>
                <w:lang w:val="fr-CA" w:eastAsia="en-CA"/>
              </w:rPr>
              <w:t>57</w:t>
            </w:r>
          </w:p>
        </w:tc>
        <w:tc>
          <w:tcPr>
            <w:tcW w:w="1045" w:type="dxa"/>
            <w:tcBorders>
              <w:top w:val="nil"/>
              <w:left w:val="nil"/>
              <w:bottom w:val="single" w:sz="4" w:space="0" w:color="auto"/>
              <w:right w:val="single" w:sz="4" w:space="0" w:color="auto"/>
            </w:tcBorders>
            <w:shd w:val="clear" w:color="auto" w:fill="auto"/>
            <w:noWrap/>
            <w:hideMark/>
          </w:tcPr>
          <w:p w14:paraId="17913882" w14:textId="77777777" w:rsidR="001D510D" w:rsidRPr="00934F64" w:rsidRDefault="001D510D" w:rsidP="001D510D">
            <w:pPr>
              <w:jc w:val="right"/>
              <w:rPr>
                <w:sz w:val="18"/>
                <w:szCs w:val="18"/>
                <w:lang w:val="fr-CA" w:eastAsia="en-CA"/>
              </w:rPr>
            </w:pPr>
            <w:r w:rsidRPr="00934F64">
              <w:rPr>
                <w:sz w:val="18"/>
                <w:szCs w:val="18"/>
                <w:lang w:val="fr-CA" w:eastAsia="en-CA"/>
              </w:rPr>
              <w:t>52</w:t>
            </w:r>
          </w:p>
        </w:tc>
        <w:tc>
          <w:tcPr>
            <w:tcW w:w="1144" w:type="dxa"/>
            <w:tcBorders>
              <w:top w:val="nil"/>
              <w:left w:val="nil"/>
              <w:bottom w:val="single" w:sz="4" w:space="0" w:color="auto"/>
              <w:right w:val="single" w:sz="4" w:space="0" w:color="auto"/>
            </w:tcBorders>
            <w:shd w:val="clear" w:color="auto" w:fill="auto"/>
            <w:noWrap/>
            <w:hideMark/>
          </w:tcPr>
          <w:p w14:paraId="39318F18" w14:textId="77777777" w:rsidR="001D510D" w:rsidRPr="00934F64" w:rsidRDefault="001D510D" w:rsidP="001D510D">
            <w:pPr>
              <w:jc w:val="right"/>
              <w:rPr>
                <w:sz w:val="18"/>
                <w:szCs w:val="18"/>
                <w:lang w:val="fr-CA" w:eastAsia="en-CA"/>
              </w:rPr>
            </w:pPr>
            <w:r w:rsidRPr="00934F64">
              <w:rPr>
                <w:sz w:val="18"/>
                <w:szCs w:val="18"/>
                <w:lang w:val="fr-CA" w:eastAsia="en-CA"/>
              </w:rPr>
              <w:t>13</w:t>
            </w:r>
          </w:p>
        </w:tc>
        <w:tc>
          <w:tcPr>
            <w:tcW w:w="1117" w:type="dxa"/>
            <w:tcBorders>
              <w:top w:val="nil"/>
              <w:left w:val="nil"/>
              <w:bottom w:val="single" w:sz="4" w:space="0" w:color="auto"/>
              <w:right w:val="single" w:sz="4" w:space="0" w:color="auto"/>
            </w:tcBorders>
            <w:shd w:val="clear" w:color="auto" w:fill="auto"/>
            <w:noWrap/>
            <w:hideMark/>
          </w:tcPr>
          <w:p w14:paraId="3D4B6A94" w14:textId="77777777" w:rsidR="001D510D" w:rsidRPr="00934F64" w:rsidRDefault="001D510D" w:rsidP="001D510D">
            <w:pPr>
              <w:jc w:val="right"/>
              <w:rPr>
                <w:sz w:val="18"/>
                <w:szCs w:val="18"/>
                <w:lang w:val="fr-CA" w:eastAsia="en-CA"/>
              </w:rPr>
            </w:pPr>
            <w:r w:rsidRPr="00934F64">
              <w:rPr>
                <w:sz w:val="18"/>
                <w:szCs w:val="18"/>
                <w:lang w:val="fr-CA" w:eastAsia="en-CA"/>
              </w:rPr>
              <w:t>40</w:t>
            </w:r>
          </w:p>
        </w:tc>
        <w:tc>
          <w:tcPr>
            <w:tcW w:w="1236" w:type="dxa"/>
            <w:gridSpan w:val="2"/>
            <w:tcBorders>
              <w:top w:val="nil"/>
              <w:left w:val="nil"/>
              <w:bottom w:val="single" w:sz="4" w:space="0" w:color="auto"/>
              <w:right w:val="single" w:sz="4" w:space="0" w:color="auto"/>
            </w:tcBorders>
            <w:shd w:val="clear" w:color="auto" w:fill="auto"/>
            <w:noWrap/>
            <w:hideMark/>
          </w:tcPr>
          <w:p w14:paraId="114487F6" w14:textId="77777777" w:rsidR="001D510D" w:rsidRPr="00934F64" w:rsidRDefault="001D510D" w:rsidP="001D510D">
            <w:pPr>
              <w:jc w:val="right"/>
              <w:rPr>
                <w:sz w:val="18"/>
                <w:szCs w:val="18"/>
                <w:lang w:val="fr-CA" w:eastAsia="en-CA"/>
              </w:rPr>
            </w:pPr>
            <w:r w:rsidRPr="00934F64">
              <w:rPr>
                <w:sz w:val="18"/>
                <w:szCs w:val="18"/>
                <w:lang w:val="fr-CA" w:eastAsia="en-CA"/>
              </w:rPr>
              <w:t>13</w:t>
            </w:r>
          </w:p>
        </w:tc>
      </w:tr>
      <w:tr w:rsidR="001D510D" w:rsidRPr="00934F64" w14:paraId="4753AB2E"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5D3ECFB" w14:textId="51677447" w:rsidR="001D510D" w:rsidRPr="00934F64" w:rsidRDefault="001D510D" w:rsidP="001D510D">
            <w:pPr>
              <w:jc w:val="left"/>
              <w:rPr>
                <w:sz w:val="18"/>
                <w:szCs w:val="18"/>
                <w:lang w:val="fr-CA" w:eastAsia="en-CA"/>
              </w:rPr>
            </w:pPr>
            <w:r>
              <w:rPr>
                <w:sz w:val="18"/>
                <w:szCs w:val="18"/>
                <w:lang w:val="fr-CA" w:eastAsia="en-CA"/>
              </w:rPr>
              <w:t>Mondial</w:t>
            </w:r>
          </w:p>
        </w:tc>
        <w:tc>
          <w:tcPr>
            <w:tcW w:w="856" w:type="dxa"/>
            <w:tcBorders>
              <w:top w:val="nil"/>
              <w:left w:val="nil"/>
              <w:bottom w:val="single" w:sz="4" w:space="0" w:color="auto"/>
              <w:right w:val="single" w:sz="4" w:space="0" w:color="auto"/>
            </w:tcBorders>
            <w:shd w:val="clear" w:color="auto" w:fill="auto"/>
            <w:noWrap/>
            <w:hideMark/>
          </w:tcPr>
          <w:p w14:paraId="1E371F2B" w14:textId="77777777" w:rsidR="001D510D" w:rsidRPr="00934F64" w:rsidRDefault="001D510D" w:rsidP="001D510D">
            <w:pPr>
              <w:jc w:val="right"/>
              <w:rPr>
                <w:sz w:val="18"/>
                <w:szCs w:val="18"/>
                <w:lang w:val="fr-CA" w:eastAsia="en-CA"/>
              </w:rPr>
            </w:pPr>
            <w:r w:rsidRPr="00934F64">
              <w:rPr>
                <w:sz w:val="18"/>
                <w:szCs w:val="18"/>
                <w:lang w:val="fr-CA" w:eastAsia="en-CA"/>
              </w:rPr>
              <w:t>5</w:t>
            </w:r>
          </w:p>
        </w:tc>
        <w:tc>
          <w:tcPr>
            <w:tcW w:w="1216" w:type="dxa"/>
            <w:tcBorders>
              <w:top w:val="nil"/>
              <w:left w:val="nil"/>
              <w:bottom w:val="single" w:sz="4" w:space="0" w:color="auto"/>
              <w:right w:val="single" w:sz="4" w:space="0" w:color="auto"/>
            </w:tcBorders>
            <w:shd w:val="clear" w:color="auto" w:fill="auto"/>
            <w:noWrap/>
            <w:hideMark/>
          </w:tcPr>
          <w:p w14:paraId="43B3811F" w14:textId="5A30DBA1" w:rsidR="001D510D" w:rsidRPr="00934F64" w:rsidRDefault="001D510D" w:rsidP="001D510D">
            <w:pPr>
              <w:jc w:val="right"/>
              <w:rPr>
                <w:sz w:val="18"/>
                <w:szCs w:val="18"/>
                <w:lang w:val="fr-CA" w:eastAsia="en-CA"/>
              </w:rPr>
            </w:pPr>
            <w:r w:rsidRPr="00934F64">
              <w:rPr>
                <w:sz w:val="18"/>
                <w:szCs w:val="18"/>
                <w:lang w:val="fr-CA" w:eastAsia="en-CA"/>
              </w:rPr>
              <w:t>10</w:t>
            </w:r>
            <w:r w:rsidR="005F4F67">
              <w:rPr>
                <w:sz w:val="18"/>
                <w:szCs w:val="18"/>
                <w:lang w:val="fr-CA" w:eastAsia="en-CA"/>
              </w:rPr>
              <w:t xml:space="preserve"> </w:t>
            </w:r>
            <w:r w:rsidRPr="00934F64">
              <w:rPr>
                <w:sz w:val="18"/>
                <w:szCs w:val="18"/>
                <w:lang w:val="fr-CA" w:eastAsia="en-CA"/>
              </w:rPr>
              <w:t>782</w:t>
            </w:r>
            <w:r w:rsidR="005F4F67">
              <w:rPr>
                <w:sz w:val="18"/>
                <w:szCs w:val="18"/>
                <w:lang w:val="fr-CA" w:eastAsia="en-CA"/>
              </w:rPr>
              <w:t xml:space="preserve"> </w:t>
            </w:r>
            <w:r w:rsidRPr="00934F64">
              <w:rPr>
                <w:sz w:val="18"/>
                <w:szCs w:val="18"/>
                <w:lang w:val="fr-CA" w:eastAsia="en-CA"/>
              </w:rPr>
              <w:t>438</w:t>
            </w:r>
          </w:p>
        </w:tc>
        <w:tc>
          <w:tcPr>
            <w:tcW w:w="892" w:type="dxa"/>
            <w:tcBorders>
              <w:top w:val="nil"/>
              <w:left w:val="nil"/>
              <w:bottom w:val="single" w:sz="4" w:space="0" w:color="auto"/>
              <w:right w:val="single" w:sz="4" w:space="0" w:color="auto"/>
            </w:tcBorders>
            <w:shd w:val="clear" w:color="auto" w:fill="auto"/>
            <w:noWrap/>
            <w:hideMark/>
          </w:tcPr>
          <w:p w14:paraId="586D6D8F" w14:textId="77777777" w:rsidR="001D510D" w:rsidRPr="00934F64" w:rsidRDefault="001D510D" w:rsidP="001D510D">
            <w:pPr>
              <w:jc w:val="right"/>
              <w:rPr>
                <w:sz w:val="18"/>
                <w:szCs w:val="18"/>
                <w:lang w:val="fr-CA" w:eastAsia="en-CA"/>
              </w:rPr>
            </w:pPr>
            <w:r w:rsidRPr="00934F64">
              <w:rPr>
                <w:sz w:val="18"/>
                <w:szCs w:val="18"/>
                <w:lang w:val="fr-CA" w:eastAsia="en-CA"/>
              </w:rPr>
              <w:t>1</w:t>
            </w:r>
          </w:p>
        </w:tc>
        <w:tc>
          <w:tcPr>
            <w:tcW w:w="919" w:type="dxa"/>
            <w:tcBorders>
              <w:top w:val="nil"/>
              <w:left w:val="nil"/>
              <w:bottom w:val="single" w:sz="4" w:space="0" w:color="auto"/>
              <w:right w:val="single" w:sz="4" w:space="0" w:color="auto"/>
            </w:tcBorders>
            <w:shd w:val="clear" w:color="auto" w:fill="auto"/>
            <w:noWrap/>
            <w:hideMark/>
          </w:tcPr>
          <w:p w14:paraId="7910E4FB" w14:textId="77777777" w:rsidR="001D510D" w:rsidRPr="00934F64" w:rsidRDefault="001D510D" w:rsidP="001D510D">
            <w:pPr>
              <w:jc w:val="right"/>
              <w:rPr>
                <w:sz w:val="18"/>
                <w:szCs w:val="18"/>
                <w:lang w:val="fr-CA" w:eastAsia="en-CA"/>
              </w:rPr>
            </w:pPr>
            <w:r w:rsidRPr="00934F64">
              <w:rPr>
                <w:sz w:val="18"/>
                <w:szCs w:val="18"/>
                <w:lang w:val="fr-CA" w:eastAsia="en-CA"/>
              </w:rPr>
              <w:t>1</w:t>
            </w:r>
          </w:p>
        </w:tc>
        <w:tc>
          <w:tcPr>
            <w:tcW w:w="1045" w:type="dxa"/>
            <w:tcBorders>
              <w:top w:val="nil"/>
              <w:left w:val="nil"/>
              <w:bottom w:val="single" w:sz="4" w:space="0" w:color="auto"/>
              <w:right w:val="single" w:sz="4" w:space="0" w:color="auto"/>
            </w:tcBorders>
            <w:shd w:val="clear" w:color="auto" w:fill="auto"/>
            <w:noWrap/>
            <w:hideMark/>
          </w:tcPr>
          <w:p w14:paraId="182D6FD1" w14:textId="77777777" w:rsidR="001D510D" w:rsidRPr="00934F64" w:rsidRDefault="001D510D" w:rsidP="001D510D">
            <w:pPr>
              <w:jc w:val="right"/>
              <w:rPr>
                <w:sz w:val="18"/>
                <w:szCs w:val="18"/>
                <w:lang w:val="fr-CA" w:eastAsia="en-CA"/>
              </w:rPr>
            </w:pPr>
            <w:r w:rsidRPr="00934F64">
              <w:rPr>
                <w:sz w:val="18"/>
                <w:szCs w:val="18"/>
                <w:lang w:val="fr-CA" w:eastAsia="en-CA"/>
              </w:rPr>
              <w:t>20</w:t>
            </w:r>
          </w:p>
        </w:tc>
        <w:tc>
          <w:tcPr>
            <w:tcW w:w="1144" w:type="dxa"/>
            <w:tcBorders>
              <w:top w:val="nil"/>
              <w:left w:val="nil"/>
              <w:bottom w:val="single" w:sz="4" w:space="0" w:color="auto"/>
              <w:right w:val="single" w:sz="4" w:space="0" w:color="auto"/>
            </w:tcBorders>
            <w:shd w:val="clear" w:color="auto" w:fill="auto"/>
            <w:noWrap/>
            <w:hideMark/>
          </w:tcPr>
          <w:p w14:paraId="22275781" w14:textId="77777777" w:rsidR="001D510D" w:rsidRPr="00934F64" w:rsidRDefault="001D510D" w:rsidP="001D510D">
            <w:pPr>
              <w:jc w:val="right"/>
              <w:rPr>
                <w:sz w:val="18"/>
                <w:szCs w:val="18"/>
                <w:lang w:val="fr-CA" w:eastAsia="en-CA"/>
              </w:rPr>
            </w:pPr>
            <w:r w:rsidRPr="00934F64">
              <w:rPr>
                <w:sz w:val="18"/>
                <w:szCs w:val="18"/>
                <w:lang w:val="fr-CA" w:eastAsia="en-CA"/>
              </w:rPr>
              <w:t>14</w:t>
            </w:r>
          </w:p>
        </w:tc>
        <w:tc>
          <w:tcPr>
            <w:tcW w:w="1117" w:type="dxa"/>
            <w:tcBorders>
              <w:top w:val="nil"/>
              <w:left w:val="nil"/>
              <w:bottom w:val="single" w:sz="4" w:space="0" w:color="auto"/>
              <w:right w:val="single" w:sz="4" w:space="0" w:color="auto"/>
            </w:tcBorders>
            <w:shd w:val="clear" w:color="auto" w:fill="auto"/>
            <w:noWrap/>
            <w:hideMark/>
          </w:tcPr>
          <w:p w14:paraId="5A54BAA4" w14:textId="77777777" w:rsidR="001D510D" w:rsidRPr="00934F64" w:rsidRDefault="001D510D" w:rsidP="001D510D">
            <w:pPr>
              <w:jc w:val="right"/>
              <w:rPr>
                <w:sz w:val="18"/>
                <w:szCs w:val="18"/>
                <w:lang w:val="fr-CA" w:eastAsia="en-CA"/>
              </w:rPr>
            </w:pPr>
            <w:r w:rsidRPr="00934F64">
              <w:rPr>
                <w:sz w:val="18"/>
                <w:szCs w:val="18"/>
                <w:lang w:val="fr-CA" w:eastAsia="en-CA"/>
              </w:rPr>
              <w:t>20</w:t>
            </w:r>
          </w:p>
        </w:tc>
        <w:tc>
          <w:tcPr>
            <w:tcW w:w="1236" w:type="dxa"/>
            <w:gridSpan w:val="2"/>
            <w:tcBorders>
              <w:top w:val="nil"/>
              <w:left w:val="nil"/>
              <w:bottom w:val="single" w:sz="4" w:space="0" w:color="auto"/>
              <w:right w:val="single" w:sz="4" w:space="0" w:color="auto"/>
            </w:tcBorders>
            <w:shd w:val="clear" w:color="auto" w:fill="auto"/>
            <w:noWrap/>
            <w:hideMark/>
          </w:tcPr>
          <w:p w14:paraId="7F890A0E" w14:textId="77777777" w:rsidR="001D510D" w:rsidRPr="00934F64" w:rsidRDefault="001D510D" w:rsidP="001D510D">
            <w:pPr>
              <w:jc w:val="right"/>
              <w:rPr>
                <w:sz w:val="18"/>
                <w:szCs w:val="18"/>
                <w:lang w:val="fr-CA" w:eastAsia="en-CA"/>
              </w:rPr>
            </w:pPr>
            <w:r w:rsidRPr="00934F64">
              <w:rPr>
                <w:sz w:val="18"/>
                <w:szCs w:val="18"/>
                <w:lang w:val="fr-CA" w:eastAsia="en-CA"/>
              </w:rPr>
              <w:t>7</w:t>
            </w:r>
          </w:p>
        </w:tc>
      </w:tr>
      <w:tr w:rsidR="001D510D" w:rsidRPr="00934F64" w14:paraId="6352CB15" w14:textId="77777777" w:rsidTr="001D510D">
        <w:trPr>
          <w:trHeight w:val="204"/>
        </w:trPr>
        <w:tc>
          <w:tcPr>
            <w:tcW w:w="1701" w:type="dxa"/>
            <w:tcBorders>
              <w:top w:val="nil"/>
              <w:left w:val="single" w:sz="4" w:space="0" w:color="auto"/>
              <w:bottom w:val="nil"/>
              <w:right w:val="nil"/>
            </w:tcBorders>
            <w:shd w:val="clear" w:color="auto" w:fill="auto"/>
            <w:noWrap/>
            <w:hideMark/>
          </w:tcPr>
          <w:p w14:paraId="6FDAD35B" w14:textId="45789CC4" w:rsidR="001D510D" w:rsidRPr="00934F64" w:rsidRDefault="001D510D" w:rsidP="001D510D">
            <w:pPr>
              <w:jc w:val="left"/>
              <w:rPr>
                <w:b/>
                <w:bCs/>
                <w:sz w:val="18"/>
                <w:szCs w:val="18"/>
                <w:lang w:val="fr-CA" w:eastAsia="en-CA"/>
              </w:rPr>
            </w:pPr>
            <w:r>
              <w:rPr>
                <w:b/>
                <w:bCs/>
                <w:sz w:val="18"/>
                <w:szCs w:val="18"/>
                <w:lang w:val="fr-CA" w:eastAsia="en-CA"/>
              </w:rPr>
              <w:t>Secteur</w:t>
            </w:r>
          </w:p>
        </w:tc>
        <w:tc>
          <w:tcPr>
            <w:tcW w:w="856" w:type="dxa"/>
            <w:tcBorders>
              <w:top w:val="nil"/>
              <w:left w:val="nil"/>
              <w:bottom w:val="nil"/>
              <w:right w:val="nil"/>
            </w:tcBorders>
            <w:shd w:val="clear" w:color="auto" w:fill="auto"/>
            <w:noWrap/>
            <w:hideMark/>
          </w:tcPr>
          <w:p w14:paraId="38EB4D7C" w14:textId="77777777" w:rsidR="001D510D" w:rsidRPr="00934F64" w:rsidRDefault="001D510D" w:rsidP="001D510D">
            <w:pPr>
              <w:jc w:val="left"/>
              <w:rPr>
                <w:b/>
                <w:bCs/>
                <w:sz w:val="18"/>
                <w:szCs w:val="18"/>
                <w:lang w:val="fr-CA" w:eastAsia="en-CA"/>
              </w:rPr>
            </w:pPr>
          </w:p>
        </w:tc>
        <w:tc>
          <w:tcPr>
            <w:tcW w:w="1216" w:type="dxa"/>
            <w:tcBorders>
              <w:top w:val="nil"/>
              <w:left w:val="nil"/>
              <w:bottom w:val="nil"/>
              <w:right w:val="nil"/>
            </w:tcBorders>
            <w:shd w:val="clear" w:color="auto" w:fill="auto"/>
            <w:noWrap/>
            <w:hideMark/>
          </w:tcPr>
          <w:p w14:paraId="3608589A" w14:textId="77777777" w:rsidR="001D510D" w:rsidRPr="00934F64" w:rsidRDefault="001D510D" w:rsidP="001D510D">
            <w:pPr>
              <w:jc w:val="left"/>
              <w:rPr>
                <w:sz w:val="18"/>
                <w:szCs w:val="18"/>
                <w:lang w:val="fr-CA" w:eastAsia="en-CA"/>
              </w:rPr>
            </w:pPr>
          </w:p>
        </w:tc>
        <w:tc>
          <w:tcPr>
            <w:tcW w:w="892" w:type="dxa"/>
            <w:tcBorders>
              <w:top w:val="nil"/>
              <w:left w:val="nil"/>
              <w:bottom w:val="nil"/>
              <w:right w:val="nil"/>
            </w:tcBorders>
            <w:shd w:val="clear" w:color="auto" w:fill="auto"/>
            <w:noWrap/>
            <w:hideMark/>
          </w:tcPr>
          <w:p w14:paraId="793BDB84" w14:textId="77777777" w:rsidR="001D510D" w:rsidRPr="00934F64" w:rsidRDefault="001D510D" w:rsidP="001D510D">
            <w:pPr>
              <w:jc w:val="left"/>
              <w:rPr>
                <w:sz w:val="18"/>
                <w:szCs w:val="18"/>
                <w:lang w:val="fr-CA" w:eastAsia="en-CA"/>
              </w:rPr>
            </w:pPr>
          </w:p>
        </w:tc>
        <w:tc>
          <w:tcPr>
            <w:tcW w:w="919" w:type="dxa"/>
            <w:tcBorders>
              <w:top w:val="nil"/>
              <w:left w:val="nil"/>
              <w:bottom w:val="nil"/>
              <w:right w:val="nil"/>
            </w:tcBorders>
            <w:shd w:val="clear" w:color="auto" w:fill="auto"/>
            <w:noWrap/>
            <w:hideMark/>
          </w:tcPr>
          <w:p w14:paraId="0861536A" w14:textId="77777777" w:rsidR="001D510D" w:rsidRPr="00934F64" w:rsidRDefault="001D510D" w:rsidP="001D510D">
            <w:pPr>
              <w:jc w:val="left"/>
              <w:rPr>
                <w:sz w:val="18"/>
                <w:szCs w:val="18"/>
                <w:lang w:val="fr-CA" w:eastAsia="en-CA"/>
              </w:rPr>
            </w:pPr>
          </w:p>
        </w:tc>
        <w:tc>
          <w:tcPr>
            <w:tcW w:w="1045" w:type="dxa"/>
            <w:tcBorders>
              <w:top w:val="nil"/>
              <w:left w:val="nil"/>
              <w:bottom w:val="nil"/>
              <w:right w:val="nil"/>
            </w:tcBorders>
            <w:shd w:val="clear" w:color="auto" w:fill="auto"/>
            <w:noWrap/>
            <w:hideMark/>
          </w:tcPr>
          <w:p w14:paraId="18C9B1BF" w14:textId="77777777" w:rsidR="001D510D" w:rsidRPr="00934F64" w:rsidRDefault="001D510D" w:rsidP="001D510D">
            <w:pPr>
              <w:jc w:val="left"/>
              <w:rPr>
                <w:sz w:val="18"/>
                <w:szCs w:val="18"/>
                <w:lang w:val="fr-CA" w:eastAsia="en-CA"/>
              </w:rPr>
            </w:pPr>
          </w:p>
        </w:tc>
        <w:tc>
          <w:tcPr>
            <w:tcW w:w="1144" w:type="dxa"/>
            <w:tcBorders>
              <w:top w:val="nil"/>
              <w:left w:val="nil"/>
              <w:bottom w:val="nil"/>
              <w:right w:val="nil"/>
            </w:tcBorders>
            <w:shd w:val="clear" w:color="auto" w:fill="auto"/>
            <w:noWrap/>
            <w:hideMark/>
          </w:tcPr>
          <w:p w14:paraId="0CB4B49F" w14:textId="77777777" w:rsidR="001D510D" w:rsidRPr="00934F64" w:rsidRDefault="001D510D" w:rsidP="001D510D">
            <w:pPr>
              <w:jc w:val="left"/>
              <w:rPr>
                <w:sz w:val="18"/>
                <w:szCs w:val="18"/>
                <w:lang w:val="fr-CA" w:eastAsia="en-CA"/>
              </w:rPr>
            </w:pPr>
          </w:p>
        </w:tc>
        <w:tc>
          <w:tcPr>
            <w:tcW w:w="1117" w:type="dxa"/>
            <w:tcBorders>
              <w:top w:val="nil"/>
              <w:left w:val="nil"/>
              <w:bottom w:val="nil"/>
              <w:right w:val="single" w:sz="4" w:space="0" w:color="auto"/>
            </w:tcBorders>
            <w:shd w:val="clear" w:color="auto" w:fill="auto"/>
            <w:noWrap/>
            <w:hideMark/>
          </w:tcPr>
          <w:p w14:paraId="0B81EF23" w14:textId="77777777" w:rsidR="001D510D" w:rsidRPr="00934F64" w:rsidRDefault="001D510D" w:rsidP="001D510D">
            <w:pPr>
              <w:jc w:val="right"/>
              <w:rPr>
                <w:sz w:val="18"/>
                <w:szCs w:val="18"/>
                <w:lang w:val="fr-CA" w:eastAsia="en-CA"/>
              </w:rPr>
            </w:pPr>
            <w:r w:rsidRPr="00934F64">
              <w:rPr>
                <w:sz w:val="18"/>
                <w:szCs w:val="18"/>
                <w:lang w:val="fr-CA" w:eastAsia="en-CA"/>
              </w:rPr>
              <w:t> </w:t>
            </w:r>
          </w:p>
        </w:tc>
        <w:tc>
          <w:tcPr>
            <w:tcW w:w="1236" w:type="dxa"/>
            <w:gridSpan w:val="2"/>
            <w:tcBorders>
              <w:top w:val="nil"/>
              <w:left w:val="nil"/>
              <w:bottom w:val="nil"/>
              <w:right w:val="single" w:sz="4" w:space="0" w:color="auto"/>
            </w:tcBorders>
            <w:shd w:val="clear" w:color="auto" w:fill="auto"/>
            <w:noWrap/>
            <w:hideMark/>
          </w:tcPr>
          <w:p w14:paraId="12BFCE1C" w14:textId="77777777" w:rsidR="001D510D" w:rsidRPr="00934F64" w:rsidRDefault="001D510D" w:rsidP="001D510D">
            <w:pPr>
              <w:jc w:val="right"/>
              <w:rPr>
                <w:sz w:val="18"/>
                <w:szCs w:val="18"/>
                <w:lang w:val="fr-CA" w:eastAsia="en-CA"/>
              </w:rPr>
            </w:pPr>
            <w:r w:rsidRPr="00934F64">
              <w:rPr>
                <w:sz w:val="18"/>
                <w:szCs w:val="18"/>
                <w:lang w:val="fr-CA" w:eastAsia="en-CA"/>
              </w:rPr>
              <w:t> </w:t>
            </w:r>
          </w:p>
        </w:tc>
      </w:tr>
      <w:tr w:rsidR="001D510D" w:rsidRPr="00934F64" w14:paraId="02D0B699" w14:textId="77777777" w:rsidTr="001D510D">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A45C655" w14:textId="38BF6869" w:rsidR="001D510D" w:rsidRPr="00934F64" w:rsidRDefault="001D510D" w:rsidP="001D510D">
            <w:pPr>
              <w:jc w:val="left"/>
              <w:rPr>
                <w:sz w:val="18"/>
                <w:szCs w:val="18"/>
                <w:lang w:val="fr-CA" w:eastAsia="en-CA"/>
              </w:rPr>
            </w:pPr>
            <w:r>
              <w:rPr>
                <w:sz w:val="18"/>
                <w:szCs w:val="18"/>
                <w:lang w:val="fr-CA" w:eastAsia="en-CA"/>
              </w:rPr>
              <w:t>Aérosols</w:t>
            </w:r>
          </w:p>
        </w:tc>
        <w:tc>
          <w:tcPr>
            <w:tcW w:w="856" w:type="dxa"/>
            <w:tcBorders>
              <w:top w:val="single" w:sz="4" w:space="0" w:color="auto"/>
              <w:left w:val="nil"/>
              <w:bottom w:val="single" w:sz="4" w:space="0" w:color="auto"/>
              <w:right w:val="single" w:sz="4" w:space="0" w:color="auto"/>
            </w:tcBorders>
            <w:shd w:val="clear" w:color="auto" w:fill="auto"/>
            <w:noWrap/>
            <w:hideMark/>
          </w:tcPr>
          <w:p w14:paraId="61D6A5AF"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single" w:sz="4" w:space="0" w:color="auto"/>
              <w:left w:val="nil"/>
              <w:bottom w:val="single" w:sz="4" w:space="0" w:color="auto"/>
              <w:right w:val="single" w:sz="4" w:space="0" w:color="auto"/>
            </w:tcBorders>
            <w:shd w:val="clear" w:color="auto" w:fill="auto"/>
            <w:noWrap/>
            <w:hideMark/>
          </w:tcPr>
          <w:p w14:paraId="029F1FB1"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single" w:sz="4" w:space="0" w:color="auto"/>
              <w:left w:val="nil"/>
              <w:bottom w:val="single" w:sz="4" w:space="0" w:color="auto"/>
              <w:right w:val="single" w:sz="4" w:space="0" w:color="auto"/>
            </w:tcBorders>
            <w:shd w:val="clear" w:color="auto" w:fill="auto"/>
            <w:noWrap/>
            <w:hideMark/>
          </w:tcPr>
          <w:p w14:paraId="2D8F791B"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single" w:sz="4" w:space="0" w:color="auto"/>
              <w:left w:val="nil"/>
              <w:bottom w:val="single" w:sz="4" w:space="0" w:color="auto"/>
              <w:right w:val="single" w:sz="4" w:space="0" w:color="auto"/>
            </w:tcBorders>
            <w:shd w:val="clear" w:color="auto" w:fill="auto"/>
            <w:noWrap/>
            <w:hideMark/>
          </w:tcPr>
          <w:p w14:paraId="7425D64D"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single" w:sz="4" w:space="0" w:color="auto"/>
              <w:left w:val="nil"/>
              <w:bottom w:val="single" w:sz="4" w:space="0" w:color="auto"/>
              <w:right w:val="single" w:sz="4" w:space="0" w:color="auto"/>
            </w:tcBorders>
            <w:shd w:val="clear" w:color="auto" w:fill="auto"/>
            <w:noWrap/>
            <w:hideMark/>
          </w:tcPr>
          <w:p w14:paraId="6A9B427A"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single" w:sz="4" w:space="0" w:color="auto"/>
              <w:left w:val="nil"/>
              <w:bottom w:val="single" w:sz="4" w:space="0" w:color="auto"/>
              <w:right w:val="single" w:sz="4" w:space="0" w:color="auto"/>
            </w:tcBorders>
            <w:shd w:val="clear" w:color="auto" w:fill="auto"/>
            <w:noWrap/>
            <w:hideMark/>
          </w:tcPr>
          <w:p w14:paraId="615241EC" w14:textId="70BE2D57"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single" w:sz="4" w:space="0" w:color="auto"/>
              <w:left w:val="nil"/>
              <w:bottom w:val="single" w:sz="4" w:space="0" w:color="auto"/>
              <w:right w:val="single" w:sz="4" w:space="0" w:color="auto"/>
            </w:tcBorders>
            <w:shd w:val="clear" w:color="auto" w:fill="auto"/>
            <w:noWrap/>
            <w:hideMark/>
          </w:tcPr>
          <w:p w14:paraId="2BB7E163" w14:textId="4EDDC3D4"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single" w:sz="4" w:space="0" w:color="auto"/>
              <w:left w:val="nil"/>
              <w:bottom w:val="single" w:sz="4" w:space="0" w:color="auto"/>
              <w:right w:val="single" w:sz="4" w:space="0" w:color="auto"/>
            </w:tcBorders>
            <w:shd w:val="clear" w:color="auto" w:fill="auto"/>
            <w:noWrap/>
            <w:hideMark/>
          </w:tcPr>
          <w:p w14:paraId="484E66F6" w14:textId="3B148DEE"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1D510D" w:rsidRPr="00934F64" w14:paraId="32C5BFF2"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1BF9CD26" w14:textId="2775ED39" w:rsidR="001D510D" w:rsidRPr="00934F64" w:rsidRDefault="001D510D" w:rsidP="001D510D">
            <w:pPr>
              <w:jc w:val="left"/>
              <w:rPr>
                <w:sz w:val="18"/>
                <w:szCs w:val="18"/>
                <w:lang w:val="fr-CA" w:eastAsia="en-CA"/>
              </w:rPr>
            </w:pPr>
            <w:r w:rsidRPr="00BF6C78">
              <w:rPr>
                <w:sz w:val="18"/>
                <w:szCs w:val="18"/>
                <w:lang w:val="fr-CA" w:eastAsia="en-CA"/>
              </w:rPr>
              <w:t>Destruction</w:t>
            </w:r>
          </w:p>
        </w:tc>
        <w:tc>
          <w:tcPr>
            <w:tcW w:w="856" w:type="dxa"/>
            <w:tcBorders>
              <w:top w:val="nil"/>
              <w:left w:val="nil"/>
              <w:bottom w:val="single" w:sz="4" w:space="0" w:color="auto"/>
              <w:right w:val="single" w:sz="4" w:space="0" w:color="auto"/>
            </w:tcBorders>
            <w:shd w:val="clear" w:color="auto" w:fill="auto"/>
            <w:noWrap/>
            <w:hideMark/>
          </w:tcPr>
          <w:p w14:paraId="593FDBCF" w14:textId="77777777" w:rsidR="001D510D" w:rsidRPr="00934F64" w:rsidRDefault="001D510D" w:rsidP="001D510D">
            <w:pPr>
              <w:jc w:val="right"/>
              <w:rPr>
                <w:sz w:val="18"/>
                <w:szCs w:val="18"/>
                <w:lang w:val="fr-CA" w:eastAsia="en-CA"/>
              </w:rPr>
            </w:pPr>
            <w:r w:rsidRPr="00934F64">
              <w:rPr>
                <w:sz w:val="18"/>
                <w:szCs w:val="18"/>
                <w:lang w:val="fr-CA" w:eastAsia="en-CA"/>
              </w:rPr>
              <w:t>1</w:t>
            </w:r>
          </w:p>
        </w:tc>
        <w:tc>
          <w:tcPr>
            <w:tcW w:w="1216" w:type="dxa"/>
            <w:tcBorders>
              <w:top w:val="nil"/>
              <w:left w:val="nil"/>
              <w:bottom w:val="single" w:sz="4" w:space="0" w:color="auto"/>
              <w:right w:val="single" w:sz="4" w:space="0" w:color="auto"/>
            </w:tcBorders>
            <w:shd w:val="clear" w:color="auto" w:fill="auto"/>
            <w:noWrap/>
            <w:hideMark/>
          </w:tcPr>
          <w:p w14:paraId="01E07D1A" w14:textId="5F60CCB6" w:rsidR="001D510D" w:rsidRPr="00934F64" w:rsidRDefault="001D510D" w:rsidP="001D510D">
            <w:pPr>
              <w:jc w:val="right"/>
              <w:rPr>
                <w:sz w:val="18"/>
                <w:szCs w:val="18"/>
                <w:lang w:val="fr-CA" w:eastAsia="en-CA"/>
              </w:rPr>
            </w:pPr>
            <w:r w:rsidRPr="00934F64">
              <w:rPr>
                <w:sz w:val="18"/>
                <w:szCs w:val="18"/>
                <w:lang w:val="fr-CA" w:eastAsia="en-CA"/>
              </w:rPr>
              <w:t>1</w:t>
            </w:r>
            <w:r w:rsidR="005F4F67">
              <w:rPr>
                <w:sz w:val="18"/>
                <w:szCs w:val="18"/>
                <w:lang w:val="fr-CA" w:eastAsia="en-CA"/>
              </w:rPr>
              <w:t xml:space="preserve"> </w:t>
            </w:r>
            <w:r w:rsidRPr="00934F64">
              <w:rPr>
                <w:sz w:val="18"/>
                <w:szCs w:val="18"/>
                <w:lang w:val="fr-CA" w:eastAsia="en-CA"/>
              </w:rPr>
              <w:t>490</w:t>
            </w:r>
            <w:r w:rsidR="005F4F67">
              <w:rPr>
                <w:sz w:val="18"/>
                <w:szCs w:val="18"/>
                <w:lang w:val="fr-CA" w:eastAsia="en-CA"/>
              </w:rPr>
              <w:t xml:space="preserve"> </w:t>
            </w:r>
            <w:r w:rsidRPr="00934F64">
              <w:rPr>
                <w:sz w:val="18"/>
                <w:szCs w:val="18"/>
                <w:lang w:val="fr-CA" w:eastAsia="en-CA"/>
              </w:rPr>
              <w:t>600</w:t>
            </w:r>
          </w:p>
        </w:tc>
        <w:tc>
          <w:tcPr>
            <w:tcW w:w="892" w:type="dxa"/>
            <w:tcBorders>
              <w:top w:val="nil"/>
              <w:left w:val="nil"/>
              <w:bottom w:val="single" w:sz="4" w:space="0" w:color="auto"/>
              <w:right w:val="single" w:sz="4" w:space="0" w:color="auto"/>
            </w:tcBorders>
            <w:shd w:val="clear" w:color="auto" w:fill="auto"/>
            <w:noWrap/>
            <w:hideMark/>
          </w:tcPr>
          <w:p w14:paraId="1C2C0D50" w14:textId="77777777" w:rsidR="001D510D" w:rsidRPr="00934F64" w:rsidRDefault="001D510D" w:rsidP="001D510D">
            <w:pPr>
              <w:jc w:val="right"/>
              <w:rPr>
                <w:sz w:val="18"/>
                <w:szCs w:val="18"/>
                <w:lang w:val="fr-CA" w:eastAsia="en-CA"/>
              </w:rPr>
            </w:pPr>
            <w:r w:rsidRPr="00934F64">
              <w:rPr>
                <w:sz w:val="18"/>
                <w:szCs w:val="18"/>
                <w:lang w:val="fr-CA" w:eastAsia="en-CA"/>
              </w:rPr>
              <w:t>89</w:t>
            </w:r>
          </w:p>
        </w:tc>
        <w:tc>
          <w:tcPr>
            <w:tcW w:w="919" w:type="dxa"/>
            <w:tcBorders>
              <w:top w:val="nil"/>
              <w:left w:val="nil"/>
              <w:bottom w:val="single" w:sz="4" w:space="0" w:color="auto"/>
              <w:right w:val="single" w:sz="4" w:space="0" w:color="auto"/>
            </w:tcBorders>
            <w:shd w:val="clear" w:color="auto" w:fill="auto"/>
            <w:noWrap/>
            <w:hideMark/>
          </w:tcPr>
          <w:p w14:paraId="610778C0" w14:textId="77777777" w:rsidR="001D510D" w:rsidRPr="00934F64" w:rsidRDefault="001D510D" w:rsidP="001D510D">
            <w:pPr>
              <w:jc w:val="right"/>
              <w:rPr>
                <w:sz w:val="18"/>
                <w:szCs w:val="18"/>
                <w:lang w:val="fr-CA" w:eastAsia="en-CA"/>
              </w:rPr>
            </w:pPr>
            <w:r w:rsidRPr="00934F64">
              <w:rPr>
                <w:sz w:val="18"/>
                <w:szCs w:val="18"/>
                <w:lang w:val="fr-CA" w:eastAsia="en-CA"/>
              </w:rPr>
              <w:t>1</w:t>
            </w:r>
          </w:p>
        </w:tc>
        <w:tc>
          <w:tcPr>
            <w:tcW w:w="1045" w:type="dxa"/>
            <w:tcBorders>
              <w:top w:val="nil"/>
              <w:left w:val="nil"/>
              <w:bottom w:val="single" w:sz="4" w:space="0" w:color="auto"/>
              <w:right w:val="single" w:sz="4" w:space="0" w:color="auto"/>
            </w:tcBorders>
            <w:shd w:val="clear" w:color="auto" w:fill="auto"/>
            <w:noWrap/>
            <w:hideMark/>
          </w:tcPr>
          <w:p w14:paraId="76B0418D" w14:textId="77777777" w:rsidR="001D510D" w:rsidRPr="00934F64" w:rsidRDefault="001D510D" w:rsidP="001D510D">
            <w:pPr>
              <w:jc w:val="right"/>
              <w:rPr>
                <w:sz w:val="18"/>
                <w:szCs w:val="18"/>
                <w:lang w:val="fr-CA" w:eastAsia="en-CA"/>
              </w:rPr>
            </w:pPr>
            <w:r w:rsidRPr="00934F64">
              <w:rPr>
                <w:sz w:val="18"/>
                <w:szCs w:val="18"/>
                <w:lang w:val="fr-CA" w:eastAsia="en-CA"/>
              </w:rPr>
              <w:t>100</w:t>
            </w:r>
          </w:p>
        </w:tc>
        <w:tc>
          <w:tcPr>
            <w:tcW w:w="1144" w:type="dxa"/>
            <w:tcBorders>
              <w:top w:val="nil"/>
              <w:left w:val="nil"/>
              <w:bottom w:val="single" w:sz="4" w:space="0" w:color="auto"/>
              <w:right w:val="single" w:sz="4" w:space="0" w:color="auto"/>
            </w:tcBorders>
            <w:shd w:val="clear" w:color="auto" w:fill="auto"/>
            <w:noWrap/>
            <w:hideMark/>
          </w:tcPr>
          <w:p w14:paraId="62CFBC53" w14:textId="77777777" w:rsidR="001D510D" w:rsidRPr="00934F64" w:rsidRDefault="001D510D" w:rsidP="001D510D">
            <w:pPr>
              <w:jc w:val="right"/>
              <w:rPr>
                <w:sz w:val="18"/>
                <w:szCs w:val="18"/>
                <w:lang w:val="fr-CA" w:eastAsia="en-CA"/>
              </w:rPr>
            </w:pPr>
            <w:r w:rsidRPr="00934F64">
              <w:rPr>
                <w:sz w:val="18"/>
                <w:szCs w:val="18"/>
                <w:lang w:val="fr-CA" w:eastAsia="en-CA"/>
              </w:rPr>
              <w:t>13</w:t>
            </w:r>
          </w:p>
        </w:tc>
        <w:tc>
          <w:tcPr>
            <w:tcW w:w="1117" w:type="dxa"/>
            <w:tcBorders>
              <w:top w:val="nil"/>
              <w:left w:val="nil"/>
              <w:bottom w:val="single" w:sz="4" w:space="0" w:color="auto"/>
              <w:right w:val="single" w:sz="4" w:space="0" w:color="auto"/>
            </w:tcBorders>
            <w:shd w:val="clear" w:color="auto" w:fill="auto"/>
            <w:noWrap/>
            <w:hideMark/>
          </w:tcPr>
          <w:p w14:paraId="5678B0F7" w14:textId="77777777" w:rsidR="001D510D" w:rsidRPr="00934F64" w:rsidRDefault="001D510D" w:rsidP="001D510D">
            <w:pPr>
              <w:jc w:val="right"/>
              <w:rPr>
                <w:sz w:val="18"/>
                <w:szCs w:val="18"/>
                <w:lang w:val="fr-CA" w:eastAsia="en-CA"/>
              </w:rPr>
            </w:pPr>
            <w:r w:rsidRPr="00934F64">
              <w:rPr>
                <w:sz w:val="18"/>
                <w:szCs w:val="18"/>
                <w:lang w:val="fr-CA" w:eastAsia="en-CA"/>
              </w:rPr>
              <w:t>103</w:t>
            </w:r>
          </w:p>
        </w:tc>
        <w:tc>
          <w:tcPr>
            <w:tcW w:w="1236" w:type="dxa"/>
            <w:gridSpan w:val="2"/>
            <w:tcBorders>
              <w:top w:val="nil"/>
              <w:left w:val="nil"/>
              <w:bottom w:val="single" w:sz="4" w:space="0" w:color="auto"/>
              <w:right w:val="single" w:sz="4" w:space="0" w:color="auto"/>
            </w:tcBorders>
            <w:shd w:val="clear" w:color="auto" w:fill="auto"/>
            <w:noWrap/>
            <w:hideMark/>
          </w:tcPr>
          <w:p w14:paraId="6F29D463" w14:textId="77777777" w:rsidR="001D510D" w:rsidRPr="00934F64" w:rsidRDefault="001D510D" w:rsidP="001D510D">
            <w:pPr>
              <w:jc w:val="right"/>
              <w:rPr>
                <w:sz w:val="18"/>
                <w:szCs w:val="18"/>
                <w:lang w:val="fr-CA" w:eastAsia="en-CA"/>
              </w:rPr>
            </w:pPr>
            <w:r w:rsidRPr="00934F64">
              <w:rPr>
                <w:sz w:val="18"/>
                <w:szCs w:val="18"/>
                <w:lang w:val="fr-CA" w:eastAsia="en-CA"/>
              </w:rPr>
              <w:t>59</w:t>
            </w:r>
          </w:p>
        </w:tc>
      </w:tr>
      <w:tr w:rsidR="001D510D" w:rsidRPr="00934F64" w14:paraId="51C88003"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676162A1" w14:textId="7A2499FF" w:rsidR="001D510D" w:rsidRPr="00934F64" w:rsidRDefault="001D510D" w:rsidP="001D510D">
            <w:pPr>
              <w:jc w:val="left"/>
              <w:rPr>
                <w:sz w:val="18"/>
                <w:szCs w:val="18"/>
                <w:lang w:val="fr-CA" w:eastAsia="en-CA"/>
              </w:rPr>
            </w:pPr>
            <w:r>
              <w:rPr>
                <w:sz w:val="18"/>
                <w:szCs w:val="18"/>
                <w:lang w:val="fr-CA" w:eastAsia="en-CA"/>
              </w:rPr>
              <w:t>Lutte contre les incendies</w:t>
            </w:r>
          </w:p>
        </w:tc>
        <w:tc>
          <w:tcPr>
            <w:tcW w:w="856" w:type="dxa"/>
            <w:tcBorders>
              <w:top w:val="nil"/>
              <w:left w:val="nil"/>
              <w:bottom w:val="single" w:sz="4" w:space="0" w:color="auto"/>
              <w:right w:val="single" w:sz="4" w:space="0" w:color="auto"/>
            </w:tcBorders>
            <w:shd w:val="clear" w:color="auto" w:fill="auto"/>
            <w:noWrap/>
            <w:hideMark/>
          </w:tcPr>
          <w:p w14:paraId="1E11B1C7"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nil"/>
              <w:left w:val="nil"/>
              <w:bottom w:val="single" w:sz="4" w:space="0" w:color="auto"/>
              <w:right w:val="single" w:sz="4" w:space="0" w:color="auto"/>
            </w:tcBorders>
            <w:shd w:val="clear" w:color="auto" w:fill="auto"/>
            <w:noWrap/>
            <w:hideMark/>
          </w:tcPr>
          <w:p w14:paraId="27DDD95D"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nil"/>
              <w:left w:val="nil"/>
              <w:bottom w:val="single" w:sz="4" w:space="0" w:color="auto"/>
              <w:right w:val="single" w:sz="4" w:space="0" w:color="auto"/>
            </w:tcBorders>
            <w:shd w:val="clear" w:color="auto" w:fill="auto"/>
            <w:noWrap/>
            <w:hideMark/>
          </w:tcPr>
          <w:p w14:paraId="04E895DD"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nil"/>
              <w:left w:val="nil"/>
              <w:bottom w:val="single" w:sz="4" w:space="0" w:color="auto"/>
              <w:right w:val="single" w:sz="4" w:space="0" w:color="auto"/>
            </w:tcBorders>
            <w:shd w:val="clear" w:color="auto" w:fill="auto"/>
            <w:noWrap/>
            <w:hideMark/>
          </w:tcPr>
          <w:p w14:paraId="69C9E0ED"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nil"/>
              <w:left w:val="nil"/>
              <w:bottom w:val="single" w:sz="4" w:space="0" w:color="auto"/>
              <w:right w:val="single" w:sz="4" w:space="0" w:color="auto"/>
            </w:tcBorders>
            <w:shd w:val="clear" w:color="auto" w:fill="auto"/>
            <w:noWrap/>
            <w:hideMark/>
          </w:tcPr>
          <w:p w14:paraId="00C6D34C"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nil"/>
              <w:left w:val="nil"/>
              <w:bottom w:val="single" w:sz="4" w:space="0" w:color="auto"/>
              <w:right w:val="single" w:sz="4" w:space="0" w:color="auto"/>
            </w:tcBorders>
            <w:shd w:val="clear" w:color="auto" w:fill="auto"/>
            <w:noWrap/>
            <w:hideMark/>
          </w:tcPr>
          <w:p w14:paraId="66A4AD00" w14:textId="71CE21AB"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nil"/>
              <w:left w:val="nil"/>
              <w:bottom w:val="single" w:sz="4" w:space="0" w:color="auto"/>
              <w:right w:val="single" w:sz="4" w:space="0" w:color="auto"/>
            </w:tcBorders>
            <w:shd w:val="clear" w:color="auto" w:fill="auto"/>
            <w:noWrap/>
            <w:hideMark/>
          </w:tcPr>
          <w:p w14:paraId="568DC127" w14:textId="59504AC4"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nil"/>
              <w:left w:val="nil"/>
              <w:bottom w:val="single" w:sz="4" w:space="0" w:color="auto"/>
              <w:right w:val="single" w:sz="4" w:space="0" w:color="auto"/>
            </w:tcBorders>
            <w:shd w:val="clear" w:color="auto" w:fill="auto"/>
            <w:noWrap/>
            <w:hideMark/>
          </w:tcPr>
          <w:p w14:paraId="1737C68B" w14:textId="5D86C423"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1D510D" w:rsidRPr="00934F64" w14:paraId="3F8F9FCA"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13E3D1CD" w14:textId="2B1AB63B" w:rsidR="001D510D" w:rsidRPr="00934F64" w:rsidRDefault="001D510D" w:rsidP="001D510D">
            <w:pPr>
              <w:jc w:val="left"/>
              <w:rPr>
                <w:sz w:val="18"/>
                <w:szCs w:val="18"/>
                <w:lang w:val="fr-CA" w:eastAsia="en-CA"/>
              </w:rPr>
            </w:pPr>
            <w:r>
              <w:rPr>
                <w:sz w:val="18"/>
                <w:szCs w:val="18"/>
                <w:lang w:val="fr-CA" w:eastAsia="en-CA"/>
              </w:rPr>
              <w:t>Mousses</w:t>
            </w:r>
          </w:p>
        </w:tc>
        <w:tc>
          <w:tcPr>
            <w:tcW w:w="856" w:type="dxa"/>
            <w:tcBorders>
              <w:top w:val="nil"/>
              <w:left w:val="nil"/>
              <w:bottom w:val="single" w:sz="4" w:space="0" w:color="auto"/>
              <w:right w:val="single" w:sz="4" w:space="0" w:color="auto"/>
            </w:tcBorders>
            <w:shd w:val="clear" w:color="auto" w:fill="auto"/>
            <w:noWrap/>
            <w:hideMark/>
          </w:tcPr>
          <w:p w14:paraId="25F46FBA"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nil"/>
              <w:left w:val="nil"/>
              <w:bottom w:val="single" w:sz="4" w:space="0" w:color="auto"/>
              <w:right w:val="single" w:sz="4" w:space="0" w:color="auto"/>
            </w:tcBorders>
            <w:shd w:val="clear" w:color="auto" w:fill="auto"/>
            <w:noWrap/>
            <w:hideMark/>
          </w:tcPr>
          <w:p w14:paraId="2D6F0CA3"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nil"/>
              <w:left w:val="nil"/>
              <w:bottom w:val="single" w:sz="4" w:space="0" w:color="auto"/>
              <w:right w:val="single" w:sz="4" w:space="0" w:color="auto"/>
            </w:tcBorders>
            <w:shd w:val="clear" w:color="auto" w:fill="auto"/>
            <w:noWrap/>
            <w:hideMark/>
          </w:tcPr>
          <w:p w14:paraId="1844896E"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nil"/>
              <w:left w:val="nil"/>
              <w:bottom w:val="single" w:sz="4" w:space="0" w:color="auto"/>
              <w:right w:val="single" w:sz="4" w:space="0" w:color="auto"/>
            </w:tcBorders>
            <w:shd w:val="clear" w:color="auto" w:fill="auto"/>
            <w:noWrap/>
            <w:hideMark/>
          </w:tcPr>
          <w:p w14:paraId="18590DFD"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nil"/>
              <w:left w:val="nil"/>
              <w:bottom w:val="single" w:sz="4" w:space="0" w:color="auto"/>
              <w:right w:val="single" w:sz="4" w:space="0" w:color="auto"/>
            </w:tcBorders>
            <w:shd w:val="clear" w:color="auto" w:fill="auto"/>
            <w:noWrap/>
            <w:hideMark/>
          </w:tcPr>
          <w:p w14:paraId="2B7A7243"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nil"/>
              <w:left w:val="nil"/>
              <w:bottom w:val="single" w:sz="4" w:space="0" w:color="auto"/>
              <w:right w:val="single" w:sz="4" w:space="0" w:color="auto"/>
            </w:tcBorders>
            <w:shd w:val="clear" w:color="auto" w:fill="auto"/>
            <w:noWrap/>
            <w:hideMark/>
          </w:tcPr>
          <w:p w14:paraId="137E3588" w14:textId="4B8EE0D3"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nil"/>
              <w:left w:val="nil"/>
              <w:bottom w:val="single" w:sz="4" w:space="0" w:color="auto"/>
              <w:right w:val="single" w:sz="4" w:space="0" w:color="auto"/>
            </w:tcBorders>
            <w:shd w:val="clear" w:color="auto" w:fill="auto"/>
            <w:noWrap/>
            <w:hideMark/>
          </w:tcPr>
          <w:p w14:paraId="6BD856EE" w14:textId="02BC2A6A"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nil"/>
              <w:left w:val="nil"/>
              <w:bottom w:val="single" w:sz="4" w:space="0" w:color="auto"/>
              <w:right w:val="single" w:sz="4" w:space="0" w:color="auto"/>
            </w:tcBorders>
            <w:shd w:val="clear" w:color="auto" w:fill="auto"/>
            <w:noWrap/>
            <w:hideMark/>
          </w:tcPr>
          <w:p w14:paraId="658BCEF6" w14:textId="1A2F67B0"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1D510D" w:rsidRPr="00934F64" w14:paraId="73056CD5"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3F1DBDB" w14:textId="02DDB5E4" w:rsidR="001D510D" w:rsidRPr="00934F64" w:rsidRDefault="001D510D" w:rsidP="001D510D">
            <w:pPr>
              <w:jc w:val="left"/>
              <w:rPr>
                <w:sz w:val="18"/>
                <w:szCs w:val="18"/>
                <w:lang w:val="fr-CA" w:eastAsia="en-CA"/>
              </w:rPr>
            </w:pPr>
            <w:r>
              <w:rPr>
                <w:sz w:val="18"/>
                <w:szCs w:val="18"/>
                <w:lang w:val="fr-CA" w:eastAsia="en-CA"/>
              </w:rPr>
              <w:t>Fumigène</w:t>
            </w:r>
            <w:r w:rsidRPr="00BF6C78">
              <w:rPr>
                <w:sz w:val="18"/>
                <w:szCs w:val="18"/>
                <w:lang w:val="fr-CA" w:eastAsia="en-CA"/>
              </w:rPr>
              <w:t>s</w:t>
            </w:r>
          </w:p>
        </w:tc>
        <w:tc>
          <w:tcPr>
            <w:tcW w:w="856" w:type="dxa"/>
            <w:tcBorders>
              <w:top w:val="nil"/>
              <w:left w:val="nil"/>
              <w:bottom w:val="single" w:sz="4" w:space="0" w:color="auto"/>
              <w:right w:val="single" w:sz="4" w:space="0" w:color="auto"/>
            </w:tcBorders>
            <w:shd w:val="clear" w:color="auto" w:fill="auto"/>
            <w:noWrap/>
            <w:hideMark/>
          </w:tcPr>
          <w:p w14:paraId="708C215E"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nil"/>
              <w:left w:val="nil"/>
              <w:bottom w:val="single" w:sz="4" w:space="0" w:color="auto"/>
              <w:right w:val="single" w:sz="4" w:space="0" w:color="auto"/>
            </w:tcBorders>
            <w:shd w:val="clear" w:color="auto" w:fill="auto"/>
            <w:noWrap/>
            <w:hideMark/>
          </w:tcPr>
          <w:p w14:paraId="4AE917EC"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nil"/>
              <w:left w:val="nil"/>
              <w:bottom w:val="single" w:sz="4" w:space="0" w:color="auto"/>
              <w:right w:val="single" w:sz="4" w:space="0" w:color="auto"/>
            </w:tcBorders>
            <w:shd w:val="clear" w:color="auto" w:fill="auto"/>
            <w:noWrap/>
            <w:hideMark/>
          </w:tcPr>
          <w:p w14:paraId="6B478D7A"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nil"/>
              <w:left w:val="nil"/>
              <w:bottom w:val="single" w:sz="4" w:space="0" w:color="auto"/>
              <w:right w:val="single" w:sz="4" w:space="0" w:color="auto"/>
            </w:tcBorders>
            <w:shd w:val="clear" w:color="auto" w:fill="auto"/>
            <w:noWrap/>
            <w:hideMark/>
          </w:tcPr>
          <w:p w14:paraId="330B6BDF"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nil"/>
              <w:left w:val="nil"/>
              <w:bottom w:val="single" w:sz="4" w:space="0" w:color="auto"/>
              <w:right w:val="single" w:sz="4" w:space="0" w:color="auto"/>
            </w:tcBorders>
            <w:shd w:val="clear" w:color="auto" w:fill="auto"/>
            <w:noWrap/>
            <w:hideMark/>
          </w:tcPr>
          <w:p w14:paraId="583608E0"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nil"/>
              <w:left w:val="nil"/>
              <w:bottom w:val="single" w:sz="4" w:space="0" w:color="auto"/>
              <w:right w:val="single" w:sz="4" w:space="0" w:color="auto"/>
            </w:tcBorders>
            <w:shd w:val="clear" w:color="auto" w:fill="auto"/>
            <w:noWrap/>
            <w:hideMark/>
          </w:tcPr>
          <w:p w14:paraId="2BFF626D" w14:textId="2F401D3A"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nil"/>
              <w:left w:val="nil"/>
              <w:bottom w:val="single" w:sz="4" w:space="0" w:color="auto"/>
              <w:right w:val="single" w:sz="4" w:space="0" w:color="auto"/>
            </w:tcBorders>
            <w:shd w:val="clear" w:color="auto" w:fill="auto"/>
            <w:noWrap/>
            <w:hideMark/>
          </w:tcPr>
          <w:p w14:paraId="7F6FBC65" w14:textId="3700AA96"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nil"/>
              <w:left w:val="nil"/>
              <w:bottom w:val="single" w:sz="4" w:space="0" w:color="auto"/>
              <w:right w:val="single" w:sz="4" w:space="0" w:color="auto"/>
            </w:tcBorders>
            <w:shd w:val="clear" w:color="auto" w:fill="auto"/>
            <w:noWrap/>
            <w:hideMark/>
          </w:tcPr>
          <w:p w14:paraId="7C9B75DC" w14:textId="39CA5CE7"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1D510D" w:rsidRPr="00934F64" w14:paraId="1FA9ECEB"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22D2795" w14:textId="6C3708F2" w:rsidR="001D510D" w:rsidRPr="00934F64" w:rsidRDefault="001D510D" w:rsidP="001D510D">
            <w:pPr>
              <w:jc w:val="left"/>
              <w:rPr>
                <w:sz w:val="18"/>
                <w:szCs w:val="18"/>
                <w:lang w:val="fr-CA" w:eastAsia="en-CA"/>
              </w:rPr>
            </w:pPr>
            <w:r w:rsidRPr="00BF6C78">
              <w:rPr>
                <w:sz w:val="18"/>
                <w:szCs w:val="18"/>
                <w:lang w:val="fr-CA" w:eastAsia="en-CA"/>
              </w:rPr>
              <w:t>Halon</w:t>
            </w:r>
            <w:r>
              <w:rPr>
                <w:sz w:val="18"/>
                <w:szCs w:val="18"/>
                <w:lang w:val="fr-CA" w:eastAsia="en-CA"/>
              </w:rPr>
              <w:t>s</w:t>
            </w:r>
          </w:p>
        </w:tc>
        <w:tc>
          <w:tcPr>
            <w:tcW w:w="856" w:type="dxa"/>
            <w:tcBorders>
              <w:top w:val="nil"/>
              <w:left w:val="nil"/>
              <w:bottom w:val="single" w:sz="4" w:space="0" w:color="auto"/>
              <w:right w:val="single" w:sz="4" w:space="0" w:color="auto"/>
            </w:tcBorders>
            <w:shd w:val="clear" w:color="auto" w:fill="auto"/>
            <w:noWrap/>
            <w:hideMark/>
          </w:tcPr>
          <w:p w14:paraId="095450E1"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nil"/>
              <w:left w:val="nil"/>
              <w:bottom w:val="single" w:sz="4" w:space="0" w:color="auto"/>
              <w:right w:val="single" w:sz="4" w:space="0" w:color="auto"/>
            </w:tcBorders>
            <w:shd w:val="clear" w:color="auto" w:fill="auto"/>
            <w:noWrap/>
            <w:hideMark/>
          </w:tcPr>
          <w:p w14:paraId="02AF81BD"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nil"/>
              <w:left w:val="nil"/>
              <w:bottom w:val="single" w:sz="4" w:space="0" w:color="auto"/>
              <w:right w:val="single" w:sz="4" w:space="0" w:color="auto"/>
            </w:tcBorders>
            <w:shd w:val="clear" w:color="auto" w:fill="auto"/>
            <w:noWrap/>
            <w:hideMark/>
          </w:tcPr>
          <w:p w14:paraId="2210D367"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nil"/>
              <w:left w:val="nil"/>
              <w:bottom w:val="single" w:sz="4" w:space="0" w:color="auto"/>
              <w:right w:val="single" w:sz="4" w:space="0" w:color="auto"/>
            </w:tcBorders>
            <w:shd w:val="clear" w:color="auto" w:fill="auto"/>
            <w:noWrap/>
            <w:hideMark/>
          </w:tcPr>
          <w:p w14:paraId="7A8AE28B"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nil"/>
              <w:left w:val="nil"/>
              <w:bottom w:val="single" w:sz="4" w:space="0" w:color="auto"/>
              <w:right w:val="single" w:sz="4" w:space="0" w:color="auto"/>
            </w:tcBorders>
            <w:shd w:val="clear" w:color="auto" w:fill="auto"/>
            <w:noWrap/>
            <w:hideMark/>
          </w:tcPr>
          <w:p w14:paraId="3D21F452"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nil"/>
              <w:left w:val="nil"/>
              <w:bottom w:val="single" w:sz="4" w:space="0" w:color="auto"/>
              <w:right w:val="single" w:sz="4" w:space="0" w:color="auto"/>
            </w:tcBorders>
            <w:shd w:val="clear" w:color="auto" w:fill="auto"/>
            <w:noWrap/>
            <w:hideMark/>
          </w:tcPr>
          <w:p w14:paraId="5AA6B126" w14:textId="70D1FBCB"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nil"/>
              <w:left w:val="nil"/>
              <w:bottom w:val="single" w:sz="4" w:space="0" w:color="auto"/>
              <w:right w:val="single" w:sz="4" w:space="0" w:color="auto"/>
            </w:tcBorders>
            <w:shd w:val="clear" w:color="auto" w:fill="auto"/>
            <w:noWrap/>
            <w:hideMark/>
          </w:tcPr>
          <w:p w14:paraId="47E6E3F5" w14:textId="494BAD60"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nil"/>
              <w:left w:val="nil"/>
              <w:bottom w:val="single" w:sz="4" w:space="0" w:color="auto"/>
              <w:right w:val="single" w:sz="4" w:space="0" w:color="auto"/>
            </w:tcBorders>
            <w:shd w:val="clear" w:color="auto" w:fill="auto"/>
            <w:noWrap/>
            <w:hideMark/>
          </w:tcPr>
          <w:p w14:paraId="7FC41015" w14:textId="7D9FF912"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1D510D" w:rsidRPr="00934F64" w14:paraId="5A08DDD4"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54F2AD71" w14:textId="5804BC7F" w:rsidR="001D510D" w:rsidRPr="00934F64" w:rsidRDefault="001D510D" w:rsidP="001D510D">
            <w:pPr>
              <w:jc w:val="left"/>
              <w:rPr>
                <w:sz w:val="18"/>
                <w:szCs w:val="18"/>
                <w:lang w:val="fr-CA" w:eastAsia="en-CA"/>
              </w:rPr>
            </w:pPr>
            <w:r>
              <w:rPr>
                <w:sz w:val="18"/>
                <w:szCs w:val="18"/>
                <w:lang w:val="fr-CA" w:eastAsia="en-CA"/>
              </w:rPr>
              <w:t>Multiples secteurs</w:t>
            </w:r>
          </w:p>
        </w:tc>
        <w:tc>
          <w:tcPr>
            <w:tcW w:w="856" w:type="dxa"/>
            <w:tcBorders>
              <w:top w:val="nil"/>
              <w:left w:val="nil"/>
              <w:bottom w:val="single" w:sz="4" w:space="0" w:color="auto"/>
              <w:right w:val="single" w:sz="4" w:space="0" w:color="auto"/>
            </w:tcBorders>
            <w:shd w:val="clear" w:color="auto" w:fill="auto"/>
            <w:noWrap/>
            <w:hideMark/>
          </w:tcPr>
          <w:p w14:paraId="7CF4991F"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nil"/>
              <w:left w:val="nil"/>
              <w:bottom w:val="single" w:sz="4" w:space="0" w:color="auto"/>
              <w:right w:val="single" w:sz="4" w:space="0" w:color="auto"/>
            </w:tcBorders>
            <w:shd w:val="clear" w:color="auto" w:fill="auto"/>
            <w:noWrap/>
            <w:hideMark/>
          </w:tcPr>
          <w:p w14:paraId="4EA328A1"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nil"/>
              <w:left w:val="nil"/>
              <w:bottom w:val="single" w:sz="4" w:space="0" w:color="auto"/>
              <w:right w:val="single" w:sz="4" w:space="0" w:color="auto"/>
            </w:tcBorders>
            <w:shd w:val="clear" w:color="auto" w:fill="auto"/>
            <w:noWrap/>
            <w:hideMark/>
          </w:tcPr>
          <w:p w14:paraId="645A97C1"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nil"/>
              <w:left w:val="nil"/>
              <w:bottom w:val="single" w:sz="4" w:space="0" w:color="auto"/>
              <w:right w:val="single" w:sz="4" w:space="0" w:color="auto"/>
            </w:tcBorders>
            <w:shd w:val="clear" w:color="auto" w:fill="auto"/>
            <w:noWrap/>
            <w:hideMark/>
          </w:tcPr>
          <w:p w14:paraId="027CBD34"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nil"/>
              <w:left w:val="nil"/>
              <w:bottom w:val="single" w:sz="4" w:space="0" w:color="auto"/>
              <w:right w:val="single" w:sz="4" w:space="0" w:color="auto"/>
            </w:tcBorders>
            <w:shd w:val="clear" w:color="auto" w:fill="auto"/>
            <w:noWrap/>
            <w:hideMark/>
          </w:tcPr>
          <w:p w14:paraId="0673318F"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nil"/>
              <w:left w:val="nil"/>
              <w:bottom w:val="single" w:sz="4" w:space="0" w:color="auto"/>
              <w:right w:val="single" w:sz="4" w:space="0" w:color="auto"/>
            </w:tcBorders>
            <w:shd w:val="clear" w:color="auto" w:fill="auto"/>
            <w:noWrap/>
            <w:hideMark/>
          </w:tcPr>
          <w:p w14:paraId="0C41013D" w14:textId="486239A6"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nil"/>
              <w:left w:val="nil"/>
              <w:bottom w:val="single" w:sz="4" w:space="0" w:color="auto"/>
              <w:right w:val="single" w:sz="4" w:space="0" w:color="auto"/>
            </w:tcBorders>
            <w:shd w:val="clear" w:color="auto" w:fill="auto"/>
            <w:noWrap/>
            <w:hideMark/>
          </w:tcPr>
          <w:p w14:paraId="34D933CE" w14:textId="73DB55FD"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nil"/>
              <w:left w:val="nil"/>
              <w:bottom w:val="single" w:sz="4" w:space="0" w:color="auto"/>
              <w:right w:val="single" w:sz="4" w:space="0" w:color="auto"/>
            </w:tcBorders>
            <w:shd w:val="clear" w:color="auto" w:fill="auto"/>
            <w:noWrap/>
            <w:hideMark/>
          </w:tcPr>
          <w:p w14:paraId="0BA52854" w14:textId="572C985B"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1D510D" w:rsidRPr="00934F64" w14:paraId="0EF8BB46"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2132FA84" w14:textId="0F35070E" w:rsidR="001D510D" w:rsidRPr="00934F64" w:rsidRDefault="001D510D" w:rsidP="001D510D">
            <w:pPr>
              <w:jc w:val="left"/>
              <w:rPr>
                <w:sz w:val="18"/>
                <w:szCs w:val="18"/>
                <w:lang w:val="fr-CA" w:eastAsia="en-CA"/>
              </w:rPr>
            </w:pPr>
            <w:r>
              <w:rPr>
                <w:sz w:val="18"/>
                <w:szCs w:val="18"/>
                <w:lang w:val="fr-CA" w:eastAsia="en-CA"/>
              </w:rPr>
              <w:t>Autre</w:t>
            </w:r>
          </w:p>
        </w:tc>
        <w:tc>
          <w:tcPr>
            <w:tcW w:w="856" w:type="dxa"/>
            <w:tcBorders>
              <w:top w:val="nil"/>
              <w:left w:val="nil"/>
              <w:bottom w:val="single" w:sz="4" w:space="0" w:color="auto"/>
              <w:right w:val="single" w:sz="4" w:space="0" w:color="auto"/>
            </w:tcBorders>
            <w:shd w:val="clear" w:color="auto" w:fill="auto"/>
            <w:noWrap/>
            <w:hideMark/>
          </w:tcPr>
          <w:p w14:paraId="3BC14E07"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nil"/>
              <w:left w:val="nil"/>
              <w:bottom w:val="single" w:sz="4" w:space="0" w:color="auto"/>
              <w:right w:val="single" w:sz="4" w:space="0" w:color="auto"/>
            </w:tcBorders>
            <w:shd w:val="clear" w:color="auto" w:fill="auto"/>
            <w:noWrap/>
            <w:hideMark/>
          </w:tcPr>
          <w:p w14:paraId="01DB459A"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nil"/>
              <w:left w:val="nil"/>
              <w:bottom w:val="single" w:sz="4" w:space="0" w:color="auto"/>
              <w:right w:val="single" w:sz="4" w:space="0" w:color="auto"/>
            </w:tcBorders>
            <w:shd w:val="clear" w:color="auto" w:fill="auto"/>
            <w:noWrap/>
            <w:hideMark/>
          </w:tcPr>
          <w:p w14:paraId="5409DD5E"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nil"/>
              <w:left w:val="nil"/>
              <w:bottom w:val="single" w:sz="4" w:space="0" w:color="auto"/>
              <w:right w:val="single" w:sz="4" w:space="0" w:color="auto"/>
            </w:tcBorders>
            <w:shd w:val="clear" w:color="auto" w:fill="auto"/>
            <w:noWrap/>
            <w:hideMark/>
          </w:tcPr>
          <w:p w14:paraId="197E3060"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nil"/>
              <w:left w:val="nil"/>
              <w:bottom w:val="single" w:sz="4" w:space="0" w:color="auto"/>
              <w:right w:val="single" w:sz="4" w:space="0" w:color="auto"/>
            </w:tcBorders>
            <w:shd w:val="clear" w:color="auto" w:fill="auto"/>
            <w:noWrap/>
            <w:hideMark/>
          </w:tcPr>
          <w:p w14:paraId="19129976"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nil"/>
              <w:left w:val="nil"/>
              <w:bottom w:val="single" w:sz="4" w:space="0" w:color="auto"/>
              <w:right w:val="single" w:sz="4" w:space="0" w:color="auto"/>
            </w:tcBorders>
            <w:shd w:val="clear" w:color="auto" w:fill="auto"/>
            <w:noWrap/>
            <w:hideMark/>
          </w:tcPr>
          <w:p w14:paraId="7995FB63" w14:textId="2A013B40"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nil"/>
              <w:left w:val="nil"/>
              <w:bottom w:val="single" w:sz="4" w:space="0" w:color="auto"/>
              <w:right w:val="single" w:sz="4" w:space="0" w:color="auto"/>
            </w:tcBorders>
            <w:shd w:val="clear" w:color="auto" w:fill="auto"/>
            <w:noWrap/>
            <w:hideMark/>
          </w:tcPr>
          <w:p w14:paraId="09D9F5A9" w14:textId="2FD70047"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nil"/>
              <w:left w:val="nil"/>
              <w:bottom w:val="single" w:sz="4" w:space="0" w:color="auto"/>
              <w:right w:val="single" w:sz="4" w:space="0" w:color="auto"/>
            </w:tcBorders>
            <w:shd w:val="clear" w:color="auto" w:fill="auto"/>
            <w:noWrap/>
            <w:hideMark/>
          </w:tcPr>
          <w:p w14:paraId="09B20F11" w14:textId="394FA9EE"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1D510D" w:rsidRPr="00934F64" w14:paraId="333E97EE"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77351377" w14:textId="7515F8C3" w:rsidR="001D510D" w:rsidRPr="00934F64" w:rsidRDefault="001D510D" w:rsidP="001D510D">
            <w:pPr>
              <w:jc w:val="left"/>
              <w:rPr>
                <w:sz w:val="18"/>
                <w:szCs w:val="18"/>
                <w:lang w:val="fr-CA" w:eastAsia="en-CA"/>
              </w:rPr>
            </w:pPr>
            <w:r>
              <w:rPr>
                <w:sz w:val="18"/>
                <w:szCs w:val="18"/>
                <w:lang w:val="fr-CA" w:eastAsia="en-CA"/>
              </w:rPr>
              <w:t>Plan d’élimination</w:t>
            </w:r>
          </w:p>
        </w:tc>
        <w:tc>
          <w:tcPr>
            <w:tcW w:w="856" w:type="dxa"/>
            <w:tcBorders>
              <w:top w:val="nil"/>
              <w:left w:val="nil"/>
              <w:bottom w:val="single" w:sz="4" w:space="0" w:color="auto"/>
              <w:right w:val="single" w:sz="4" w:space="0" w:color="auto"/>
            </w:tcBorders>
            <w:shd w:val="clear" w:color="auto" w:fill="auto"/>
            <w:noWrap/>
            <w:hideMark/>
          </w:tcPr>
          <w:p w14:paraId="4A38AE6C" w14:textId="77777777" w:rsidR="001D510D" w:rsidRPr="00934F64" w:rsidRDefault="001D510D" w:rsidP="001D510D">
            <w:pPr>
              <w:jc w:val="right"/>
              <w:rPr>
                <w:sz w:val="18"/>
                <w:szCs w:val="18"/>
                <w:lang w:val="fr-CA" w:eastAsia="en-CA"/>
              </w:rPr>
            </w:pPr>
            <w:r w:rsidRPr="00934F64">
              <w:rPr>
                <w:sz w:val="18"/>
                <w:szCs w:val="18"/>
                <w:lang w:val="fr-CA" w:eastAsia="en-CA"/>
              </w:rPr>
              <w:t>253</w:t>
            </w:r>
          </w:p>
        </w:tc>
        <w:tc>
          <w:tcPr>
            <w:tcW w:w="1216" w:type="dxa"/>
            <w:tcBorders>
              <w:top w:val="nil"/>
              <w:left w:val="nil"/>
              <w:bottom w:val="single" w:sz="4" w:space="0" w:color="auto"/>
              <w:right w:val="single" w:sz="4" w:space="0" w:color="auto"/>
            </w:tcBorders>
            <w:shd w:val="clear" w:color="auto" w:fill="auto"/>
            <w:noWrap/>
            <w:hideMark/>
          </w:tcPr>
          <w:p w14:paraId="7B88382D" w14:textId="0823324D" w:rsidR="001D510D" w:rsidRPr="00934F64" w:rsidRDefault="001D510D" w:rsidP="001D510D">
            <w:pPr>
              <w:jc w:val="right"/>
              <w:rPr>
                <w:sz w:val="18"/>
                <w:szCs w:val="18"/>
                <w:lang w:val="fr-CA" w:eastAsia="en-CA"/>
              </w:rPr>
            </w:pPr>
            <w:r w:rsidRPr="00934F64">
              <w:rPr>
                <w:sz w:val="18"/>
                <w:szCs w:val="18"/>
                <w:lang w:val="fr-CA" w:eastAsia="en-CA"/>
              </w:rPr>
              <w:t>42</w:t>
            </w:r>
            <w:r w:rsidR="005F4F67">
              <w:rPr>
                <w:sz w:val="18"/>
                <w:szCs w:val="18"/>
                <w:lang w:val="fr-CA" w:eastAsia="en-CA"/>
              </w:rPr>
              <w:t xml:space="preserve"> </w:t>
            </w:r>
            <w:r w:rsidRPr="00934F64">
              <w:rPr>
                <w:sz w:val="18"/>
                <w:szCs w:val="18"/>
                <w:lang w:val="fr-CA" w:eastAsia="en-CA"/>
              </w:rPr>
              <w:t>905</w:t>
            </w:r>
            <w:r w:rsidR="005F4F67">
              <w:rPr>
                <w:sz w:val="18"/>
                <w:szCs w:val="18"/>
                <w:lang w:val="fr-CA" w:eastAsia="en-CA"/>
              </w:rPr>
              <w:t xml:space="preserve"> </w:t>
            </w:r>
            <w:r w:rsidRPr="00934F64">
              <w:rPr>
                <w:sz w:val="18"/>
                <w:szCs w:val="18"/>
                <w:lang w:val="fr-CA" w:eastAsia="en-CA"/>
              </w:rPr>
              <w:t>669</w:t>
            </w:r>
          </w:p>
        </w:tc>
        <w:tc>
          <w:tcPr>
            <w:tcW w:w="892" w:type="dxa"/>
            <w:tcBorders>
              <w:top w:val="nil"/>
              <w:left w:val="nil"/>
              <w:bottom w:val="single" w:sz="4" w:space="0" w:color="auto"/>
              <w:right w:val="single" w:sz="4" w:space="0" w:color="auto"/>
            </w:tcBorders>
            <w:shd w:val="clear" w:color="auto" w:fill="auto"/>
            <w:noWrap/>
            <w:hideMark/>
          </w:tcPr>
          <w:p w14:paraId="33E01979" w14:textId="77777777" w:rsidR="001D510D" w:rsidRPr="00934F64" w:rsidRDefault="001D510D" w:rsidP="001D510D">
            <w:pPr>
              <w:jc w:val="right"/>
              <w:rPr>
                <w:sz w:val="18"/>
                <w:szCs w:val="18"/>
                <w:lang w:val="fr-CA" w:eastAsia="en-CA"/>
              </w:rPr>
            </w:pPr>
            <w:r w:rsidRPr="00934F64">
              <w:rPr>
                <w:sz w:val="18"/>
                <w:szCs w:val="18"/>
                <w:lang w:val="fr-CA" w:eastAsia="en-CA"/>
              </w:rPr>
              <w:t>21</w:t>
            </w:r>
          </w:p>
        </w:tc>
        <w:tc>
          <w:tcPr>
            <w:tcW w:w="919" w:type="dxa"/>
            <w:tcBorders>
              <w:top w:val="nil"/>
              <w:left w:val="nil"/>
              <w:bottom w:val="single" w:sz="4" w:space="0" w:color="auto"/>
              <w:right w:val="single" w:sz="4" w:space="0" w:color="auto"/>
            </w:tcBorders>
            <w:shd w:val="clear" w:color="auto" w:fill="auto"/>
            <w:noWrap/>
            <w:hideMark/>
          </w:tcPr>
          <w:p w14:paraId="373E0C00" w14:textId="77777777" w:rsidR="001D510D" w:rsidRPr="00934F64" w:rsidRDefault="001D510D" w:rsidP="001D510D">
            <w:pPr>
              <w:jc w:val="right"/>
              <w:rPr>
                <w:sz w:val="18"/>
                <w:szCs w:val="18"/>
                <w:lang w:val="fr-CA" w:eastAsia="en-CA"/>
              </w:rPr>
            </w:pPr>
            <w:r w:rsidRPr="00934F64">
              <w:rPr>
                <w:sz w:val="18"/>
                <w:szCs w:val="18"/>
                <w:lang w:val="fr-CA" w:eastAsia="en-CA"/>
              </w:rPr>
              <w:t>103</w:t>
            </w:r>
          </w:p>
        </w:tc>
        <w:tc>
          <w:tcPr>
            <w:tcW w:w="1045" w:type="dxa"/>
            <w:tcBorders>
              <w:top w:val="nil"/>
              <w:left w:val="nil"/>
              <w:bottom w:val="single" w:sz="4" w:space="0" w:color="auto"/>
              <w:right w:val="single" w:sz="4" w:space="0" w:color="auto"/>
            </w:tcBorders>
            <w:shd w:val="clear" w:color="auto" w:fill="auto"/>
            <w:noWrap/>
            <w:hideMark/>
          </w:tcPr>
          <w:p w14:paraId="625F3C0E" w14:textId="77777777" w:rsidR="001D510D" w:rsidRPr="00934F64" w:rsidRDefault="001D510D" w:rsidP="001D510D">
            <w:pPr>
              <w:jc w:val="right"/>
              <w:rPr>
                <w:sz w:val="18"/>
                <w:szCs w:val="18"/>
                <w:lang w:val="fr-CA" w:eastAsia="en-CA"/>
              </w:rPr>
            </w:pPr>
            <w:r w:rsidRPr="00934F64">
              <w:rPr>
                <w:sz w:val="18"/>
                <w:szCs w:val="18"/>
                <w:lang w:val="fr-CA" w:eastAsia="en-CA"/>
              </w:rPr>
              <w:t>41</w:t>
            </w:r>
          </w:p>
        </w:tc>
        <w:tc>
          <w:tcPr>
            <w:tcW w:w="1144" w:type="dxa"/>
            <w:tcBorders>
              <w:top w:val="nil"/>
              <w:left w:val="nil"/>
              <w:bottom w:val="single" w:sz="4" w:space="0" w:color="auto"/>
              <w:right w:val="single" w:sz="4" w:space="0" w:color="auto"/>
            </w:tcBorders>
            <w:shd w:val="clear" w:color="auto" w:fill="auto"/>
            <w:noWrap/>
            <w:hideMark/>
          </w:tcPr>
          <w:p w14:paraId="7A8FE00A" w14:textId="77777777" w:rsidR="001D510D" w:rsidRPr="00934F64" w:rsidRDefault="001D510D" w:rsidP="001D510D">
            <w:pPr>
              <w:jc w:val="right"/>
              <w:rPr>
                <w:sz w:val="18"/>
                <w:szCs w:val="18"/>
                <w:lang w:val="fr-CA" w:eastAsia="en-CA"/>
              </w:rPr>
            </w:pPr>
            <w:r w:rsidRPr="00934F64">
              <w:rPr>
                <w:sz w:val="18"/>
                <w:szCs w:val="18"/>
                <w:lang w:val="fr-CA" w:eastAsia="en-CA"/>
              </w:rPr>
              <w:t>13</w:t>
            </w:r>
          </w:p>
        </w:tc>
        <w:tc>
          <w:tcPr>
            <w:tcW w:w="1117" w:type="dxa"/>
            <w:tcBorders>
              <w:top w:val="nil"/>
              <w:left w:val="nil"/>
              <w:bottom w:val="single" w:sz="4" w:space="0" w:color="auto"/>
              <w:right w:val="single" w:sz="4" w:space="0" w:color="auto"/>
            </w:tcBorders>
            <w:shd w:val="clear" w:color="auto" w:fill="auto"/>
            <w:noWrap/>
            <w:hideMark/>
          </w:tcPr>
          <w:p w14:paraId="7C92E29B" w14:textId="77777777" w:rsidR="001D510D" w:rsidRPr="00934F64" w:rsidRDefault="001D510D" w:rsidP="001D510D">
            <w:pPr>
              <w:jc w:val="right"/>
              <w:rPr>
                <w:sz w:val="18"/>
                <w:szCs w:val="18"/>
                <w:lang w:val="fr-CA" w:eastAsia="en-CA"/>
              </w:rPr>
            </w:pPr>
            <w:r w:rsidRPr="00934F64">
              <w:rPr>
                <w:sz w:val="18"/>
                <w:szCs w:val="18"/>
                <w:lang w:val="fr-CA" w:eastAsia="en-CA"/>
              </w:rPr>
              <w:t>40</w:t>
            </w:r>
          </w:p>
        </w:tc>
        <w:tc>
          <w:tcPr>
            <w:tcW w:w="1236" w:type="dxa"/>
            <w:gridSpan w:val="2"/>
            <w:tcBorders>
              <w:top w:val="nil"/>
              <w:left w:val="nil"/>
              <w:bottom w:val="single" w:sz="4" w:space="0" w:color="auto"/>
              <w:right w:val="single" w:sz="4" w:space="0" w:color="auto"/>
            </w:tcBorders>
            <w:shd w:val="clear" w:color="auto" w:fill="auto"/>
            <w:noWrap/>
            <w:hideMark/>
          </w:tcPr>
          <w:p w14:paraId="2A0C41A1" w14:textId="77777777" w:rsidR="001D510D" w:rsidRPr="00934F64" w:rsidRDefault="001D510D" w:rsidP="001D510D">
            <w:pPr>
              <w:jc w:val="right"/>
              <w:rPr>
                <w:sz w:val="18"/>
                <w:szCs w:val="18"/>
                <w:lang w:val="fr-CA" w:eastAsia="en-CA"/>
              </w:rPr>
            </w:pPr>
            <w:r w:rsidRPr="00934F64">
              <w:rPr>
                <w:sz w:val="18"/>
                <w:szCs w:val="18"/>
                <w:lang w:val="fr-CA" w:eastAsia="en-CA"/>
              </w:rPr>
              <w:t>10</w:t>
            </w:r>
          </w:p>
        </w:tc>
      </w:tr>
      <w:tr w:rsidR="001D510D" w:rsidRPr="00934F64" w14:paraId="4ED601AF"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3574228" w14:textId="69C8EEDB" w:rsidR="001D510D" w:rsidRPr="00934F64" w:rsidRDefault="001D510D" w:rsidP="001D510D">
            <w:pPr>
              <w:jc w:val="left"/>
              <w:rPr>
                <w:sz w:val="18"/>
                <w:szCs w:val="18"/>
                <w:lang w:val="fr-CA" w:eastAsia="en-CA"/>
              </w:rPr>
            </w:pPr>
            <w:r>
              <w:rPr>
                <w:sz w:val="18"/>
                <w:szCs w:val="18"/>
                <w:lang w:val="fr-CA" w:eastAsia="en-CA"/>
              </w:rPr>
              <w:t>Agent de transformation</w:t>
            </w:r>
          </w:p>
        </w:tc>
        <w:tc>
          <w:tcPr>
            <w:tcW w:w="856" w:type="dxa"/>
            <w:tcBorders>
              <w:top w:val="nil"/>
              <w:left w:val="nil"/>
              <w:bottom w:val="single" w:sz="4" w:space="0" w:color="auto"/>
              <w:right w:val="single" w:sz="4" w:space="0" w:color="auto"/>
            </w:tcBorders>
            <w:shd w:val="clear" w:color="auto" w:fill="auto"/>
            <w:noWrap/>
            <w:hideMark/>
          </w:tcPr>
          <w:p w14:paraId="4591B0F4"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nil"/>
              <w:left w:val="nil"/>
              <w:bottom w:val="single" w:sz="4" w:space="0" w:color="auto"/>
              <w:right w:val="single" w:sz="4" w:space="0" w:color="auto"/>
            </w:tcBorders>
            <w:shd w:val="clear" w:color="auto" w:fill="auto"/>
            <w:noWrap/>
            <w:hideMark/>
          </w:tcPr>
          <w:p w14:paraId="013E51DE"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nil"/>
              <w:left w:val="nil"/>
              <w:bottom w:val="single" w:sz="4" w:space="0" w:color="auto"/>
              <w:right w:val="single" w:sz="4" w:space="0" w:color="auto"/>
            </w:tcBorders>
            <w:shd w:val="clear" w:color="auto" w:fill="auto"/>
            <w:noWrap/>
            <w:hideMark/>
          </w:tcPr>
          <w:p w14:paraId="4ED7613A"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nil"/>
              <w:left w:val="nil"/>
              <w:bottom w:val="single" w:sz="4" w:space="0" w:color="auto"/>
              <w:right w:val="single" w:sz="4" w:space="0" w:color="auto"/>
            </w:tcBorders>
            <w:shd w:val="clear" w:color="auto" w:fill="auto"/>
            <w:noWrap/>
            <w:hideMark/>
          </w:tcPr>
          <w:p w14:paraId="37B9D506"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nil"/>
              <w:left w:val="nil"/>
              <w:bottom w:val="single" w:sz="4" w:space="0" w:color="auto"/>
              <w:right w:val="single" w:sz="4" w:space="0" w:color="auto"/>
            </w:tcBorders>
            <w:shd w:val="clear" w:color="auto" w:fill="auto"/>
            <w:noWrap/>
            <w:hideMark/>
          </w:tcPr>
          <w:p w14:paraId="6F2E1C25"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nil"/>
              <w:left w:val="nil"/>
              <w:bottom w:val="single" w:sz="4" w:space="0" w:color="auto"/>
              <w:right w:val="single" w:sz="4" w:space="0" w:color="auto"/>
            </w:tcBorders>
            <w:shd w:val="clear" w:color="auto" w:fill="auto"/>
            <w:noWrap/>
            <w:hideMark/>
          </w:tcPr>
          <w:p w14:paraId="56FAB6E5" w14:textId="1575E296"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nil"/>
              <w:left w:val="nil"/>
              <w:bottom w:val="single" w:sz="4" w:space="0" w:color="auto"/>
              <w:right w:val="single" w:sz="4" w:space="0" w:color="auto"/>
            </w:tcBorders>
            <w:shd w:val="clear" w:color="auto" w:fill="auto"/>
            <w:noWrap/>
            <w:hideMark/>
          </w:tcPr>
          <w:p w14:paraId="6B4747FB" w14:textId="32823F10"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nil"/>
              <w:left w:val="nil"/>
              <w:bottom w:val="single" w:sz="4" w:space="0" w:color="auto"/>
              <w:right w:val="single" w:sz="4" w:space="0" w:color="auto"/>
            </w:tcBorders>
            <w:shd w:val="clear" w:color="auto" w:fill="auto"/>
            <w:noWrap/>
            <w:hideMark/>
          </w:tcPr>
          <w:p w14:paraId="28A14B64" w14:textId="04DE91B2"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1D510D" w:rsidRPr="00934F64" w14:paraId="7BE29499"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30B85EC" w14:textId="4011783A" w:rsidR="001D510D" w:rsidRPr="00934F64" w:rsidRDefault="001D510D" w:rsidP="001D510D">
            <w:pPr>
              <w:jc w:val="left"/>
              <w:rPr>
                <w:sz w:val="18"/>
                <w:szCs w:val="18"/>
                <w:lang w:val="fr-CA" w:eastAsia="en-CA"/>
              </w:rPr>
            </w:pPr>
            <w:r w:rsidRPr="00BF6C78">
              <w:rPr>
                <w:sz w:val="18"/>
                <w:szCs w:val="18"/>
                <w:lang w:val="fr-CA" w:eastAsia="en-CA"/>
              </w:rPr>
              <w:t>Production</w:t>
            </w:r>
          </w:p>
        </w:tc>
        <w:tc>
          <w:tcPr>
            <w:tcW w:w="856" w:type="dxa"/>
            <w:tcBorders>
              <w:top w:val="nil"/>
              <w:left w:val="nil"/>
              <w:bottom w:val="single" w:sz="4" w:space="0" w:color="auto"/>
              <w:right w:val="single" w:sz="4" w:space="0" w:color="auto"/>
            </w:tcBorders>
            <w:shd w:val="clear" w:color="auto" w:fill="auto"/>
            <w:noWrap/>
            <w:hideMark/>
          </w:tcPr>
          <w:p w14:paraId="6C1D5F10"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nil"/>
              <w:left w:val="nil"/>
              <w:bottom w:val="single" w:sz="4" w:space="0" w:color="auto"/>
              <w:right w:val="single" w:sz="4" w:space="0" w:color="auto"/>
            </w:tcBorders>
            <w:shd w:val="clear" w:color="auto" w:fill="auto"/>
            <w:noWrap/>
            <w:hideMark/>
          </w:tcPr>
          <w:p w14:paraId="3DD4C8B9"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nil"/>
              <w:left w:val="nil"/>
              <w:bottom w:val="single" w:sz="4" w:space="0" w:color="auto"/>
              <w:right w:val="single" w:sz="4" w:space="0" w:color="auto"/>
            </w:tcBorders>
            <w:shd w:val="clear" w:color="auto" w:fill="auto"/>
            <w:noWrap/>
            <w:hideMark/>
          </w:tcPr>
          <w:p w14:paraId="27253EF2"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nil"/>
              <w:left w:val="nil"/>
              <w:bottom w:val="single" w:sz="4" w:space="0" w:color="auto"/>
              <w:right w:val="single" w:sz="4" w:space="0" w:color="auto"/>
            </w:tcBorders>
            <w:shd w:val="clear" w:color="auto" w:fill="auto"/>
            <w:noWrap/>
            <w:hideMark/>
          </w:tcPr>
          <w:p w14:paraId="5AEC864E"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nil"/>
              <w:left w:val="nil"/>
              <w:bottom w:val="single" w:sz="4" w:space="0" w:color="auto"/>
              <w:right w:val="single" w:sz="4" w:space="0" w:color="auto"/>
            </w:tcBorders>
            <w:shd w:val="clear" w:color="auto" w:fill="auto"/>
            <w:noWrap/>
            <w:hideMark/>
          </w:tcPr>
          <w:p w14:paraId="3EE9479C"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nil"/>
              <w:left w:val="nil"/>
              <w:bottom w:val="single" w:sz="4" w:space="0" w:color="auto"/>
              <w:right w:val="single" w:sz="4" w:space="0" w:color="auto"/>
            </w:tcBorders>
            <w:shd w:val="clear" w:color="auto" w:fill="auto"/>
            <w:noWrap/>
            <w:hideMark/>
          </w:tcPr>
          <w:p w14:paraId="166D0D62" w14:textId="2604F1E1"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nil"/>
              <w:left w:val="nil"/>
              <w:bottom w:val="single" w:sz="4" w:space="0" w:color="auto"/>
              <w:right w:val="single" w:sz="4" w:space="0" w:color="auto"/>
            </w:tcBorders>
            <w:shd w:val="clear" w:color="auto" w:fill="auto"/>
            <w:noWrap/>
            <w:hideMark/>
          </w:tcPr>
          <w:p w14:paraId="70A716AE" w14:textId="2EA1FC25"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nil"/>
              <w:left w:val="nil"/>
              <w:bottom w:val="single" w:sz="4" w:space="0" w:color="auto"/>
              <w:right w:val="single" w:sz="4" w:space="0" w:color="auto"/>
            </w:tcBorders>
            <w:shd w:val="clear" w:color="auto" w:fill="auto"/>
            <w:noWrap/>
            <w:hideMark/>
          </w:tcPr>
          <w:p w14:paraId="551E063F" w14:textId="60B4EEB8"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1D510D" w:rsidRPr="00934F64" w14:paraId="70E67F01"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E6B9922" w14:textId="61356626" w:rsidR="001D510D" w:rsidRPr="00934F64" w:rsidRDefault="001D510D" w:rsidP="001D510D">
            <w:pPr>
              <w:jc w:val="left"/>
              <w:rPr>
                <w:sz w:val="18"/>
                <w:szCs w:val="18"/>
                <w:lang w:val="fr-CA" w:eastAsia="en-CA"/>
              </w:rPr>
            </w:pPr>
            <w:r>
              <w:rPr>
                <w:sz w:val="18"/>
                <w:szCs w:val="18"/>
                <w:lang w:val="fr-CA" w:eastAsia="en-CA"/>
              </w:rPr>
              <w:t>Réfrigération</w:t>
            </w:r>
          </w:p>
        </w:tc>
        <w:tc>
          <w:tcPr>
            <w:tcW w:w="856" w:type="dxa"/>
            <w:tcBorders>
              <w:top w:val="nil"/>
              <w:left w:val="nil"/>
              <w:bottom w:val="single" w:sz="4" w:space="0" w:color="auto"/>
              <w:right w:val="single" w:sz="4" w:space="0" w:color="auto"/>
            </w:tcBorders>
            <w:shd w:val="clear" w:color="auto" w:fill="auto"/>
            <w:noWrap/>
            <w:hideMark/>
          </w:tcPr>
          <w:p w14:paraId="40DE8864" w14:textId="77777777" w:rsidR="001D510D" w:rsidRPr="00934F64" w:rsidRDefault="001D510D" w:rsidP="001D510D">
            <w:pPr>
              <w:jc w:val="right"/>
              <w:rPr>
                <w:sz w:val="18"/>
                <w:szCs w:val="18"/>
                <w:lang w:val="fr-CA" w:eastAsia="en-CA"/>
              </w:rPr>
            </w:pPr>
            <w:r w:rsidRPr="00934F64">
              <w:rPr>
                <w:sz w:val="18"/>
                <w:szCs w:val="18"/>
                <w:lang w:val="fr-CA" w:eastAsia="en-CA"/>
              </w:rPr>
              <w:t>1</w:t>
            </w:r>
          </w:p>
        </w:tc>
        <w:tc>
          <w:tcPr>
            <w:tcW w:w="1216" w:type="dxa"/>
            <w:tcBorders>
              <w:top w:val="nil"/>
              <w:left w:val="nil"/>
              <w:bottom w:val="single" w:sz="4" w:space="0" w:color="auto"/>
              <w:right w:val="single" w:sz="4" w:space="0" w:color="auto"/>
            </w:tcBorders>
            <w:shd w:val="clear" w:color="auto" w:fill="auto"/>
            <w:noWrap/>
            <w:hideMark/>
          </w:tcPr>
          <w:p w14:paraId="34233268" w14:textId="3C917567" w:rsidR="001D510D" w:rsidRPr="00934F64" w:rsidRDefault="001D510D" w:rsidP="001D510D">
            <w:pPr>
              <w:jc w:val="right"/>
              <w:rPr>
                <w:sz w:val="18"/>
                <w:szCs w:val="18"/>
                <w:lang w:val="fr-CA" w:eastAsia="en-CA"/>
              </w:rPr>
            </w:pPr>
            <w:r w:rsidRPr="00934F64">
              <w:rPr>
                <w:sz w:val="18"/>
                <w:szCs w:val="18"/>
                <w:lang w:val="fr-CA" w:eastAsia="en-CA"/>
              </w:rPr>
              <w:t>808</w:t>
            </w:r>
            <w:r w:rsidR="005F4F67">
              <w:rPr>
                <w:sz w:val="18"/>
                <w:szCs w:val="18"/>
                <w:lang w:val="fr-CA" w:eastAsia="en-CA"/>
              </w:rPr>
              <w:t xml:space="preserve"> </w:t>
            </w:r>
            <w:r w:rsidRPr="00934F64">
              <w:rPr>
                <w:sz w:val="18"/>
                <w:szCs w:val="18"/>
                <w:lang w:val="fr-CA" w:eastAsia="en-CA"/>
              </w:rPr>
              <w:t>438</w:t>
            </w:r>
          </w:p>
        </w:tc>
        <w:tc>
          <w:tcPr>
            <w:tcW w:w="892" w:type="dxa"/>
            <w:tcBorders>
              <w:top w:val="nil"/>
              <w:left w:val="nil"/>
              <w:bottom w:val="single" w:sz="4" w:space="0" w:color="auto"/>
              <w:right w:val="single" w:sz="4" w:space="0" w:color="auto"/>
            </w:tcBorders>
            <w:shd w:val="clear" w:color="auto" w:fill="auto"/>
            <w:noWrap/>
            <w:hideMark/>
          </w:tcPr>
          <w:p w14:paraId="45517D99" w14:textId="77777777" w:rsidR="001D510D" w:rsidRPr="00934F64" w:rsidRDefault="001D510D" w:rsidP="001D510D">
            <w:pPr>
              <w:jc w:val="right"/>
              <w:rPr>
                <w:sz w:val="18"/>
                <w:szCs w:val="18"/>
                <w:lang w:val="fr-CA" w:eastAsia="en-CA"/>
              </w:rPr>
            </w:pPr>
            <w:r w:rsidRPr="00934F64">
              <w:rPr>
                <w:sz w:val="18"/>
                <w:szCs w:val="18"/>
                <w:lang w:val="fr-CA" w:eastAsia="en-CA"/>
              </w:rPr>
              <w:t>13</w:t>
            </w:r>
          </w:p>
        </w:tc>
        <w:tc>
          <w:tcPr>
            <w:tcW w:w="919" w:type="dxa"/>
            <w:tcBorders>
              <w:top w:val="nil"/>
              <w:left w:val="nil"/>
              <w:bottom w:val="single" w:sz="4" w:space="0" w:color="auto"/>
              <w:right w:val="single" w:sz="4" w:space="0" w:color="auto"/>
            </w:tcBorders>
            <w:shd w:val="clear" w:color="auto" w:fill="auto"/>
            <w:noWrap/>
            <w:hideMark/>
          </w:tcPr>
          <w:p w14:paraId="624C2ACD" w14:textId="77777777" w:rsidR="001D510D" w:rsidRPr="00934F64" w:rsidRDefault="001D510D" w:rsidP="001D510D">
            <w:pPr>
              <w:jc w:val="right"/>
              <w:rPr>
                <w:sz w:val="18"/>
                <w:szCs w:val="18"/>
                <w:lang w:val="fr-CA" w:eastAsia="en-CA"/>
              </w:rPr>
            </w:pPr>
            <w:r w:rsidRPr="00934F64">
              <w:rPr>
                <w:sz w:val="18"/>
                <w:szCs w:val="18"/>
                <w:lang w:val="fr-CA" w:eastAsia="en-CA"/>
              </w:rPr>
              <w:t>1</w:t>
            </w:r>
          </w:p>
        </w:tc>
        <w:tc>
          <w:tcPr>
            <w:tcW w:w="1045" w:type="dxa"/>
            <w:tcBorders>
              <w:top w:val="nil"/>
              <w:left w:val="nil"/>
              <w:bottom w:val="single" w:sz="4" w:space="0" w:color="auto"/>
              <w:right w:val="single" w:sz="4" w:space="0" w:color="auto"/>
            </w:tcBorders>
            <w:shd w:val="clear" w:color="auto" w:fill="auto"/>
            <w:noWrap/>
            <w:hideMark/>
          </w:tcPr>
          <w:p w14:paraId="1F12DA9C" w14:textId="77777777" w:rsidR="001D510D" w:rsidRPr="00934F64" w:rsidRDefault="001D510D" w:rsidP="001D510D">
            <w:pPr>
              <w:jc w:val="right"/>
              <w:rPr>
                <w:sz w:val="18"/>
                <w:szCs w:val="18"/>
                <w:lang w:val="fr-CA" w:eastAsia="en-CA"/>
              </w:rPr>
            </w:pPr>
            <w:r w:rsidRPr="00934F64">
              <w:rPr>
                <w:sz w:val="18"/>
                <w:szCs w:val="18"/>
                <w:lang w:val="fr-CA" w:eastAsia="en-CA"/>
              </w:rPr>
              <w:t>100</w:t>
            </w:r>
          </w:p>
        </w:tc>
        <w:tc>
          <w:tcPr>
            <w:tcW w:w="1144" w:type="dxa"/>
            <w:tcBorders>
              <w:top w:val="nil"/>
              <w:left w:val="nil"/>
              <w:bottom w:val="single" w:sz="4" w:space="0" w:color="auto"/>
              <w:right w:val="single" w:sz="4" w:space="0" w:color="auto"/>
            </w:tcBorders>
            <w:shd w:val="clear" w:color="auto" w:fill="auto"/>
            <w:noWrap/>
            <w:hideMark/>
          </w:tcPr>
          <w:p w14:paraId="315947DF" w14:textId="77777777" w:rsidR="001D510D" w:rsidRPr="00934F64" w:rsidRDefault="001D510D" w:rsidP="001D510D">
            <w:pPr>
              <w:jc w:val="right"/>
              <w:rPr>
                <w:sz w:val="18"/>
                <w:szCs w:val="18"/>
                <w:lang w:val="fr-CA" w:eastAsia="en-CA"/>
              </w:rPr>
            </w:pPr>
            <w:r w:rsidRPr="00934F64">
              <w:rPr>
                <w:sz w:val="18"/>
                <w:szCs w:val="18"/>
                <w:lang w:val="fr-CA" w:eastAsia="en-CA"/>
              </w:rPr>
              <w:t>14</w:t>
            </w:r>
          </w:p>
        </w:tc>
        <w:tc>
          <w:tcPr>
            <w:tcW w:w="1117" w:type="dxa"/>
            <w:tcBorders>
              <w:top w:val="nil"/>
              <w:left w:val="nil"/>
              <w:bottom w:val="single" w:sz="4" w:space="0" w:color="auto"/>
              <w:right w:val="single" w:sz="4" w:space="0" w:color="auto"/>
            </w:tcBorders>
            <w:shd w:val="clear" w:color="auto" w:fill="auto"/>
            <w:noWrap/>
            <w:hideMark/>
          </w:tcPr>
          <w:p w14:paraId="49270E80" w14:textId="77777777" w:rsidR="001D510D" w:rsidRPr="00934F64" w:rsidRDefault="001D510D" w:rsidP="001D510D">
            <w:pPr>
              <w:jc w:val="right"/>
              <w:rPr>
                <w:sz w:val="18"/>
                <w:szCs w:val="18"/>
                <w:lang w:val="fr-CA" w:eastAsia="en-CA"/>
              </w:rPr>
            </w:pPr>
            <w:r w:rsidRPr="00934F64">
              <w:rPr>
                <w:sz w:val="18"/>
                <w:szCs w:val="18"/>
                <w:lang w:val="fr-CA" w:eastAsia="en-CA"/>
              </w:rPr>
              <w:t>49</w:t>
            </w:r>
          </w:p>
        </w:tc>
        <w:tc>
          <w:tcPr>
            <w:tcW w:w="1236" w:type="dxa"/>
            <w:gridSpan w:val="2"/>
            <w:tcBorders>
              <w:top w:val="nil"/>
              <w:left w:val="nil"/>
              <w:bottom w:val="single" w:sz="4" w:space="0" w:color="auto"/>
              <w:right w:val="single" w:sz="4" w:space="0" w:color="auto"/>
            </w:tcBorders>
            <w:shd w:val="clear" w:color="auto" w:fill="auto"/>
            <w:noWrap/>
            <w:hideMark/>
          </w:tcPr>
          <w:p w14:paraId="7A643231" w14:textId="77777777" w:rsidR="001D510D" w:rsidRPr="00934F64" w:rsidRDefault="001D510D" w:rsidP="001D510D">
            <w:pPr>
              <w:jc w:val="right"/>
              <w:rPr>
                <w:sz w:val="18"/>
                <w:szCs w:val="18"/>
                <w:lang w:val="fr-CA" w:eastAsia="en-CA"/>
              </w:rPr>
            </w:pPr>
            <w:r w:rsidRPr="00934F64">
              <w:rPr>
                <w:sz w:val="18"/>
                <w:szCs w:val="18"/>
                <w:lang w:val="fr-CA" w:eastAsia="en-CA"/>
              </w:rPr>
              <w:t>36</w:t>
            </w:r>
          </w:p>
        </w:tc>
      </w:tr>
      <w:tr w:rsidR="001D510D" w:rsidRPr="00934F64" w14:paraId="310096C2"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55A33748" w14:textId="0DFAFB5F" w:rsidR="001D510D" w:rsidRPr="00934F64" w:rsidRDefault="001D510D" w:rsidP="001D510D">
            <w:pPr>
              <w:jc w:val="left"/>
              <w:rPr>
                <w:sz w:val="18"/>
                <w:szCs w:val="18"/>
                <w:lang w:val="fr-CA" w:eastAsia="en-CA"/>
              </w:rPr>
            </w:pPr>
            <w:r>
              <w:rPr>
                <w:sz w:val="18"/>
                <w:szCs w:val="18"/>
                <w:lang w:val="fr-CA" w:eastAsia="en-CA"/>
              </w:rPr>
              <w:t>Plusieurs</w:t>
            </w:r>
          </w:p>
        </w:tc>
        <w:tc>
          <w:tcPr>
            <w:tcW w:w="856" w:type="dxa"/>
            <w:tcBorders>
              <w:top w:val="nil"/>
              <w:left w:val="nil"/>
              <w:bottom w:val="single" w:sz="4" w:space="0" w:color="auto"/>
              <w:right w:val="single" w:sz="4" w:space="0" w:color="auto"/>
            </w:tcBorders>
            <w:shd w:val="clear" w:color="auto" w:fill="auto"/>
            <w:noWrap/>
            <w:hideMark/>
          </w:tcPr>
          <w:p w14:paraId="718CB0FA" w14:textId="77777777" w:rsidR="001D510D" w:rsidRPr="00934F64" w:rsidRDefault="001D510D" w:rsidP="001D510D">
            <w:pPr>
              <w:jc w:val="right"/>
              <w:rPr>
                <w:sz w:val="18"/>
                <w:szCs w:val="18"/>
                <w:lang w:val="fr-CA" w:eastAsia="en-CA"/>
              </w:rPr>
            </w:pPr>
            <w:r w:rsidRPr="00934F64">
              <w:rPr>
                <w:sz w:val="18"/>
                <w:szCs w:val="18"/>
                <w:lang w:val="fr-CA" w:eastAsia="en-CA"/>
              </w:rPr>
              <w:t>192</w:t>
            </w:r>
          </w:p>
        </w:tc>
        <w:tc>
          <w:tcPr>
            <w:tcW w:w="1216" w:type="dxa"/>
            <w:tcBorders>
              <w:top w:val="nil"/>
              <w:left w:val="nil"/>
              <w:bottom w:val="single" w:sz="4" w:space="0" w:color="auto"/>
              <w:right w:val="single" w:sz="4" w:space="0" w:color="auto"/>
            </w:tcBorders>
            <w:shd w:val="clear" w:color="auto" w:fill="auto"/>
            <w:noWrap/>
            <w:hideMark/>
          </w:tcPr>
          <w:p w14:paraId="3D6E4F45" w14:textId="3968021E" w:rsidR="001D510D" w:rsidRPr="00934F64" w:rsidRDefault="001D510D" w:rsidP="001D510D">
            <w:pPr>
              <w:jc w:val="right"/>
              <w:rPr>
                <w:sz w:val="18"/>
                <w:szCs w:val="18"/>
                <w:lang w:val="fr-CA" w:eastAsia="en-CA"/>
              </w:rPr>
            </w:pPr>
            <w:r w:rsidRPr="00934F64">
              <w:rPr>
                <w:sz w:val="18"/>
                <w:szCs w:val="18"/>
                <w:lang w:val="fr-CA" w:eastAsia="en-CA"/>
              </w:rPr>
              <w:t>36</w:t>
            </w:r>
            <w:r w:rsidR="005F4F67">
              <w:rPr>
                <w:sz w:val="18"/>
                <w:szCs w:val="18"/>
                <w:lang w:val="fr-CA" w:eastAsia="en-CA"/>
              </w:rPr>
              <w:t xml:space="preserve"> </w:t>
            </w:r>
            <w:r w:rsidRPr="00934F64">
              <w:rPr>
                <w:sz w:val="18"/>
                <w:szCs w:val="18"/>
                <w:lang w:val="fr-CA" w:eastAsia="en-CA"/>
              </w:rPr>
              <w:t>785</w:t>
            </w:r>
            <w:r w:rsidR="005F4F67">
              <w:rPr>
                <w:sz w:val="18"/>
                <w:szCs w:val="18"/>
                <w:lang w:val="fr-CA" w:eastAsia="en-CA"/>
              </w:rPr>
              <w:t xml:space="preserve"> </w:t>
            </w:r>
            <w:r w:rsidRPr="00934F64">
              <w:rPr>
                <w:sz w:val="18"/>
                <w:szCs w:val="18"/>
                <w:lang w:val="fr-CA" w:eastAsia="en-CA"/>
              </w:rPr>
              <w:t>605</w:t>
            </w:r>
          </w:p>
        </w:tc>
        <w:tc>
          <w:tcPr>
            <w:tcW w:w="892" w:type="dxa"/>
            <w:tcBorders>
              <w:top w:val="nil"/>
              <w:left w:val="nil"/>
              <w:bottom w:val="single" w:sz="4" w:space="0" w:color="auto"/>
              <w:right w:val="single" w:sz="4" w:space="0" w:color="auto"/>
            </w:tcBorders>
            <w:shd w:val="clear" w:color="auto" w:fill="auto"/>
            <w:noWrap/>
            <w:hideMark/>
          </w:tcPr>
          <w:p w14:paraId="4BE3EBFF" w14:textId="77777777" w:rsidR="001D510D" w:rsidRPr="00934F64" w:rsidRDefault="001D510D" w:rsidP="001D510D">
            <w:pPr>
              <w:jc w:val="right"/>
              <w:rPr>
                <w:sz w:val="18"/>
                <w:szCs w:val="18"/>
                <w:lang w:val="fr-CA" w:eastAsia="en-CA"/>
              </w:rPr>
            </w:pPr>
            <w:r w:rsidRPr="00934F64">
              <w:rPr>
                <w:sz w:val="18"/>
                <w:szCs w:val="18"/>
                <w:lang w:val="fr-CA" w:eastAsia="en-CA"/>
              </w:rPr>
              <w:t>20</w:t>
            </w:r>
          </w:p>
        </w:tc>
        <w:tc>
          <w:tcPr>
            <w:tcW w:w="919" w:type="dxa"/>
            <w:tcBorders>
              <w:top w:val="nil"/>
              <w:left w:val="nil"/>
              <w:bottom w:val="single" w:sz="4" w:space="0" w:color="auto"/>
              <w:right w:val="single" w:sz="4" w:space="0" w:color="auto"/>
            </w:tcBorders>
            <w:shd w:val="clear" w:color="auto" w:fill="auto"/>
            <w:noWrap/>
            <w:hideMark/>
          </w:tcPr>
          <w:p w14:paraId="01E17EFD" w14:textId="77777777" w:rsidR="001D510D" w:rsidRPr="00934F64" w:rsidRDefault="001D510D" w:rsidP="001D510D">
            <w:pPr>
              <w:jc w:val="right"/>
              <w:rPr>
                <w:sz w:val="18"/>
                <w:szCs w:val="18"/>
                <w:lang w:val="fr-CA" w:eastAsia="en-CA"/>
              </w:rPr>
            </w:pPr>
            <w:r w:rsidRPr="00934F64">
              <w:rPr>
                <w:sz w:val="18"/>
                <w:szCs w:val="18"/>
                <w:lang w:val="fr-CA" w:eastAsia="en-CA"/>
              </w:rPr>
              <w:t>105</w:t>
            </w:r>
          </w:p>
        </w:tc>
        <w:tc>
          <w:tcPr>
            <w:tcW w:w="1045" w:type="dxa"/>
            <w:tcBorders>
              <w:top w:val="nil"/>
              <w:left w:val="nil"/>
              <w:bottom w:val="single" w:sz="4" w:space="0" w:color="auto"/>
              <w:right w:val="single" w:sz="4" w:space="0" w:color="auto"/>
            </w:tcBorders>
            <w:shd w:val="clear" w:color="auto" w:fill="auto"/>
            <w:noWrap/>
            <w:hideMark/>
          </w:tcPr>
          <w:p w14:paraId="42D17239" w14:textId="77777777" w:rsidR="001D510D" w:rsidRPr="00934F64" w:rsidRDefault="001D510D" w:rsidP="001D510D">
            <w:pPr>
              <w:jc w:val="right"/>
              <w:rPr>
                <w:sz w:val="18"/>
                <w:szCs w:val="18"/>
                <w:lang w:val="fr-CA" w:eastAsia="en-CA"/>
              </w:rPr>
            </w:pPr>
            <w:r w:rsidRPr="00934F64">
              <w:rPr>
                <w:sz w:val="18"/>
                <w:szCs w:val="18"/>
                <w:lang w:val="fr-CA" w:eastAsia="en-CA"/>
              </w:rPr>
              <w:t>55</w:t>
            </w:r>
          </w:p>
        </w:tc>
        <w:tc>
          <w:tcPr>
            <w:tcW w:w="1144" w:type="dxa"/>
            <w:tcBorders>
              <w:top w:val="nil"/>
              <w:left w:val="nil"/>
              <w:bottom w:val="single" w:sz="4" w:space="0" w:color="auto"/>
              <w:right w:val="single" w:sz="4" w:space="0" w:color="auto"/>
            </w:tcBorders>
            <w:shd w:val="clear" w:color="auto" w:fill="auto"/>
            <w:noWrap/>
            <w:hideMark/>
          </w:tcPr>
          <w:p w14:paraId="7817C508" w14:textId="77777777" w:rsidR="001D510D" w:rsidRPr="00934F64" w:rsidRDefault="001D510D" w:rsidP="001D510D">
            <w:pPr>
              <w:jc w:val="right"/>
              <w:rPr>
                <w:sz w:val="18"/>
                <w:szCs w:val="18"/>
                <w:lang w:val="fr-CA" w:eastAsia="en-CA"/>
              </w:rPr>
            </w:pPr>
            <w:r w:rsidRPr="00934F64">
              <w:rPr>
                <w:sz w:val="18"/>
                <w:szCs w:val="18"/>
                <w:lang w:val="fr-CA" w:eastAsia="en-CA"/>
              </w:rPr>
              <w:t>12</w:t>
            </w:r>
          </w:p>
        </w:tc>
        <w:tc>
          <w:tcPr>
            <w:tcW w:w="1117" w:type="dxa"/>
            <w:tcBorders>
              <w:top w:val="nil"/>
              <w:left w:val="nil"/>
              <w:bottom w:val="single" w:sz="4" w:space="0" w:color="auto"/>
              <w:right w:val="single" w:sz="4" w:space="0" w:color="auto"/>
            </w:tcBorders>
            <w:shd w:val="clear" w:color="auto" w:fill="auto"/>
            <w:noWrap/>
            <w:hideMark/>
          </w:tcPr>
          <w:p w14:paraId="42EEA9F5" w14:textId="77777777" w:rsidR="001D510D" w:rsidRPr="00934F64" w:rsidRDefault="001D510D" w:rsidP="001D510D">
            <w:pPr>
              <w:jc w:val="right"/>
              <w:rPr>
                <w:sz w:val="18"/>
                <w:szCs w:val="18"/>
                <w:lang w:val="fr-CA" w:eastAsia="en-CA"/>
              </w:rPr>
            </w:pPr>
            <w:r w:rsidRPr="00934F64">
              <w:rPr>
                <w:sz w:val="18"/>
                <w:szCs w:val="18"/>
                <w:lang w:val="fr-CA" w:eastAsia="en-CA"/>
              </w:rPr>
              <w:t>35</w:t>
            </w:r>
          </w:p>
        </w:tc>
        <w:tc>
          <w:tcPr>
            <w:tcW w:w="1236" w:type="dxa"/>
            <w:gridSpan w:val="2"/>
            <w:tcBorders>
              <w:top w:val="nil"/>
              <w:left w:val="nil"/>
              <w:bottom w:val="single" w:sz="4" w:space="0" w:color="auto"/>
              <w:right w:val="single" w:sz="4" w:space="0" w:color="auto"/>
            </w:tcBorders>
            <w:shd w:val="clear" w:color="auto" w:fill="auto"/>
            <w:noWrap/>
            <w:hideMark/>
          </w:tcPr>
          <w:p w14:paraId="58FB0521" w14:textId="77777777" w:rsidR="001D510D" w:rsidRPr="00934F64" w:rsidRDefault="001D510D" w:rsidP="001D510D">
            <w:pPr>
              <w:jc w:val="right"/>
              <w:rPr>
                <w:sz w:val="18"/>
                <w:szCs w:val="18"/>
                <w:lang w:val="fr-CA" w:eastAsia="en-CA"/>
              </w:rPr>
            </w:pPr>
            <w:r w:rsidRPr="00934F64">
              <w:rPr>
                <w:sz w:val="18"/>
                <w:szCs w:val="18"/>
                <w:lang w:val="fr-CA" w:eastAsia="en-CA"/>
              </w:rPr>
              <w:t>11</w:t>
            </w:r>
          </w:p>
        </w:tc>
      </w:tr>
      <w:tr w:rsidR="001D510D" w:rsidRPr="00934F64" w14:paraId="4C749FFF"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7EA46D29" w14:textId="7E1E5E37" w:rsidR="001D510D" w:rsidRPr="00934F64" w:rsidRDefault="001D510D" w:rsidP="001D510D">
            <w:pPr>
              <w:jc w:val="left"/>
              <w:rPr>
                <w:sz w:val="18"/>
                <w:szCs w:val="18"/>
                <w:lang w:val="fr-CA" w:eastAsia="en-CA"/>
              </w:rPr>
            </w:pPr>
            <w:r>
              <w:rPr>
                <w:sz w:val="18"/>
                <w:szCs w:val="18"/>
                <w:lang w:val="fr-CA" w:eastAsia="en-CA"/>
              </w:rPr>
              <w:t>Solva</w:t>
            </w:r>
            <w:r w:rsidRPr="00BF6C78">
              <w:rPr>
                <w:sz w:val="18"/>
                <w:szCs w:val="18"/>
                <w:lang w:val="fr-CA" w:eastAsia="en-CA"/>
              </w:rPr>
              <w:t>nts</w:t>
            </w:r>
          </w:p>
        </w:tc>
        <w:tc>
          <w:tcPr>
            <w:tcW w:w="856" w:type="dxa"/>
            <w:tcBorders>
              <w:top w:val="nil"/>
              <w:left w:val="nil"/>
              <w:bottom w:val="single" w:sz="4" w:space="0" w:color="auto"/>
              <w:right w:val="single" w:sz="4" w:space="0" w:color="auto"/>
            </w:tcBorders>
            <w:shd w:val="clear" w:color="auto" w:fill="auto"/>
            <w:noWrap/>
            <w:hideMark/>
          </w:tcPr>
          <w:p w14:paraId="04FCB230"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nil"/>
              <w:left w:val="nil"/>
              <w:bottom w:val="single" w:sz="4" w:space="0" w:color="auto"/>
              <w:right w:val="single" w:sz="4" w:space="0" w:color="auto"/>
            </w:tcBorders>
            <w:shd w:val="clear" w:color="auto" w:fill="auto"/>
            <w:noWrap/>
            <w:hideMark/>
          </w:tcPr>
          <w:p w14:paraId="6D4C8B50"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nil"/>
              <w:left w:val="nil"/>
              <w:bottom w:val="single" w:sz="4" w:space="0" w:color="auto"/>
              <w:right w:val="single" w:sz="4" w:space="0" w:color="auto"/>
            </w:tcBorders>
            <w:shd w:val="clear" w:color="auto" w:fill="auto"/>
            <w:noWrap/>
            <w:hideMark/>
          </w:tcPr>
          <w:p w14:paraId="2C897EE4"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nil"/>
              <w:left w:val="nil"/>
              <w:bottom w:val="single" w:sz="4" w:space="0" w:color="auto"/>
              <w:right w:val="single" w:sz="4" w:space="0" w:color="auto"/>
            </w:tcBorders>
            <w:shd w:val="clear" w:color="auto" w:fill="auto"/>
            <w:noWrap/>
            <w:hideMark/>
          </w:tcPr>
          <w:p w14:paraId="31D5AA00"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nil"/>
              <w:left w:val="nil"/>
              <w:bottom w:val="single" w:sz="4" w:space="0" w:color="auto"/>
              <w:right w:val="single" w:sz="4" w:space="0" w:color="auto"/>
            </w:tcBorders>
            <w:shd w:val="clear" w:color="auto" w:fill="auto"/>
            <w:noWrap/>
            <w:hideMark/>
          </w:tcPr>
          <w:p w14:paraId="6CE78C2D"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nil"/>
              <w:left w:val="nil"/>
              <w:bottom w:val="single" w:sz="4" w:space="0" w:color="auto"/>
              <w:right w:val="single" w:sz="4" w:space="0" w:color="auto"/>
            </w:tcBorders>
            <w:shd w:val="clear" w:color="auto" w:fill="auto"/>
            <w:noWrap/>
            <w:hideMark/>
          </w:tcPr>
          <w:p w14:paraId="09F993CF" w14:textId="0F4C6699"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nil"/>
              <w:left w:val="nil"/>
              <w:bottom w:val="single" w:sz="4" w:space="0" w:color="auto"/>
              <w:right w:val="single" w:sz="4" w:space="0" w:color="auto"/>
            </w:tcBorders>
            <w:shd w:val="clear" w:color="auto" w:fill="auto"/>
            <w:noWrap/>
            <w:hideMark/>
          </w:tcPr>
          <w:p w14:paraId="46A8309C" w14:textId="483BA113"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nil"/>
              <w:left w:val="nil"/>
              <w:bottom w:val="single" w:sz="4" w:space="0" w:color="auto"/>
              <w:right w:val="single" w:sz="4" w:space="0" w:color="auto"/>
            </w:tcBorders>
            <w:shd w:val="clear" w:color="auto" w:fill="auto"/>
            <w:noWrap/>
            <w:hideMark/>
          </w:tcPr>
          <w:p w14:paraId="3D5DA44B" w14:textId="1F42514F"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1D510D" w:rsidRPr="00934F64" w14:paraId="1C43E3F5"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312ACFCE" w14:textId="2D5CA3E4" w:rsidR="001D510D" w:rsidRPr="00934F64" w:rsidRDefault="001D510D" w:rsidP="001D510D">
            <w:pPr>
              <w:jc w:val="left"/>
              <w:rPr>
                <w:sz w:val="18"/>
                <w:szCs w:val="18"/>
                <w:lang w:val="fr-CA" w:eastAsia="en-CA"/>
              </w:rPr>
            </w:pPr>
            <w:r>
              <w:rPr>
                <w:sz w:val="18"/>
                <w:szCs w:val="18"/>
                <w:lang w:val="fr-CA" w:eastAsia="en-CA"/>
              </w:rPr>
              <w:t>Stérilisants</w:t>
            </w:r>
          </w:p>
        </w:tc>
        <w:tc>
          <w:tcPr>
            <w:tcW w:w="856" w:type="dxa"/>
            <w:tcBorders>
              <w:top w:val="nil"/>
              <w:left w:val="nil"/>
              <w:bottom w:val="single" w:sz="4" w:space="0" w:color="auto"/>
              <w:right w:val="single" w:sz="4" w:space="0" w:color="auto"/>
            </w:tcBorders>
            <w:shd w:val="clear" w:color="auto" w:fill="auto"/>
            <w:noWrap/>
            <w:hideMark/>
          </w:tcPr>
          <w:p w14:paraId="5272E754"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nil"/>
              <w:left w:val="nil"/>
              <w:bottom w:val="single" w:sz="4" w:space="0" w:color="auto"/>
              <w:right w:val="single" w:sz="4" w:space="0" w:color="auto"/>
            </w:tcBorders>
            <w:shd w:val="clear" w:color="auto" w:fill="auto"/>
            <w:noWrap/>
            <w:hideMark/>
          </w:tcPr>
          <w:p w14:paraId="1D216506"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nil"/>
              <w:left w:val="nil"/>
              <w:bottom w:val="single" w:sz="4" w:space="0" w:color="auto"/>
              <w:right w:val="single" w:sz="4" w:space="0" w:color="auto"/>
            </w:tcBorders>
            <w:shd w:val="clear" w:color="auto" w:fill="auto"/>
            <w:noWrap/>
            <w:hideMark/>
          </w:tcPr>
          <w:p w14:paraId="252D530D"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nil"/>
              <w:left w:val="nil"/>
              <w:bottom w:val="single" w:sz="4" w:space="0" w:color="auto"/>
              <w:right w:val="single" w:sz="4" w:space="0" w:color="auto"/>
            </w:tcBorders>
            <w:shd w:val="clear" w:color="auto" w:fill="auto"/>
            <w:noWrap/>
            <w:hideMark/>
          </w:tcPr>
          <w:p w14:paraId="56D7D238"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nil"/>
              <w:left w:val="nil"/>
              <w:bottom w:val="single" w:sz="4" w:space="0" w:color="auto"/>
              <w:right w:val="single" w:sz="4" w:space="0" w:color="auto"/>
            </w:tcBorders>
            <w:shd w:val="clear" w:color="auto" w:fill="auto"/>
            <w:noWrap/>
            <w:hideMark/>
          </w:tcPr>
          <w:p w14:paraId="30A88689"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nil"/>
              <w:left w:val="nil"/>
              <w:bottom w:val="single" w:sz="4" w:space="0" w:color="auto"/>
              <w:right w:val="single" w:sz="4" w:space="0" w:color="auto"/>
            </w:tcBorders>
            <w:shd w:val="clear" w:color="auto" w:fill="auto"/>
            <w:noWrap/>
            <w:hideMark/>
          </w:tcPr>
          <w:p w14:paraId="4C3E0797" w14:textId="0A7D26D0"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nil"/>
              <w:left w:val="nil"/>
              <w:bottom w:val="single" w:sz="4" w:space="0" w:color="auto"/>
              <w:right w:val="single" w:sz="4" w:space="0" w:color="auto"/>
            </w:tcBorders>
            <w:shd w:val="clear" w:color="auto" w:fill="auto"/>
            <w:noWrap/>
            <w:hideMark/>
          </w:tcPr>
          <w:p w14:paraId="02B61330" w14:textId="77E4F040"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nil"/>
              <w:left w:val="nil"/>
              <w:bottom w:val="single" w:sz="4" w:space="0" w:color="auto"/>
              <w:right w:val="single" w:sz="4" w:space="0" w:color="auto"/>
            </w:tcBorders>
            <w:shd w:val="clear" w:color="auto" w:fill="auto"/>
            <w:noWrap/>
            <w:hideMark/>
          </w:tcPr>
          <w:p w14:paraId="1E0AB80F" w14:textId="0446038C"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7C55C7" w:rsidRPr="00D303D6" w14:paraId="7F0379BB" w14:textId="77777777" w:rsidTr="001D510D">
        <w:trPr>
          <w:gridAfter w:val="1"/>
          <w:wAfter w:w="20" w:type="dxa"/>
          <w:trHeight w:val="204"/>
        </w:trPr>
        <w:tc>
          <w:tcPr>
            <w:tcW w:w="10106" w:type="dxa"/>
            <w:gridSpan w:val="9"/>
            <w:tcBorders>
              <w:top w:val="nil"/>
              <w:left w:val="single" w:sz="4" w:space="0" w:color="auto"/>
              <w:bottom w:val="nil"/>
              <w:right w:val="single" w:sz="4" w:space="0" w:color="auto"/>
            </w:tcBorders>
            <w:shd w:val="clear" w:color="auto" w:fill="auto"/>
            <w:noWrap/>
            <w:hideMark/>
          </w:tcPr>
          <w:p w14:paraId="738CE393" w14:textId="70792A8E" w:rsidR="007C55C7" w:rsidRPr="00934F64" w:rsidRDefault="001D510D" w:rsidP="001E39EE">
            <w:pPr>
              <w:jc w:val="left"/>
              <w:rPr>
                <w:sz w:val="18"/>
                <w:szCs w:val="18"/>
                <w:lang w:val="fr-CA" w:eastAsia="en-CA"/>
              </w:rPr>
            </w:pPr>
            <w:r>
              <w:rPr>
                <w:b/>
                <w:bCs/>
                <w:sz w:val="18"/>
                <w:szCs w:val="18"/>
                <w:lang w:val="fr-CA" w:eastAsia="en-CA"/>
              </w:rPr>
              <w:t xml:space="preserve">Caractéristiques de la mise en œuvre </w:t>
            </w:r>
          </w:p>
        </w:tc>
      </w:tr>
      <w:tr w:rsidR="001D510D" w:rsidRPr="00934F64" w14:paraId="2B523EC3" w14:textId="77777777" w:rsidTr="001D510D">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361FA89" w14:textId="09B8BC79" w:rsidR="001D510D" w:rsidRPr="00934F64" w:rsidRDefault="001D510D" w:rsidP="001D510D">
            <w:pPr>
              <w:jc w:val="left"/>
              <w:rPr>
                <w:sz w:val="18"/>
                <w:szCs w:val="18"/>
                <w:lang w:val="fr-CA" w:eastAsia="en-CA"/>
              </w:rPr>
            </w:pPr>
            <w:r>
              <w:rPr>
                <w:sz w:val="18"/>
                <w:szCs w:val="18"/>
                <w:lang w:val="fr-CA" w:eastAsia="en-CA"/>
              </w:rPr>
              <w:t>Mise en œuvre par l’agence</w:t>
            </w:r>
          </w:p>
        </w:tc>
        <w:tc>
          <w:tcPr>
            <w:tcW w:w="856" w:type="dxa"/>
            <w:tcBorders>
              <w:top w:val="single" w:sz="4" w:space="0" w:color="auto"/>
              <w:left w:val="nil"/>
              <w:bottom w:val="single" w:sz="4" w:space="0" w:color="auto"/>
              <w:right w:val="single" w:sz="4" w:space="0" w:color="auto"/>
            </w:tcBorders>
            <w:shd w:val="clear" w:color="auto" w:fill="auto"/>
            <w:noWrap/>
            <w:hideMark/>
          </w:tcPr>
          <w:p w14:paraId="20D54080" w14:textId="77777777" w:rsidR="001D510D" w:rsidRPr="00934F64" w:rsidRDefault="001D510D" w:rsidP="001D510D">
            <w:pPr>
              <w:jc w:val="right"/>
              <w:rPr>
                <w:sz w:val="18"/>
                <w:szCs w:val="18"/>
                <w:lang w:val="fr-CA" w:eastAsia="en-CA"/>
              </w:rPr>
            </w:pPr>
            <w:r w:rsidRPr="00934F64">
              <w:rPr>
                <w:sz w:val="18"/>
                <w:szCs w:val="18"/>
                <w:lang w:val="fr-CA" w:eastAsia="en-CA"/>
              </w:rPr>
              <w:t>362</w:t>
            </w:r>
          </w:p>
        </w:tc>
        <w:tc>
          <w:tcPr>
            <w:tcW w:w="1216" w:type="dxa"/>
            <w:tcBorders>
              <w:top w:val="single" w:sz="4" w:space="0" w:color="auto"/>
              <w:left w:val="nil"/>
              <w:bottom w:val="single" w:sz="4" w:space="0" w:color="auto"/>
              <w:right w:val="single" w:sz="4" w:space="0" w:color="auto"/>
            </w:tcBorders>
            <w:shd w:val="clear" w:color="auto" w:fill="auto"/>
            <w:noWrap/>
            <w:hideMark/>
          </w:tcPr>
          <w:p w14:paraId="3018231A" w14:textId="073494AB" w:rsidR="001D510D" w:rsidRPr="00934F64" w:rsidRDefault="001D510D" w:rsidP="001D510D">
            <w:pPr>
              <w:jc w:val="right"/>
              <w:rPr>
                <w:sz w:val="18"/>
                <w:szCs w:val="18"/>
                <w:lang w:val="fr-CA" w:eastAsia="en-CA"/>
              </w:rPr>
            </w:pPr>
            <w:r w:rsidRPr="00934F64">
              <w:rPr>
                <w:sz w:val="18"/>
                <w:szCs w:val="18"/>
                <w:lang w:val="fr-CA" w:eastAsia="en-CA"/>
              </w:rPr>
              <w:t>57</w:t>
            </w:r>
            <w:r w:rsidR="005F4F67">
              <w:rPr>
                <w:sz w:val="18"/>
                <w:szCs w:val="18"/>
                <w:lang w:val="fr-CA" w:eastAsia="en-CA"/>
              </w:rPr>
              <w:t xml:space="preserve"> </w:t>
            </w:r>
            <w:r w:rsidRPr="00934F64">
              <w:rPr>
                <w:sz w:val="18"/>
                <w:szCs w:val="18"/>
                <w:lang w:val="fr-CA" w:eastAsia="en-CA"/>
              </w:rPr>
              <w:t>196</w:t>
            </w:r>
            <w:r w:rsidR="005F4F67">
              <w:rPr>
                <w:sz w:val="18"/>
                <w:szCs w:val="18"/>
                <w:lang w:val="fr-CA" w:eastAsia="en-CA"/>
              </w:rPr>
              <w:t xml:space="preserve"> </w:t>
            </w:r>
            <w:r w:rsidRPr="00934F64">
              <w:rPr>
                <w:sz w:val="18"/>
                <w:szCs w:val="18"/>
                <w:lang w:val="fr-CA" w:eastAsia="en-CA"/>
              </w:rPr>
              <w:t>445</w:t>
            </w:r>
          </w:p>
        </w:tc>
        <w:tc>
          <w:tcPr>
            <w:tcW w:w="892" w:type="dxa"/>
            <w:tcBorders>
              <w:top w:val="single" w:sz="4" w:space="0" w:color="auto"/>
              <w:left w:val="nil"/>
              <w:bottom w:val="single" w:sz="4" w:space="0" w:color="auto"/>
              <w:right w:val="single" w:sz="4" w:space="0" w:color="auto"/>
            </w:tcBorders>
            <w:shd w:val="clear" w:color="auto" w:fill="auto"/>
            <w:noWrap/>
            <w:hideMark/>
          </w:tcPr>
          <w:p w14:paraId="2907638E" w14:textId="77777777" w:rsidR="001D510D" w:rsidRPr="00934F64" w:rsidRDefault="001D510D" w:rsidP="001D510D">
            <w:pPr>
              <w:jc w:val="right"/>
              <w:rPr>
                <w:sz w:val="18"/>
                <w:szCs w:val="18"/>
                <w:lang w:val="fr-CA" w:eastAsia="en-CA"/>
              </w:rPr>
            </w:pPr>
            <w:r w:rsidRPr="00934F64">
              <w:rPr>
                <w:sz w:val="18"/>
                <w:szCs w:val="18"/>
                <w:lang w:val="fr-CA" w:eastAsia="en-CA"/>
              </w:rPr>
              <w:t>20</w:t>
            </w:r>
          </w:p>
        </w:tc>
        <w:tc>
          <w:tcPr>
            <w:tcW w:w="919" w:type="dxa"/>
            <w:tcBorders>
              <w:top w:val="single" w:sz="4" w:space="0" w:color="auto"/>
              <w:left w:val="nil"/>
              <w:bottom w:val="single" w:sz="4" w:space="0" w:color="auto"/>
              <w:right w:val="single" w:sz="4" w:space="0" w:color="auto"/>
            </w:tcBorders>
            <w:shd w:val="clear" w:color="auto" w:fill="auto"/>
            <w:noWrap/>
            <w:hideMark/>
          </w:tcPr>
          <w:p w14:paraId="1B830086" w14:textId="77777777" w:rsidR="001D510D" w:rsidRPr="00934F64" w:rsidRDefault="001D510D" w:rsidP="001D510D">
            <w:pPr>
              <w:jc w:val="right"/>
              <w:rPr>
                <w:sz w:val="18"/>
                <w:szCs w:val="18"/>
                <w:lang w:val="fr-CA" w:eastAsia="en-CA"/>
              </w:rPr>
            </w:pPr>
            <w:r w:rsidRPr="00934F64">
              <w:rPr>
                <w:sz w:val="18"/>
                <w:szCs w:val="18"/>
                <w:lang w:val="fr-CA" w:eastAsia="en-CA"/>
              </w:rPr>
              <w:t>161</w:t>
            </w:r>
          </w:p>
        </w:tc>
        <w:tc>
          <w:tcPr>
            <w:tcW w:w="1045" w:type="dxa"/>
            <w:tcBorders>
              <w:top w:val="single" w:sz="4" w:space="0" w:color="auto"/>
              <w:left w:val="nil"/>
              <w:bottom w:val="single" w:sz="4" w:space="0" w:color="auto"/>
              <w:right w:val="single" w:sz="4" w:space="0" w:color="auto"/>
            </w:tcBorders>
            <w:shd w:val="clear" w:color="auto" w:fill="auto"/>
            <w:noWrap/>
            <w:hideMark/>
          </w:tcPr>
          <w:p w14:paraId="0BB7E887" w14:textId="77777777" w:rsidR="001D510D" w:rsidRPr="00934F64" w:rsidRDefault="001D510D" w:rsidP="001D510D">
            <w:pPr>
              <w:jc w:val="right"/>
              <w:rPr>
                <w:sz w:val="18"/>
                <w:szCs w:val="18"/>
                <w:lang w:val="fr-CA" w:eastAsia="en-CA"/>
              </w:rPr>
            </w:pPr>
            <w:r w:rsidRPr="00934F64">
              <w:rPr>
                <w:sz w:val="18"/>
                <w:szCs w:val="18"/>
                <w:lang w:val="fr-CA" w:eastAsia="en-CA"/>
              </w:rPr>
              <w:t>44</w:t>
            </w:r>
          </w:p>
        </w:tc>
        <w:tc>
          <w:tcPr>
            <w:tcW w:w="1144" w:type="dxa"/>
            <w:tcBorders>
              <w:top w:val="single" w:sz="4" w:space="0" w:color="auto"/>
              <w:left w:val="nil"/>
              <w:bottom w:val="single" w:sz="4" w:space="0" w:color="auto"/>
              <w:right w:val="single" w:sz="4" w:space="0" w:color="auto"/>
            </w:tcBorders>
            <w:shd w:val="clear" w:color="auto" w:fill="auto"/>
            <w:noWrap/>
            <w:hideMark/>
          </w:tcPr>
          <w:p w14:paraId="29604056" w14:textId="77777777" w:rsidR="001D510D" w:rsidRPr="00934F64" w:rsidRDefault="001D510D" w:rsidP="001D510D">
            <w:pPr>
              <w:jc w:val="right"/>
              <w:rPr>
                <w:sz w:val="18"/>
                <w:szCs w:val="18"/>
                <w:lang w:val="fr-CA" w:eastAsia="en-CA"/>
              </w:rPr>
            </w:pPr>
            <w:r w:rsidRPr="00934F64">
              <w:rPr>
                <w:sz w:val="18"/>
                <w:szCs w:val="18"/>
                <w:lang w:val="fr-CA" w:eastAsia="en-CA"/>
              </w:rPr>
              <w:t>13</w:t>
            </w:r>
          </w:p>
        </w:tc>
        <w:tc>
          <w:tcPr>
            <w:tcW w:w="1117" w:type="dxa"/>
            <w:tcBorders>
              <w:top w:val="single" w:sz="4" w:space="0" w:color="auto"/>
              <w:left w:val="nil"/>
              <w:bottom w:val="single" w:sz="4" w:space="0" w:color="auto"/>
              <w:right w:val="single" w:sz="4" w:space="0" w:color="auto"/>
            </w:tcBorders>
            <w:shd w:val="clear" w:color="auto" w:fill="auto"/>
            <w:noWrap/>
            <w:hideMark/>
          </w:tcPr>
          <w:p w14:paraId="6C90ED0B" w14:textId="77777777" w:rsidR="001D510D" w:rsidRPr="00934F64" w:rsidRDefault="001D510D" w:rsidP="001D510D">
            <w:pPr>
              <w:jc w:val="right"/>
              <w:rPr>
                <w:sz w:val="18"/>
                <w:szCs w:val="18"/>
                <w:lang w:val="fr-CA" w:eastAsia="en-CA"/>
              </w:rPr>
            </w:pPr>
            <w:r w:rsidRPr="00934F64">
              <w:rPr>
                <w:sz w:val="18"/>
                <w:szCs w:val="18"/>
                <w:lang w:val="fr-CA" w:eastAsia="en-CA"/>
              </w:rPr>
              <w:t>39</w:t>
            </w:r>
          </w:p>
        </w:tc>
        <w:tc>
          <w:tcPr>
            <w:tcW w:w="1236" w:type="dxa"/>
            <w:gridSpan w:val="2"/>
            <w:tcBorders>
              <w:top w:val="single" w:sz="4" w:space="0" w:color="auto"/>
              <w:left w:val="nil"/>
              <w:bottom w:val="single" w:sz="4" w:space="0" w:color="auto"/>
              <w:right w:val="single" w:sz="4" w:space="0" w:color="auto"/>
            </w:tcBorders>
            <w:shd w:val="clear" w:color="auto" w:fill="auto"/>
            <w:noWrap/>
            <w:hideMark/>
          </w:tcPr>
          <w:p w14:paraId="0EE2BBFB" w14:textId="77777777" w:rsidR="001D510D" w:rsidRPr="00934F64" w:rsidRDefault="001D510D" w:rsidP="001D510D">
            <w:pPr>
              <w:jc w:val="right"/>
              <w:rPr>
                <w:sz w:val="18"/>
                <w:szCs w:val="18"/>
                <w:lang w:val="fr-CA" w:eastAsia="en-CA"/>
              </w:rPr>
            </w:pPr>
            <w:r w:rsidRPr="00934F64">
              <w:rPr>
                <w:sz w:val="18"/>
                <w:szCs w:val="18"/>
                <w:lang w:val="fr-CA" w:eastAsia="en-CA"/>
              </w:rPr>
              <w:t>11</w:t>
            </w:r>
          </w:p>
        </w:tc>
      </w:tr>
      <w:tr w:rsidR="001D510D" w:rsidRPr="00934F64" w14:paraId="78BCA613"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D3E899F" w14:textId="4F708BE5" w:rsidR="001D510D" w:rsidRPr="00934F64" w:rsidRDefault="001D510D" w:rsidP="001D510D">
            <w:pPr>
              <w:jc w:val="left"/>
              <w:rPr>
                <w:sz w:val="18"/>
                <w:szCs w:val="18"/>
                <w:lang w:val="fr-CA" w:eastAsia="en-CA"/>
              </w:rPr>
            </w:pPr>
            <w:r>
              <w:rPr>
                <w:sz w:val="18"/>
                <w:szCs w:val="18"/>
                <w:lang w:val="fr-CA" w:eastAsia="en-CA"/>
              </w:rPr>
              <w:t>Mise en œuvre par le pays</w:t>
            </w:r>
          </w:p>
        </w:tc>
        <w:tc>
          <w:tcPr>
            <w:tcW w:w="856" w:type="dxa"/>
            <w:tcBorders>
              <w:top w:val="nil"/>
              <w:left w:val="nil"/>
              <w:bottom w:val="single" w:sz="4" w:space="0" w:color="auto"/>
              <w:right w:val="single" w:sz="4" w:space="0" w:color="auto"/>
            </w:tcBorders>
            <w:shd w:val="clear" w:color="auto" w:fill="auto"/>
            <w:noWrap/>
            <w:hideMark/>
          </w:tcPr>
          <w:p w14:paraId="333256E1" w14:textId="77777777" w:rsidR="001D510D" w:rsidRPr="00934F64" w:rsidRDefault="001D510D" w:rsidP="001D510D">
            <w:pPr>
              <w:jc w:val="right"/>
              <w:rPr>
                <w:sz w:val="18"/>
                <w:szCs w:val="18"/>
                <w:lang w:val="fr-CA" w:eastAsia="en-CA"/>
              </w:rPr>
            </w:pPr>
            <w:r w:rsidRPr="00934F64">
              <w:rPr>
                <w:sz w:val="18"/>
                <w:szCs w:val="18"/>
                <w:lang w:val="fr-CA" w:eastAsia="en-CA"/>
              </w:rPr>
              <w:t>85</w:t>
            </w:r>
          </w:p>
        </w:tc>
        <w:tc>
          <w:tcPr>
            <w:tcW w:w="1216" w:type="dxa"/>
            <w:tcBorders>
              <w:top w:val="nil"/>
              <w:left w:val="nil"/>
              <w:bottom w:val="single" w:sz="4" w:space="0" w:color="auto"/>
              <w:right w:val="single" w:sz="4" w:space="0" w:color="auto"/>
            </w:tcBorders>
            <w:shd w:val="clear" w:color="auto" w:fill="auto"/>
            <w:noWrap/>
            <w:hideMark/>
          </w:tcPr>
          <w:p w14:paraId="2D3BBF78" w14:textId="730911E6" w:rsidR="001D510D" w:rsidRPr="00934F64" w:rsidRDefault="001D510D" w:rsidP="001D510D">
            <w:pPr>
              <w:jc w:val="right"/>
              <w:rPr>
                <w:sz w:val="18"/>
                <w:szCs w:val="18"/>
                <w:lang w:val="fr-CA" w:eastAsia="en-CA"/>
              </w:rPr>
            </w:pPr>
            <w:r w:rsidRPr="00934F64">
              <w:rPr>
                <w:sz w:val="18"/>
                <w:szCs w:val="18"/>
                <w:lang w:val="fr-CA" w:eastAsia="en-CA"/>
              </w:rPr>
              <w:t>24</w:t>
            </w:r>
            <w:r w:rsidR="005F4F67">
              <w:rPr>
                <w:sz w:val="18"/>
                <w:szCs w:val="18"/>
                <w:lang w:val="fr-CA" w:eastAsia="en-CA"/>
              </w:rPr>
              <w:t xml:space="preserve"> </w:t>
            </w:r>
            <w:r w:rsidRPr="00934F64">
              <w:rPr>
                <w:sz w:val="18"/>
                <w:szCs w:val="18"/>
                <w:lang w:val="fr-CA" w:eastAsia="en-CA"/>
              </w:rPr>
              <w:t>793</w:t>
            </w:r>
            <w:r w:rsidR="005F4F67">
              <w:rPr>
                <w:sz w:val="18"/>
                <w:szCs w:val="18"/>
                <w:lang w:val="fr-CA" w:eastAsia="en-CA"/>
              </w:rPr>
              <w:t xml:space="preserve"> </w:t>
            </w:r>
            <w:r w:rsidRPr="00934F64">
              <w:rPr>
                <w:sz w:val="18"/>
                <w:szCs w:val="18"/>
                <w:lang w:val="fr-CA" w:eastAsia="en-CA"/>
              </w:rPr>
              <w:t>867</w:t>
            </w:r>
          </w:p>
        </w:tc>
        <w:tc>
          <w:tcPr>
            <w:tcW w:w="892" w:type="dxa"/>
            <w:tcBorders>
              <w:top w:val="nil"/>
              <w:left w:val="nil"/>
              <w:bottom w:val="single" w:sz="4" w:space="0" w:color="auto"/>
              <w:right w:val="single" w:sz="4" w:space="0" w:color="auto"/>
            </w:tcBorders>
            <w:shd w:val="clear" w:color="auto" w:fill="auto"/>
            <w:noWrap/>
            <w:hideMark/>
          </w:tcPr>
          <w:p w14:paraId="682D2E3E" w14:textId="77777777" w:rsidR="001D510D" w:rsidRPr="00934F64" w:rsidRDefault="001D510D" w:rsidP="001D510D">
            <w:pPr>
              <w:jc w:val="right"/>
              <w:rPr>
                <w:sz w:val="18"/>
                <w:szCs w:val="18"/>
                <w:lang w:val="fr-CA" w:eastAsia="en-CA"/>
              </w:rPr>
            </w:pPr>
            <w:r w:rsidRPr="00934F64">
              <w:rPr>
                <w:sz w:val="18"/>
                <w:szCs w:val="18"/>
                <w:lang w:val="fr-CA" w:eastAsia="en-CA"/>
              </w:rPr>
              <w:t>26</w:t>
            </w:r>
          </w:p>
        </w:tc>
        <w:tc>
          <w:tcPr>
            <w:tcW w:w="919" w:type="dxa"/>
            <w:tcBorders>
              <w:top w:val="nil"/>
              <w:left w:val="nil"/>
              <w:bottom w:val="single" w:sz="4" w:space="0" w:color="auto"/>
              <w:right w:val="single" w:sz="4" w:space="0" w:color="auto"/>
            </w:tcBorders>
            <w:shd w:val="clear" w:color="auto" w:fill="auto"/>
            <w:noWrap/>
            <w:hideMark/>
          </w:tcPr>
          <w:p w14:paraId="2853DD96" w14:textId="77777777" w:rsidR="001D510D" w:rsidRPr="00934F64" w:rsidRDefault="001D510D" w:rsidP="001D510D">
            <w:pPr>
              <w:jc w:val="right"/>
              <w:rPr>
                <w:sz w:val="18"/>
                <w:szCs w:val="18"/>
                <w:lang w:val="fr-CA" w:eastAsia="en-CA"/>
              </w:rPr>
            </w:pPr>
            <w:r w:rsidRPr="00934F64">
              <w:rPr>
                <w:sz w:val="18"/>
                <w:szCs w:val="18"/>
                <w:lang w:val="fr-CA" w:eastAsia="en-CA"/>
              </w:rPr>
              <w:t>49</w:t>
            </w:r>
          </w:p>
        </w:tc>
        <w:tc>
          <w:tcPr>
            <w:tcW w:w="1045" w:type="dxa"/>
            <w:tcBorders>
              <w:top w:val="nil"/>
              <w:left w:val="nil"/>
              <w:bottom w:val="single" w:sz="4" w:space="0" w:color="auto"/>
              <w:right w:val="single" w:sz="4" w:space="0" w:color="auto"/>
            </w:tcBorders>
            <w:shd w:val="clear" w:color="auto" w:fill="auto"/>
            <w:noWrap/>
            <w:hideMark/>
          </w:tcPr>
          <w:p w14:paraId="34688DE6" w14:textId="77777777" w:rsidR="001D510D" w:rsidRPr="00934F64" w:rsidRDefault="001D510D" w:rsidP="001D510D">
            <w:pPr>
              <w:jc w:val="right"/>
              <w:rPr>
                <w:sz w:val="18"/>
                <w:szCs w:val="18"/>
                <w:lang w:val="fr-CA" w:eastAsia="en-CA"/>
              </w:rPr>
            </w:pPr>
            <w:r w:rsidRPr="00934F64">
              <w:rPr>
                <w:sz w:val="18"/>
                <w:szCs w:val="18"/>
                <w:lang w:val="fr-CA" w:eastAsia="en-CA"/>
              </w:rPr>
              <w:t>58</w:t>
            </w:r>
          </w:p>
        </w:tc>
        <w:tc>
          <w:tcPr>
            <w:tcW w:w="1144" w:type="dxa"/>
            <w:tcBorders>
              <w:top w:val="nil"/>
              <w:left w:val="nil"/>
              <w:bottom w:val="single" w:sz="4" w:space="0" w:color="auto"/>
              <w:right w:val="single" w:sz="4" w:space="0" w:color="auto"/>
            </w:tcBorders>
            <w:shd w:val="clear" w:color="auto" w:fill="auto"/>
            <w:noWrap/>
            <w:hideMark/>
          </w:tcPr>
          <w:p w14:paraId="2A187232" w14:textId="77777777" w:rsidR="001D510D" w:rsidRPr="00934F64" w:rsidRDefault="001D510D" w:rsidP="001D510D">
            <w:pPr>
              <w:jc w:val="right"/>
              <w:rPr>
                <w:sz w:val="18"/>
                <w:szCs w:val="18"/>
                <w:lang w:val="fr-CA" w:eastAsia="en-CA"/>
              </w:rPr>
            </w:pPr>
            <w:r w:rsidRPr="00934F64">
              <w:rPr>
                <w:sz w:val="18"/>
                <w:szCs w:val="18"/>
                <w:lang w:val="fr-CA" w:eastAsia="en-CA"/>
              </w:rPr>
              <w:t>9</w:t>
            </w:r>
          </w:p>
        </w:tc>
        <w:tc>
          <w:tcPr>
            <w:tcW w:w="1117" w:type="dxa"/>
            <w:tcBorders>
              <w:top w:val="nil"/>
              <w:left w:val="nil"/>
              <w:bottom w:val="single" w:sz="4" w:space="0" w:color="auto"/>
              <w:right w:val="single" w:sz="4" w:space="0" w:color="auto"/>
            </w:tcBorders>
            <w:shd w:val="clear" w:color="auto" w:fill="auto"/>
            <w:noWrap/>
            <w:hideMark/>
          </w:tcPr>
          <w:p w14:paraId="06E1A024" w14:textId="77777777" w:rsidR="001D510D" w:rsidRPr="00934F64" w:rsidRDefault="001D510D" w:rsidP="001D510D">
            <w:pPr>
              <w:jc w:val="right"/>
              <w:rPr>
                <w:sz w:val="18"/>
                <w:szCs w:val="18"/>
                <w:lang w:val="fr-CA" w:eastAsia="en-CA"/>
              </w:rPr>
            </w:pPr>
            <w:r w:rsidRPr="00934F64">
              <w:rPr>
                <w:sz w:val="18"/>
                <w:szCs w:val="18"/>
                <w:lang w:val="fr-CA" w:eastAsia="en-CA"/>
              </w:rPr>
              <w:t>38</w:t>
            </w:r>
          </w:p>
        </w:tc>
        <w:tc>
          <w:tcPr>
            <w:tcW w:w="1236" w:type="dxa"/>
            <w:gridSpan w:val="2"/>
            <w:tcBorders>
              <w:top w:val="nil"/>
              <w:left w:val="nil"/>
              <w:bottom w:val="single" w:sz="4" w:space="0" w:color="auto"/>
              <w:right w:val="single" w:sz="4" w:space="0" w:color="auto"/>
            </w:tcBorders>
            <w:shd w:val="clear" w:color="auto" w:fill="auto"/>
            <w:noWrap/>
            <w:hideMark/>
          </w:tcPr>
          <w:p w14:paraId="18C92C7E" w14:textId="77777777" w:rsidR="001D510D" w:rsidRPr="00934F64" w:rsidRDefault="001D510D" w:rsidP="001D510D">
            <w:pPr>
              <w:jc w:val="right"/>
              <w:rPr>
                <w:sz w:val="18"/>
                <w:szCs w:val="18"/>
                <w:lang w:val="fr-CA" w:eastAsia="en-CA"/>
              </w:rPr>
            </w:pPr>
            <w:r w:rsidRPr="00934F64">
              <w:rPr>
                <w:sz w:val="18"/>
                <w:szCs w:val="18"/>
                <w:lang w:val="fr-CA" w:eastAsia="en-CA"/>
              </w:rPr>
              <w:t>10</w:t>
            </w:r>
          </w:p>
        </w:tc>
      </w:tr>
      <w:tr w:rsidR="007C55C7" w:rsidRPr="00934F64" w14:paraId="3855D5BB" w14:textId="77777777" w:rsidTr="001D510D">
        <w:trPr>
          <w:trHeight w:val="204"/>
        </w:trPr>
        <w:tc>
          <w:tcPr>
            <w:tcW w:w="10126" w:type="dxa"/>
            <w:gridSpan w:val="10"/>
            <w:tcBorders>
              <w:top w:val="nil"/>
              <w:left w:val="single" w:sz="4" w:space="0" w:color="auto"/>
              <w:bottom w:val="single" w:sz="4" w:space="0" w:color="auto"/>
              <w:right w:val="single" w:sz="4" w:space="0" w:color="auto"/>
            </w:tcBorders>
            <w:shd w:val="clear" w:color="auto" w:fill="auto"/>
            <w:noWrap/>
            <w:hideMark/>
          </w:tcPr>
          <w:p w14:paraId="783C31F7" w14:textId="601F772C" w:rsidR="007C55C7" w:rsidRPr="00934F64" w:rsidRDefault="001D510D" w:rsidP="001E39EE">
            <w:pPr>
              <w:jc w:val="left"/>
              <w:rPr>
                <w:b/>
                <w:sz w:val="18"/>
                <w:szCs w:val="18"/>
                <w:lang w:val="fr-CA" w:eastAsia="en-CA"/>
              </w:rPr>
            </w:pPr>
            <w:r>
              <w:rPr>
                <w:b/>
                <w:sz w:val="18"/>
                <w:szCs w:val="18"/>
                <w:lang w:val="fr-CA" w:eastAsia="en-CA"/>
              </w:rPr>
              <w:t>Mode de décaissement</w:t>
            </w:r>
            <w:r w:rsidR="007C55C7" w:rsidRPr="00934F64">
              <w:rPr>
                <w:b/>
                <w:sz w:val="18"/>
                <w:szCs w:val="18"/>
                <w:lang w:val="fr-CA" w:eastAsia="en-CA"/>
              </w:rPr>
              <w:t> </w:t>
            </w:r>
          </w:p>
        </w:tc>
      </w:tr>
      <w:tr w:rsidR="001D510D" w:rsidRPr="00934F64" w14:paraId="330C307F"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4FF52A4B" w14:textId="6BBF395B" w:rsidR="001D510D" w:rsidRPr="00934F64" w:rsidRDefault="001D510D" w:rsidP="001D510D">
            <w:pPr>
              <w:jc w:val="left"/>
              <w:rPr>
                <w:sz w:val="18"/>
                <w:szCs w:val="18"/>
                <w:lang w:val="fr-CA" w:eastAsia="en-CA"/>
              </w:rPr>
            </w:pPr>
            <w:r>
              <w:rPr>
                <w:sz w:val="18"/>
                <w:szCs w:val="18"/>
                <w:lang w:val="fr-CA" w:eastAsia="en-CA"/>
              </w:rPr>
              <w:t xml:space="preserve">Au cours de la mise en œuvre </w:t>
            </w:r>
          </w:p>
        </w:tc>
        <w:tc>
          <w:tcPr>
            <w:tcW w:w="856" w:type="dxa"/>
            <w:tcBorders>
              <w:top w:val="single" w:sz="4" w:space="0" w:color="auto"/>
              <w:left w:val="nil"/>
              <w:bottom w:val="single" w:sz="4" w:space="0" w:color="auto"/>
              <w:right w:val="single" w:sz="4" w:space="0" w:color="auto"/>
            </w:tcBorders>
            <w:shd w:val="clear" w:color="auto" w:fill="auto"/>
            <w:noWrap/>
            <w:hideMark/>
          </w:tcPr>
          <w:p w14:paraId="0B646467" w14:textId="77777777" w:rsidR="001D510D" w:rsidRPr="00934F64" w:rsidRDefault="001D510D" w:rsidP="001D510D">
            <w:pPr>
              <w:jc w:val="right"/>
              <w:rPr>
                <w:sz w:val="18"/>
                <w:szCs w:val="18"/>
                <w:lang w:val="fr-CA" w:eastAsia="en-CA"/>
              </w:rPr>
            </w:pPr>
            <w:r w:rsidRPr="00934F64">
              <w:rPr>
                <w:sz w:val="18"/>
                <w:szCs w:val="18"/>
                <w:lang w:val="fr-CA" w:eastAsia="en-CA"/>
              </w:rPr>
              <w:t>446</w:t>
            </w:r>
          </w:p>
        </w:tc>
        <w:tc>
          <w:tcPr>
            <w:tcW w:w="1216" w:type="dxa"/>
            <w:tcBorders>
              <w:top w:val="single" w:sz="4" w:space="0" w:color="auto"/>
              <w:left w:val="nil"/>
              <w:bottom w:val="single" w:sz="4" w:space="0" w:color="auto"/>
              <w:right w:val="single" w:sz="4" w:space="0" w:color="auto"/>
            </w:tcBorders>
            <w:shd w:val="clear" w:color="auto" w:fill="auto"/>
            <w:noWrap/>
            <w:hideMark/>
          </w:tcPr>
          <w:p w14:paraId="256C7F23" w14:textId="13D505CF" w:rsidR="001D510D" w:rsidRPr="00934F64" w:rsidRDefault="001D510D" w:rsidP="001D510D">
            <w:pPr>
              <w:jc w:val="right"/>
              <w:rPr>
                <w:sz w:val="18"/>
                <w:szCs w:val="18"/>
                <w:lang w:val="fr-CA" w:eastAsia="en-CA"/>
              </w:rPr>
            </w:pPr>
            <w:r w:rsidRPr="00934F64">
              <w:rPr>
                <w:sz w:val="18"/>
                <w:szCs w:val="18"/>
                <w:lang w:val="fr-CA" w:eastAsia="en-CA"/>
              </w:rPr>
              <w:t>81</w:t>
            </w:r>
            <w:r w:rsidR="005F4F67">
              <w:rPr>
                <w:sz w:val="18"/>
                <w:szCs w:val="18"/>
                <w:lang w:val="fr-CA" w:eastAsia="en-CA"/>
              </w:rPr>
              <w:t xml:space="preserve"> </w:t>
            </w:r>
            <w:r w:rsidRPr="00934F64">
              <w:rPr>
                <w:sz w:val="18"/>
                <w:szCs w:val="18"/>
                <w:lang w:val="fr-CA" w:eastAsia="en-CA"/>
              </w:rPr>
              <w:t>491</w:t>
            </w:r>
            <w:r w:rsidR="005F4F67">
              <w:rPr>
                <w:sz w:val="18"/>
                <w:szCs w:val="18"/>
                <w:lang w:val="fr-CA" w:eastAsia="en-CA"/>
              </w:rPr>
              <w:t xml:space="preserve"> </w:t>
            </w:r>
            <w:r w:rsidRPr="00934F64">
              <w:rPr>
                <w:sz w:val="18"/>
                <w:szCs w:val="18"/>
                <w:lang w:val="fr-CA" w:eastAsia="en-CA"/>
              </w:rPr>
              <w:t>112</w:t>
            </w:r>
          </w:p>
        </w:tc>
        <w:tc>
          <w:tcPr>
            <w:tcW w:w="892" w:type="dxa"/>
            <w:tcBorders>
              <w:top w:val="single" w:sz="4" w:space="0" w:color="auto"/>
              <w:left w:val="nil"/>
              <w:bottom w:val="single" w:sz="4" w:space="0" w:color="auto"/>
              <w:right w:val="single" w:sz="4" w:space="0" w:color="auto"/>
            </w:tcBorders>
            <w:shd w:val="clear" w:color="auto" w:fill="auto"/>
            <w:noWrap/>
            <w:hideMark/>
          </w:tcPr>
          <w:p w14:paraId="4E5632A3" w14:textId="77777777" w:rsidR="001D510D" w:rsidRPr="00934F64" w:rsidRDefault="001D510D" w:rsidP="001D510D">
            <w:pPr>
              <w:jc w:val="right"/>
              <w:rPr>
                <w:sz w:val="18"/>
                <w:szCs w:val="18"/>
                <w:lang w:val="fr-CA" w:eastAsia="en-CA"/>
              </w:rPr>
            </w:pPr>
            <w:r w:rsidRPr="00934F64">
              <w:rPr>
                <w:sz w:val="18"/>
                <w:szCs w:val="18"/>
                <w:lang w:val="fr-CA" w:eastAsia="en-CA"/>
              </w:rPr>
              <w:t>21</w:t>
            </w:r>
          </w:p>
        </w:tc>
        <w:tc>
          <w:tcPr>
            <w:tcW w:w="919" w:type="dxa"/>
            <w:tcBorders>
              <w:top w:val="single" w:sz="4" w:space="0" w:color="auto"/>
              <w:left w:val="nil"/>
              <w:bottom w:val="single" w:sz="4" w:space="0" w:color="auto"/>
              <w:right w:val="single" w:sz="4" w:space="0" w:color="auto"/>
            </w:tcBorders>
            <w:shd w:val="clear" w:color="auto" w:fill="auto"/>
            <w:noWrap/>
            <w:hideMark/>
          </w:tcPr>
          <w:p w14:paraId="5BE177A5" w14:textId="77777777" w:rsidR="001D510D" w:rsidRPr="00934F64" w:rsidRDefault="001D510D" w:rsidP="001D510D">
            <w:pPr>
              <w:jc w:val="right"/>
              <w:rPr>
                <w:sz w:val="18"/>
                <w:szCs w:val="18"/>
                <w:lang w:val="fr-CA" w:eastAsia="en-CA"/>
              </w:rPr>
            </w:pPr>
            <w:r w:rsidRPr="00934F64">
              <w:rPr>
                <w:sz w:val="18"/>
                <w:szCs w:val="18"/>
                <w:lang w:val="fr-CA" w:eastAsia="en-CA"/>
              </w:rPr>
              <w:t>209</w:t>
            </w:r>
          </w:p>
        </w:tc>
        <w:tc>
          <w:tcPr>
            <w:tcW w:w="1045" w:type="dxa"/>
            <w:tcBorders>
              <w:top w:val="single" w:sz="4" w:space="0" w:color="auto"/>
              <w:left w:val="nil"/>
              <w:bottom w:val="single" w:sz="4" w:space="0" w:color="auto"/>
              <w:right w:val="single" w:sz="4" w:space="0" w:color="auto"/>
            </w:tcBorders>
            <w:shd w:val="clear" w:color="auto" w:fill="auto"/>
            <w:noWrap/>
            <w:hideMark/>
          </w:tcPr>
          <w:p w14:paraId="73B7EC60" w14:textId="77777777" w:rsidR="001D510D" w:rsidRPr="00934F64" w:rsidRDefault="001D510D" w:rsidP="001D510D">
            <w:pPr>
              <w:jc w:val="right"/>
              <w:rPr>
                <w:sz w:val="18"/>
                <w:szCs w:val="18"/>
                <w:lang w:val="fr-CA" w:eastAsia="en-CA"/>
              </w:rPr>
            </w:pPr>
            <w:r w:rsidRPr="00934F64">
              <w:rPr>
                <w:sz w:val="18"/>
                <w:szCs w:val="18"/>
                <w:lang w:val="fr-CA" w:eastAsia="en-CA"/>
              </w:rPr>
              <w:t>47</w:t>
            </w:r>
          </w:p>
        </w:tc>
        <w:tc>
          <w:tcPr>
            <w:tcW w:w="1144" w:type="dxa"/>
            <w:tcBorders>
              <w:top w:val="single" w:sz="4" w:space="0" w:color="auto"/>
              <w:left w:val="nil"/>
              <w:bottom w:val="single" w:sz="4" w:space="0" w:color="auto"/>
              <w:right w:val="single" w:sz="4" w:space="0" w:color="auto"/>
            </w:tcBorders>
            <w:shd w:val="clear" w:color="auto" w:fill="auto"/>
            <w:noWrap/>
            <w:hideMark/>
          </w:tcPr>
          <w:p w14:paraId="71F40D3E" w14:textId="77777777" w:rsidR="001D510D" w:rsidRPr="00934F64" w:rsidRDefault="001D510D" w:rsidP="001D510D">
            <w:pPr>
              <w:jc w:val="right"/>
              <w:rPr>
                <w:sz w:val="18"/>
                <w:szCs w:val="18"/>
                <w:lang w:val="fr-CA" w:eastAsia="en-CA"/>
              </w:rPr>
            </w:pPr>
            <w:r w:rsidRPr="00934F64">
              <w:rPr>
                <w:sz w:val="18"/>
                <w:szCs w:val="18"/>
                <w:lang w:val="fr-CA" w:eastAsia="en-CA"/>
              </w:rPr>
              <w:t>12</w:t>
            </w:r>
          </w:p>
        </w:tc>
        <w:tc>
          <w:tcPr>
            <w:tcW w:w="1117" w:type="dxa"/>
            <w:tcBorders>
              <w:top w:val="single" w:sz="4" w:space="0" w:color="auto"/>
              <w:left w:val="nil"/>
              <w:bottom w:val="single" w:sz="4" w:space="0" w:color="auto"/>
              <w:right w:val="single" w:sz="4" w:space="0" w:color="auto"/>
            </w:tcBorders>
            <w:shd w:val="clear" w:color="auto" w:fill="auto"/>
            <w:noWrap/>
            <w:hideMark/>
          </w:tcPr>
          <w:p w14:paraId="3AACF2CB" w14:textId="77777777" w:rsidR="001D510D" w:rsidRPr="00934F64" w:rsidRDefault="001D510D" w:rsidP="001D510D">
            <w:pPr>
              <w:jc w:val="right"/>
              <w:rPr>
                <w:sz w:val="18"/>
                <w:szCs w:val="18"/>
                <w:lang w:val="fr-CA" w:eastAsia="en-CA"/>
              </w:rPr>
            </w:pPr>
            <w:r w:rsidRPr="00934F64">
              <w:rPr>
                <w:sz w:val="18"/>
                <w:szCs w:val="18"/>
                <w:lang w:val="fr-CA" w:eastAsia="en-CA"/>
              </w:rPr>
              <w:t>38</w:t>
            </w:r>
          </w:p>
        </w:tc>
        <w:tc>
          <w:tcPr>
            <w:tcW w:w="1236" w:type="dxa"/>
            <w:gridSpan w:val="2"/>
            <w:tcBorders>
              <w:top w:val="single" w:sz="4" w:space="0" w:color="auto"/>
              <w:left w:val="nil"/>
              <w:bottom w:val="single" w:sz="4" w:space="0" w:color="auto"/>
              <w:right w:val="single" w:sz="4" w:space="0" w:color="auto"/>
            </w:tcBorders>
            <w:shd w:val="clear" w:color="auto" w:fill="auto"/>
            <w:noWrap/>
            <w:hideMark/>
          </w:tcPr>
          <w:p w14:paraId="17EB258C" w14:textId="77777777" w:rsidR="001D510D" w:rsidRPr="00934F64" w:rsidRDefault="001D510D" w:rsidP="001D510D">
            <w:pPr>
              <w:jc w:val="right"/>
              <w:rPr>
                <w:sz w:val="18"/>
                <w:szCs w:val="18"/>
                <w:lang w:val="fr-CA" w:eastAsia="en-CA"/>
              </w:rPr>
            </w:pPr>
            <w:r w:rsidRPr="00934F64">
              <w:rPr>
                <w:sz w:val="18"/>
                <w:szCs w:val="18"/>
                <w:lang w:val="fr-CA" w:eastAsia="en-CA"/>
              </w:rPr>
              <w:t>11</w:t>
            </w:r>
          </w:p>
        </w:tc>
      </w:tr>
      <w:tr w:rsidR="001D510D" w:rsidRPr="00934F64" w14:paraId="78C20932"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75AD3A4C" w14:textId="35936FA3" w:rsidR="001D510D" w:rsidRPr="00934F64" w:rsidRDefault="001D510D" w:rsidP="001D510D">
            <w:pPr>
              <w:jc w:val="left"/>
              <w:rPr>
                <w:sz w:val="18"/>
                <w:szCs w:val="18"/>
                <w:lang w:val="fr-CA" w:eastAsia="en-CA"/>
              </w:rPr>
            </w:pPr>
            <w:r>
              <w:rPr>
                <w:sz w:val="18"/>
                <w:szCs w:val="18"/>
                <w:lang w:val="fr-CA" w:eastAsia="en-CA"/>
              </w:rPr>
              <w:t xml:space="preserve">Après la mise en œuvre </w:t>
            </w:r>
          </w:p>
        </w:tc>
        <w:tc>
          <w:tcPr>
            <w:tcW w:w="856" w:type="dxa"/>
            <w:tcBorders>
              <w:top w:val="nil"/>
              <w:left w:val="nil"/>
              <w:bottom w:val="single" w:sz="4" w:space="0" w:color="auto"/>
              <w:right w:val="single" w:sz="4" w:space="0" w:color="auto"/>
            </w:tcBorders>
            <w:shd w:val="clear" w:color="auto" w:fill="auto"/>
            <w:noWrap/>
            <w:hideMark/>
          </w:tcPr>
          <w:p w14:paraId="11A25E5D"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nil"/>
              <w:left w:val="nil"/>
              <w:bottom w:val="single" w:sz="4" w:space="0" w:color="auto"/>
              <w:right w:val="single" w:sz="4" w:space="0" w:color="auto"/>
            </w:tcBorders>
            <w:shd w:val="clear" w:color="auto" w:fill="auto"/>
            <w:noWrap/>
            <w:hideMark/>
          </w:tcPr>
          <w:p w14:paraId="1D0AC6DE"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nil"/>
              <w:left w:val="nil"/>
              <w:bottom w:val="single" w:sz="4" w:space="0" w:color="auto"/>
              <w:right w:val="single" w:sz="4" w:space="0" w:color="auto"/>
            </w:tcBorders>
            <w:shd w:val="clear" w:color="auto" w:fill="auto"/>
            <w:noWrap/>
            <w:hideMark/>
          </w:tcPr>
          <w:p w14:paraId="417BE526"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nil"/>
              <w:left w:val="nil"/>
              <w:bottom w:val="single" w:sz="4" w:space="0" w:color="auto"/>
              <w:right w:val="single" w:sz="4" w:space="0" w:color="auto"/>
            </w:tcBorders>
            <w:shd w:val="clear" w:color="auto" w:fill="auto"/>
            <w:noWrap/>
            <w:hideMark/>
          </w:tcPr>
          <w:p w14:paraId="4912CCFA"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nil"/>
              <w:left w:val="nil"/>
              <w:bottom w:val="single" w:sz="4" w:space="0" w:color="auto"/>
              <w:right w:val="single" w:sz="4" w:space="0" w:color="auto"/>
            </w:tcBorders>
            <w:shd w:val="clear" w:color="auto" w:fill="auto"/>
            <w:noWrap/>
            <w:hideMark/>
          </w:tcPr>
          <w:p w14:paraId="714E7B6B"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nil"/>
              <w:left w:val="nil"/>
              <w:bottom w:val="single" w:sz="4" w:space="0" w:color="auto"/>
              <w:right w:val="single" w:sz="4" w:space="0" w:color="auto"/>
            </w:tcBorders>
            <w:shd w:val="clear" w:color="auto" w:fill="auto"/>
            <w:noWrap/>
            <w:hideMark/>
          </w:tcPr>
          <w:p w14:paraId="6AE1A796" w14:textId="3E8FE375"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nil"/>
              <w:left w:val="nil"/>
              <w:bottom w:val="single" w:sz="4" w:space="0" w:color="auto"/>
              <w:right w:val="single" w:sz="4" w:space="0" w:color="auto"/>
            </w:tcBorders>
            <w:shd w:val="clear" w:color="auto" w:fill="auto"/>
            <w:noWrap/>
            <w:hideMark/>
          </w:tcPr>
          <w:p w14:paraId="6DE71F19" w14:textId="2DF23A22"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nil"/>
              <w:left w:val="nil"/>
              <w:bottom w:val="single" w:sz="4" w:space="0" w:color="auto"/>
              <w:right w:val="single" w:sz="4" w:space="0" w:color="auto"/>
            </w:tcBorders>
            <w:shd w:val="clear" w:color="auto" w:fill="auto"/>
            <w:noWrap/>
            <w:hideMark/>
          </w:tcPr>
          <w:p w14:paraId="56A0FACA" w14:textId="47E2C4D8"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1D510D" w:rsidRPr="00934F64" w14:paraId="25E963C7"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46E7BFFF" w14:textId="388017CA" w:rsidR="001D510D" w:rsidRPr="00934F64" w:rsidRDefault="001D510D" w:rsidP="001D510D">
            <w:pPr>
              <w:jc w:val="left"/>
              <w:rPr>
                <w:sz w:val="18"/>
                <w:szCs w:val="18"/>
                <w:lang w:val="fr-CA" w:eastAsia="en-CA"/>
              </w:rPr>
            </w:pPr>
            <w:r>
              <w:rPr>
                <w:sz w:val="18"/>
                <w:szCs w:val="18"/>
                <w:lang w:val="fr-CA" w:eastAsia="en-CA"/>
              </w:rPr>
              <w:t>Financement rétroactif</w:t>
            </w:r>
          </w:p>
        </w:tc>
        <w:tc>
          <w:tcPr>
            <w:tcW w:w="856" w:type="dxa"/>
            <w:tcBorders>
              <w:top w:val="nil"/>
              <w:left w:val="nil"/>
              <w:bottom w:val="single" w:sz="4" w:space="0" w:color="auto"/>
              <w:right w:val="single" w:sz="4" w:space="0" w:color="auto"/>
            </w:tcBorders>
            <w:shd w:val="clear" w:color="auto" w:fill="auto"/>
            <w:noWrap/>
            <w:hideMark/>
          </w:tcPr>
          <w:p w14:paraId="43BD64CA"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216" w:type="dxa"/>
            <w:tcBorders>
              <w:top w:val="nil"/>
              <w:left w:val="nil"/>
              <w:bottom w:val="single" w:sz="4" w:space="0" w:color="auto"/>
              <w:right w:val="single" w:sz="4" w:space="0" w:color="auto"/>
            </w:tcBorders>
            <w:shd w:val="clear" w:color="auto" w:fill="auto"/>
            <w:noWrap/>
            <w:hideMark/>
          </w:tcPr>
          <w:p w14:paraId="53D07A57"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892" w:type="dxa"/>
            <w:tcBorders>
              <w:top w:val="nil"/>
              <w:left w:val="nil"/>
              <w:bottom w:val="single" w:sz="4" w:space="0" w:color="auto"/>
              <w:right w:val="single" w:sz="4" w:space="0" w:color="auto"/>
            </w:tcBorders>
            <w:shd w:val="clear" w:color="auto" w:fill="auto"/>
            <w:noWrap/>
            <w:hideMark/>
          </w:tcPr>
          <w:p w14:paraId="7FF23717"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919" w:type="dxa"/>
            <w:tcBorders>
              <w:top w:val="nil"/>
              <w:left w:val="nil"/>
              <w:bottom w:val="single" w:sz="4" w:space="0" w:color="auto"/>
              <w:right w:val="single" w:sz="4" w:space="0" w:color="auto"/>
            </w:tcBorders>
            <w:shd w:val="clear" w:color="auto" w:fill="auto"/>
            <w:noWrap/>
            <w:hideMark/>
          </w:tcPr>
          <w:p w14:paraId="0A38653F"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045" w:type="dxa"/>
            <w:tcBorders>
              <w:top w:val="nil"/>
              <w:left w:val="nil"/>
              <w:bottom w:val="single" w:sz="4" w:space="0" w:color="auto"/>
              <w:right w:val="single" w:sz="4" w:space="0" w:color="auto"/>
            </w:tcBorders>
            <w:shd w:val="clear" w:color="auto" w:fill="auto"/>
            <w:noWrap/>
            <w:hideMark/>
          </w:tcPr>
          <w:p w14:paraId="3090C6FA" w14:textId="77777777" w:rsidR="001D510D" w:rsidRPr="00934F64" w:rsidRDefault="001D510D" w:rsidP="001D510D">
            <w:pPr>
              <w:jc w:val="right"/>
              <w:rPr>
                <w:sz w:val="18"/>
                <w:szCs w:val="18"/>
                <w:lang w:val="fr-CA" w:eastAsia="en-CA"/>
              </w:rPr>
            </w:pPr>
            <w:r w:rsidRPr="00934F64">
              <w:rPr>
                <w:sz w:val="18"/>
                <w:szCs w:val="18"/>
                <w:lang w:val="fr-CA" w:eastAsia="en-CA"/>
              </w:rPr>
              <w:t>0</w:t>
            </w:r>
          </w:p>
        </w:tc>
        <w:tc>
          <w:tcPr>
            <w:tcW w:w="1144" w:type="dxa"/>
            <w:tcBorders>
              <w:top w:val="nil"/>
              <w:left w:val="nil"/>
              <w:bottom w:val="single" w:sz="4" w:space="0" w:color="auto"/>
              <w:right w:val="single" w:sz="4" w:space="0" w:color="auto"/>
            </w:tcBorders>
            <w:shd w:val="clear" w:color="auto" w:fill="auto"/>
            <w:noWrap/>
            <w:hideMark/>
          </w:tcPr>
          <w:p w14:paraId="3D2E3B4A" w14:textId="4939BD00"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117" w:type="dxa"/>
            <w:tcBorders>
              <w:top w:val="nil"/>
              <w:left w:val="nil"/>
              <w:bottom w:val="single" w:sz="4" w:space="0" w:color="auto"/>
              <w:right w:val="single" w:sz="4" w:space="0" w:color="auto"/>
            </w:tcBorders>
            <w:shd w:val="clear" w:color="auto" w:fill="auto"/>
            <w:noWrap/>
            <w:hideMark/>
          </w:tcPr>
          <w:p w14:paraId="31A550E3" w14:textId="7825ECB3"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c>
          <w:tcPr>
            <w:tcW w:w="1236" w:type="dxa"/>
            <w:gridSpan w:val="2"/>
            <w:tcBorders>
              <w:top w:val="nil"/>
              <w:left w:val="nil"/>
              <w:bottom w:val="single" w:sz="4" w:space="0" w:color="auto"/>
              <w:right w:val="single" w:sz="4" w:space="0" w:color="auto"/>
            </w:tcBorders>
            <w:shd w:val="clear" w:color="auto" w:fill="auto"/>
            <w:noWrap/>
            <w:hideMark/>
          </w:tcPr>
          <w:p w14:paraId="2E1CE77D" w14:textId="476F23CF" w:rsidR="001D510D" w:rsidRPr="00934F64" w:rsidRDefault="005F4F67" w:rsidP="001D510D">
            <w:pPr>
              <w:jc w:val="right"/>
              <w:rPr>
                <w:sz w:val="18"/>
                <w:szCs w:val="18"/>
                <w:lang w:val="fr-CA" w:eastAsia="en-CA"/>
              </w:rPr>
            </w:pPr>
            <w:proofErr w:type="spellStart"/>
            <w:r>
              <w:rPr>
                <w:sz w:val="18"/>
                <w:szCs w:val="18"/>
                <w:lang w:val="fr-CA" w:eastAsia="en-CA"/>
              </w:rPr>
              <w:t>S.o</w:t>
            </w:r>
            <w:proofErr w:type="spellEnd"/>
            <w:r>
              <w:rPr>
                <w:sz w:val="18"/>
                <w:szCs w:val="18"/>
                <w:lang w:val="fr-CA" w:eastAsia="en-CA"/>
              </w:rPr>
              <w:t>.</w:t>
            </w:r>
          </w:p>
        </w:tc>
      </w:tr>
      <w:tr w:rsidR="001D510D" w:rsidRPr="00934F64" w14:paraId="43F066B3" w14:textId="77777777" w:rsidTr="001D510D">
        <w:trPr>
          <w:trHeight w:val="204"/>
        </w:trPr>
        <w:tc>
          <w:tcPr>
            <w:tcW w:w="1701" w:type="dxa"/>
            <w:tcBorders>
              <w:top w:val="nil"/>
              <w:left w:val="single" w:sz="4" w:space="0" w:color="auto"/>
              <w:bottom w:val="single" w:sz="4" w:space="0" w:color="auto"/>
              <w:right w:val="single" w:sz="4" w:space="0" w:color="auto"/>
            </w:tcBorders>
            <w:shd w:val="clear" w:color="auto" w:fill="auto"/>
            <w:noWrap/>
            <w:hideMark/>
          </w:tcPr>
          <w:p w14:paraId="05A59A12" w14:textId="73B0935D" w:rsidR="001D510D" w:rsidRPr="00934F64" w:rsidRDefault="001D510D" w:rsidP="001D510D">
            <w:pPr>
              <w:jc w:val="left"/>
              <w:rPr>
                <w:sz w:val="18"/>
                <w:szCs w:val="18"/>
                <w:lang w:val="fr-CA" w:eastAsia="en-CA"/>
              </w:rPr>
            </w:pPr>
            <w:r>
              <w:rPr>
                <w:sz w:val="18"/>
                <w:szCs w:val="18"/>
                <w:lang w:val="fr-CA" w:eastAsia="en-CA"/>
              </w:rPr>
              <w:t>Du pays aux bénéficiaires finaux</w:t>
            </w:r>
          </w:p>
        </w:tc>
        <w:tc>
          <w:tcPr>
            <w:tcW w:w="856" w:type="dxa"/>
            <w:tcBorders>
              <w:top w:val="nil"/>
              <w:left w:val="nil"/>
              <w:bottom w:val="single" w:sz="4" w:space="0" w:color="auto"/>
              <w:right w:val="single" w:sz="4" w:space="0" w:color="auto"/>
            </w:tcBorders>
            <w:shd w:val="clear" w:color="auto" w:fill="auto"/>
            <w:noWrap/>
            <w:hideMark/>
          </w:tcPr>
          <w:p w14:paraId="3D1450AC" w14:textId="77777777" w:rsidR="001D510D" w:rsidRPr="00934F64" w:rsidRDefault="001D510D" w:rsidP="001D510D">
            <w:pPr>
              <w:jc w:val="right"/>
              <w:rPr>
                <w:sz w:val="18"/>
                <w:szCs w:val="18"/>
                <w:lang w:val="fr-CA" w:eastAsia="en-CA"/>
              </w:rPr>
            </w:pPr>
            <w:r w:rsidRPr="00934F64">
              <w:rPr>
                <w:sz w:val="18"/>
                <w:szCs w:val="18"/>
                <w:lang w:val="fr-CA" w:eastAsia="en-CA"/>
              </w:rPr>
              <w:t>1</w:t>
            </w:r>
          </w:p>
        </w:tc>
        <w:tc>
          <w:tcPr>
            <w:tcW w:w="1216" w:type="dxa"/>
            <w:tcBorders>
              <w:top w:val="nil"/>
              <w:left w:val="nil"/>
              <w:bottom w:val="single" w:sz="4" w:space="0" w:color="auto"/>
              <w:right w:val="single" w:sz="4" w:space="0" w:color="auto"/>
            </w:tcBorders>
            <w:shd w:val="clear" w:color="auto" w:fill="auto"/>
            <w:noWrap/>
            <w:hideMark/>
          </w:tcPr>
          <w:p w14:paraId="4F67AFCC" w14:textId="080B71E1" w:rsidR="001D510D" w:rsidRPr="00934F64" w:rsidRDefault="001D510D" w:rsidP="001D510D">
            <w:pPr>
              <w:jc w:val="right"/>
              <w:rPr>
                <w:sz w:val="18"/>
                <w:szCs w:val="18"/>
                <w:lang w:val="fr-CA" w:eastAsia="en-CA"/>
              </w:rPr>
            </w:pPr>
            <w:r w:rsidRPr="00934F64">
              <w:rPr>
                <w:sz w:val="18"/>
                <w:szCs w:val="18"/>
                <w:lang w:val="fr-CA" w:eastAsia="en-CA"/>
              </w:rPr>
              <w:t>499</w:t>
            </w:r>
            <w:r w:rsidR="005F4F67">
              <w:rPr>
                <w:sz w:val="18"/>
                <w:szCs w:val="18"/>
                <w:lang w:val="fr-CA" w:eastAsia="en-CA"/>
              </w:rPr>
              <w:t xml:space="preserve"> </w:t>
            </w:r>
            <w:r w:rsidRPr="00934F64">
              <w:rPr>
                <w:sz w:val="18"/>
                <w:szCs w:val="18"/>
                <w:lang w:val="fr-CA" w:eastAsia="en-CA"/>
              </w:rPr>
              <w:t>200</w:t>
            </w:r>
          </w:p>
        </w:tc>
        <w:tc>
          <w:tcPr>
            <w:tcW w:w="892" w:type="dxa"/>
            <w:tcBorders>
              <w:top w:val="nil"/>
              <w:left w:val="nil"/>
              <w:bottom w:val="single" w:sz="4" w:space="0" w:color="auto"/>
              <w:right w:val="single" w:sz="4" w:space="0" w:color="auto"/>
            </w:tcBorders>
            <w:shd w:val="clear" w:color="auto" w:fill="auto"/>
            <w:noWrap/>
            <w:hideMark/>
          </w:tcPr>
          <w:p w14:paraId="57D012BA" w14:textId="77777777" w:rsidR="001D510D" w:rsidRPr="00934F64" w:rsidRDefault="001D510D" w:rsidP="001D510D">
            <w:pPr>
              <w:jc w:val="right"/>
              <w:rPr>
                <w:sz w:val="18"/>
                <w:szCs w:val="18"/>
                <w:lang w:val="fr-CA" w:eastAsia="en-CA"/>
              </w:rPr>
            </w:pPr>
            <w:r w:rsidRPr="00934F64">
              <w:rPr>
                <w:sz w:val="18"/>
                <w:szCs w:val="18"/>
                <w:lang w:val="fr-CA" w:eastAsia="en-CA"/>
              </w:rPr>
              <w:t>98</w:t>
            </w:r>
          </w:p>
        </w:tc>
        <w:tc>
          <w:tcPr>
            <w:tcW w:w="919" w:type="dxa"/>
            <w:tcBorders>
              <w:top w:val="nil"/>
              <w:left w:val="nil"/>
              <w:bottom w:val="single" w:sz="4" w:space="0" w:color="auto"/>
              <w:right w:val="single" w:sz="4" w:space="0" w:color="auto"/>
            </w:tcBorders>
            <w:shd w:val="clear" w:color="auto" w:fill="auto"/>
            <w:noWrap/>
            <w:hideMark/>
          </w:tcPr>
          <w:p w14:paraId="646B5FCE" w14:textId="77777777" w:rsidR="001D510D" w:rsidRPr="00934F64" w:rsidRDefault="001D510D" w:rsidP="001D510D">
            <w:pPr>
              <w:jc w:val="right"/>
              <w:rPr>
                <w:sz w:val="18"/>
                <w:szCs w:val="18"/>
                <w:lang w:val="fr-CA" w:eastAsia="en-CA"/>
              </w:rPr>
            </w:pPr>
            <w:r w:rsidRPr="00934F64">
              <w:rPr>
                <w:sz w:val="18"/>
                <w:szCs w:val="18"/>
                <w:lang w:val="fr-CA" w:eastAsia="en-CA"/>
              </w:rPr>
              <w:t>1</w:t>
            </w:r>
          </w:p>
        </w:tc>
        <w:tc>
          <w:tcPr>
            <w:tcW w:w="1045" w:type="dxa"/>
            <w:tcBorders>
              <w:top w:val="nil"/>
              <w:left w:val="nil"/>
              <w:bottom w:val="single" w:sz="4" w:space="0" w:color="auto"/>
              <w:right w:val="single" w:sz="4" w:space="0" w:color="auto"/>
            </w:tcBorders>
            <w:shd w:val="clear" w:color="auto" w:fill="auto"/>
            <w:noWrap/>
            <w:hideMark/>
          </w:tcPr>
          <w:p w14:paraId="064753CE" w14:textId="77777777" w:rsidR="001D510D" w:rsidRPr="00934F64" w:rsidRDefault="001D510D" w:rsidP="001D510D">
            <w:pPr>
              <w:jc w:val="right"/>
              <w:rPr>
                <w:sz w:val="18"/>
                <w:szCs w:val="18"/>
                <w:lang w:val="fr-CA" w:eastAsia="en-CA"/>
              </w:rPr>
            </w:pPr>
            <w:r w:rsidRPr="00934F64">
              <w:rPr>
                <w:sz w:val="18"/>
                <w:szCs w:val="18"/>
                <w:lang w:val="fr-CA" w:eastAsia="en-CA"/>
              </w:rPr>
              <w:t>100</w:t>
            </w:r>
          </w:p>
        </w:tc>
        <w:tc>
          <w:tcPr>
            <w:tcW w:w="1144" w:type="dxa"/>
            <w:tcBorders>
              <w:top w:val="nil"/>
              <w:left w:val="nil"/>
              <w:bottom w:val="single" w:sz="4" w:space="0" w:color="auto"/>
              <w:right w:val="single" w:sz="4" w:space="0" w:color="auto"/>
            </w:tcBorders>
            <w:shd w:val="clear" w:color="auto" w:fill="auto"/>
            <w:noWrap/>
            <w:hideMark/>
          </w:tcPr>
          <w:p w14:paraId="7966C3E0" w14:textId="77777777" w:rsidR="001D510D" w:rsidRPr="00934F64" w:rsidRDefault="001D510D" w:rsidP="001D510D">
            <w:pPr>
              <w:jc w:val="right"/>
              <w:rPr>
                <w:sz w:val="18"/>
                <w:szCs w:val="18"/>
                <w:lang w:val="fr-CA" w:eastAsia="en-CA"/>
              </w:rPr>
            </w:pPr>
            <w:r w:rsidRPr="00934F64">
              <w:rPr>
                <w:sz w:val="18"/>
                <w:szCs w:val="18"/>
                <w:lang w:val="fr-CA" w:eastAsia="en-CA"/>
              </w:rPr>
              <w:t>9</w:t>
            </w:r>
          </w:p>
        </w:tc>
        <w:tc>
          <w:tcPr>
            <w:tcW w:w="1117" w:type="dxa"/>
            <w:tcBorders>
              <w:top w:val="nil"/>
              <w:left w:val="nil"/>
              <w:bottom w:val="single" w:sz="4" w:space="0" w:color="auto"/>
              <w:right w:val="single" w:sz="4" w:space="0" w:color="auto"/>
            </w:tcBorders>
            <w:shd w:val="clear" w:color="auto" w:fill="auto"/>
            <w:noWrap/>
            <w:hideMark/>
          </w:tcPr>
          <w:p w14:paraId="7675517F" w14:textId="77777777" w:rsidR="001D510D" w:rsidRPr="00934F64" w:rsidRDefault="001D510D" w:rsidP="001D510D">
            <w:pPr>
              <w:jc w:val="right"/>
              <w:rPr>
                <w:sz w:val="18"/>
                <w:szCs w:val="18"/>
                <w:lang w:val="fr-CA" w:eastAsia="en-CA"/>
              </w:rPr>
            </w:pPr>
            <w:r w:rsidRPr="00934F64">
              <w:rPr>
                <w:sz w:val="18"/>
                <w:szCs w:val="18"/>
                <w:lang w:val="fr-CA" w:eastAsia="en-CA"/>
              </w:rPr>
              <w:t>36</w:t>
            </w:r>
          </w:p>
        </w:tc>
        <w:tc>
          <w:tcPr>
            <w:tcW w:w="1236" w:type="dxa"/>
            <w:gridSpan w:val="2"/>
            <w:tcBorders>
              <w:top w:val="nil"/>
              <w:left w:val="nil"/>
              <w:bottom w:val="single" w:sz="4" w:space="0" w:color="auto"/>
              <w:right w:val="single" w:sz="4" w:space="0" w:color="auto"/>
            </w:tcBorders>
            <w:shd w:val="clear" w:color="auto" w:fill="auto"/>
            <w:noWrap/>
            <w:hideMark/>
          </w:tcPr>
          <w:p w14:paraId="0DC46F59" w14:textId="77777777" w:rsidR="001D510D" w:rsidRPr="00934F64" w:rsidRDefault="001D510D" w:rsidP="001D510D">
            <w:pPr>
              <w:jc w:val="right"/>
              <w:rPr>
                <w:sz w:val="18"/>
                <w:szCs w:val="18"/>
                <w:lang w:val="fr-CA" w:eastAsia="en-CA"/>
              </w:rPr>
            </w:pPr>
            <w:r w:rsidRPr="00934F64">
              <w:rPr>
                <w:sz w:val="18"/>
                <w:szCs w:val="18"/>
                <w:lang w:val="fr-CA" w:eastAsia="en-CA"/>
              </w:rPr>
              <w:t>12</w:t>
            </w:r>
          </w:p>
        </w:tc>
      </w:tr>
    </w:tbl>
    <w:p w14:paraId="78A0B1CC" w14:textId="77777777" w:rsidR="007C55C7" w:rsidRPr="00934F64" w:rsidRDefault="007C55C7" w:rsidP="001E39EE">
      <w:pPr>
        <w:keepNext/>
        <w:rPr>
          <w:b/>
          <w:lang w:val="fr-CA"/>
        </w:rPr>
      </w:pPr>
    </w:p>
    <w:p w14:paraId="47D1D7F8" w14:textId="0E020DE5" w:rsidR="00D631A9" w:rsidRPr="001D510D" w:rsidRDefault="001D510D" w:rsidP="001E39EE">
      <w:pPr>
        <w:pStyle w:val="Heading1"/>
        <w:rPr>
          <w:lang w:val="fr-CA"/>
        </w:rPr>
      </w:pPr>
      <w:r>
        <w:rPr>
          <w:lang w:val="fr-CA"/>
        </w:rPr>
        <w:t>Quatre cent quarante-sept projets ne portant pas sur des investissements sont en cours de mise en œuvre pour une valeur totale de 81,99 millions $US, et 22 p. cent des sommes ont déjà été décaissées. Le délai moyen entre l’approbation et le premier décaissement est de 12 mois. Les projets ne portant pas sur des investissements en cours sont achevés 38 mois, en moyenne, après la date d’approbation, ce qui représente un retard de 1</w:t>
      </w:r>
      <w:r w:rsidR="005F4F67">
        <w:rPr>
          <w:lang w:val="fr-CA"/>
        </w:rPr>
        <w:t>1</w:t>
      </w:r>
      <w:r>
        <w:rPr>
          <w:lang w:val="fr-CA"/>
        </w:rPr>
        <w:t xml:space="preserve"> mois</w:t>
      </w:r>
      <w:r w:rsidR="00D631A9" w:rsidRPr="00934F64">
        <w:rPr>
          <w:lang w:val="fr-CA"/>
        </w:rPr>
        <w:t xml:space="preserve">. </w:t>
      </w:r>
    </w:p>
    <w:p w14:paraId="58571E7B" w14:textId="0363B3C2" w:rsidR="00D631A9" w:rsidRPr="005F4F67" w:rsidRDefault="005F4F67" w:rsidP="001E39EE">
      <w:pPr>
        <w:pStyle w:val="a--"/>
        <w:suppressAutoHyphens w:val="0"/>
        <w:rPr>
          <w:sz w:val="22"/>
          <w:szCs w:val="22"/>
          <w:lang w:val="fr-CA"/>
        </w:rPr>
      </w:pPr>
      <w:r w:rsidRPr="005F4F67">
        <w:rPr>
          <w:sz w:val="22"/>
          <w:szCs w:val="22"/>
          <w:lang w:val="fr-CA"/>
        </w:rPr>
        <w:lastRenderedPageBreak/>
        <w:t>PROJETS FERMÉS</w:t>
      </w:r>
    </w:p>
    <w:p w14:paraId="21394946" w14:textId="77777777" w:rsidR="00D631A9" w:rsidRPr="005F4F67" w:rsidRDefault="00D631A9" w:rsidP="001E39EE">
      <w:pPr>
        <w:pStyle w:val="a--"/>
        <w:suppressAutoHyphens w:val="0"/>
        <w:rPr>
          <w:b w:val="0"/>
          <w:sz w:val="22"/>
          <w:szCs w:val="22"/>
          <w:lang w:val="fr-CA"/>
        </w:rPr>
      </w:pPr>
    </w:p>
    <w:p w14:paraId="2DBCCE2F" w14:textId="151380EC" w:rsidR="00D631A9" w:rsidRPr="005F4F67" w:rsidRDefault="005F4F67" w:rsidP="001E39EE">
      <w:pPr>
        <w:pStyle w:val="Heading1"/>
        <w:rPr>
          <w:lang w:val="fr-CA"/>
        </w:rPr>
      </w:pPr>
      <w:r>
        <w:rPr>
          <w:lang w:val="fr-CA"/>
        </w:rPr>
        <w:t>Le tableau 8 présente un sommaire des projets fermés</w:t>
      </w:r>
      <w:r w:rsidR="00D631A9" w:rsidRPr="005F4F67">
        <w:rPr>
          <w:lang w:val="fr-CA"/>
        </w:rPr>
        <w:t xml:space="preserve">. </w:t>
      </w:r>
    </w:p>
    <w:p w14:paraId="3F3EAD0D" w14:textId="0546BDB2" w:rsidR="00D631A9" w:rsidRPr="005F4F67" w:rsidRDefault="00D631A9" w:rsidP="001E39EE">
      <w:pPr>
        <w:pStyle w:val="a--"/>
        <w:keepNext/>
        <w:suppressAutoHyphens w:val="0"/>
        <w:rPr>
          <w:sz w:val="22"/>
          <w:szCs w:val="22"/>
          <w:lang w:val="fr-CA"/>
        </w:rPr>
      </w:pPr>
      <w:r w:rsidRPr="005F4F67">
        <w:rPr>
          <w:sz w:val="22"/>
          <w:szCs w:val="22"/>
          <w:lang w:val="fr-CA"/>
        </w:rPr>
        <w:t>Table</w:t>
      </w:r>
      <w:r w:rsidR="005F4F67">
        <w:rPr>
          <w:sz w:val="22"/>
          <w:szCs w:val="22"/>
          <w:lang w:val="fr-CA"/>
        </w:rPr>
        <w:t>au</w:t>
      </w:r>
      <w:r w:rsidRPr="005F4F67">
        <w:rPr>
          <w:sz w:val="22"/>
          <w:szCs w:val="22"/>
          <w:lang w:val="fr-CA"/>
        </w:rPr>
        <w:t xml:space="preserve"> 8. </w:t>
      </w:r>
      <w:r w:rsidR="005F4F67">
        <w:rPr>
          <w:sz w:val="22"/>
          <w:szCs w:val="22"/>
          <w:lang w:val="fr-CA"/>
        </w:rPr>
        <w:t>Sommaire des projets fermés</w:t>
      </w:r>
    </w:p>
    <w:tbl>
      <w:tblPr>
        <w:tblW w:w="9360" w:type="dxa"/>
        <w:tblLook w:val="04A0" w:firstRow="1" w:lastRow="0" w:firstColumn="1" w:lastColumn="0" w:noHBand="0" w:noVBand="1"/>
      </w:tblPr>
      <w:tblGrid>
        <w:gridCol w:w="1299"/>
        <w:gridCol w:w="1014"/>
        <w:gridCol w:w="1884"/>
        <w:gridCol w:w="1326"/>
        <w:gridCol w:w="1031"/>
        <w:gridCol w:w="1403"/>
        <w:gridCol w:w="1403"/>
      </w:tblGrid>
      <w:tr w:rsidR="005F4F67" w:rsidRPr="005F4F67" w14:paraId="46B21AE1" w14:textId="77777777" w:rsidTr="005F4F67">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1AC9A" w14:textId="012D6F28" w:rsidR="005F4F67" w:rsidRPr="005F4F67" w:rsidRDefault="005F4F67" w:rsidP="005F4F67">
            <w:pPr>
              <w:jc w:val="left"/>
              <w:rPr>
                <w:b/>
                <w:bCs/>
                <w:sz w:val="20"/>
                <w:szCs w:val="20"/>
                <w:lang w:val="fr-CA" w:eastAsia="en-CA"/>
              </w:rPr>
            </w:pPr>
            <w:r w:rsidRPr="009A1012">
              <w:rPr>
                <w:b/>
                <w:bCs/>
                <w:sz w:val="20"/>
                <w:szCs w:val="20"/>
                <w:lang w:val="fr-CA" w:eastAsia="en-CA"/>
              </w:rPr>
              <w:t xml:space="preserve">Agence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23C78AD4" w14:textId="7E702014" w:rsidR="005F4F67" w:rsidRPr="005F4F67" w:rsidRDefault="005F4F67" w:rsidP="005F4F67">
            <w:pPr>
              <w:jc w:val="center"/>
              <w:rPr>
                <w:b/>
                <w:bCs/>
                <w:sz w:val="20"/>
                <w:szCs w:val="20"/>
                <w:lang w:val="fr-CA" w:eastAsia="en-CA"/>
              </w:rPr>
            </w:pPr>
            <w:r w:rsidRPr="009A1012">
              <w:rPr>
                <w:b/>
                <w:bCs/>
                <w:sz w:val="20"/>
                <w:szCs w:val="20"/>
                <w:lang w:val="fr-CA" w:eastAsia="en-CA"/>
              </w:rPr>
              <w:t>Nombre de projets</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3925BCA9" w14:textId="3E4646C5" w:rsidR="005F4F67" w:rsidRPr="005F4F67" w:rsidRDefault="005F4F67" w:rsidP="005F4F67">
            <w:pPr>
              <w:ind w:left="-112" w:right="-111"/>
              <w:jc w:val="center"/>
              <w:rPr>
                <w:b/>
                <w:bCs/>
                <w:sz w:val="20"/>
                <w:szCs w:val="20"/>
                <w:lang w:val="fr-CA" w:eastAsia="en-CA"/>
              </w:rPr>
            </w:pPr>
            <w:r w:rsidRPr="009A1012">
              <w:rPr>
                <w:b/>
                <w:bCs/>
                <w:sz w:val="20"/>
                <w:szCs w:val="20"/>
                <w:lang w:val="fr-CA" w:eastAsia="en-CA"/>
              </w:rPr>
              <w:t>Sommes approuvées plus les rajustements ($US)</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77C36A78" w14:textId="45BAB1D7" w:rsidR="005F4F67" w:rsidRPr="005F4F67" w:rsidRDefault="005F4F67" w:rsidP="005F4F67">
            <w:pPr>
              <w:jc w:val="center"/>
              <w:rPr>
                <w:b/>
                <w:bCs/>
                <w:sz w:val="20"/>
                <w:szCs w:val="20"/>
                <w:lang w:val="fr-CA" w:eastAsia="en-CA"/>
              </w:rPr>
            </w:pPr>
            <w:r w:rsidRPr="009A1012">
              <w:rPr>
                <w:b/>
                <w:bCs/>
                <w:sz w:val="20"/>
                <w:szCs w:val="20"/>
                <w:lang w:val="fr-CA" w:eastAsia="en-CA"/>
              </w:rPr>
              <w:t>Sommes décaissées ($US)</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ED87DF3" w14:textId="4D7AE58B" w:rsidR="005F4F67" w:rsidRPr="005F4F67" w:rsidRDefault="005F4F67" w:rsidP="005F4F67">
            <w:pPr>
              <w:jc w:val="center"/>
              <w:rPr>
                <w:b/>
                <w:bCs/>
                <w:sz w:val="20"/>
                <w:szCs w:val="20"/>
                <w:lang w:val="fr-CA" w:eastAsia="en-CA"/>
              </w:rPr>
            </w:pPr>
            <w:r w:rsidRPr="009A1012">
              <w:rPr>
                <w:b/>
                <w:bCs/>
                <w:sz w:val="20"/>
                <w:szCs w:val="20"/>
                <w:lang w:val="fr-CA" w:eastAsia="en-CA"/>
              </w:rPr>
              <w:t>Solde ($US)</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72648C98" w14:textId="633706B6" w:rsidR="005F4F67" w:rsidRPr="005F4F67" w:rsidRDefault="005F4F67" w:rsidP="005F4F67">
            <w:pPr>
              <w:jc w:val="center"/>
              <w:rPr>
                <w:b/>
                <w:bCs/>
                <w:sz w:val="20"/>
                <w:szCs w:val="20"/>
                <w:lang w:val="fr-CA" w:eastAsia="en-CA"/>
              </w:rPr>
            </w:pPr>
            <w:proofErr w:type="spellStart"/>
            <w:r w:rsidRPr="009A1012">
              <w:rPr>
                <w:b/>
                <w:bCs/>
                <w:sz w:val="20"/>
                <w:szCs w:val="20"/>
                <w:lang w:val="fr-CA" w:eastAsia="en-CA"/>
              </w:rPr>
              <w:t>Consomma</w:t>
            </w:r>
            <w:r>
              <w:rPr>
                <w:b/>
                <w:bCs/>
                <w:sz w:val="20"/>
                <w:szCs w:val="20"/>
                <w:lang w:val="fr-CA" w:eastAsia="en-CA"/>
              </w:rPr>
              <w:t>-</w:t>
            </w:r>
            <w:r w:rsidRPr="009A1012">
              <w:rPr>
                <w:b/>
                <w:bCs/>
                <w:sz w:val="20"/>
                <w:szCs w:val="20"/>
                <w:lang w:val="fr-CA" w:eastAsia="en-CA"/>
              </w:rPr>
              <w:t>tion</w:t>
            </w:r>
            <w:proofErr w:type="spellEnd"/>
            <w:r w:rsidRPr="009A1012">
              <w:rPr>
                <w:b/>
                <w:bCs/>
                <w:sz w:val="20"/>
                <w:szCs w:val="20"/>
                <w:lang w:val="fr-CA" w:eastAsia="en-CA"/>
              </w:rPr>
              <w:t xml:space="preserve"> PAO à éliminer</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1672A1B3" w14:textId="710B531E" w:rsidR="005F4F67" w:rsidRPr="005F4F67" w:rsidRDefault="005F4F67" w:rsidP="005F4F67">
            <w:pPr>
              <w:jc w:val="center"/>
              <w:rPr>
                <w:b/>
                <w:bCs/>
                <w:sz w:val="20"/>
                <w:szCs w:val="20"/>
                <w:lang w:val="fr-CA" w:eastAsia="en-CA"/>
              </w:rPr>
            </w:pPr>
            <w:proofErr w:type="spellStart"/>
            <w:r w:rsidRPr="009A1012">
              <w:rPr>
                <w:b/>
                <w:bCs/>
                <w:sz w:val="20"/>
                <w:szCs w:val="20"/>
                <w:lang w:val="fr-CA" w:eastAsia="en-CA"/>
              </w:rPr>
              <w:t>Consomma</w:t>
            </w:r>
            <w:r>
              <w:rPr>
                <w:b/>
                <w:bCs/>
                <w:sz w:val="20"/>
                <w:szCs w:val="20"/>
                <w:lang w:val="fr-CA" w:eastAsia="en-CA"/>
              </w:rPr>
              <w:t>-</w:t>
            </w:r>
            <w:r w:rsidRPr="009A1012">
              <w:rPr>
                <w:b/>
                <w:bCs/>
                <w:sz w:val="20"/>
                <w:szCs w:val="20"/>
                <w:lang w:val="fr-CA" w:eastAsia="en-CA"/>
              </w:rPr>
              <w:t>tion</w:t>
            </w:r>
            <w:proofErr w:type="spellEnd"/>
            <w:r w:rsidRPr="009A1012">
              <w:rPr>
                <w:b/>
                <w:bCs/>
                <w:sz w:val="20"/>
                <w:szCs w:val="20"/>
                <w:lang w:val="fr-CA" w:eastAsia="en-CA"/>
              </w:rPr>
              <w:t xml:space="preserve"> PAO éliminée</w:t>
            </w:r>
          </w:p>
        </w:tc>
      </w:tr>
      <w:tr w:rsidR="005F4F67" w:rsidRPr="005F4F67" w14:paraId="1F04E17A" w14:textId="77777777" w:rsidTr="005F4F67">
        <w:trPr>
          <w:trHeight w:val="58"/>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39BE1530" w14:textId="49A518A8" w:rsidR="005F4F67" w:rsidRPr="005F4F67" w:rsidRDefault="005F4F67" w:rsidP="005F4F67">
            <w:pPr>
              <w:jc w:val="left"/>
              <w:rPr>
                <w:sz w:val="20"/>
                <w:szCs w:val="20"/>
                <w:lang w:val="fr-CA" w:eastAsia="en-CA"/>
              </w:rPr>
            </w:pPr>
            <w:r>
              <w:rPr>
                <w:sz w:val="20"/>
                <w:szCs w:val="20"/>
                <w:lang w:val="fr-CA" w:eastAsia="en-CA"/>
              </w:rPr>
              <w:t>PNUD</w:t>
            </w:r>
          </w:p>
        </w:tc>
        <w:tc>
          <w:tcPr>
            <w:tcW w:w="1014" w:type="dxa"/>
            <w:tcBorders>
              <w:top w:val="nil"/>
              <w:left w:val="nil"/>
              <w:bottom w:val="single" w:sz="4" w:space="0" w:color="auto"/>
              <w:right w:val="single" w:sz="4" w:space="0" w:color="auto"/>
            </w:tcBorders>
            <w:shd w:val="clear" w:color="auto" w:fill="auto"/>
            <w:noWrap/>
            <w:hideMark/>
          </w:tcPr>
          <w:p w14:paraId="4C3F980C" w14:textId="77777777" w:rsidR="005F4F67" w:rsidRPr="005F4F67" w:rsidRDefault="005F4F67" w:rsidP="005F4F67">
            <w:pPr>
              <w:jc w:val="right"/>
              <w:rPr>
                <w:sz w:val="20"/>
                <w:szCs w:val="20"/>
                <w:lang w:val="fr-CA" w:eastAsia="en-CA"/>
              </w:rPr>
            </w:pPr>
            <w:r w:rsidRPr="005F4F67">
              <w:rPr>
                <w:sz w:val="20"/>
                <w:szCs w:val="20"/>
                <w:lang w:val="fr-CA" w:eastAsia="en-CA"/>
              </w:rPr>
              <w:t>81</w:t>
            </w:r>
          </w:p>
        </w:tc>
        <w:tc>
          <w:tcPr>
            <w:tcW w:w="1884" w:type="dxa"/>
            <w:tcBorders>
              <w:top w:val="nil"/>
              <w:left w:val="nil"/>
              <w:bottom w:val="single" w:sz="4" w:space="0" w:color="auto"/>
              <w:right w:val="single" w:sz="4" w:space="0" w:color="auto"/>
            </w:tcBorders>
            <w:shd w:val="clear" w:color="auto" w:fill="auto"/>
            <w:noWrap/>
            <w:hideMark/>
          </w:tcPr>
          <w:p w14:paraId="3EB8D462" w14:textId="393A917F" w:rsidR="005F4F67" w:rsidRPr="005F4F67" w:rsidRDefault="005F4F67" w:rsidP="005F4F67">
            <w:pPr>
              <w:jc w:val="right"/>
              <w:rPr>
                <w:sz w:val="20"/>
                <w:szCs w:val="20"/>
                <w:lang w:val="fr-CA" w:eastAsia="en-CA"/>
              </w:rPr>
            </w:pPr>
            <w:r w:rsidRPr="005F4F67">
              <w:rPr>
                <w:sz w:val="20"/>
                <w:szCs w:val="20"/>
                <w:lang w:val="fr-CA" w:eastAsia="en-CA"/>
              </w:rPr>
              <w:t>6</w:t>
            </w:r>
            <w:r>
              <w:rPr>
                <w:sz w:val="20"/>
                <w:szCs w:val="20"/>
                <w:lang w:val="fr-CA" w:eastAsia="en-CA"/>
              </w:rPr>
              <w:t xml:space="preserve"> </w:t>
            </w:r>
            <w:r w:rsidRPr="005F4F67">
              <w:rPr>
                <w:sz w:val="20"/>
                <w:szCs w:val="20"/>
                <w:lang w:val="fr-CA" w:eastAsia="en-CA"/>
              </w:rPr>
              <w:t>895</w:t>
            </w:r>
            <w:r>
              <w:rPr>
                <w:sz w:val="20"/>
                <w:szCs w:val="20"/>
                <w:lang w:val="fr-CA" w:eastAsia="en-CA"/>
              </w:rPr>
              <w:t xml:space="preserve"> </w:t>
            </w:r>
            <w:r w:rsidRPr="005F4F67">
              <w:rPr>
                <w:sz w:val="20"/>
                <w:szCs w:val="20"/>
                <w:lang w:val="fr-CA" w:eastAsia="en-CA"/>
              </w:rPr>
              <w:t>392</w:t>
            </w:r>
          </w:p>
        </w:tc>
        <w:tc>
          <w:tcPr>
            <w:tcW w:w="1326" w:type="dxa"/>
            <w:tcBorders>
              <w:top w:val="nil"/>
              <w:left w:val="nil"/>
              <w:bottom w:val="single" w:sz="4" w:space="0" w:color="auto"/>
              <w:right w:val="single" w:sz="4" w:space="0" w:color="auto"/>
            </w:tcBorders>
            <w:shd w:val="clear" w:color="auto" w:fill="auto"/>
            <w:noWrap/>
            <w:hideMark/>
          </w:tcPr>
          <w:p w14:paraId="53B88D24" w14:textId="6877BA26" w:rsidR="005F4F67" w:rsidRPr="005F4F67" w:rsidRDefault="005F4F67" w:rsidP="005F4F67">
            <w:pPr>
              <w:jc w:val="right"/>
              <w:rPr>
                <w:sz w:val="20"/>
                <w:szCs w:val="20"/>
                <w:lang w:val="fr-CA" w:eastAsia="en-CA"/>
              </w:rPr>
            </w:pPr>
            <w:r w:rsidRPr="005F4F67">
              <w:rPr>
                <w:sz w:val="20"/>
                <w:szCs w:val="20"/>
                <w:lang w:val="fr-CA" w:eastAsia="en-CA"/>
              </w:rPr>
              <w:t>6</w:t>
            </w:r>
            <w:r>
              <w:rPr>
                <w:sz w:val="20"/>
                <w:szCs w:val="20"/>
                <w:lang w:val="fr-CA" w:eastAsia="en-CA"/>
              </w:rPr>
              <w:t xml:space="preserve"> </w:t>
            </w:r>
            <w:r w:rsidRPr="005F4F67">
              <w:rPr>
                <w:sz w:val="20"/>
                <w:szCs w:val="20"/>
                <w:lang w:val="fr-CA" w:eastAsia="en-CA"/>
              </w:rPr>
              <w:t>895</w:t>
            </w:r>
            <w:r>
              <w:rPr>
                <w:sz w:val="20"/>
                <w:szCs w:val="20"/>
                <w:lang w:val="fr-CA" w:eastAsia="en-CA"/>
              </w:rPr>
              <w:t xml:space="preserve"> </w:t>
            </w:r>
            <w:r w:rsidRPr="005F4F67">
              <w:rPr>
                <w:sz w:val="20"/>
                <w:szCs w:val="20"/>
                <w:lang w:val="fr-CA" w:eastAsia="en-CA"/>
              </w:rPr>
              <w:t>392</w:t>
            </w:r>
          </w:p>
        </w:tc>
        <w:tc>
          <w:tcPr>
            <w:tcW w:w="1031" w:type="dxa"/>
            <w:tcBorders>
              <w:top w:val="nil"/>
              <w:left w:val="nil"/>
              <w:bottom w:val="single" w:sz="4" w:space="0" w:color="auto"/>
              <w:right w:val="single" w:sz="4" w:space="0" w:color="auto"/>
            </w:tcBorders>
            <w:shd w:val="clear" w:color="auto" w:fill="auto"/>
            <w:noWrap/>
            <w:hideMark/>
          </w:tcPr>
          <w:p w14:paraId="6A0B7A3D" w14:textId="77777777" w:rsidR="005F4F67" w:rsidRPr="005F4F67" w:rsidRDefault="005F4F67" w:rsidP="005F4F67">
            <w:pPr>
              <w:jc w:val="right"/>
              <w:rPr>
                <w:sz w:val="20"/>
                <w:szCs w:val="20"/>
                <w:lang w:val="fr-CA" w:eastAsia="en-CA"/>
              </w:rPr>
            </w:pPr>
            <w:r w:rsidRPr="005F4F67">
              <w:rPr>
                <w:sz w:val="20"/>
                <w:szCs w:val="20"/>
                <w:lang w:val="fr-CA" w:eastAsia="en-CA"/>
              </w:rPr>
              <w:t>0</w:t>
            </w:r>
          </w:p>
        </w:tc>
        <w:tc>
          <w:tcPr>
            <w:tcW w:w="1403" w:type="dxa"/>
            <w:tcBorders>
              <w:top w:val="nil"/>
              <w:left w:val="nil"/>
              <w:bottom w:val="single" w:sz="4" w:space="0" w:color="auto"/>
              <w:right w:val="single" w:sz="4" w:space="0" w:color="auto"/>
            </w:tcBorders>
            <w:shd w:val="clear" w:color="auto" w:fill="auto"/>
            <w:noWrap/>
            <w:hideMark/>
          </w:tcPr>
          <w:p w14:paraId="555D6008" w14:textId="77777777" w:rsidR="005F4F67" w:rsidRPr="005F4F67" w:rsidRDefault="005F4F67" w:rsidP="005F4F67">
            <w:pPr>
              <w:jc w:val="right"/>
              <w:rPr>
                <w:sz w:val="20"/>
                <w:szCs w:val="20"/>
                <w:lang w:val="fr-CA" w:eastAsia="en-CA"/>
              </w:rPr>
            </w:pPr>
            <w:r w:rsidRPr="005F4F67">
              <w:rPr>
                <w:sz w:val="20"/>
                <w:szCs w:val="20"/>
                <w:lang w:val="fr-CA" w:eastAsia="en-CA"/>
              </w:rPr>
              <w:t>673</w:t>
            </w:r>
          </w:p>
        </w:tc>
        <w:tc>
          <w:tcPr>
            <w:tcW w:w="1403" w:type="dxa"/>
            <w:tcBorders>
              <w:top w:val="nil"/>
              <w:left w:val="nil"/>
              <w:bottom w:val="single" w:sz="4" w:space="0" w:color="auto"/>
              <w:right w:val="single" w:sz="4" w:space="0" w:color="auto"/>
            </w:tcBorders>
            <w:shd w:val="clear" w:color="auto" w:fill="auto"/>
            <w:noWrap/>
            <w:hideMark/>
          </w:tcPr>
          <w:p w14:paraId="7A3A05FE" w14:textId="77777777" w:rsidR="005F4F67" w:rsidRPr="005F4F67" w:rsidRDefault="005F4F67" w:rsidP="005F4F67">
            <w:pPr>
              <w:jc w:val="right"/>
              <w:rPr>
                <w:sz w:val="20"/>
                <w:szCs w:val="20"/>
                <w:lang w:val="fr-CA" w:eastAsia="en-CA"/>
              </w:rPr>
            </w:pPr>
            <w:r w:rsidRPr="005F4F67">
              <w:rPr>
                <w:sz w:val="20"/>
                <w:szCs w:val="20"/>
                <w:lang w:val="fr-CA" w:eastAsia="en-CA"/>
              </w:rPr>
              <w:t>636</w:t>
            </w:r>
          </w:p>
        </w:tc>
      </w:tr>
      <w:tr w:rsidR="005F4F67" w:rsidRPr="005F4F67" w14:paraId="02DAEED2" w14:textId="77777777" w:rsidTr="005F4F67">
        <w:trPr>
          <w:trHeight w:val="70"/>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194AD712" w14:textId="3BE96F49" w:rsidR="005F4F67" w:rsidRPr="005F4F67" w:rsidRDefault="005F4F67" w:rsidP="005F4F67">
            <w:pPr>
              <w:jc w:val="left"/>
              <w:rPr>
                <w:sz w:val="20"/>
                <w:szCs w:val="20"/>
                <w:lang w:val="fr-CA" w:eastAsia="en-CA"/>
              </w:rPr>
            </w:pPr>
            <w:r>
              <w:rPr>
                <w:sz w:val="20"/>
                <w:szCs w:val="20"/>
                <w:lang w:val="fr-CA" w:eastAsia="en-CA"/>
              </w:rPr>
              <w:t>PNUE</w:t>
            </w:r>
          </w:p>
        </w:tc>
        <w:tc>
          <w:tcPr>
            <w:tcW w:w="1014" w:type="dxa"/>
            <w:tcBorders>
              <w:top w:val="nil"/>
              <w:left w:val="nil"/>
              <w:bottom w:val="single" w:sz="4" w:space="0" w:color="auto"/>
              <w:right w:val="single" w:sz="4" w:space="0" w:color="auto"/>
            </w:tcBorders>
            <w:shd w:val="clear" w:color="auto" w:fill="auto"/>
            <w:noWrap/>
            <w:hideMark/>
          </w:tcPr>
          <w:p w14:paraId="67298788" w14:textId="77777777" w:rsidR="005F4F67" w:rsidRPr="005F4F67" w:rsidRDefault="005F4F67" w:rsidP="005F4F67">
            <w:pPr>
              <w:jc w:val="right"/>
              <w:rPr>
                <w:sz w:val="20"/>
                <w:szCs w:val="20"/>
                <w:lang w:val="fr-CA" w:eastAsia="en-CA"/>
              </w:rPr>
            </w:pPr>
            <w:r w:rsidRPr="005F4F67">
              <w:rPr>
                <w:sz w:val="20"/>
                <w:szCs w:val="20"/>
                <w:lang w:val="fr-CA" w:eastAsia="en-CA"/>
              </w:rPr>
              <w:t>14</w:t>
            </w:r>
          </w:p>
        </w:tc>
        <w:tc>
          <w:tcPr>
            <w:tcW w:w="1884" w:type="dxa"/>
            <w:tcBorders>
              <w:top w:val="nil"/>
              <w:left w:val="nil"/>
              <w:bottom w:val="single" w:sz="4" w:space="0" w:color="auto"/>
              <w:right w:val="single" w:sz="4" w:space="0" w:color="auto"/>
            </w:tcBorders>
            <w:shd w:val="clear" w:color="auto" w:fill="auto"/>
            <w:noWrap/>
            <w:hideMark/>
          </w:tcPr>
          <w:p w14:paraId="3F415CE0" w14:textId="6607445F" w:rsidR="005F4F67" w:rsidRPr="005F4F67" w:rsidRDefault="005F4F67" w:rsidP="005F4F67">
            <w:pPr>
              <w:jc w:val="right"/>
              <w:rPr>
                <w:sz w:val="20"/>
                <w:szCs w:val="20"/>
                <w:lang w:val="fr-CA" w:eastAsia="en-CA"/>
              </w:rPr>
            </w:pPr>
            <w:r w:rsidRPr="005F4F67">
              <w:rPr>
                <w:sz w:val="20"/>
                <w:szCs w:val="20"/>
                <w:lang w:val="fr-CA" w:eastAsia="en-CA"/>
              </w:rPr>
              <w:t>21</w:t>
            </w:r>
            <w:r>
              <w:rPr>
                <w:sz w:val="20"/>
                <w:szCs w:val="20"/>
                <w:lang w:val="fr-CA" w:eastAsia="en-CA"/>
              </w:rPr>
              <w:t xml:space="preserve"> </w:t>
            </w:r>
            <w:r w:rsidRPr="005F4F67">
              <w:rPr>
                <w:sz w:val="20"/>
                <w:szCs w:val="20"/>
                <w:lang w:val="fr-CA" w:eastAsia="en-CA"/>
              </w:rPr>
              <w:t>000</w:t>
            </w:r>
          </w:p>
        </w:tc>
        <w:tc>
          <w:tcPr>
            <w:tcW w:w="1326" w:type="dxa"/>
            <w:tcBorders>
              <w:top w:val="nil"/>
              <w:left w:val="nil"/>
              <w:bottom w:val="single" w:sz="4" w:space="0" w:color="auto"/>
              <w:right w:val="single" w:sz="4" w:space="0" w:color="auto"/>
            </w:tcBorders>
            <w:shd w:val="clear" w:color="auto" w:fill="auto"/>
            <w:noWrap/>
            <w:hideMark/>
          </w:tcPr>
          <w:p w14:paraId="4994C980" w14:textId="33679375" w:rsidR="005F4F67" w:rsidRPr="005F4F67" w:rsidRDefault="005F4F67" w:rsidP="005F4F67">
            <w:pPr>
              <w:jc w:val="right"/>
              <w:rPr>
                <w:sz w:val="20"/>
                <w:szCs w:val="20"/>
                <w:lang w:val="fr-CA" w:eastAsia="en-CA"/>
              </w:rPr>
            </w:pPr>
            <w:r w:rsidRPr="005F4F67">
              <w:rPr>
                <w:sz w:val="20"/>
                <w:szCs w:val="20"/>
                <w:lang w:val="fr-CA" w:eastAsia="en-CA"/>
              </w:rPr>
              <w:t>21</w:t>
            </w:r>
            <w:r>
              <w:rPr>
                <w:sz w:val="20"/>
                <w:szCs w:val="20"/>
                <w:lang w:val="fr-CA" w:eastAsia="en-CA"/>
              </w:rPr>
              <w:t xml:space="preserve"> </w:t>
            </w:r>
            <w:r w:rsidRPr="005F4F67">
              <w:rPr>
                <w:sz w:val="20"/>
                <w:szCs w:val="20"/>
                <w:lang w:val="fr-CA" w:eastAsia="en-CA"/>
              </w:rPr>
              <w:t>000</w:t>
            </w:r>
          </w:p>
        </w:tc>
        <w:tc>
          <w:tcPr>
            <w:tcW w:w="1031" w:type="dxa"/>
            <w:tcBorders>
              <w:top w:val="nil"/>
              <w:left w:val="nil"/>
              <w:bottom w:val="single" w:sz="4" w:space="0" w:color="auto"/>
              <w:right w:val="single" w:sz="4" w:space="0" w:color="auto"/>
            </w:tcBorders>
            <w:shd w:val="clear" w:color="auto" w:fill="auto"/>
            <w:noWrap/>
            <w:hideMark/>
          </w:tcPr>
          <w:p w14:paraId="6C032251" w14:textId="77777777" w:rsidR="005F4F67" w:rsidRPr="005F4F67" w:rsidRDefault="005F4F67" w:rsidP="005F4F67">
            <w:pPr>
              <w:jc w:val="right"/>
              <w:rPr>
                <w:sz w:val="20"/>
                <w:szCs w:val="20"/>
                <w:lang w:val="fr-CA" w:eastAsia="en-CA"/>
              </w:rPr>
            </w:pPr>
            <w:r w:rsidRPr="005F4F67">
              <w:rPr>
                <w:sz w:val="20"/>
                <w:szCs w:val="20"/>
                <w:lang w:val="fr-CA" w:eastAsia="en-CA"/>
              </w:rPr>
              <w:t>0</w:t>
            </w:r>
          </w:p>
        </w:tc>
        <w:tc>
          <w:tcPr>
            <w:tcW w:w="1403" w:type="dxa"/>
            <w:tcBorders>
              <w:top w:val="nil"/>
              <w:left w:val="nil"/>
              <w:bottom w:val="single" w:sz="4" w:space="0" w:color="auto"/>
              <w:right w:val="single" w:sz="4" w:space="0" w:color="auto"/>
            </w:tcBorders>
            <w:shd w:val="clear" w:color="auto" w:fill="auto"/>
            <w:noWrap/>
            <w:hideMark/>
          </w:tcPr>
          <w:p w14:paraId="4F487011" w14:textId="77777777" w:rsidR="005F4F67" w:rsidRPr="005F4F67" w:rsidRDefault="005F4F67" w:rsidP="005F4F67">
            <w:pPr>
              <w:jc w:val="right"/>
              <w:rPr>
                <w:sz w:val="20"/>
                <w:szCs w:val="20"/>
                <w:lang w:val="fr-CA" w:eastAsia="en-CA"/>
              </w:rPr>
            </w:pPr>
            <w:r w:rsidRPr="005F4F67">
              <w:rPr>
                <w:sz w:val="20"/>
                <w:szCs w:val="20"/>
                <w:lang w:val="fr-CA" w:eastAsia="en-CA"/>
              </w:rPr>
              <w:t>12</w:t>
            </w:r>
          </w:p>
        </w:tc>
        <w:tc>
          <w:tcPr>
            <w:tcW w:w="1403" w:type="dxa"/>
            <w:tcBorders>
              <w:top w:val="nil"/>
              <w:left w:val="nil"/>
              <w:bottom w:val="single" w:sz="4" w:space="0" w:color="auto"/>
              <w:right w:val="single" w:sz="4" w:space="0" w:color="auto"/>
            </w:tcBorders>
            <w:shd w:val="clear" w:color="auto" w:fill="auto"/>
            <w:noWrap/>
            <w:hideMark/>
          </w:tcPr>
          <w:p w14:paraId="290012B8" w14:textId="77777777" w:rsidR="005F4F67" w:rsidRPr="005F4F67" w:rsidRDefault="005F4F67" w:rsidP="005F4F67">
            <w:pPr>
              <w:jc w:val="right"/>
              <w:rPr>
                <w:sz w:val="20"/>
                <w:szCs w:val="20"/>
                <w:lang w:val="fr-CA" w:eastAsia="en-CA"/>
              </w:rPr>
            </w:pPr>
            <w:r w:rsidRPr="005F4F67">
              <w:rPr>
                <w:sz w:val="20"/>
                <w:szCs w:val="20"/>
                <w:lang w:val="fr-CA" w:eastAsia="en-CA"/>
              </w:rPr>
              <w:t>12</w:t>
            </w:r>
          </w:p>
        </w:tc>
      </w:tr>
      <w:tr w:rsidR="005F4F67" w:rsidRPr="005F4F67" w14:paraId="2C13EE61" w14:textId="77777777" w:rsidTr="005F4F67">
        <w:trPr>
          <w:trHeight w:val="117"/>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240896D4" w14:textId="2C3E2C5F" w:rsidR="005F4F67" w:rsidRPr="005F4F67" w:rsidRDefault="005F4F67" w:rsidP="005F4F67">
            <w:pPr>
              <w:jc w:val="left"/>
              <w:rPr>
                <w:sz w:val="20"/>
                <w:szCs w:val="20"/>
                <w:lang w:val="fr-CA" w:eastAsia="en-CA"/>
              </w:rPr>
            </w:pPr>
            <w:r>
              <w:rPr>
                <w:sz w:val="20"/>
                <w:szCs w:val="20"/>
                <w:lang w:val="fr-CA" w:eastAsia="en-CA"/>
              </w:rPr>
              <w:t>ONUDI</w:t>
            </w:r>
          </w:p>
        </w:tc>
        <w:tc>
          <w:tcPr>
            <w:tcW w:w="1014" w:type="dxa"/>
            <w:tcBorders>
              <w:top w:val="nil"/>
              <w:left w:val="nil"/>
              <w:bottom w:val="single" w:sz="4" w:space="0" w:color="auto"/>
              <w:right w:val="single" w:sz="4" w:space="0" w:color="auto"/>
            </w:tcBorders>
            <w:shd w:val="clear" w:color="auto" w:fill="auto"/>
            <w:noWrap/>
            <w:hideMark/>
          </w:tcPr>
          <w:p w14:paraId="788F00C1" w14:textId="77777777" w:rsidR="005F4F67" w:rsidRPr="005F4F67" w:rsidRDefault="005F4F67" w:rsidP="005F4F67">
            <w:pPr>
              <w:jc w:val="right"/>
              <w:rPr>
                <w:sz w:val="20"/>
                <w:szCs w:val="20"/>
                <w:lang w:val="fr-CA" w:eastAsia="en-CA"/>
              </w:rPr>
            </w:pPr>
            <w:r w:rsidRPr="005F4F67">
              <w:rPr>
                <w:sz w:val="20"/>
                <w:szCs w:val="20"/>
                <w:lang w:val="fr-CA" w:eastAsia="en-CA"/>
              </w:rPr>
              <w:t>67</w:t>
            </w:r>
          </w:p>
        </w:tc>
        <w:tc>
          <w:tcPr>
            <w:tcW w:w="1884" w:type="dxa"/>
            <w:tcBorders>
              <w:top w:val="nil"/>
              <w:left w:val="nil"/>
              <w:bottom w:val="single" w:sz="4" w:space="0" w:color="auto"/>
              <w:right w:val="single" w:sz="4" w:space="0" w:color="auto"/>
            </w:tcBorders>
            <w:shd w:val="clear" w:color="auto" w:fill="auto"/>
            <w:noWrap/>
            <w:hideMark/>
          </w:tcPr>
          <w:p w14:paraId="211CF6BC" w14:textId="4B207B68" w:rsidR="005F4F67" w:rsidRPr="005F4F67" w:rsidRDefault="005F4F67" w:rsidP="005F4F67">
            <w:pPr>
              <w:jc w:val="right"/>
              <w:rPr>
                <w:sz w:val="20"/>
                <w:szCs w:val="20"/>
                <w:lang w:val="fr-CA" w:eastAsia="en-CA"/>
              </w:rPr>
            </w:pPr>
            <w:r w:rsidRPr="005F4F67">
              <w:rPr>
                <w:sz w:val="20"/>
                <w:szCs w:val="20"/>
                <w:lang w:val="fr-CA" w:eastAsia="en-CA"/>
              </w:rPr>
              <w:t>6</w:t>
            </w:r>
            <w:r>
              <w:rPr>
                <w:sz w:val="20"/>
                <w:szCs w:val="20"/>
                <w:lang w:val="fr-CA" w:eastAsia="en-CA"/>
              </w:rPr>
              <w:t xml:space="preserve"> </w:t>
            </w:r>
            <w:r w:rsidRPr="005F4F67">
              <w:rPr>
                <w:sz w:val="20"/>
                <w:szCs w:val="20"/>
                <w:lang w:val="fr-CA" w:eastAsia="en-CA"/>
              </w:rPr>
              <w:t>347</w:t>
            </w:r>
            <w:r>
              <w:rPr>
                <w:sz w:val="20"/>
                <w:szCs w:val="20"/>
                <w:lang w:val="fr-CA" w:eastAsia="en-CA"/>
              </w:rPr>
              <w:t xml:space="preserve"> </w:t>
            </w:r>
            <w:r w:rsidRPr="005F4F67">
              <w:rPr>
                <w:sz w:val="20"/>
                <w:szCs w:val="20"/>
                <w:lang w:val="fr-CA" w:eastAsia="en-CA"/>
              </w:rPr>
              <w:t>808</w:t>
            </w:r>
          </w:p>
        </w:tc>
        <w:tc>
          <w:tcPr>
            <w:tcW w:w="1326" w:type="dxa"/>
            <w:tcBorders>
              <w:top w:val="nil"/>
              <w:left w:val="nil"/>
              <w:bottom w:val="single" w:sz="4" w:space="0" w:color="auto"/>
              <w:right w:val="single" w:sz="4" w:space="0" w:color="auto"/>
            </w:tcBorders>
            <w:shd w:val="clear" w:color="auto" w:fill="auto"/>
            <w:noWrap/>
            <w:hideMark/>
          </w:tcPr>
          <w:p w14:paraId="6F323F45" w14:textId="68297546" w:rsidR="005F4F67" w:rsidRPr="005F4F67" w:rsidRDefault="005F4F67" w:rsidP="005F4F67">
            <w:pPr>
              <w:jc w:val="right"/>
              <w:rPr>
                <w:sz w:val="20"/>
                <w:szCs w:val="20"/>
                <w:lang w:val="fr-CA" w:eastAsia="en-CA"/>
              </w:rPr>
            </w:pPr>
            <w:r w:rsidRPr="005F4F67">
              <w:rPr>
                <w:sz w:val="20"/>
                <w:szCs w:val="20"/>
                <w:lang w:val="fr-CA" w:eastAsia="en-CA"/>
              </w:rPr>
              <w:t>6</w:t>
            </w:r>
            <w:r>
              <w:rPr>
                <w:sz w:val="20"/>
                <w:szCs w:val="20"/>
                <w:lang w:val="fr-CA" w:eastAsia="en-CA"/>
              </w:rPr>
              <w:t xml:space="preserve"> </w:t>
            </w:r>
            <w:r w:rsidRPr="005F4F67">
              <w:rPr>
                <w:sz w:val="20"/>
                <w:szCs w:val="20"/>
                <w:lang w:val="fr-CA" w:eastAsia="en-CA"/>
              </w:rPr>
              <w:t>347</w:t>
            </w:r>
            <w:r>
              <w:rPr>
                <w:sz w:val="20"/>
                <w:szCs w:val="20"/>
                <w:lang w:val="fr-CA" w:eastAsia="en-CA"/>
              </w:rPr>
              <w:t xml:space="preserve"> </w:t>
            </w:r>
            <w:r w:rsidRPr="005F4F67">
              <w:rPr>
                <w:sz w:val="20"/>
                <w:szCs w:val="20"/>
                <w:lang w:val="fr-CA" w:eastAsia="en-CA"/>
              </w:rPr>
              <w:t>806</w:t>
            </w:r>
          </w:p>
        </w:tc>
        <w:tc>
          <w:tcPr>
            <w:tcW w:w="1031" w:type="dxa"/>
            <w:tcBorders>
              <w:top w:val="nil"/>
              <w:left w:val="nil"/>
              <w:bottom w:val="single" w:sz="4" w:space="0" w:color="auto"/>
              <w:right w:val="single" w:sz="4" w:space="0" w:color="auto"/>
            </w:tcBorders>
            <w:shd w:val="clear" w:color="auto" w:fill="auto"/>
            <w:noWrap/>
            <w:hideMark/>
          </w:tcPr>
          <w:p w14:paraId="75B22403" w14:textId="77777777" w:rsidR="005F4F67" w:rsidRPr="005F4F67" w:rsidRDefault="005F4F67" w:rsidP="005F4F67">
            <w:pPr>
              <w:jc w:val="right"/>
              <w:rPr>
                <w:sz w:val="20"/>
                <w:szCs w:val="20"/>
                <w:lang w:val="fr-CA" w:eastAsia="en-CA"/>
              </w:rPr>
            </w:pPr>
            <w:r w:rsidRPr="005F4F67">
              <w:rPr>
                <w:sz w:val="20"/>
                <w:szCs w:val="20"/>
                <w:lang w:val="fr-CA" w:eastAsia="en-CA"/>
              </w:rPr>
              <w:t>1</w:t>
            </w:r>
          </w:p>
        </w:tc>
        <w:tc>
          <w:tcPr>
            <w:tcW w:w="1403" w:type="dxa"/>
            <w:tcBorders>
              <w:top w:val="nil"/>
              <w:left w:val="nil"/>
              <w:bottom w:val="single" w:sz="4" w:space="0" w:color="auto"/>
              <w:right w:val="single" w:sz="4" w:space="0" w:color="auto"/>
            </w:tcBorders>
            <w:shd w:val="clear" w:color="auto" w:fill="auto"/>
            <w:noWrap/>
            <w:hideMark/>
          </w:tcPr>
          <w:p w14:paraId="4E1C814C" w14:textId="1E48FD1A" w:rsidR="005F4F67" w:rsidRPr="005F4F67" w:rsidRDefault="005F4F67" w:rsidP="005F4F67">
            <w:pPr>
              <w:jc w:val="right"/>
              <w:rPr>
                <w:sz w:val="20"/>
                <w:szCs w:val="20"/>
                <w:lang w:val="fr-CA" w:eastAsia="en-CA"/>
              </w:rPr>
            </w:pPr>
            <w:r w:rsidRPr="005F4F67">
              <w:rPr>
                <w:sz w:val="20"/>
                <w:szCs w:val="20"/>
                <w:lang w:val="fr-CA" w:eastAsia="en-CA"/>
              </w:rPr>
              <w:t>1</w:t>
            </w:r>
            <w:r>
              <w:rPr>
                <w:sz w:val="20"/>
                <w:szCs w:val="20"/>
                <w:lang w:val="fr-CA" w:eastAsia="en-CA"/>
              </w:rPr>
              <w:t xml:space="preserve"> </w:t>
            </w:r>
            <w:r w:rsidRPr="005F4F67">
              <w:rPr>
                <w:sz w:val="20"/>
                <w:szCs w:val="20"/>
                <w:lang w:val="fr-CA" w:eastAsia="en-CA"/>
              </w:rPr>
              <w:t>808</w:t>
            </w:r>
          </w:p>
        </w:tc>
        <w:tc>
          <w:tcPr>
            <w:tcW w:w="1403" w:type="dxa"/>
            <w:tcBorders>
              <w:top w:val="nil"/>
              <w:left w:val="nil"/>
              <w:bottom w:val="single" w:sz="4" w:space="0" w:color="auto"/>
              <w:right w:val="single" w:sz="4" w:space="0" w:color="auto"/>
            </w:tcBorders>
            <w:shd w:val="clear" w:color="auto" w:fill="auto"/>
            <w:noWrap/>
            <w:hideMark/>
          </w:tcPr>
          <w:p w14:paraId="36992457" w14:textId="77777777" w:rsidR="005F4F67" w:rsidRPr="005F4F67" w:rsidRDefault="005F4F67" w:rsidP="005F4F67">
            <w:pPr>
              <w:jc w:val="right"/>
              <w:rPr>
                <w:sz w:val="20"/>
                <w:szCs w:val="20"/>
                <w:lang w:val="fr-CA" w:eastAsia="en-CA"/>
              </w:rPr>
            </w:pPr>
            <w:r w:rsidRPr="005F4F67">
              <w:rPr>
                <w:sz w:val="20"/>
                <w:szCs w:val="20"/>
                <w:lang w:val="fr-CA" w:eastAsia="en-CA"/>
              </w:rPr>
              <w:t>367</w:t>
            </w:r>
          </w:p>
        </w:tc>
      </w:tr>
      <w:tr w:rsidR="005F4F67" w:rsidRPr="005F4F67" w14:paraId="501AF5A8" w14:textId="77777777" w:rsidTr="005F4F67">
        <w:trPr>
          <w:trHeight w:val="58"/>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13ACD1BD" w14:textId="6FB8A16B" w:rsidR="005F4F67" w:rsidRPr="005F4F67" w:rsidRDefault="005F4F67" w:rsidP="005F4F67">
            <w:pPr>
              <w:jc w:val="left"/>
              <w:rPr>
                <w:sz w:val="20"/>
                <w:szCs w:val="20"/>
                <w:lang w:val="fr-CA" w:eastAsia="en-CA"/>
              </w:rPr>
            </w:pPr>
            <w:r>
              <w:rPr>
                <w:sz w:val="20"/>
                <w:szCs w:val="20"/>
                <w:lang w:val="fr-CA" w:eastAsia="en-CA"/>
              </w:rPr>
              <w:t>Banque mondiale</w:t>
            </w:r>
          </w:p>
        </w:tc>
        <w:tc>
          <w:tcPr>
            <w:tcW w:w="1014" w:type="dxa"/>
            <w:tcBorders>
              <w:top w:val="nil"/>
              <w:left w:val="nil"/>
              <w:bottom w:val="single" w:sz="4" w:space="0" w:color="auto"/>
              <w:right w:val="single" w:sz="4" w:space="0" w:color="auto"/>
            </w:tcBorders>
            <w:shd w:val="clear" w:color="auto" w:fill="auto"/>
            <w:noWrap/>
            <w:hideMark/>
          </w:tcPr>
          <w:p w14:paraId="67F6F29C" w14:textId="77777777" w:rsidR="005F4F67" w:rsidRPr="005F4F67" w:rsidRDefault="005F4F67" w:rsidP="005F4F67">
            <w:pPr>
              <w:jc w:val="right"/>
              <w:rPr>
                <w:sz w:val="20"/>
                <w:szCs w:val="20"/>
                <w:lang w:val="fr-CA" w:eastAsia="en-CA"/>
              </w:rPr>
            </w:pPr>
            <w:r w:rsidRPr="005F4F67">
              <w:rPr>
                <w:sz w:val="20"/>
                <w:szCs w:val="20"/>
                <w:lang w:val="fr-CA" w:eastAsia="en-CA"/>
              </w:rPr>
              <w:t>95</w:t>
            </w:r>
          </w:p>
        </w:tc>
        <w:tc>
          <w:tcPr>
            <w:tcW w:w="1884" w:type="dxa"/>
            <w:tcBorders>
              <w:top w:val="nil"/>
              <w:left w:val="nil"/>
              <w:bottom w:val="single" w:sz="4" w:space="0" w:color="auto"/>
              <w:right w:val="single" w:sz="4" w:space="0" w:color="auto"/>
            </w:tcBorders>
            <w:shd w:val="clear" w:color="auto" w:fill="auto"/>
            <w:noWrap/>
            <w:hideMark/>
          </w:tcPr>
          <w:p w14:paraId="07C6384C" w14:textId="78FE68D2" w:rsidR="005F4F67" w:rsidRPr="005F4F67" w:rsidRDefault="005F4F67" w:rsidP="005F4F67">
            <w:pPr>
              <w:jc w:val="right"/>
              <w:rPr>
                <w:sz w:val="20"/>
                <w:szCs w:val="20"/>
                <w:lang w:val="fr-CA" w:eastAsia="en-CA"/>
              </w:rPr>
            </w:pPr>
            <w:r w:rsidRPr="005F4F67">
              <w:rPr>
                <w:sz w:val="20"/>
                <w:szCs w:val="20"/>
                <w:lang w:val="fr-CA" w:eastAsia="en-CA"/>
              </w:rPr>
              <w:t>1</w:t>
            </w:r>
            <w:r>
              <w:rPr>
                <w:sz w:val="20"/>
                <w:szCs w:val="20"/>
                <w:lang w:val="fr-CA" w:eastAsia="en-CA"/>
              </w:rPr>
              <w:t xml:space="preserve"> </w:t>
            </w:r>
            <w:r w:rsidRPr="005F4F67">
              <w:rPr>
                <w:sz w:val="20"/>
                <w:szCs w:val="20"/>
                <w:lang w:val="fr-CA" w:eastAsia="en-CA"/>
              </w:rPr>
              <w:t>373</w:t>
            </w:r>
            <w:r>
              <w:rPr>
                <w:sz w:val="20"/>
                <w:szCs w:val="20"/>
                <w:lang w:val="fr-CA" w:eastAsia="en-CA"/>
              </w:rPr>
              <w:t xml:space="preserve"> </w:t>
            </w:r>
            <w:r w:rsidRPr="005F4F67">
              <w:rPr>
                <w:sz w:val="20"/>
                <w:szCs w:val="20"/>
                <w:lang w:val="fr-CA" w:eastAsia="en-CA"/>
              </w:rPr>
              <w:t>519</w:t>
            </w:r>
          </w:p>
        </w:tc>
        <w:tc>
          <w:tcPr>
            <w:tcW w:w="1326" w:type="dxa"/>
            <w:tcBorders>
              <w:top w:val="nil"/>
              <w:left w:val="nil"/>
              <w:bottom w:val="single" w:sz="4" w:space="0" w:color="auto"/>
              <w:right w:val="single" w:sz="4" w:space="0" w:color="auto"/>
            </w:tcBorders>
            <w:shd w:val="clear" w:color="auto" w:fill="auto"/>
            <w:noWrap/>
            <w:hideMark/>
          </w:tcPr>
          <w:p w14:paraId="5A6A651E" w14:textId="58D34FCE" w:rsidR="005F4F67" w:rsidRPr="005F4F67" w:rsidRDefault="005F4F67" w:rsidP="005F4F67">
            <w:pPr>
              <w:jc w:val="right"/>
              <w:rPr>
                <w:sz w:val="20"/>
                <w:szCs w:val="20"/>
                <w:lang w:val="fr-CA" w:eastAsia="en-CA"/>
              </w:rPr>
            </w:pPr>
            <w:r w:rsidRPr="005F4F67">
              <w:rPr>
                <w:sz w:val="20"/>
                <w:szCs w:val="20"/>
                <w:lang w:val="fr-CA" w:eastAsia="en-CA"/>
              </w:rPr>
              <w:t>1</w:t>
            </w:r>
            <w:r>
              <w:rPr>
                <w:sz w:val="20"/>
                <w:szCs w:val="20"/>
                <w:lang w:val="fr-CA" w:eastAsia="en-CA"/>
              </w:rPr>
              <w:t xml:space="preserve"> </w:t>
            </w:r>
            <w:r w:rsidRPr="005F4F67">
              <w:rPr>
                <w:sz w:val="20"/>
                <w:szCs w:val="20"/>
                <w:lang w:val="fr-CA" w:eastAsia="en-CA"/>
              </w:rPr>
              <w:t>373</w:t>
            </w:r>
            <w:r>
              <w:rPr>
                <w:sz w:val="20"/>
                <w:szCs w:val="20"/>
                <w:lang w:val="fr-CA" w:eastAsia="en-CA"/>
              </w:rPr>
              <w:t xml:space="preserve"> </w:t>
            </w:r>
            <w:r w:rsidRPr="005F4F67">
              <w:rPr>
                <w:sz w:val="20"/>
                <w:szCs w:val="20"/>
                <w:lang w:val="fr-CA" w:eastAsia="en-CA"/>
              </w:rPr>
              <w:t>519</w:t>
            </w:r>
          </w:p>
        </w:tc>
        <w:tc>
          <w:tcPr>
            <w:tcW w:w="1031" w:type="dxa"/>
            <w:tcBorders>
              <w:top w:val="nil"/>
              <w:left w:val="nil"/>
              <w:bottom w:val="single" w:sz="4" w:space="0" w:color="auto"/>
              <w:right w:val="single" w:sz="4" w:space="0" w:color="auto"/>
            </w:tcBorders>
            <w:shd w:val="clear" w:color="auto" w:fill="auto"/>
            <w:noWrap/>
            <w:hideMark/>
          </w:tcPr>
          <w:p w14:paraId="3EB621DD" w14:textId="77777777" w:rsidR="005F4F67" w:rsidRPr="005F4F67" w:rsidRDefault="005F4F67" w:rsidP="005F4F67">
            <w:pPr>
              <w:jc w:val="right"/>
              <w:rPr>
                <w:sz w:val="20"/>
                <w:szCs w:val="20"/>
                <w:lang w:val="fr-CA" w:eastAsia="en-CA"/>
              </w:rPr>
            </w:pPr>
            <w:r w:rsidRPr="005F4F67">
              <w:rPr>
                <w:sz w:val="20"/>
                <w:szCs w:val="20"/>
                <w:lang w:val="fr-CA" w:eastAsia="en-CA"/>
              </w:rPr>
              <w:t>0</w:t>
            </w:r>
          </w:p>
        </w:tc>
        <w:tc>
          <w:tcPr>
            <w:tcW w:w="1403" w:type="dxa"/>
            <w:tcBorders>
              <w:top w:val="nil"/>
              <w:left w:val="nil"/>
              <w:bottom w:val="single" w:sz="4" w:space="0" w:color="auto"/>
              <w:right w:val="single" w:sz="4" w:space="0" w:color="auto"/>
            </w:tcBorders>
            <w:shd w:val="clear" w:color="auto" w:fill="auto"/>
            <w:noWrap/>
            <w:hideMark/>
          </w:tcPr>
          <w:p w14:paraId="6C3DFFB0" w14:textId="77777777" w:rsidR="005F4F67" w:rsidRPr="005F4F67" w:rsidRDefault="005F4F67" w:rsidP="005F4F67">
            <w:pPr>
              <w:jc w:val="right"/>
              <w:rPr>
                <w:sz w:val="20"/>
                <w:szCs w:val="20"/>
                <w:lang w:val="fr-CA" w:eastAsia="en-CA"/>
              </w:rPr>
            </w:pPr>
            <w:r w:rsidRPr="005F4F67">
              <w:rPr>
                <w:sz w:val="20"/>
                <w:szCs w:val="20"/>
                <w:lang w:val="fr-CA" w:eastAsia="en-CA"/>
              </w:rPr>
              <w:t>657</w:t>
            </w:r>
          </w:p>
        </w:tc>
        <w:tc>
          <w:tcPr>
            <w:tcW w:w="1403" w:type="dxa"/>
            <w:tcBorders>
              <w:top w:val="nil"/>
              <w:left w:val="nil"/>
              <w:bottom w:val="single" w:sz="4" w:space="0" w:color="auto"/>
              <w:right w:val="single" w:sz="4" w:space="0" w:color="auto"/>
            </w:tcBorders>
            <w:shd w:val="clear" w:color="auto" w:fill="auto"/>
            <w:noWrap/>
            <w:hideMark/>
          </w:tcPr>
          <w:p w14:paraId="2186EC10" w14:textId="77777777" w:rsidR="005F4F67" w:rsidRPr="005F4F67" w:rsidRDefault="005F4F67" w:rsidP="005F4F67">
            <w:pPr>
              <w:jc w:val="right"/>
              <w:rPr>
                <w:sz w:val="20"/>
                <w:szCs w:val="20"/>
                <w:lang w:val="fr-CA" w:eastAsia="en-CA"/>
              </w:rPr>
            </w:pPr>
            <w:r w:rsidRPr="005F4F67">
              <w:rPr>
                <w:sz w:val="20"/>
                <w:szCs w:val="20"/>
                <w:lang w:val="fr-CA" w:eastAsia="en-CA"/>
              </w:rPr>
              <w:t>581</w:t>
            </w:r>
          </w:p>
        </w:tc>
      </w:tr>
      <w:tr w:rsidR="005F4F67" w:rsidRPr="005F4F67" w14:paraId="2C5F20A0" w14:textId="77777777" w:rsidTr="005F4F67">
        <w:trPr>
          <w:trHeight w:val="67"/>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354F11B0" w14:textId="66F0F93D" w:rsidR="005F4F67" w:rsidRPr="005F4F67" w:rsidRDefault="005F4F67" w:rsidP="005F4F67">
            <w:pPr>
              <w:jc w:val="left"/>
              <w:rPr>
                <w:sz w:val="20"/>
                <w:szCs w:val="20"/>
                <w:lang w:val="fr-CA" w:eastAsia="en-CA"/>
              </w:rPr>
            </w:pPr>
            <w:r>
              <w:rPr>
                <w:sz w:val="20"/>
                <w:szCs w:val="20"/>
                <w:lang w:val="fr-CA" w:eastAsia="en-CA"/>
              </w:rPr>
              <w:t>Bilatérales</w:t>
            </w:r>
          </w:p>
        </w:tc>
        <w:tc>
          <w:tcPr>
            <w:tcW w:w="1014" w:type="dxa"/>
            <w:tcBorders>
              <w:top w:val="nil"/>
              <w:left w:val="nil"/>
              <w:bottom w:val="single" w:sz="4" w:space="0" w:color="auto"/>
              <w:right w:val="single" w:sz="4" w:space="0" w:color="auto"/>
            </w:tcBorders>
            <w:shd w:val="clear" w:color="auto" w:fill="auto"/>
            <w:noWrap/>
            <w:hideMark/>
          </w:tcPr>
          <w:p w14:paraId="356656BE" w14:textId="77777777" w:rsidR="005F4F67" w:rsidRPr="005F4F67" w:rsidRDefault="005F4F67" w:rsidP="005F4F67">
            <w:pPr>
              <w:jc w:val="right"/>
              <w:rPr>
                <w:sz w:val="20"/>
                <w:szCs w:val="20"/>
                <w:lang w:val="fr-CA" w:eastAsia="en-CA"/>
              </w:rPr>
            </w:pPr>
            <w:r w:rsidRPr="005F4F67">
              <w:rPr>
                <w:sz w:val="20"/>
                <w:szCs w:val="20"/>
                <w:lang w:val="fr-CA" w:eastAsia="en-CA"/>
              </w:rPr>
              <w:t>17</w:t>
            </w:r>
          </w:p>
        </w:tc>
        <w:tc>
          <w:tcPr>
            <w:tcW w:w="1884" w:type="dxa"/>
            <w:tcBorders>
              <w:top w:val="nil"/>
              <w:left w:val="nil"/>
              <w:bottom w:val="single" w:sz="4" w:space="0" w:color="auto"/>
              <w:right w:val="single" w:sz="4" w:space="0" w:color="auto"/>
            </w:tcBorders>
            <w:shd w:val="clear" w:color="auto" w:fill="auto"/>
            <w:noWrap/>
            <w:hideMark/>
          </w:tcPr>
          <w:p w14:paraId="321A8DA4" w14:textId="2689498C" w:rsidR="005F4F67" w:rsidRPr="005F4F67" w:rsidRDefault="005F4F67" w:rsidP="005F4F67">
            <w:pPr>
              <w:jc w:val="right"/>
              <w:rPr>
                <w:sz w:val="20"/>
                <w:szCs w:val="20"/>
                <w:lang w:val="fr-CA" w:eastAsia="en-CA"/>
              </w:rPr>
            </w:pPr>
            <w:r w:rsidRPr="005F4F67">
              <w:rPr>
                <w:sz w:val="20"/>
                <w:szCs w:val="20"/>
                <w:lang w:val="fr-CA" w:eastAsia="en-CA"/>
              </w:rPr>
              <w:t>227</w:t>
            </w:r>
            <w:r>
              <w:rPr>
                <w:sz w:val="20"/>
                <w:szCs w:val="20"/>
                <w:lang w:val="fr-CA" w:eastAsia="en-CA"/>
              </w:rPr>
              <w:t xml:space="preserve"> </w:t>
            </w:r>
            <w:r w:rsidRPr="005F4F67">
              <w:rPr>
                <w:sz w:val="20"/>
                <w:szCs w:val="20"/>
                <w:lang w:val="fr-CA" w:eastAsia="en-CA"/>
              </w:rPr>
              <w:t>901</w:t>
            </w:r>
          </w:p>
        </w:tc>
        <w:tc>
          <w:tcPr>
            <w:tcW w:w="1326" w:type="dxa"/>
            <w:tcBorders>
              <w:top w:val="nil"/>
              <w:left w:val="nil"/>
              <w:bottom w:val="single" w:sz="4" w:space="0" w:color="auto"/>
              <w:right w:val="single" w:sz="4" w:space="0" w:color="auto"/>
            </w:tcBorders>
            <w:shd w:val="clear" w:color="auto" w:fill="auto"/>
            <w:noWrap/>
            <w:hideMark/>
          </w:tcPr>
          <w:p w14:paraId="3FB8A585" w14:textId="0F795B20" w:rsidR="005F4F67" w:rsidRPr="005F4F67" w:rsidRDefault="005F4F67" w:rsidP="005F4F67">
            <w:pPr>
              <w:jc w:val="right"/>
              <w:rPr>
                <w:sz w:val="20"/>
                <w:szCs w:val="20"/>
                <w:lang w:val="fr-CA" w:eastAsia="en-CA"/>
              </w:rPr>
            </w:pPr>
            <w:r w:rsidRPr="005F4F67">
              <w:rPr>
                <w:sz w:val="20"/>
                <w:szCs w:val="20"/>
                <w:lang w:val="fr-CA" w:eastAsia="en-CA"/>
              </w:rPr>
              <w:t>227</w:t>
            </w:r>
            <w:r>
              <w:rPr>
                <w:sz w:val="20"/>
                <w:szCs w:val="20"/>
                <w:lang w:val="fr-CA" w:eastAsia="en-CA"/>
              </w:rPr>
              <w:t xml:space="preserve"> </w:t>
            </w:r>
            <w:r w:rsidRPr="005F4F67">
              <w:rPr>
                <w:sz w:val="20"/>
                <w:szCs w:val="20"/>
                <w:lang w:val="fr-CA" w:eastAsia="en-CA"/>
              </w:rPr>
              <w:t>901</w:t>
            </w:r>
          </w:p>
        </w:tc>
        <w:tc>
          <w:tcPr>
            <w:tcW w:w="1031" w:type="dxa"/>
            <w:tcBorders>
              <w:top w:val="nil"/>
              <w:left w:val="nil"/>
              <w:bottom w:val="single" w:sz="4" w:space="0" w:color="auto"/>
              <w:right w:val="single" w:sz="4" w:space="0" w:color="auto"/>
            </w:tcBorders>
            <w:shd w:val="clear" w:color="auto" w:fill="auto"/>
            <w:noWrap/>
            <w:hideMark/>
          </w:tcPr>
          <w:p w14:paraId="29B2AA19" w14:textId="77777777" w:rsidR="005F4F67" w:rsidRPr="005F4F67" w:rsidRDefault="005F4F67" w:rsidP="005F4F67">
            <w:pPr>
              <w:jc w:val="right"/>
              <w:rPr>
                <w:sz w:val="20"/>
                <w:szCs w:val="20"/>
                <w:lang w:val="fr-CA" w:eastAsia="en-CA"/>
              </w:rPr>
            </w:pPr>
            <w:r w:rsidRPr="005F4F67">
              <w:rPr>
                <w:sz w:val="20"/>
                <w:szCs w:val="20"/>
                <w:lang w:val="fr-CA" w:eastAsia="en-CA"/>
              </w:rPr>
              <w:t>0</w:t>
            </w:r>
          </w:p>
        </w:tc>
        <w:tc>
          <w:tcPr>
            <w:tcW w:w="1403" w:type="dxa"/>
            <w:tcBorders>
              <w:top w:val="nil"/>
              <w:left w:val="nil"/>
              <w:bottom w:val="single" w:sz="4" w:space="0" w:color="auto"/>
              <w:right w:val="single" w:sz="4" w:space="0" w:color="auto"/>
            </w:tcBorders>
            <w:shd w:val="clear" w:color="auto" w:fill="auto"/>
            <w:noWrap/>
            <w:hideMark/>
          </w:tcPr>
          <w:p w14:paraId="46343F33" w14:textId="77777777" w:rsidR="005F4F67" w:rsidRPr="005F4F67" w:rsidRDefault="005F4F67" w:rsidP="005F4F67">
            <w:pPr>
              <w:jc w:val="right"/>
              <w:rPr>
                <w:sz w:val="20"/>
                <w:szCs w:val="20"/>
                <w:lang w:val="fr-CA" w:eastAsia="en-CA"/>
              </w:rPr>
            </w:pPr>
            <w:r w:rsidRPr="005F4F67">
              <w:rPr>
                <w:sz w:val="20"/>
                <w:szCs w:val="20"/>
                <w:lang w:val="fr-CA" w:eastAsia="en-CA"/>
              </w:rPr>
              <w:t>223</w:t>
            </w:r>
          </w:p>
        </w:tc>
        <w:tc>
          <w:tcPr>
            <w:tcW w:w="1403" w:type="dxa"/>
            <w:tcBorders>
              <w:top w:val="nil"/>
              <w:left w:val="nil"/>
              <w:bottom w:val="single" w:sz="4" w:space="0" w:color="auto"/>
              <w:right w:val="single" w:sz="4" w:space="0" w:color="auto"/>
            </w:tcBorders>
            <w:shd w:val="clear" w:color="auto" w:fill="auto"/>
            <w:noWrap/>
            <w:hideMark/>
          </w:tcPr>
          <w:p w14:paraId="5D695141" w14:textId="77777777" w:rsidR="005F4F67" w:rsidRPr="005F4F67" w:rsidRDefault="005F4F67" w:rsidP="005F4F67">
            <w:pPr>
              <w:jc w:val="right"/>
              <w:rPr>
                <w:sz w:val="20"/>
                <w:szCs w:val="20"/>
                <w:lang w:val="fr-CA" w:eastAsia="en-CA"/>
              </w:rPr>
            </w:pPr>
            <w:r w:rsidRPr="005F4F67">
              <w:rPr>
                <w:sz w:val="20"/>
                <w:szCs w:val="20"/>
                <w:lang w:val="fr-CA" w:eastAsia="en-CA"/>
              </w:rPr>
              <w:t>0</w:t>
            </w:r>
          </w:p>
        </w:tc>
      </w:tr>
      <w:tr w:rsidR="005F4F67" w:rsidRPr="005F4F67" w14:paraId="3EE0C925" w14:textId="77777777" w:rsidTr="005F4F67">
        <w:trPr>
          <w:trHeight w:val="58"/>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5873772F" w14:textId="392828C4" w:rsidR="005F4F67" w:rsidRPr="005F4F67" w:rsidRDefault="005F4F67" w:rsidP="005F4F67">
            <w:pPr>
              <w:jc w:val="left"/>
              <w:rPr>
                <w:b/>
                <w:bCs/>
                <w:sz w:val="20"/>
                <w:szCs w:val="20"/>
                <w:lang w:val="fr-CA" w:eastAsia="en-CA"/>
              </w:rPr>
            </w:pPr>
            <w:r w:rsidRPr="009A1012">
              <w:rPr>
                <w:b/>
                <w:bCs/>
                <w:sz w:val="20"/>
                <w:szCs w:val="20"/>
                <w:lang w:val="fr-CA" w:eastAsia="en-CA"/>
              </w:rPr>
              <w:t>Total</w:t>
            </w:r>
          </w:p>
        </w:tc>
        <w:tc>
          <w:tcPr>
            <w:tcW w:w="1014" w:type="dxa"/>
            <w:tcBorders>
              <w:top w:val="nil"/>
              <w:left w:val="nil"/>
              <w:bottom w:val="single" w:sz="4" w:space="0" w:color="auto"/>
              <w:right w:val="single" w:sz="4" w:space="0" w:color="auto"/>
            </w:tcBorders>
            <w:shd w:val="clear" w:color="auto" w:fill="auto"/>
            <w:noWrap/>
            <w:hideMark/>
          </w:tcPr>
          <w:p w14:paraId="60B036D7" w14:textId="77777777" w:rsidR="005F4F67" w:rsidRPr="005F4F67" w:rsidRDefault="005F4F67" w:rsidP="005F4F67">
            <w:pPr>
              <w:jc w:val="right"/>
              <w:rPr>
                <w:b/>
                <w:bCs/>
                <w:sz w:val="20"/>
                <w:szCs w:val="20"/>
                <w:lang w:val="fr-CA" w:eastAsia="en-CA"/>
              </w:rPr>
            </w:pPr>
            <w:r w:rsidRPr="005F4F67">
              <w:rPr>
                <w:b/>
                <w:bCs/>
                <w:sz w:val="20"/>
                <w:szCs w:val="20"/>
                <w:lang w:val="fr-CA" w:eastAsia="en-CA"/>
              </w:rPr>
              <w:t>274</w:t>
            </w:r>
          </w:p>
        </w:tc>
        <w:tc>
          <w:tcPr>
            <w:tcW w:w="1884" w:type="dxa"/>
            <w:tcBorders>
              <w:top w:val="nil"/>
              <w:left w:val="nil"/>
              <w:bottom w:val="single" w:sz="4" w:space="0" w:color="auto"/>
              <w:right w:val="single" w:sz="4" w:space="0" w:color="auto"/>
            </w:tcBorders>
            <w:shd w:val="clear" w:color="auto" w:fill="auto"/>
            <w:noWrap/>
            <w:hideMark/>
          </w:tcPr>
          <w:p w14:paraId="6334BE1B" w14:textId="7B2AE3F3" w:rsidR="005F4F67" w:rsidRPr="005F4F67" w:rsidRDefault="005F4F67" w:rsidP="005F4F67">
            <w:pPr>
              <w:jc w:val="right"/>
              <w:rPr>
                <w:b/>
                <w:bCs/>
                <w:sz w:val="20"/>
                <w:szCs w:val="20"/>
                <w:lang w:val="fr-CA" w:eastAsia="en-CA"/>
              </w:rPr>
            </w:pPr>
            <w:r w:rsidRPr="005F4F67">
              <w:rPr>
                <w:b/>
                <w:bCs/>
                <w:sz w:val="20"/>
                <w:szCs w:val="20"/>
                <w:lang w:val="fr-CA" w:eastAsia="en-CA"/>
              </w:rPr>
              <w:t>14</w:t>
            </w:r>
            <w:r>
              <w:rPr>
                <w:b/>
                <w:bCs/>
                <w:sz w:val="20"/>
                <w:szCs w:val="20"/>
                <w:lang w:val="fr-CA" w:eastAsia="en-CA"/>
              </w:rPr>
              <w:t xml:space="preserve"> </w:t>
            </w:r>
            <w:r w:rsidRPr="005F4F67">
              <w:rPr>
                <w:b/>
                <w:bCs/>
                <w:sz w:val="20"/>
                <w:szCs w:val="20"/>
                <w:lang w:val="fr-CA" w:eastAsia="en-CA"/>
              </w:rPr>
              <w:t>865</w:t>
            </w:r>
            <w:r>
              <w:rPr>
                <w:b/>
                <w:bCs/>
                <w:sz w:val="20"/>
                <w:szCs w:val="20"/>
                <w:lang w:val="fr-CA" w:eastAsia="en-CA"/>
              </w:rPr>
              <w:t xml:space="preserve"> </w:t>
            </w:r>
            <w:r w:rsidRPr="005F4F67">
              <w:rPr>
                <w:b/>
                <w:bCs/>
                <w:sz w:val="20"/>
                <w:szCs w:val="20"/>
                <w:lang w:val="fr-CA" w:eastAsia="en-CA"/>
              </w:rPr>
              <w:t>620</w:t>
            </w:r>
          </w:p>
        </w:tc>
        <w:tc>
          <w:tcPr>
            <w:tcW w:w="1326" w:type="dxa"/>
            <w:tcBorders>
              <w:top w:val="nil"/>
              <w:left w:val="nil"/>
              <w:bottom w:val="single" w:sz="4" w:space="0" w:color="auto"/>
              <w:right w:val="single" w:sz="4" w:space="0" w:color="auto"/>
            </w:tcBorders>
            <w:shd w:val="clear" w:color="auto" w:fill="auto"/>
            <w:noWrap/>
            <w:hideMark/>
          </w:tcPr>
          <w:p w14:paraId="796DF024" w14:textId="2E5CB6AA" w:rsidR="005F4F67" w:rsidRPr="005F4F67" w:rsidRDefault="005F4F67" w:rsidP="005F4F67">
            <w:pPr>
              <w:jc w:val="right"/>
              <w:rPr>
                <w:b/>
                <w:bCs/>
                <w:sz w:val="20"/>
                <w:szCs w:val="20"/>
                <w:lang w:val="fr-CA" w:eastAsia="en-CA"/>
              </w:rPr>
            </w:pPr>
            <w:r w:rsidRPr="005F4F67">
              <w:rPr>
                <w:b/>
                <w:bCs/>
                <w:sz w:val="20"/>
                <w:szCs w:val="20"/>
                <w:lang w:val="fr-CA" w:eastAsia="en-CA"/>
              </w:rPr>
              <w:t>14</w:t>
            </w:r>
            <w:r>
              <w:rPr>
                <w:b/>
                <w:bCs/>
                <w:sz w:val="20"/>
                <w:szCs w:val="20"/>
                <w:lang w:val="fr-CA" w:eastAsia="en-CA"/>
              </w:rPr>
              <w:t xml:space="preserve"> </w:t>
            </w:r>
            <w:r w:rsidRPr="005F4F67">
              <w:rPr>
                <w:b/>
                <w:bCs/>
                <w:sz w:val="20"/>
                <w:szCs w:val="20"/>
                <w:lang w:val="fr-CA" w:eastAsia="en-CA"/>
              </w:rPr>
              <w:t>865</w:t>
            </w:r>
            <w:r>
              <w:rPr>
                <w:b/>
                <w:bCs/>
                <w:sz w:val="20"/>
                <w:szCs w:val="20"/>
                <w:lang w:val="fr-CA" w:eastAsia="en-CA"/>
              </w:rPr>
              <w:t xml:space="preserve"> </w:t>
            </w:r>
            <w:r w:rsidRPr="005F4F67">
              <w:rPr>
                <w:b/>
                <w:bCs/>
                <w:sz w:val="20"/>
                <w:szCs w:val="20"/>
                <w:lang w:val="fr-CA" w:eastAsia="en-CA"/>
              </w:rPr>
              <w:t>618</w:t>
            </w:r>
          </w:p>
        </w:tc>
        <w:tc>
          <w:tcPr>
            <w:tcW w:w="1031" w:type="dxa"/>
            <w:tcBorders>
              <w:top w:val="nil"/>
              <w:left w:val="nil"/>
              <w:bottom w:val="single" w:sz="4" w:space="0" w:color="auto"/>
              <w:right w:val="single" w:sz="4" w:space="0" w:color="auto"/>
            </w:tcBorders>
            <w:shd w:val="clear" w:color="auto" w:fill="auto"/>
            <w:noWrap/>
            <w:hideMark/>
          </w:tcPr>
          <w:p w14:paraId="09A28938" w14:textId="77777777" w:rsidR="005F4F67" w:rsidRPr="005F4F67" w:rsidRDefault="005F4F67" w:rsidP="005F4F67">
            <w:pPr>
              <w:jc w:val="right"/>
              <w:rPr>
                <w:b/>
                <w:bCs/>
                <w:sz w:val="20"/>
                <w:szCs w:val="20"/>
                <w:lang w:val="fr-CA" w:eastAsia="en-CA"/>
              </w:rPr>
            </w:pPr>
            <w:r w:rsidRPr="005F4F67">
              <w:rPr>
                <w:b/>
                <w:bCs/>
                <w:sz w:val="20"/>
                <w:szCs w:val="20"/>
                <w:lang w:val="fr-CA" w:eastAsia="en-CA"/>
              </w:rPr>
              <w:t>1</w:t>
            </w:r>
          </w:p>
        </w:tc>
        <w:tc>
          <w:tcPr>
            <w:tcW w:w="1403" w:type="dxa"/>
            <w:tcBorders>
              <w:top w:val="nil"/>
              <w:left w:val="nil"/>
              <w:bottom w:val="single" w:sz="4" w:space="0" w:color="auto"/>
              <w:right w:val="single" w:sz="4" w:space="0" w:color="auto"/>
            </w:tcBorders>
            <w:shd w:val="clear" w:color="auto" w:fill="auto"/>
            <w:noWrap/>
            <w:hideMark/>
          </w:tcPr>
          <w:p w14:paraId="3B76F1CD" w14:textId="49154893" w:rsidR="005F4F67" w:rsidRPr="005F4F67" w:rsidRDefault="005F4F67" w:rsidP="005F4F67">
            <w:pPr>
              <w:jc w:val="right"/>
              <w:rPr>
                <w:b/>
                <w:bCs/>
                <w:sz w:val="20"/>
                <w:szCs w:val="20"/>
                <w:lang w:val="fr-CA" w:eastAsia="en-CA"/>
              </w:rPr>
            </w:pPr>
            <w:r w:rsidRPr="005F4F67">
              <w:rPr>
                <w:b/>
                <w:bCs/>
                <w:sz w:val="20"/>
                <w:szCs w:val="20"/>
                <w:lang w:val="fr-CA" w:eastAsia="en-CA"/>
              </w:rPr>
              <w:t>3</w:t>
            </w:r>
            <w:r>
              <w:rPr>
                <w:b/>
                <w:bCs/>
                <w:sz w:val="20"/>
                <w:szCs w:val="20"/>
                <w:lang w:val="fr-CA" w:eastAsia="en-CA"/>
              </w:rPr>
              <w:t xml:space="preserve"> </w:t>
            </w:r>
            <w:r w:rsidRPr="005F4F67">
              <w:rPr>
                <w:b/>
                <w:bCs/>
                <w:sz w:val="20"/>
                <w:szCs w:val="20"/>
                <w:lang w:val="fr-CA" w:eastAsia="en-CA"/>
              </w:rPr>
              <w:t>373</w:t>
            </w:r>
          </w:p>
        </w:tc>
        <w:tc>
          <w:tcPr>
            <w:tcW w:w="1403" w:type="dxa"/>
            <w:tcBorders>
              <w:top w:val="nil"/>
              <w:left w:val="nil"/>
              <w:bottom w:val="single" w:sz="4" w:space="0" w:color="auto"/>
              <w:right w:val="single" w:sz="4" w:space="0" w:color="auto"/>
            </w:tcBorders>
            <w:shd w:val="clear" w:color="auto" w:fill="auto"/>
            <w:noWrap/>
            <w:hideMark/>
          </w:tcPr>
          <w:p w14:paraId="5D2711C0" w14:textId="76F95F2E" w:rsidR="005F4F67" w:rsidRPr="005F4F67" w:rsidRDefault="005F4F67" w:rsidP="005F4F67">
            <w:pPr>
              <w:jc w:val="right"/>
              <w:rPr>
                <w:b/>
                <w:bCs/>
                <w:sz w:val="20"/>
                <w:szCs w:val="20"/>
                <w:lang w:val="fr-CA" w:eastAsia="en-CA"/>
              </w:rPr>
            </w:pPr>
            <w:r w:rsidRPr="005F4F67">
              <w:rPr>
                <w:b/>
                <w:bCs/>
                <w:sz w:val="20"/>
                <w:szCs w:val="20"/>
                <w:lang w:val="fr-CA" w:eastAsia="en-CA"/>
              </w:rPr>
              <w:t>1</w:t>
            </w:r>
            <w:r>
              <w:rPr>
                <w:b/>
                <w:bCs/>
                <w:sz w:val="20"/>
                <w:szCs w:val="20"/>
                <w:lang w:val="fr-CA" w:eastAsia="en-CA"/>
              </w:rPr>
              <w:t xml:space="preserve"> </w:t>
            </w:r>
            <w:r w:rsidRPr="005F4F67">
              <w:rPr>
                <w:b/>
                <w:bCs/>
                <w:sz w:val="20"/>
                <w:szCs w:val="20"/>
                <w:lang w:val="fr-CA" w:eastAsia="en-CA"/>
              </w:rPr>
              <w:t>595</w:t>
            </w:r>
          </w:p>
        </w:tc>
      </w:tr>
    </w:tbl>
    <w:p w14:paraId="5091547A" w14:textId="77777777" w:rsidR="00D631A9" w:rsidRPr="005F4F67" w:rsidRDefault="00D631A9" w:rsidP="001E39EE">
      <w:pPr>
        <w:pStyle w:val="a--"/>
        <w:keepNext/>
        <w:suppressAutoHyphens w:val="0"/>
        <w:rPr>
          <w:sz w:val="22"/>
          <w:szCs w:val="22"/>
          <w:lang w:val="fr-CA"/>
        </w:rPr>
      </w:pPr>
    </w:p>
    <w:p w14:paraId="7262A376" w14:textId="6FFF0E5C" w:rsidR="00D631A9" w:rsidRPr="005F4F67" w:rsidRDefault="005F4F67" w:rsidP="001E39EE">
      <w:pPr>
        <w:pStyle w:val="a--"/>
        <w:keepNext/>
        <w:suppressAutoHyphens w:val="0"/>
        <w:rPr>
          <w:sz w:val="22"/>
          <w:szCs w:val="22"/>
          <w:lang w:val="fr-CA"/>
        </w:rPr>
      </w:pPr>
      <w:r>
        <w:rPr>
          <w:sz w:val="22"/>
          <w:szCs w:val="22"/>
          <w:lang w:val="fr-CA"/>
        </w:rPr>
        <w:t>ACTIVITÉS EN LIEN AVEC LES HFC</w:t>
      </w:r>
    </w:p>
    <w:p w14:paraId="4D25C939" w14:textId="77777777" w:rsidR="00D631A9" w:rsidRPr="005F4F67" w:rsidRDefault="00D631A9" w:rsidP="001E39EE">
      <w:pPr>
        <w:pStyle w:val="a--"/>
        <w:keepNext/>
        <w:suppressAutoHyphens w:val="0"/>
        <w:rPr>
          <w:sz w:val="22"/>
          <w:szCs w:val="22"/>
          <w:lang w:val="fr-CA"/>
        </w:rPr>
      </w:pPr>
    </w:p>
    <w:p w14:paraId="3DA56427" w14:textId="1D6F6323" w:rsidR="00D631A9" w:rsidRPr="005F4F67" w:rsidRDefault="005F4F67" w:rsidP="001E39EE">
      <w:pPr>
        <w:pStyle w:val="Heading1"/>
        <w:rPr>
          <w:lang w:val="fr-CA"/>
        </w:rPr>
      </w:pPr>
      <w:r w:rsidRPr="009A1012">
        <w:rPr>
          <w:lang w:val="fr-CA"/>
        </w:rPr>
        <w:t>Le tableau 9 présente un sommaire des projets en lien avec les HFC approuvés au titre des contributions régulières</w:t>
      </w:r>
      <w:r w:rsidR="00D631A9" w:rsidRPr="005F4F67">
        <w:rPr>
          <w:lang w:val="fr-CA"/>
        </w:rPr>
        <w:t>.</w:t>
      </w:r>
    </w:p>
    <w:p w14:paraId="0CFFFAD9" w14:textId="54C778A2" w:rsidR="00D631A9" w:rsidRPr="005F4F67" w:rsidRDefault="00D631A9" w:rsidP="001E39EE">
      <w:pPr>
        <w:keepNext/>
        <w:rPr>
          <w:b/>
          <w:lang w:val="fr-CA"/>
        </w:rPr>
      </w:pPr>
      <w:r w:rsidRPr="005F4F67">
        <w:rPr>
          <w:b/>
          <w:lang w:val="fr-CA"/>
        </w:rPr>
        <w:t>Table</w:t>
      </w:r>
      <w:r w:rsidR="005F4F67">
        <w:rPr>
          <w:b/>
          <w:lang w:val="fr-CA"/>
        </w:rPr>
        <w:t>au</w:t>
      </w:r>
      <w:r w:rsidRPr="005F4F67">
        <w:rPr>
          <w:b/>
          <w:lang w:val="fr-CA"/>
        </w:rPr>
        <w:t xml:space="preserve"> 9. </w:t>
      </w:r>
      <w:r w:rsidR="005F4F67">
        <w:rPr>
          <w:b/>
          <w:lang w:val="fr-CA"/>
        </w:rPr>
        <w:t>Projets en lien avec les HFC approuvés au titre des contributions régulières</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990"/>
        <w:gridCol w:w="986"/>
        <w:gridCol w:w="1257"/>
        <w:gridCol w:w="7"/>
        <w:gridCol w:w="1071"/>
        <w:gridCol w:w="1117"/>
        <w:gridCol w:w="1014"/>
        <w:gridCol w:w="1110"/>
        <w:gridCol w:w="8"/>
      </w:tblGrid>
      <w:tr w:rsidR="008D4D07" w:rsidRPr="005F4F67" w14:paraId="5566AA59" w14:textId="77777777" w:rsidTr="00563674">
        <w:tc>
          <w:tcPr>
            <w:tcW w:w="1805" w:type="dxa"/>
            <w:vMerge w:val="restart"/>
            <w:shd w:val="clear" w:color="auto" w:fill="auto"/>
            <w:noWrap/>
            <w:tcMar>
              <w:left w:w="29" w:type="dxa"/>
              <w:right w:w="0" w:type="dxa"/>
            </w:tcMar>
            <w:vAlign w:val="center"/>
            <w:hideMark/>
          </w:tcPr>
          <w:p w14:paraId="5346FFAB" w14:textId="77777777" w:rsidR="008D4D07" w:rsidRPr="005F4F67" w:rsidRDefault="008D4D07" w:rsidP="001E39EE">
            <w:pPr>
              <w:jc w:val="left"/>
              <w:rPr>
                <w:b/>
                <w:bCs/>
                <w:sz w:val="18"/>
                <w:szCs w:val="20"/>
                <w:lang w:val="fr-CA" w:eastAsia="en-CA"/>
              </w:rPr>
            </w:pPr>
            <w:r w:rsidRPr="005F4F67">
              <w:rPr>
                <w:b/>
                <w:bCs/>
                <w:sz w:val="18"/>
                <w:szCs w:val="20"/>
                <w:lang w:val="fr-CA" w:eastAsia="en-CA"/>
              </w:rPr>
              <w:t>Type</w:t>
            </w:r>
          </w:p>
        </w:tc>
        <w:tc>
          <w:tcPr>
            <w:tcW w:w="3247" w:type="dxa"/>
            <w:gridSpan w:val="4"/>
            <w:shd w:val="clear" w:color="auto" w:fill="auto"/>
            <w:noWrap/>
            <w:hideMark/>
          </w:tcPr>
          <w:p w14:paraId="65CB1CBC" w14:textId="75708883" w:rsidR="008D4D07" w:rsidRPr="005F4F67" w:rsidRDefault="005F4F67" w:rsidP="001E39EE">
            <w:pPr>
              <w:jc w:val="center"/>
              <w:rPr>
                <w:b/>
                <w:bCs/>
                <w:sz w:val="18"/>
                <w:szCs w:val="20"/>
                <w:lang w:val="fr-CA" w:eastAsia="en-CA"/>
              </w:rPr>
            </w:pPr>
            <w:r w:rsidRPr="005F4F67">
              <w:rPr>
                <w:b/>
                <w:bCs/>
                <w:sz w:val="18"/>
                <w:szCs w:val="20"/>
                <w:lang w:val="fr-CA" w:eastAsia="en-CA"/>
              </w:rPr>
              <w:t>Nombre de projets</w:t>
            </w:r>
          </w:p>
        </w:tc>
        <w:tc>
          <w:tcPr>
            <w:tcW w:w="4329" w:type="dxa"/>
            <w:gridSpan w:val="5"/>
            <w:shd w:val="clear" w:color="auto" w:fill="auto"/>
            <w:noWrap/>
            <w:hideMark/>
          </w:tcPr>
          <w:p w14:paraId="3C1A3B6D" w14:textId="431A2182" w:rsidR="008D4D07" w:rsidRPr="005F4F67" w:rsidRDefault="005F4F67" w:rsidP="001E39EE">
            <w:pPr>
              <w:jc w:val="center"/>
              <w:rPr>
                <w:b/>
                <w:bCs/>
                <w:sz w:val="18"/>
                <w:szCs w:val="20"/>
                <w:lang w:val="fr-CA" w:eastAsia="en-CA"/>
              </w:rPr>
            </w:pPr>
            <w:r w:rsidRPr="005F4F67">
              <w:rPr>
                <w:b/>
                <w:bCs/>
                <w:sz w:val="18"/>
                <w:szCs w:val="20"/>
                <w:lang w:val="fr-CA" w:eastAsia="en-CA"/>
              </w:rPr>
              <w:t>Financement ($US)*</w:t>
            </w:r>
          </w:p>
        </w:tc>
      </w:tr>
      <w:tr w:rsidR="008D4D07" w:rsidRPr="005F4F67" w14:paraId="27A030F5" w14:textId="77777777" w:rsidTr="00563674">
        <w:trPr>
          <w:gridAfter w:val="1"/>
          <w:wAfter w:w="8" w:type="dxa"/>
        </w:trPr>
        <w:tc>
          <w:tcPr>
            <w:tcW w:w="1805" w:type="dxa"/>
            <w:vMerge/>
            <w:tcMar>
              <w:left w:w="29" w:type="dxa"/>
              <w:right w:w="0" w:type="dxa"/>
            </w:tcMar>
            <w:hideMark/>
          </w:tcPr>
          <w:p w14:paraId="5EA20BCC" w14:textId="77777777" w:rsidR="008D4D07" w:rsidRPr="005F4F67" w:rsidRDefault="008D4D07" w:rsidP="001E39EE">
            <w:pPr>
              <w:jc w:val="left"/>
              <w:rPr>
                <w:b/>
                <w:bCs/>
                <w:sz w:val="18"/>
                <w:szCs w:val="20"/>
                <w:lang w:val="fr-CA" w:eastAsia="en-CA"/>
              </w:rPr>
            </w:pPr>
          </w:p>
        </w:tc>
        <w:tc>
          <w:tcPr>
            <w:tcW w:w="992" w:type="dxa"/>
            <w:shd w:val="clear" w:color="auto" w:fill="auto"/>
            <w:tcMar>
              <w:left w:w="0" w:type="dxa"/>
              <w:right w:w="0" w:type="dxa"/>
            </w:tcMar>
            <w:hideMark/>
          </w:tcPr>
          <w:p w14:paraId="09AB676E" w14:textId="41B93696" w:rsidR="008D4D07" w:rsidRPr="005F4F67" w:rsidRDefault="005F4F67" w:rsidP="001E39EE">
            <w:pPr>
              <w:ind w:left="-103" w:right="-107"/>
              <w:jc w:val="center"/>
              <w:rPr>
                <w:b/>
                <w:bCs/>
                <w:sz w:val="18"/>
                <w:szCs w:val="20"/>
                <w:lang w:val="fr-CA" w:eastAsia="en-CA"/>
              </w:rPr>
            </w:pPr>
            <w:r w:rsidRPr="005F4F67">
              <w:rPr>
                <w:b/>
                <w:bCs/>
                <w:sz w:val="18"/>
                <w:szCs w:val="20"/>
                <w:lang w:val="fr-CA" w:eastAsia="en-CA"/>
              </w:rPr>
              <w:t>Approuvés</w:t>
            </w:r>
          </w:p>
        </w:tc>
        <w:tc>
          <w:tcPr>
            <w:tcW w:w="988" w:type="dxa"/>
            <w:shd w:val="clear" w:color="auto" w:fill="auto"/>
            <w:tcMar>
              <w:left w:w="0" w:type="dxa"/>
              <w:right w:w="0" w:type="dxa"/>
            </w:tcMar>
            <w:hideMark/>
          </w:tcPr>
          <w:p w14:paraId="0FABA408" w14:textId="203D1081" w:rsidR="008D4D07" w:rsidRPr="005F4F67" w:rsidRDefault="005F4F67" w:rsidP="001E39EE">
            <w:pPr>
              <w:ind w:left="-107" w:right="-91"/>
              <w:jc w:val="center"/>
              <w:rPr>
                <w:b/>
                <w:bCs/>
                <w:sz w:val="18"/>
                <w:szCs w:val="20"/>
                <w:lang w:val="fr-CA" w:eastAsia="en-CA"/>
              </w:rPr>
            </w:pPr>
            <w:r w:rsidRPr="005F4F67">
              <w:rPr>
                <w:b/>
                <w:bCs/>
                <w:sz w:val="18"/>
                <w:szCs w:val="20"/>
                <w:lang w:val="fr-CA" w:eastAsia="en-CA"/>
              </w:rPr>
              <w:t>Achevés</w:t>
            </w:r>
          </w:p>
        </w:tc>
        <w:tc>
          <w:tcPr>
            <w:tcW w:w="1260" w:type="dxa"/>
            <w:shd w:val="clear" w:color="auto" w:fill="auto"/>
            <w:tcMar>
              <w:left w:w="0" w:type="dxa"/>
              <w:right w:w="0" w:type="dxa"/>
            </w:tcMar>
            <w:hideMark/>
          </w:tcPr>
          <w:p w14:paraId="098254F9" w14:textId="77777777" w:rsidR="00326C00" w:rsidRDefault="005F4F67" w:rsidP="001E39EE">
            <w:pPr>
              <w:ind w:left="-127" w:right="-119"/>
              <w:jc w:val="center"/>
              <w:rPr>
                <w:b/>
                <w:bCs/>
                <w:sz w:val="18"/>
                <w:szCs w:val="20"/>
                <w:lang w:val="fr-CA" w:eastAsia="en-CA"/>
              </w:rPr>
            </w:pPr>
            <w:r w:rsidRPr="005F4F67">
              <w:rPr>
                <w:b/>
                <w:bCs/>
                <w:sz w:val="18"/>
                <w:szCs w:val="20"/>
                <w:lang w:val="fr-CA" w:eastAsia="en-CA"/>
              </w:rPr>
              <w:t xml:space="preserve">% </w:t>
            </w:r>
          </w:p>
          <w:p w14:paraId="46C07BCE" w14:textId="68029BDD" w:rsidR="008D4D07" w:rsidRPr="005F4F67" w:rsidRDefault="005F4F67" w:rsidP="001E39EE">
            <w:pPr>
              <w:ind w:left="-127" w:right="-119"/>
              <w:jc w:val="center"/>
              <w:rPr>
                <w:b/>
                <w:bCs/>
                <w:sz w:val="18"/>
                <w:szCs w:val="20"/>
                <w:lang w:val="fr-CA" w:eastAsia="en-CA"/>
              </w:rPr>
            </w:pPr>
            <w:r w:rsidRPr="005F4F67">
              <w:rPr>
                <w:b/>
                <w:bCs/>
                <w:sz w:val="18"/>
                <w:szCs w:val="20"/>
                <w:lang w:val="fr-CA" w:eastAsia="en-CA"/>
              </w:rPr>
              <w:t>d’achèvement</w:t>
            </w:r>
          </w:p>
        </w:tc>
        <w:tc>
          <w:tcPr>
            <w:tcW w:w="1080" w:type="dxa"/>
            <w:gridSpan w:val="2"/>
            <w:shd w:val="clear" w:color="auto" w:fill="auto"/>
            <w:tcMar>
              <w:left w:w="0" w:type="dxa"/>
              <w:right w:w="0" w:type="dxa"/>
            </w:tcMar>
            <w:hideMark/>
          </w:tcPr>
          <w:p w14:paraId="615A70D1" w14:textId="1EF545C5" w:rsidR="008D4D07" w:rsidRPr="005F4F67" w:rsidRDefault="005F4F67" w:rsidP="001E39EE">
            <w:pPr>
              <w:jc w:val="center"/>
              <w:rPr>
                <w:b/>
                <w:bCs/>
                <w:sz w:val="18"/>
                <w:szCs w:val="20"/>
                <w:lang w:val="fr-CA" w:eastAsia="en-CA"/>
              </w:rPr>
            </w:pPr>
            <w:r w:rsidRPr="005F4F67">
              <w:rPr>
                <w:b/>
                <w:bCs/>
                <w:sz w:val="18"/>
                <w:szCs w:val="20"/>
                <w:lang w:val="fr-CA" w:eastAsia="en-CA"/>
              </w:rPr>
              <w:t>Approuvé</w:t>
            </w:r>
          </w:p>
        </w:tc>
        <w:tc>
          <w:tcPr>
            <w:tcW w:w="1120" w:type="dxa"/>
            <w:shd w:val="clear" w:color="auto" w:fill="auto"/>
            <w:tcMar>
              <w:left w:w="0" w:type="dxa"/>
              <w:right w:w="0" w:type="dxa"/>
            </w:tcMar>
            <w:hideMark/>
          </w:tcPr>
          <w:p w14:paraId="65A6D9BD" w14:textId="650A3551" w:rsidR="008D4D07" w:rsidRPr="005F4F67" w:rsidRDefault="005F4F67" w:rsidP="001E39EE">
            <w:pPr>
              <w:jc w:val="center"/>
              <w:rPr>
                <w:b/>
                <w:bCs/>
                <w:sz w:val="18"/>
                <w:szCs w:val="20"/>
                <w:lang w:val="fr-CA" w:eastAsia="en-CA"/>
              </w:rPr>
            </w:pPr>
            <w:r w:rsidRPr="005F4F67">
              <w:rPr>
                <w:b/>
                <w:bCs/>
                <w:sz w:val="18"/>
                <w:szCs w:val="20"/>
                <w:lang w:val="fr-CA" w:eastAsia="en-CA"/>
              </w:rPr>
              <w:t>Décaissé</w:t>
            </w:r>
          </w:p>
        </w:tc>
        <w:tc>
          <w:tcPr>
            <w:tcW w:w="1016" w:type="dxa"/>
            <w:shd w:val="clear" w:color="auto" w:fill="auto"/>
            <w:tcMar>
              <w:left w:w="0" w:type="dxa"/>
              <w:right w:w="0" w:type="dxa"/>
            </w:tcMar>
            <w:hideMark/>
          </w:tcPr>
          <w:p w14:paraId="4CFC235E" w14:textId="443FF797" w:rsidR="008D4D07" w:rsidRPr="005F4F67" w:rsidRDefault="005F4F67" w:rsidP="001E39EE">
            <w:pPr>
              <w:jc w:val="center"/>
              <w:rPr>
                <w:b/>
                <w:bCs/>
                <w:sz w:val="18"/>
                <w:szCs w:val="20"/>
                <w:lang w:val="fr-CA" w:eastAsia="en-CA"/>
              </w:rPr>
            </w:pPr>
            <w:r w:rsidRPr="005F4F67">
              <w:rPr>
                <w:b/>
                <w:bCs/>
                <w:sz w:val="18"/>
                <w:szCs w:val="20"/>
                <w:lang w:val="fr-CA" w:eastAsia="en-CA"/>
              </w:rPr>
              <w:t>Solde</w:t>
            </w:r>
          </w:p>
        </w:tc>
        <w:tc>
          <w:tcPr>
            <w:tcW w:w="1112" w:type="dxa"/>
            <w:shd w:val="clear" w:color="auto" w:fill="auto"/>
            <w:tcMar>
              <w:left w:w="0" w:type="dxa"/>
              <w:right w:w="0" w:type="dxa"/>
            </w:tcMar>
            <w:hideMark/>
          </w:tcPr>
          <w:p w14:paraId="47224B18" w14:textId="77777777" w:rsidR="00326C00" w:rsidRDefault="005F4F67" w:rsidP="001E39EE">
            <w:pPr>
              <w:ind w:left="-255" w:right="-181"/>
              <w:jc w:val="center"/>
              <w:rPr>
                <w:b/>
                <w:bCs/>
                <w:sz w:val="18"/>
                <w:szCs w:val="20"/>
                <w:lang w:val="fr-CA" w:eastAsia="en-CA"/>
              </w:rPr>
            </w:pPr>
            <w:r w:rsidRPr="005F4F67">
              <w:rPr>
                <w:b/>
                <w:bCs/>
                <w:sz w:val="18"/>
                <w:szCs w:val="20"/>
                <w:lang w:val="fr-CA" w:eastAsia="en-CA"/>
              </w:rPr>
              <w:t xml:space="preserve">% de </w:t>
            </w:r>
          </w:p>
          <w:p w14:paraId="7FE5A2B7" w14:textId="09A7C172" w:rsidR="008D4D07" w:rsidRPr="005F4F67" w:rsidRDefault="005F4F67" w:rsidP="001E39EE">
            <w:pPr>
              <w:ind w:left="-255" w:right="-181"/>
              <w:jc w:val="center"/>
              <w:rPr>
                <w:b/>
                <w:bCs/>
                <w:sz w:val="18"/>
                <w:szCs w:val="20"/>
                <w:lang w:val="fr-CA" w:eastAsia="en-CA"/>
              </w:rPr>
            </w:pPr>
            <w:r w:rsidRPr="005F4F67">
              <w:rPr>
                <w:b/>
                <w:bCs/>
                <w:sz w:val="18"/>
                <w:szCs w:val="20"/>
                <w:lang w:val="fr-CA" w:eastAsia="en-CA"/>
              </w:rPr>
              <w:t>décaissement</w:t>
            </w:r>
          </w:p>
        </w:tc>
      </w:tr>
      <w:tr w:rsidR="008D4D07" w:rsidRPr="005F4F67" w14:paraId="280021B5" w14:textId="77777777" w:rsidTr="00563674">
        <w:trPr>
          <w:gridAfter w:val="1"/>
          <w:wAfter w:w="8" w:type="dxa"/>
        </w:trPr>
        <w:tc>
          <w:tcPr>
            <w:tcW w:w="1805" w:type="dxa"/>
            <w:shd w:val="clear" w:color="auto" w:fill="auto"/>
            <w:noWrap/>
            <w:tcMar>
              <w:left w:w="29" w:type="dxa"/>
              <w:right w:w="0" w:type="dxa"/>
            </w:tcMar>
            <w:hideMark/>
          </w:tcPr>
          <w:p w14:paraId="4782DED3" w14:textId="2B8525DC" w:rsidR="008D4D07" w:rsidRPr="005F4F67" w:rsidRDefault="005F4F67" w:rsidP="001E39EE">
            <w:pPr>
              <w:jc w:val="left"/>
              <w:rPr>
                <w:sz w:val="20"/>
                <w:szCs w:val="20"/>
                <w:lang w:val="fr-CA" w:eastAsia="en-CA"/>
              </w:rPr>
            </w:pPr>
            <w:r>
              <w:rPr>
                <w:sz w:val="20"/>
                <w:szCs w:val="20"/>
                <w:lang w:val="fr-CA" w:eastAsia="en-CA"/>
              </w:rPr>
              <w:t>Investissement</w:t>
            </w:r>
            <w:r w:rsidR="008D4D07" w:rsidRPr="005F4F67">
              <w:rPr>
                <w:sz w:val="20"/>
                <w:szCs w:val="20"/>
                <w:lang w:val="fr-CA" w:eastAsia="en-CA"/>
              </w:rPr>
              <w:t>**</w:t>
            </w:r>
          </w:p>
        </w:tc>
        <w:tc>
          <w:tcPr>
            <w:tcW w:w="992" w:type="dxa"/>
            <w:shd w:val="clear" w:color="auto" w:fill="auto"/>
            <w:noWrap/>
            <w:tcMar>
              <w:left w:w="115" w:type="dxa"/>
              <w:right w:w="0" w:type="dxa"/>
            </w:tcMar>
            <w:hideMark/>
          </w:tcPr>
          <w:p w14:paraId="02AB2ADC" w14:textId="77777777" w:rsidR="008D4D07" w:rsidRPr="005F4F67" w:rsidRDefault="008D4D07" w:rsidP="001E39EE">
            <w:pPr>
              <w:jc w:val="right"/>
              <w:rPr>
                <w:sz w:val="20"/>
                <w:szCs w:val="20"/>
                <w:lang w:val="fr-CA" w:eastAsia="en-CA"/>
              </w:rPr>
            </w:pPr>
            <w:r w:rsidRPr="005F4F67">
              <w:rPr>
                <w:sz w:val="20"/>
                <w:szCs w:val="20"/>
                <w:lang w:val="fr-CA" w:eastAsia="en-CA"/>
              </w:rPr>
              <w:t>8</w:t>
            </w:r>
          </w:p>
        </w:tc>
        <w:tc>
          <w:tcPr>
            <w:tcW w:w="988" w:type="dxa"/>
            <w:shd w:val="clear" w:color="auto" w:fill="auto"/>
            <w:noWrap/>
            <w:tcMar>
              <w:left w:w="115" w:type="dxa"/>
              <w:right w:w="0" w:type="dxa"/>
            </w:tcMar>
            <w:hideMark/>
          </w:tcPr>
          <w:p w14:paraId="7B97E41A" w14:textId="77777777" w:rsidR="008D4D07" w:rsidRPr="005F4F67" w:rsidRDefault="008D4D07" w:rsidP="001E39EE">
            <w:pPr>
              <w:jc w:val="right"/>
              <w:rPr>
                <w:sz w:val="20"/>
                <w:szCs w:val="20"/>
                <w:lang w:val="fr-CA" w:eastAsia="en-CA"/>
              </w:rPr>
            </w:pPr>
            <w:r w:rsidRPr="005F4F67">
              <w:rPr>
                <w:sz w:val="20"/>
                <w:szCs w:val="20"/>
                <w:lang w:val="fr-CA" w:eastAsia="en-CA"/>
              </w:rPr>
              <w:t>5</w:t>
            </w:r>
          </w:p>
        </w:tc>
        <w:tc>
          <w:tcPr>
            <w:tcW w:w="1260" w:type="dxa"/>
            <w:shd w:val="clear" w:color="auto" w:fill="auto"/>
            <w:noWrap/>
            <w:tcMar>
              <w:left w:w="115" w:type="dxa"/>
              <w:right w:w="0" w:type="dxa"/>
            </w:tcMar>
            <w:hideMark/>
          </w:tcPr>
          <w:p w14:paraId="0D16C3C5" w14:textId="77777777" w:rsidR="008D4D07" w:rsidRPr="005F4F67" w:rsidRDefault="008D4D07" w:rsidP="001E39EE">
            <w:pPr>
              <w:jc w:val="right"/>
              <w:rPr>
                <w:sz w:val="20"/>
                <w:szCs w:val="20"/>
                <w:lang w:val="fr-CA" w:eastAsia="en-CA"/>
              </w:rPr>
            </w:pPr>
            <w:r w:rsidRPr="005F4F67">
              <w:rPr>
                <w:sz w:val="20"/>
                <w:szCs w:val="20"/>
                <w:lang w:val="fr-CA" w:eastAsia="en-CA"/>
              </w:rPr>
              <w:t>63</w:t>
            </w:r>
          </w:p>
        </w:tc>
        <w:tc>
          <w:tcPr>
            <w:tcW w:w="1080" w:type="dxa"/>
            <w:gridSpan w:val="2"/>
            <w:shd w:val="clear" w:color="auto" w:fill="auto"/>
            <w:noWrap/>
            <w:tcMar>
              <w:left w:w="115" w:type="dxa"/>
              <w:right w:w="0" w:type="dxa"/>
            </w:tcMar>
            <w:hideMark/>
          </w:tcPr>
          <w:p w14:paraId="3D610C99" w14:textId="2D6F897A" w:rsidR="008D4D07" w:rsidRPr="005F4F67" w:rsidRDefault="008D4D07" w:rsidP="001E39EE">
            <w:pPr>
              <w:jc w:val="right"/>
              <w:rPr>
                <w:sz w:val="20"/>
                <w:szCs w:val="20"/>
                <w:lang w:val="fr-CA" w:eastAsia="en-CA"/>
              </w:rPr>
            </w:pPr>
            <w:r w:rsidRPr="005F4F67">
              <w:rPr>
                <w:sz w:val="20"/>
                <w:szCs w:val="20"/>
                <w:lang w:val="fr-CA" w:eastAsia="en-CA"/>
              </w:rPr>
              <w:t>5</w:t>
            </w:r>
            <w:r w:rsidR="000955D5">
              <w:rPr>
                <w:sz w:val="20"/>
                <w:szCs w:val="20"/>
                <w:lang w:val="fr-CA" w:eastAsia="en-CA"/>
              </w:rPr>
              <w:t xml:space="preserve"> </w:t>
            </w:r>
            <w:r w:rsidRPr="005F4F67">
              <w:rPr>
                <w:sz w:val="20"/>
                <w:szCs w:val="20"/>
                <w:lang w:val="fr-CA" w:eastAsia="en-CA"/>
              </w:rPr>
              <w:t>377</w:t>
            </w:r>
            <w:r w:rsidR="000955D5">
              <w:rPr>
                <w:sz w:val="20"/>
                <w:szCs w:val="20"/>
                <w:lang w:val="fr-CA" w:eastAsia="en-CA"/>
              </w:rPr>
              <w:t xml:space="preserve"> </w:t>
            </w:r>
            <w:r w:rsidRPr="005F4F67">
              <w:rPr>
                <w:sz w:val="20"/>
                <w:szCs w:val="20"/>
                <w:lang w:val="fr-CA" w:eastAsia="en-CA"/>
              </w:rPr>
              <w:t>447</w:t>
            </w:r>
          </w:p>
        </w:tc>
        <w:tc>
          <w:tcPr>
            <w:tcW w:w="1120" w:type="dxa"/>
            <w:shd w:val="clear" w:color="auto" w:fill="auto"/>
            <w:noWrap/>
            <w:tcMar>
              <w:left w:w="115" w:type="dxa"/>
              <w:right w:w="0" w:type="dxa"/>
            </w:tcMar>
            <w:hideMark/>
          </w:tcPr>
          <w:p w14:paraId="4F2D0D9E" w14:textId="19664C32" w:rsidR="008D4D07" w:rsidRPr="005F4F67" w:rsidRDefault="008D4D07" w:rsidP="001E39EE">
            <w:pPr>
              <w:jc w:val="right"/>
              <w:rPr>
                <w:sz w:val="20"/>
                <w:szCs w:val="20"/>
                <w:lang w:val="fr-CA" w:eastAsia="en-CA"/>
              </w:rPr>
            </w:pPr>
            <w:r w:rsidRPr="005F4F67">
              <w:rPr>
                <w:sz w:val="20"/>
                <w:szCs w:val="20"/>
                <w:lang w:val="fr-CA" w:eastAsia="en-CA"/>
              </w:rPr>
              <w:t>4</w:t>
            </w:r>
            <w:r w:rsidR="000955D5">
              <w:rPr>
                <w:sz w:val="20"/>
                <w:szCs w:val="20"/>
                <w:lang w:val="fr-CA" w:eastAsia="en-CA"/>
              </w:rPr>
              <w:t xml:space="preserve"> </w:t>
            </w:r>
            <w:r w:rsidRPr="005F4F67">
              <w:rPr>
                <w:sz w:val="20"/>
                <w:szCs w:val="20"/>
                <w:lang w:val="fr-CA" w:eastAsia="en-CA"/>
              </w:rPr>
              <w:t>262</w:t>
            </w:r>
            <w:r w:rsidR="000955D5">
              <w:rPr>
                <w:sz w:val="20"/>
                <w:szCs w:val="20"/>
                <w:lang w:val="fr-CA" w:eastAsia="en-CA"/>
              </w:rPr>
              <w:t xml:space="preserve"> </w:t>
            </w:r>
            <w:r w:rsidRPr="005F4F67">
              <w:rPr>
                <w:sz w:val="20"/>
                <w:szCs w:val="20"/>
                <w:lang w:val="fr-CA" w:eastAsia="en-CA"/>
              </w:rPr>
              <w:t>650</w:t>
            </w:r>
          </w:p>
        </w:tc>
        <w:tc>
          <w:tcPr>
            <w:tcW w:w="1016" w:type="dxa"/>
            <w:shd w:val="clear" w:color="auto" w:fill="auto"/>
            <w:noWrap/>
            <w:tcMar>
              <w:left w:w="115" w:type="dxa"/>
              <w:right w:w="0" w:type="dxa"/>
            </w:tcMar>
            <w:hideMark/>
          </w:tcPr>
          <w:p w14:paraId="0E703D8B" w14:textId="06648D3A" w:rsidR="008D4D07" w:rsidRPr="005F4F67" w:rsidRDefault="008D4D07" w:rsidP="001E39EE">
            <w:pPr>
              <w:jc w:val="right"/>
              <w:rPr>
                <w:sz w:val="20"/>
                <w:szCs w:val="20"/>
                <w:lang w:val="fr-CA" w:eastAsia="en-CA"/>
              </w:rPr>
            </w:pPr>
            <w:r w:rsidRPr="005F4F67">
              <w:rPr>
                <w:sz w:val="20"/>
                <w:szCs w:val="20"/>
                <w:lang w:val="fr-CA" w:eastAsia="en-CA"/>
              </w:rPr>
              <w:t>1</w:t>
            </w:r>
            <w:r w:rsidR="000955D5">
              <w:rPr>
                <w:sz w:val="20"/>
                <w:szCs w:val="20"/>
                <w:lang w:val="fr-CA" w:eastAsia="en-CA"/>
              </w:rPr>
              <w:t xml:space="preserve"> </w:t>
            </w:r>
            <w:r w:rsidRPr="005F4F67">
              <w:rPr>
                <w:sz w:val="20"/>
                <w:szCs w:val="20"/>
                <w:lang w:val="fr-CA" w:eastAsia="en-CA"/>
              </w:rPr>
              <w:t>114</w:t>
            </w:r>
            <w:r w:rsidR="000955D5">
              <w:rPr>
                <w:sz w:val="20"/>
                <w:szCs w:val="20"/>
                <w:lang w:val="fr-CA" w:eastAsia="en-CA"/>
              </w:rPr>
              <w:t xml:space="preserve"> </w:t>
            </w:r>
            <w:r w:rsidRPr="005F4F67">
              <w:rPr>
                <w:sz w:val="20"/>
                <w:szCs w:val="20"/>
                <w:lang w:val="fr-CA" w:eastAsia="en-CA"/>
              </w:rPr>
              <w:t>797</w:t>
            </w:r>
          </w:p>
        </w:tc>
        <w:tc>
          <w:tcPr>
            <w:tcW w:w="1112" w:type="dxa"/>
            <w:shd w:val="clear" w:color="auto" w:fill="auto"/>
            <w:noWrap/>
            <w:hideMark/>
          </w:tcPr>
          <w:p w14:paraId="02F5BA7E" w14:textId="77777777" w:rsidR="008D4D07" w:rsidRPr="005F4F67" w:rsidRDefault="008D4D07" w:rsidP="001E39EE">
            <w:pPr>
              <w:jc w:val="right"/>
              <w:rPr>
                <w:sz w:val="20"/>
                <w:szCs w:val="20"/>
                <w:lang w:val="fr-CA" w:eastAsia="en-CA"/>
              </w:rPr>
            </w:pPr>
            <w:r w:rsidRPr="005F4F67">
              <w:rPr>
                <w:sz w:val="20"/>
                <w:szCs w:val="20"/>
                <w:lang w:val="fr-CA" w:eastAsia="en-CA"/>
              </w:rPr>
              <w:t>79</w:t>
            </w:r>
          </w:p>
        </w:tc>
      </w:tr>
      <w:tr w:rsidR="008D4D07" w:rsidRPr="005F4F67" w14:paraId="34AE5342" w14:textId="77777777" w:rsidTr="00563674">
        <w:trPr>
          <w:gridAfter w:val="1"/>
          <w:wAfter w:w="8" w:type="dxa"/>
        </w:trPr>
        <w:tc>
          <w:tcPr>
            <w:tcW w:w="1805" w:type="dxa"/>
            <w:shd w:val="clear" w:color="auto" w:fill="auto"/>
            <w:tcMar>
              <w:left w:w="29" w:type="dxa"/>
              <w:right w:w="0" w:type="dxa"/>
            </w:tcMar>
            <w:hideMark/>
          </w:tcPr>
          <w:p w14:paraId="2819DD7F" w14:textId="2A05D57E" w:rsidR="008D4D07" w:rsidRPr="005F4F67" w:rsidRDefault="000955D5" w:rsidP="001E39EE">
            <w:pPr>
              <w:jc w:val="left"/>
              <w:rPr>
                <w:sz w:val="20"/>
                <w:szCs w:val="20"/>
                <w:lang w:val="fr-CA" w:eastAsia="en-CA"/>
              </w:rPr>
            </w:pPr>
            <w:r>
              <w:rPr>
                <w:sz w:val="20"/>
                <w:szCs w:val="20"/>
                <w:lang w:val="fr-CA" w:eastAsia="en-CA"/>
              </w:rPr>
              <w:t>Préparation de projet</w:t>
            </w:r>
          </w:p>
        </w:tc>
        <w:tc>
          <w:tcPr>
            <w:tcW w:w="992" w:type="dxa"/>
            <w:shd w:val="clear" w:color="auto" w:fill="auto"/>
            <w:noWrap/>
            <w:tcMar>
              <w:left w:w="115" w:type="dxa"/>
              <w:right w:w="0" w:type="dxa"/>
            </w:tcMar>
            <w:hideMark/>
          </w:tcPr>
          <w:p w14:paraId="03531939" w14:textId="77777777" w:rsidR="008D4D07" w:rsidRPr="005F4F67" w:rsidRDefault="008D4D07" w:rsidP="001E39EE">
            <w:pPr>
              <w:jc w:val="right"/>
              <w:rPr>
                <w:sz w:val="20"/>
                <w:szCs w:val="20"/>
                <w:lang w:val="fr-CA" w:eastAsia="en-CA"/>
              </w:rPr>
            </w:pPr>
            <w:r w:rsidRPr="005F4F67">
              <w:rPr>
                <w:sz w:val="20"/>
                <w:szCs w:val="20"/>
                <w:lang w:val="fr-CA" w:eastAsia="en-CA"/>
              </w:rPr>
              <w:t>3</w:t>
            </w:r>
          </w:p>
        </w:tc>
        <w:tc>
          <w:tcPr>
            <w:tcW w:w="988" w:type="dxa"/>
            <w:shd w:val="clear" w:color="auto" w:fill="auto"/>
            <w:noWrap/>
            <w:tcMar>
              <w:left w:w="115" w:type="dxa"/>
              <w:right w:w="0" w:type="dxa"/>
            </w:tcMar>
            <w:hideMark/>
          </w:tcPr>
          <w:p w14:paraId="25FB4925" w14:textId="77777777" w:rsidR="008D4D07" w:rsidRPr="005F4F67" w:rsidRDefault="008D4D07" w:rsidP="001E39EE">
            <w:pPr>
              <w:jc w:val="right"/>
              <w:rPr>
                <w:sz w:val="20"/>
                <w:szCs w:val="20"/>
                <w:lang w:val="fr-CA" w:eastAsia="en-CA"/>
              </w:rPr>
            </w:pPr>
            <w:r w:rsidRPr="005F4F67">
              <w:rPr>
                <w:sz w:val="20"/>
                <w:szCs w:val="20"/>
                <w:lang w:val="fr-CA" w:eastAsia="en-CA"/>
              </w:rPr>
              <w:t>2</w:t>
            </w:r>
          </w:p>
        </w:tc>
        <w:tc>
          <w:tcPr>
            <w:tcW w:w="1260" w:type="dxa"/>
            <w:shd w:val="clear" w:color="auto" w:fill="auto"/>
            <w:noWrap/>
            <w:tcMar>
              <w:left w:w="115" w:type="dxa"/>
              <w:right w:w="0" w:type="dxa"/>
            </w:tcMar>
            <w:hideMark/>
          </w:tcPr>
          <w:p w14:paraId="3431D514" w14:textId="77777777" w:rsidR="008D4D07" w:rsidRPr="005F4F67" w:rsidRDefault="008D4D07" w:rsidP="001E39EE">
            <w:pPr>
              <w:jc w:val="right"/>
              <w:rPr>
                <w:sz w:val="20"/>
                <w:szCs w:val="20"/>
                <w:lang w:val="fr-CA" w:eastAsia="en-CA"/>
              </w:rPr>
            </w:pPr>
            <w:r w:rsidRPr="005F4F67">
              <w:rPr>
                <w:sz w:val="20"/>
                <w:szCs w:val="20"/>
                <w:lang w:val="fr-CA" w:eastAsia="en-CA"/>
              </w:rPr>
              <w:t>67</w:t>
            </w:r>
          </w:p>
        </w:tc>
        <w:tc>
          <w:tcPr>
            <w:tcW w:w="1080" w:type="dxa"/>
            <w:gridSpan w:val="2"/>
            <w:shd w:val="clear" w:color="auto" w:fill="auto"/>
            <w:tcMar>
              <w:left w:w="115" w:type="dxa"/>
              <w:right w:w="0" w:type="dxa"/>
            </w:tcMar>
            <w:hideMark/>
          </w:tcPr>
          <w:p w14:paraId="76C8396D" w14:textId="133250E1" w:rsidR="008D4D07" w:rsidRPr="005F4F67" w:rsidRDefault="008D4D07" w:rsidP="001E39EE">
            <w:pPr>
              <w:jc w:val="right"/>
              <w:rPr>
                <w:sz w:val="20"/>
                <w:szCs w:val="20"/>
                <w:lang w:val="fr-CA" w:eastAsia="en-CA"/>
              </w:rPr>
            </w:pPr>
            <w:r w:rsidRPr="005F4F67">
              <w:rPr>
                <w:sz w:val="20"/>
                <w:szCs w:val="20"/>
                <w:lang w:val="fr-CA" w:eastAsia="en-CA"/>
              </w:rPr>
              <w:t>159</w:t>
            </w:r>
            <w:r w:rsidR="000955D5">
              <w:rPr>
                <w:sz w:val="20"/>
                <w:szCs w:val="20"/>
                <w:lang w:val="fr-CA" w:eastAsia="en-CA"/>
              </w:rPr>
              <w:t xml:space="preserve"> </w:t>
            </w:r>
            <w:r w:rsidRPr="005F4F67">
              <w:rPr>
                <w:sz w:val="20"/>
                <w:szCs w:val="20"/>
                <w:lang w:val="fr-CA" w:eastAsia="en-CA"/>
              </w:rPr>
              <w:t>816</w:t>
            </w:r>
          </w:p>
        </w:tc>
        <w:tc>
          <w:tcPr>
            <w:tcW w:w="1120" w:type="dxa"/>
            <w:shd w:val="clear" w:color="auto" w:fill="auto"/>
            <w:tcMar>
              <w:left w:w="115" w:type="dxa"/>
              <w:right w:w="0" w:type="dxa"/>
            </w:tcMar>
            <w:hideMark/>
          </w:tcPr>
          <w:p w14:paraId="7A5010A4" w14:textId="4716F6A2" w:rsidR="008D4D07" w:rsidRPr="005F4F67" w:rsidRDefault="008D4D07" w:rsidP="001E39EE">
            <w:pPr>
              <w:jc w:val="right"/>
              <w:rPr>
                <w:sz w:val="20"/>
                <w:szCs w:val="20"/>
                <w:lang w:val="fr-CA" w:eastAsia="en-CA"/>
              </w:rPr>
            </w:pPr>
            <w:r w:rsidRPr="005F4F67">
              <w:rPr>
                <w:sz w:val="20"/>
                <w:szCs w:val="20"/>
                <w:lang w:val="fr-CA" w:eastAsia="en-CA"/>
              </w:rPr>
              <w:t>129</w:t>
            </w:r>
            <w:r w:rsidR="000955D5">
              <w:rPr>
                <w:sz w:val="20"/>
                <w:szCs w:val="20"/>
                <w:lang w:val="fr-CA" w:eastAsia="en-CA"/>
              </w:rPr>
              <w:t xml:space="preserve"> </w:t>
            </w:r>
            <w:r w:rsidRPr="005F4F67">
              <w:rPr>
                <w:sz w:val="20"/>
                <w:szCs w:val="20"/>
                <w:lang w:val="fr-CA" w:eastAsia="en-CA"/>
              </w:rPr>
              <w:t>510</w:t>
            </w:r>
          </w:p>
        </w:tc>
        <w:tc>
          <w:tcPr>
            <w:tcW w:w="1016" w:type="dxa"/>
            <w:shd w:val="clear" w:color="auto" w:fill="auto"/>
            <w:tcMar>
              <w:left w:w="115" w:type="dxa"/>
              <w:right w:w="0" w:type="dxa"/>
            </w:tcMar>
            <w:hideMark/>
          </w:tcPr>
          <w:p w14:paraId="6C9B6221" w14:textId="4AEC083F" w:rsidR="008D4D07" w:rsidRPr="005F4F67" w:rsidRDefault="008D4D07" w:rsidP="001E39EE">
            <w:pPr>
              <w:jc w:val="right"/>
              <w:rPr>
                <w:sz w:val="20"/>
                <w:szCs w:val="20"/>
                <w:lang w:val="fr-CA" w:eastAsia="en-CA"/>
              </w:rPr>
            </w:pPr>
            <w:r w:rsidRPr="005F4F67">
              <w:rPr>
                <w:sz w:val="20"/>
                <w:szCs w:val="20"/>
                <w:lang w:val="fr-CA" w:eastAsia="en-CA"/>
              </w:rPr>
              <w:t>30</w:t>
            </w:r>
            <w:r w:rsidR="000955D5">
              <w:rPr>
                <w:sz w:val="20"/>
                <w:szCs w:val="20"/>
                <w:lang w:val="fr-CA" w:eastAsia="en-CA"/>
              </w:rPr>
              <w:t xml:space="preserve"> </w:t>
            </w:r>
            <w:r w:rsidRPr="005F4F67">
              <w:rPr>
                <w:sz w:val="20"/>
                <w:szCs w:val="20"/>
                <w:lang w:val="fr-CA" w:eastAsia="en-CA"/>
              </w:rPr>
              <w:t>306</w:t>
            </w:r>
          </w:p>
        </w:tc>
        <w:tc>
          <w:tcPr>
            <w:tcW w:w="1112" w:type="dxa"/>
            <w:shd w:val="clear" w:color="auto" w:fill="auto"/>
            <w:noWrap/>
            <w:hideMark/>
          </w:tcPr>
          <w:p w14:paraId="20108440" w14:textId="77777777" w:rsidR="008D4D07" w:rsidRPr="005F4F67" w:rsidRDefault="008D4D07" w:rsidP="001E39EE">
            <w:pPr>
              <w:jc w:val="right"/>
              <w:rPr>
                <w:sz w:val="20"/>
                <w:szCs w:val="20"/>
                <w:lang w:val="fr-CA" w:eastAsia="en-CA"/>
              </w:rPr>
            </w:pPr>
            <w:r w:rsidRPr="005F4F67">
              <w:rPr>
                <w:sz w:val="20"/>
                <w:szCs w:val="20"/>
                <w:lang w:val="fr-CA" w:eastAsia="en-CA"/>
              </w:rPr>
              <w:t>81</w:t>
            </w:r>
          </w:p>
        </w:tc>
      </w:tr>
      <w:tr w:rsidR="008D4D07" w:rsidRPr="005F4F67" w14:paraId="5D66B117" w14:textId="77777777" w:rsidTr="00563674">
        <w:trPr>
          <w:gridAfter w:val="1"/>
          <w:wAfter w:w="8" w:type="dxa"/>
        </w:trPr>
        <w:tc>
          <w:tcPr>
            <w:tcW w:w="1805" w:type="dxa"/>
            <w:shd w:val="clear" w:color="auto" w:fill="auto"/>
            <w:tcMar>
              <w:left w:w="29" w:type="dxa"/>
              <w:right w:w="0" w:type="dxa"/>
            </w:tcMar>
            <w:hideMark/>
          </w:tcPr>
          <w:p w14:paraId="1EBCD3CF" w14:textId="3D6E059F" w:rsidR="008D4D07" w:rsidRPr="005F4F67" w:rsidRDefault="000955D5" w:rsidP="001E39EE">
            <w:pPr>
              <w:jc w:val="left"/>
              <w:rPr>
                <w:sz w:val="20"/>
                <w:szCs w:val="20"/>
                <w:lang w:val="fr-CA" w:eastAsia="en-CA"/>
              </w:rPr>
            </w:pPr>
            <w:r>
              <w:rPr>
                <w:sz w:val="20"/>
                <w:szCs w:val="20"/>
                <w:lang w:val="fr-CA" w:eastAsia="en-CA"/>
              </w:rPr>
              <w:t>Assistance technique, activités de facilitation</w:t>
            </w:r>
          </w:p>
        </w:tc>
        <w:tc>
          <w:tcPr>
            <w:tcW w:w="992" w:type="dxa"/>
            <w:shd w:val="clear" w:color="auto" w:fill="auto"/>
            <w:noWrap/>
            <w:tcMar>
              <w:left w:w="115" w:type="dxa"/>
              <w:right w:w="0" w:type="dxa"/>
            </w:tcMar>
            <w:hideMark/>
          </w:tcPr>
          <w:p w14:paraId="4D1674F4" w14:textId="77777777" w:rsidR="008D4D07" w:rsidRPr="005F4F67" w:rsidRDefault="008D4D07" w:rsidP="001E39EE">
            <w:pPr>
              <w:jc w:val="right"/>
              <w:rPr>
                <w:sz w:val="20"/>
                <w:szCs w:val="20"/>
                <w:lang w:val="fr-CA" w:eastAsia="en-CA"/>
              </w:rPr>
            </w:pPr>
            <w:r w:rsidRPr="005F4F67">
              <w:rPr>
                <w:sz w:val="20"/>
                <w:szCs w:val="20"/>
                <w:lang w:val="fr-CA" w:eastAsia="en-CA"/>
              </w:rPr>
              <w:t>29</w:t>
            </w:r>
          </w:p>
        </w:tc>
        <w:tc>
          <w:tcPr>
            <w:tcW w:w="988" w:type="dxa"/>
            <w:shd w:val="clear" w:color="auto" w:fill="auto"/>
            <w:tcMar>
              <w:left w:w="115" w:type="dxa"/>
              <w:right w:w="0" w:type="dxa"/>
            </w:tcMar>
            <w:hideMark/>
          </w:tcPr>
          <w:p w14:paraId="71919CCA" w14:textId="77777777" w:rsidR="008D4D07" w:rsidRPr="005F4F67" w:rsidRDefault="008D4D07" w:rsidP="001E39EE">
            <w:pPr>
              <w:jc w:val="right"/>
              <w:rPr>
                <w:sz w:val="20"/>
                <w:szCs w:val="20"/>
                <w:lang w:val="fr-CA" w:eastAsia="en-CA"/>
              </w:rPr>
            </w:pPr>
            <w:r w:rsidRPr="005F4F67">
              <w:rPr>
                <w:sz w:val="20"/>
                <w:szCs w:val="20"/>
                <w:lang w:val="fr-CA" w:eastAsia="en-CA"/>
              </w:rPr>
              <w:t>0</w:t>
            </w:r>
          </w:p>
        </w:tc>
        <w:tc>
          <w:tcPr>
            <w:tcW w:w="1260" w:type="dxa"/>
            <w:shd w:val="clear" w:color="auto" w:fill="auto"/>
            <w:noWrap/>
            <w:tcMar>
              <w:left w:w="115" w:type="dxa"/>
              <w:right w:w="0" w:type="dxa"/>
            </w:tcMar>
            <w:hideMark/>
          </w:tcPr>
          <w:p w14:paraId="7A38DDA7" w14:textId="77777777" w:rsidR="008D4D07" w:rsidRPr="005F4F67" w:rsidRDefault="008D4D07" w:rsidP="001E39EE">
            <w:pPr>
              <w:jc w:val="right"/>
              <w:rPr>
                <w:sz w:val="20"/>
                <w:szCs w:val="20"/>
                <w:lang w:val="fr-CA" w:eastAsia="en-CA"/>
              </w:rPr>
            </w:pPr>
            <w:r w:rsidRPr="005F4F67">
              <w:rPr>
                <w:sz w:val="20"/>
                <w:szCs w:val="20"/>
                <w:lang w:val="fr-CA" w:eastAsia="en-CA"/>
              </w:rPr>
              <w:t>0</w:t>
            </w:r>
          </w:p>
        </w:tc>
        <w:tc>
          <w:tcPr>
            <w:tcW w:w="1080" w:type="dxa"/>
            <w:gridSpan w:val="2"/>
            <w:shd w:val="clear" w:color="auto" w:fill="auto"/>
            <w:tcMar>
              <w:left w:w="115" w:type="dxa"/>
              <w:right w:w="0" w:type="dxa"/>
            </w:tcMar>
            <w:hideMark/>
          </w:tcPr>
          <w:p w14:paraId="729C3BA3" w14:textId="56452326" w:rsidR="008D4D07" w:rsidRPr="005F4F67" w:rsidRDefault="008D4D07" w:rsidP="001E39EE">
            <w:pPr>
              <w:jc w:val="right"/>
              <w:rPr>
                <w:sz w:val="20"/>
                <w:szCs w:val="20"/>
                <w:lang w:val="fr-CA" w:eastAsia="en-CA"/>
              </w:rPr>
            </w:pPr>
            <w:r w:rsidRPr="005F4F67">
              <w:rPr>
                <w:sz w:val="20"/>
                <w:szCs w:val="20"/>
                <w:lang w:val="fr-CA" w:eastAsia="en-CA"/>
              </w:rPr>
              <w:t>3</w:t>
            </w:r>
            <w:r w:rsidR="000955D5">
              <w:rPr>
                <w:sz w:val="20"/>
                <w:szCs w:val="20"/>
                <w:lang w:val="fr-CA" w:eastAsia="en-CA"/>
              </w:rPr>
              <w:t xml:space="preserve"> </w:t>
            </w:r>
            <w:r w:rsidRPr="005F4F67">
              <w:rPr>
                <w:sz w:val="20"/>
                <w:szCs w:val="20"/>
                <w:lang w:val="fr-CA" w:eastAsia="en-CA"/>
              </w:rPr>
              <w:t>340</w:t>
            </w:r>
            <w:r w:rsidR="000955D5">
              <w:rPr>
                <w:sz w:val="20"/>
                <w:szCs w:val="20"/>
                <w:lang w:val="fr-CA" w:eastAsia="en-CA"/>
              </w:rPr>
              <w:t xml:space="preserve"> </w:t>
            </w:r>
            <w:r w:rsidRPr="005F4F67">
              <w:rPr>
                <w:sz w:val="20"/>
                <w:szCs w:val="20"/>
                <w:lang w:val="fr-CA" w:eastAsia="en-CA"/>
              </w:rPr>
              <w:t>000</w:t>
            </w:r>
          </w:p>
        </w:tc>
        <w:tc>
          <w:tcPr>
            <w:tcW w:w="1120" w:type="dxa"/>
            <w:shd w:val="clear" w:color="auto" w:fill="auto"/>
            <w:tcMar>
              <w:left w:w="115" w:type="dxa"/>
              <w:right w:w="0" w:type="dxa"/>
            </w:tcMar>
            <w:hideMark/>
          </w:tcPr>
          <w:p w14:paraId="6EA8D2AD" w14:textId="62C71960" w:rsidR="008D4D07" w:rsidRPr="005F4F67" w:rsidRDefault="008D4D07" w:rsidP="001E39EE">
            <w:pPr>
              <w:jc w:val="right"/>
              <w:rPr>
                <w:sz w:val="20"/>
                <w:szCs w:val="20"/>
                <w:lang w:val="fr-CA" w:eastAsia="en-CA"/>
              </w:rPr>
            </w:pPr>
            <w:r w:rsidRPr="005F4F67">
              <w:rPr>
                <w:sz w:val="20"/>
                <w:szCs w:val="20"/>
                <w:lang w:val="fr-CA" w:eastAsia="en-CA"/>
              </w:rPr>
              <w:t>1</w:t>
            </w:r>
            <w:r w:rsidR="000955D5">
              <w:rPr>
                <w:sz w:val="20"/>
                <w:szCs w:val="20"/>
                <w:lang w:val="fr-CA" w:eastAsia="en-CA"/>
              </w:rPr>
              <w:t xml:space="preserve"> </w:t>
            </w:r>
            <w:r w:rsidRPr="005F4F67">
              <w:rPr>
                <w:sz w:val="20"/>
                <w:szCs w:val="20"/>
                <w:lang w:val="fr-CA" w:eastAsia="en-CA"/>
              </w:rPr>
              <w:t>040</w:t>
            </w:r>
            <w:r w:rsidR="000955D5">
              <w:rPr>
                <w:sz w:val="20"/>
                <w:szCs w:val="20"/>
                <w:lang w:val="fr-CA" w:eastAsia="en-CA"/>
              </w:rPr>
              <w:t xml:space="preserve"> </w:t>
            </w:r>
            <w:r w:rsidRPr="005F4F67">
              <w:rPr>
                <w:sz w:val="20"/>
                <w:szCs w:val="20"/>
                <w:lang w:val="fr-CA" w:eastAsia="en-CA"/>
              </w:rPr>
              <w:t>636</w:t>
            </w:r>
          </w:p>
        </w:tc>
        <w:tc>
          <w:tcPr>
            <w:tcW w:w="1016" w:type="dxa"/>
            <w:shd w:val="clear" w:color="auto" w:fill="auto"/>
            <w:tcMar>
              <w:left w:w="115" w:type="dxa"/>
              <w:right w:w="0" w:type="dxa"/>
            </w:tcMar>
            <w:hideMark/>
          </w:tcPr>
          <w:p w14:paraId="5DA7176E" w14:textId="714FA88F" w:rsidR="008D4D07" w:rsidRPr="005F4F67" w:rsidRDefault="008D4D07" w:rsidP="001E39EE">
            <w:pPr>
              <w:jc w:val="right"/>
              <w:rPr>
                <w:sz w:val="20"/>
                <w:szCs w:val="20"/>
                <w:lang w:val="fr-CA" w:eastAsia="en-CA"/>
              </w:rPr>
            </w:pPr>
            <w:r w:rsidRPr="005F4F67">
              <w:rPr>
                <w:sz w:val="20"/>
                <w:szCs w:val="20"/>
                <w:lang w:val="fr-CA" w:eastAsia="en-CA"/>
              </w:rPr>
              <w:t>2</w:t>
            </w:r>
            <w:r w:rsidR="000955D5">
              <w:rPr>
                <w:sz w:val="20"/>
                <w:szCs w:val="20"/>
                <w:lang w:val="fr-CA" w:eastAsia="en-CA"/>
              </w:rPr>
              <w:t xml:space="preserve"> </w:t>
            </w:r>
            <w:r w:rsidRPr="005F4F67">
              <w:rPr>
                <w:sz w:val="20"/>
                <w:szCs w:val="20"/>
                <w:lang w:val="fr-CA" w:eastAsia="en-CA"/>
              </w:rPr>
              <w:t>299</w:t>
            </w:r>
            <w:r w:rsidR="000955D5">
              <w:rPr>
                <w:sz w:val="20"/>
                <w:szCs w:val="20"/>
                <w:lang w:val="fr-CA" w:eastAsia="en-CA"/>
              </w:rPr>
              <w:t xml:space="preserve"> </w:t>
            </w:r>
            <w:r w:rsidRPr="005F4F67">
              <w:rPr>
                <w:sz w:val="20"/>
                <w:szCs w:val="20"/>
                <w:lang w:val="fr-CA" w:eastAsia="en-CA"/>
              </w:rPr>
              <w:t>364</w:t>
            </w:r>
          </w:p>
        </w:tc>
        <w:tc>
          <w:tcPr>
            <w:tcW w:w="1112" w:type="dxa"/>
            <w:shd w:val="clear" w:color="auto" w:fill="auto"/>
            <w:noWrap/>
            <w:hideMark/>
          </w:tcPr>
          <w:p w14:paraId="6E3AB60B" w14:textId="77777777" w:rsidR="008D4D07" w:rsidRPr="005F4F67" w:rsidRDefault="008D4D07" w:rsidP="001E39EE">
            <w:pPr>
              <w:jc w:val="right"/>
              <w:rPr>
                <w:sz w:val="20"/>
                <w:szCs w:val="20"/>
                <w:lang w:val="fr-CA" w:eastAsia="en-CA"/>
              </w:rPr>
            </w:pPr>
            <w:r w:rsidRPr="005F4F67">
              <w:rPr>
                <w:sz w:val="20"/>
                <w:szCs w:val="20"/>
                <w:lang w:val="fr-CA" w:eastAsia="en-CA"/>
              </w:rPr>
              <w:t>31</w:t>
            </w:r>
          </w:p>
        </w:tc>
      </w:tr>
      <w:tr w:rsidR="008D4D07" w:rsidRPr="005F4F67" w14:paraId="61D79021" w14:textId="77777777" w:rsidTr="00563674">
        <w:trPr>
          <w:gridAfter w:val="1"/>
          <w:wAfter w:w="8" w:type="dxa"/>
        </w:trPr>
        <w:tc>
          <w:tcPr>
            <w:tcW w:w="1805" w:type="dxa"/>
            <w:shd w:val="clear" w:color="auto" w:fill="auto"/>
            <w:tcMar>
              <w:left w:w="29" w:type="dxa"/>
              <w:right w:w="0" w:type="dxa"/>
            </w:tcMar>
            <w:hideMark/>
          </w:tcPr>
          <w:p w14:paraId="47A4AB2D" w14:textId="77777777" w:rsidR="008D4D07" w:rsidRPr="005F4F67" w:rsidRDefault="008D4D07" w:rsidP="001E39EE">
            <w:pPr>
              <w:jc w:val="left"/>
              <w:rPr>
                <w:b/>
                <w:bCs/>
                <w:sz w:val="20"/>
                <w:szCs w:val="20"/>
                <w:lang w:val="fr-CA" w:eastAsia="en-CA"/>
              </w:rPr>
            </w:pPr>
            <w:r w:rsidRPr="005F4F67">
              <w:rPr>
                <w:b/>
                <w:bCs/>
                <w:sz w:val="20"/>
                <w:szCs w:val="20"/>
                <w:lang w:val="fr-CA" w:eastAsia="en-CA"/>
              </w:rPr>
              <w:t>Total</w:t>
            </w:r>
          </w:p>
        </w:tc>
        <w:tc>
          <w:tcPr>
            <w:tcW w:w="992" w:type="dxa"/>
            <w:shd w:val="clear" w:color="auto" w:fill="auto"/>
            <w:noWrap/>
            <w:tcMar>
              <w:left w:w="115" w:type="dxa"/>
              <w:right w:w="0" w:type="dxa"/>
            </w:tcMar>
            <w:hideMark/>
          </w:tcPr>
          <w:p w14:paraId="1347C5CD" w14:textId="77777777" w:rsidR="008D4D07" w:rsidRPr="005F4F67" w:rsidRDefault="008D4D07" w:rsidP="001E39EE">
            <w:pPr>
              <w:jc w:val="right"/>
              <w:rPr>
                <w:b/>
                <w:bCs/>
                <w:sz w:val="20"/>
                <w:szCs w:val="20"/>
                <w:lang w:val="fr-CA" w:eastAsia="en-CA"/>
              </w:rPr>
            </w:pPr>
            <w:r w:rsidRPr="005F4F67">
              <w:rPr>
                <w:b/>
                <w:bCs/>
                <w:sz w:val="20"/>
                <w:szCs w:val="20"/>
                <w:lang w:val="fr-CA" w:eastAsia="en-CA"/>
              </w:rPr>
              <w:t>40</w:t>
            </w:r>
          </w:p>
        </w:tc>
        <w:tc>
          <w:tcPr>
            <w:tcW w:w="988" w:type="dxa"/>
            <w:shd w:val="clear" w:color="auto" w:fill="auto"/>
            <w:noWrap/>
            <w:tcMar>
              <w:left w:w="115" w:type="dxa"/>
              <w:right w:w="0" w:type="dxa"/>
            </w:tcMar>
            <w:hideMark/>
          </w:tcPr>
          <w:p w14:paraId="437C04E4" w14:textId="77777777" w:rsidR="008D4D07" w:rsidRPr="005F4F67" w:rsidRDefault="008D4D07" w:rsidP="001E39EE">
            <w:pPr>
              <w:jc w:val="right"/>
              <w:rPr>
                <w:b/>
                <w:bCs/>
                <w:sz w:val="20"/>
                <w:szCs w:val="20"/>
                <w:lang w:val="fr-CA" w:eastAsia="en-CA"/>
              </w:rPr>
            </w:pPr>
            <w:r w:rsidRPr="005F4F67">
              <w:rPr>
                <w:b/>
                <w:bCs/>
                <w:sz w:val="20"/>
                <w:szCs w:val="20"/>
                <w:lang w:val="fr-CA" w:eastAsia="en-CA"/>
              </w:rPr>
              <w:t>7</w:t>
            </w:r>
          </w:p>
        </w:tc>
        <w:tc>
          <w:tcPr>
            <w:tcW w:w="1260" w:type="dxa"/>
            <w:shd w:val="clear" w:color="auto" w:fill="auto"/>
            <w:noWrap/>
            <w:tcMar>
              <w:left w:w="115" w:type="dxa"/>
              <w:right w:w="0" w:type="dxa"/>
            </w:tcMar>
            <w:hideMark/>
          </w:tcPr>
          <w:p w14:paraId="07D47A3F" w14:textId="77777777" w:rsidR="008D4D07" w:rsidRPr="005F4F67" w:rsidRDefault="008D4D07" w:rsidP="001E39EE">
            <w:pPr>
              <w:jc w:val="right"/>
              <w:rPr>
                <w:b/>
                <w:bCs/>
                <w:sz w:val="20"/>
                <w:szCs w:val="20"/>
                <w:lang w:val="fr-CA" w:eastAsia="en-CA"/>
              </w:rPr>
            </w:pPr>
            <w:r w:rsidRPr="005F4F67">
              <w:rPr>
                <w:b/>
                <w:bCs/>
                <w:sz w:val="20"/>
                <w:szCs w:val="20"/>
                <w:lang w:val="fr-CA" w:eastAsia="en-CA"/>
              </w:rPr>
              <w:t>18</w:t>
            </w:r>
          </w:p>
        </w:tc>
        <w:tc>
          <w:tcPr>
            <w:tcW w:w="1080" w:type="dxa"/>
            <w:gridSpan w:val="2"/>
            <w:shd w:val="clear" w:color="auto" w:fill="auto"/>
            <w:tcMar>
              <w:left w:w="115" w:type="dxa"/>
              <w:right w:w="0" w:type="dxa"/>
            </w:tcMar>
            <w:hideMark/>
          </w:tcPr>
          <w:p w14:paraId="7D626713" w14:textId="6D90558A" w:rsidR="008D4D07" w:rsidRPr="005F4F67" w:rsidRDefault="008D4D07" w:rsidP="001E39EE">
            <w:pPr>
              <w:jc w:val="right"/>
              <w:rPr>
                <w:b/>
                <w:bCs/>
                <w:sz w:val="20"/>
                <w:szCs w:val="20"/>
                <w:lang w:val="fr-CA" w:eastAsia="en-CA"/>
              </w:rPr>
            </w:pPr>
            <w:r w:rsidRPr="005F4F67">
              <w:rPr>
                <w:b/>
                <w:bCs/>
                <w:sz w:val="20"/>
                <w:szCs w:val="20"/>
                <w:lang w:val="fr-CA" w:eastAsia="en-CA"/>
              </w:rPr>
              <w:t>8</w:t>
            </w:r>
            <w:r w:rsidR="000955D5">
              <w:rPr>
                <w:b/>
                <w:bCs/>
                <w:sz w:val="20"/>
                <w:szCs w:val="20"/>
                <w:lang w:val="fr-CA" w:eastAsia="en-CA"/>
              </w:rPr>
              <w:t xml:space="preserve"> </w:t>
            </w:r>
            <w:r w:rsidRPr="005F4F67">
              <w:rPr>
                <w:b/>
                <w:bCs/>
                <w:sz w:val="20"/>
                <w:szCs w:val="20"/>
                <w:lang w:val="fr-CA" w:eastAsia="en-CA"/>
              </w:rPr>
              <w:t>877</w:t>
            </w:r>
            <w:r w:rsidR="000955D5">
              <w:rPr>
                <w:b/>
                <w:bCs/>
                <w:sz w:val="20"/>
                <w:szCs w:val="20"/>
                <w:lang w:val="fr-CA" w:eastAsia="en-CA"/>
              </w:rPr>
              <w:t xml:space="preserve"> </w:t>
            </w:r>
            <w:r w:rsidRPr="005F4F67">
              <w:rPr>
                <w:b/>
                <w:bCs/>
                <w:sz w:val="20"/>
                <w:szCs w:val="20"/>
                <w:lang w:val="fr-CA" w:eastAsia="en-CA"/>
              </w:rPr>
              <w:t>263</w:t>
            </w:r>
          </w:p>
        </w:tc>
        <w:tc>
          <w:tcPr>
            <w:tcW w:w="1120" w:type="dxa"/>
            <w:shd w:val="clear" w:color="auto" w:fill="auto"/>
            <w:tcMar>
              <w:left w:w="115" w:type="dxa"/>
              <w:right w:w="0" w:type="dxa"/>
            </w:tcMar>
            <w:hideMark/>
          </w:tcPr>
          <w:p w14:paraId="431939D7" w14:textId="0B530086" w:rsidR="008D4D07" w:rsidRPr="005F4F67" w:rsidRDefault="008D4D07" w:rsidP="001E39EE">
            <w:pPr>
              <w:jc w:val="right"/>
              <w:rPr>
                <w:b/>
                <w:bCs/>
                <w:sz w:val="20"/>
                <w:szCs w:val="20"/>
                <w:lang w:val="fr-CA" w:eastAsia="en-CA"/>
              </w:rPr>
            </w:pPr>
            <w:r w:rsidRPr="005F4F67">
              <w:rPr>
                <w:b/>
                <w:bCs/>
                <w:sz w:val="20"/>
                <w:szCs w:val="20"/>
                <w:lang w:val="fr-CA" w:eastAsia="en-CA"/>
              </w:rPr>
              <w:t>5</w:t>
            </w:r>
            <w:r w:rsidR="000955D5">
              <w:rPr>
                <w:b/>
                <w:bCs/>
                <w:sz w:val="20"/>
                <w:szCs w:val="20"/>
                <w:lang w:val="fr-CA" w:eastAsia="en-CA"/>
              </w:rPr>
              <w:t xml:space="preserve"> </w:t>
            </w:r>
            <w:r w:rsidRPr="005F4F67">
              <w:rPr>
                <w:b/>
                <w:bCs/>
                <w:sz w:val="20"/>
                <w:szCs w:val="20"/>
                <w:lang w:val="fr-CA" w:eastAsia="en-CA"/>
              </w:rPr>
              <w:t>432</w:t>
            </w:r>
            <w:r w:rsidR="000955D5">
              <w:rPr>
                <w:b/>
                <w:bCs/>
                <w:sz w:val="20"/>
                <w:szCs w:val="20"/>
                <w:lang w:val="fr-CA" w:eastAsia="en-CA"/>
              </w:rPr>
              <w:t xml:space="preserve"> </w:t>
            </w:r>
            <w:r w:rsidRPr="005F4F67">
              <w:rPr>
                <w:b/>
                <w:bCs/>
                <w:sz w:val="20"/>
                <w:szCs w:val="20"/>
                <w:lang w:val="fr-CA" w:eastAsia="en-CA"/>
              </w:rPr>
              <w:t>795</w:t>
            </w:r>
          </w:p>
        </w:tc>
        <w:tc>
          <w:tcPr>
            <w:tcW w:w="1016" w:type="dxa"/>
            <w:shd w:val="clear" w:color="auto" w:fill="auto"/>
            <w:tcMar>
              <w:left w:w="115" w:type="dxa"/>
              <w:right w:w="0" w:type="dxa"/>
            </w:tcMar>
            <w:hideMark/>
          </w:tcPr>
          <w:p w14:paraId="39CCC359" w14:textId="43DBD033" w:rsidR="008D4D07" w:rsidRPr="005F4F67" w:rsidRDefault="008D4D07" w:rsidP="001E39EE">
            <w:pPr>
              <w:jc w:val="right"/>
              <w:rPr>
                <w:b/>
                <w:bCs/>
                <w:sz w:val="20"/>
                <w:szCs w:val="20"/>
                <w:lang w:val="fr-CA" w:eastAsia="en-CA"/>
              </w:rPr>
            </w:pPr>
            <w:r w:rsidRPr="005F4F67">
              <w:rPr>
                <w:b/>
                <w:bCs/>
                <w:sz w:val="20"/>
                <w:szCs w:val="20"/>
                <w:lang w:val="fr-CA" w:eastAsia="en-CA"/>
              </w:rPr>
              <w:t>3</w:t>
            </w:r>
            <w:r w:rsidR="000955D5">
              <w:rPr>
                <w:b/>
                <w:bCs/>
                <w:sz w:val="20"/>
                <w:szCs w:val="20"/>
                <w:lang w:val="fr-CA" w:eastAsia="en-CA"/>
              </w:rPr>
              <w:t xml:space="preserve"> </w:t>
            </w:r>
            <w:r w:rsidRPr="005F4F67">
              <w:rPr>
                <w:b/>
                <w:bCs/>
                <w:sz w:val="20"/>
                <w:szCs w:val="20"/>
                <w:lang w:val="fr-CA" w:eastAsia="en-CA"/>
              </w:rPr>
              <w:t>444</w:t>
            </w:r>
            <w:r w:rsidR="000955D5">
              <w:rPr>
                <w:b/>
                <w:bCs/>
                <w:sz w:val="20"/>
                <w:szCs w:val="20"/>
                <w:lang w:val="fr-CA" w:eastAsia="en-CA"/>
              </w:rPr>
              <w:t xml:space="preserve"> </w:t>
            </w:r>
            <w:r w:rsidRPr="005F4F67">
              <w:rPr>
                <w:b/>
                <w:bCs/>
                <w:sz w:val="20"/>
                <w:szCs w:val="20"/>
                <w:lang w:val="fr-CA" w:eastAsia="en-CA"/>
              </w:rPr>
              <w:t>468</w:t>
            </w:r>
          </w:p>
        </w:tc>
        <w:tc>
          <w:tcPr>
            <w:tcW w:w="1112" w:type="dxa"/>
            <w:shd w:val="clear" w:color="auto" w:fill="auto"/>
            <w:noWrap/>
            <w:hideMark/>
          </w:tcPr>
          <w:p w14:paraId="7F6F09CA" w14:textId="77777777" w:rsidR="008D4D07" w:rsidRPr="005F4F67" w:rsidRDefault="008D4D07" w:rsidP="001E39EE">
            <w:pPr>
              <w:jc w:val="right"/>
              <w:rPr>
                <w:b/>
                <w:bCs/>
                <w:sz w:val="20"/>
                <w:szCs w:val="20"/>
                <w:lang w:val="fr-CA" w:eastAsia="en-CA"/>
              </w:rPr>
            </w:pPr>
            <w:r w:rsidRPr="005F4F67">
              <w:rPr>
                <w:b/>
                <w:bCs/>
                <w:sz w:val="20"/>
                <w:szCs w:val="20"/>
                <w:lang w:val="fr-CA" w:eastAsia="en-CA"/>
              </w:rPr>
              <w:t>61</w:t>
            </w:r>
          </w:p>
        </w:tc>
      </w:tr>
    </w:tbl>
    <w:p w14:paraId="25C124AC" w14:textId="209FD083" w:rsidR="00D631A9" w:rsidRPr="005F4F67" w:rsidRDefault="00D631A9" w:rsidP="001E39EE">
      <w:pPr>
        <w:rPr>
          <w:sz w:val="19"/>
          <w:szCs w:val="19"/>
          <w:lang w:val="fr-CA"/>
        </w:rPr>
      </w:pPr>
      <w:r w:rsidRPr="005F4F67">
        <w:rPr>
          <w:sz w:val="19"/>
          <w:szCs w:val="19"/>
          <w:lang w:val="fr-CA"/>
        </w:rPr>
        <w:t>*</w:t>
      </w:r>
      <w:r w:rsidR="000955D5">
        <w:rPr>
          <w:sz w:val="19"/>
          <w:szCs w:val="19"/>
          <w:lang w:val="fr-CA"/>
        </w:rPr>
        <w:t>Ne comprend pas les coûts d’appui aux agences</w:t>
      </w:r>
      <w:r w:rsidRPr="005F4F67">
        <w:rPr>
          <w:sz w:val="19"/>
          <w:szCs w:val="19"/>
          <w:lang w:val="fr-CA"/>
        </w:rPr>
        <w:t xml:space="preserve">. </w:t>
      </w:r>
    </w:p>
    <w:p w14:paraId="682A20E1" w14:textId="363F137B" w:rsidR="009E0307" w:rsidRPr="000955D5" w:rsidRDefault="00074983" w:rsidP="001B7BCC">
      <w:pPr>
        <w:pStyle w:val="Heading1"/>
        <w:numPr>
          <w:ilvl w:val="0"/>
          <w:numId w:val="0"/>
        </w:numPr>
        <w:rPr>
          <w:sz w:val="19"/>
          <w:szCs w:val="19"/>
          <w:lang w:val="fr-CA"/>
        </w:rPr>
      </w:pPr>
      <w:r>
        <w:rPr>
          <w:sz w:val="19"/>
          <w:szCs w:val="19"/>
          <w:lang w:val="fr-CA"/>
        </w:rPr>
        <w:t>** 320,</w:t>
      </w:r>
      <w:r w:rsidR="000955D5" w:rsidRPr="000955D5">
        <w:rPr>
          <w:sz w:val="19"/>
          <w:szCs w:val="19"/>
          <w:lang w:val="fr-CA"/>
        </w:rPr>
        <w:t xml:space="preserve">9 </w:t>
      </w:r>
      <w:proofErr w:type="spellStart"/>
      <w:r w:rsidR="000955D5" w:rsidRPr="000955D5">
        <w:rPr>
          <w:sz w:val="19"/>
          <w:szCs w:val="19"/>
          <w:lang w:val="fr-CA"/>
        </w:rPr>
        <w:t>tm</w:t>
      </w:r>
      <w:proofErr w:type="spellEnd"/>
      <w:r w:rsidR="00B01734" w:rsidRPr="000955D5">
        <w:rPr>
          <w:sz w:val="19"/>
          <w:szCs w:val="19"/>
          <w:lang w:val="fr-CA"/>
        </w:rPr>
        <w:t xml:space="preserve"> (500</w:t>
      </w:r>
      <w:r w:rsidR="000955D5" w:rsidRPr="000955D5">
        <w:rPr>
          <w:sz w:val="19"/>
          <w:szCs w:val="19"/>
          <w:lang w:val="fr-CA"/>
        </w:rPr>
        <w:t xml:space="preserve"> </w:t>
      </w:r>
      <w:r w:rsidR="00B01734" w:rsidRPr="000955D5">
        <w:rPr>
          <w:sz w:val="19"/>
          <w:szCs w:val="19"/>
          <w:lang w:val="fr-CA"/>
        </w:rPr>
        <w:t xml:space="preserve">994 </w:t>
      </w:r>
      <w:proofErr w:type="spellStart"/>
      <w:r w:rsidR="000955D5" w:rsidRPr="000955D5">
        <w:rPr>
          <w:sz w:val="19"/>
          <w:szCs w:val="19"/>
          <w:lang w:val="fr-CA"/>
        </w:rPr>
        <w:t>tm</w:t>
      </w:r>
      <w:proofErr w:type="spellEnd"/>
      <w:r w:rsidR="00B01734" w:rsidRPr="000955D5">
        <w:rPr>
          <w:sz w:val="19"/>
          <w:szCs w:val="19"/>
          <w:lang w:val="fr-CA"/>
        </w:rPr>
        <w:t xml:space="preserve"> </w:t>
      </w:r>
      <w:r w:rsidR="000955D5" w:rsidRPr="000955D5">
        <w:rPr>
          <w:sz w:val="19"/>
          <w:szCs w:val="19"/>
          <w:lang w:val="fr-CA"/>
        </w:rPr>
        <w:t>d’éq-</w:t>
      </w:r>
      <w:r w:rsidR="00B01734" w:rsidRPr="000955D5">
        <w:rPr>
          <w:sz w:val="19"/>
          <w:szCs w:val="19"/>
          <w:lang w:val="fr-CA"/>
        </w:rPr>
        <w:t>CO</w:t>
      </w:r>
      <w:r w:rsidR="00B01734" w:rsidRPr="000955D5">
        <w:rPr>
          <w:sz w:val="19"/>
          <w:szCs w:val="19"/>
          <w:vertAlign w:val="subscript"/>
          <w:lang w:val="fr-CA"/>
        </w:rPr>
        <w:t>2</w:t>
      </w:r>
      <w:r w:rsidR="00B01734" w:rsidRPr="000955D5">
        <w:rPr>
          <w:sz w:val="19"/>
          <w:szCs w:val="19"/>
          <w:lang w:val="fr-CA"/>
        </w:rPr>
        <w:t xml:space="preserve">) </w:t>
      </w:r>
      <w:r w:rsidR="000955D5" w:rsidRPr="000955D5">
        <w:rPr>
          <w:sz w:val="19"/>
          <w:szCs w:val="19"/>
          <w:lang w:val="fr-CA"/>
        </w:rPr>
        <w:t>de</w:t>
      </w:r>
      <w:r w:rsidR="00B01734" w:rsidRPr="000955D5">
        <w:rPr>
          <w:sz w:val="19"/>
          <w:szCs w:val="19"/>
          <w:lang w:val="fr-CA"/>
        </w:rPr>
        <w:t xml:space="preserve"> </w:t>
      </w:r>
      <w:r w:rsidR="00B01734" w:rsidRPr="000955D5">
        <w:rPr>
          <w:sz w:val="20"/>
          <w:szCs w:val="20"/>
          <w:lang w:val="fr-CA"/>
        </w:rPr>
        <w:t>335</w:t>
      </w:r>
      <w:r w:rsidR="000955D5" w:rsidRPr="000955D5">
        <w:rPr>
          <w:sz w:val="20"/>
          <w:szCs w:val="20"/>
          <w:lang w:val="fr-CA"/>
        </w:rPr>
        <w:t>,</w:t>
      </w:r>
      <w:r w:rsidR="00B01734" w:rsidRPr="000955D5">
        <w:rPr>
          <w:sz w:val="20"/>
          <w:szCs w:val="20"/>
          <w:lang w:val="fr-CA"/>
        </w:rPr>
        <w:t>4 mt (521</w:t>
      </w:r>
      <w:r w:rsidR="000955D5" w:rsidRPr="000955D5">
        <w:rPr>
          <w:sz w:val="20"/>
          <w:szCs w:val="20"/>
          <w:lang w:val="fr-CA"/>
        </w:rPr>
        <w:t xml:space="preserve"> </w:t>
      </w:r>
      <w:r w:rsidR="00B01734" w:rsidRPr="000955D5">
        <w:rPr>
          <w:sz w:val="20"/>
          <w:szCs w:val="20"/>
          <w:lang w:val="fr-CA"/>
        </w:rPr>
        <w:t xml:space="preserve">729 </w:t>
      </w:r>
      <w:proofErr w:type="spellStart"/>
      <w:r w:rsidR="000955D5" w:rsidRPr="000955D5">
        <w:rPr>
          <w:sz w:val="20"/>
          <w:szCs w:val="20"/>
          <w:lang w:val="fr-CA"/>
        </w:rPr>
        <w:t>tm</w:t>
      </w:r>
      <w:proofErr w:type="spellEnd"/>
      <w:r w:rsidR="00B01734" w:rsidRPr="000955D5">
        <w:rPr>
          <w:sz w:val="20"/>
          <w:szCs w:val="20"/>
          <w:lang w:val="fr-CA"/>
        </w:rPr>
        <w:t xml:space="preserve"> </w:t>
      </w:r>
      <w:r w:rsidR="000955D5" w:rsidRPr="000955D5">
        <w:rPr>
          <w:sz w:val="20"/>
          <w:szCs w:val="20"/>
          <w:lang w:val="fr-CA"/>
        </w:rPr>
        <w:t>d’éq-</w:t>
      </w:r>
      <w:r w:rsidR="00B01734" w:rsidRPr="000955D5">
        <w:rPr>
          <w:sz w:val="20"/>
          <w:szCs w:val="20"/>
          <w:lang w:val="fr-CA"/>
        </w:rPr>
        <w:t>CO</w:t>
      </w:r>
      <w:r w:rsidR="00B01734" w:rsidRPr="000955D5">
        <w:rPr>
          <w:sz w:val="20"/>
          <w:szCs w:val="20"/>
          <w:vertAlign w:val="subscript"/>
          <w:lang w:val="fr-CA"/>
        </w:rPr>
        <w:t>2</w:t>
      </w:r>
      <w:r w:rsidR="00B01734" w:rsidRPr="000955D5">
        <w:rPr>
          <w:sz w:val="20"/>
          <w:szCs w:val="20"/>
          <w:lang w:val="fr-CA"/>
        </w:rPr>
        <w:t xml:space="preserve">) </w:t>
      </w:r>
      <w:r w:rsidR="000955D5" w:rsidRPr="000955D5">
        <w:rPr>
          <w:sz w:val="19"/>
          <w:szCs w:val="19"/>
          <w:lang w:val="fr-CA"/>
        </w:rPr>
        <w:t>de</w:t>
      </w:r>
      <w:r w:rsidR="00B01734" w:rsidRPr="000955D5">
        <w:rPr>
          <w:sz w:val="19"/>
          <w:szCs w:val="19"/>
          <w:lang w:val="fr-CA"/>
        </w:rPr>
        <w:t xml:space="preserve"> HFC </w:t>
      </w:r>
      <w:r w:rsidR="000955D5" w:rsidRPr="000955D5">
        <w:rPr>
          <w:sz w:val="19"/>
          <w:szCs w:val="19"/>
          <w:lang w:val="fr-CA"/>
        </w:rPr>
        <w:t>ont été éliminées</w:t>
      </w:r>
      <w:r w:rsidR="00B01734" w:rsidRPr="000955D5">
        <w:rPr>
          <w:sz w:val="19"/>
          <w:szCs w:val="19"/>
          <w:lang w:val="fr-CA"/>
        </w:rPr>
        <w:t>.</w:t>
      </w:r>
    </w:p>
    <w:p w14:paraId="55995EBE" w14:textId="3BECEB58" w:rsidR="00D631A9" w:rsidRPr="005F4F67" w:rsidRDefault="001A1A77" w:rsidP="009E0307">
      <w:pPr>
        <w:pStyle w:val="Heading1"/>
        <w:rPr>
          <w:lang w:val="fr-CA"/>
        </w:rPr>
      </w:pPr>
      <w:r>
        <w:rPr>
          <w:lang w:val="fr-CA"/>
        </w:rPr>
        <w:t>Quarante projets portant sur les HFC (huit projets d’investissement, trois préparations de propositions de projet et 29 activités de facilitation) ont été approuvés au titre des contributions régulières pour la somme totale de 8 877 263 $US, pour lesquels la somme de 5 432 795 $US a déjà été décaissée</w:t>
      </w:r>
      <w:r w:rsidR="00D631A9" w:rsidRPr="005F4F67">
        <w:rPr>
          <w:lang w:val="fr-CA"/>
        </w:rPr>
        <w:t xml:space="preserve">. </w:t>
      </w:r>
    </w:p>
    <w:p w14:paraId="77D4782F" w14:textId="34A5E04E" w:rsidR="00D631A9" w:rsidRPr="005F4F67" w:rsidRDefault="001A1A77" w:rsidP="001E39EE">
      <w:pPr>
        <w:pStyle w:val="Heading1"/>
        <w:rPr>
          <w:lang w:val="fr-CA"/>
        </w:rPr>
      </w:pPr>
      <w:r>
        <w:rPr>
          <w:lang w:val="fr-CA"/>
        </w:rPr>
        <w:t>Parmi ces 40 projets, cinq projets d’investissement et deux préparations de proposition de projet sont déjà achevés. La prorogation de la date d’achèvement de 29 activités de facilitation a été approuvée. Les activités de facilitation en cours en sont à différentes étapes de leur mise en œuvre et devraient être achevées en</w:t>
      </w:r>
      <w:r w:rsidR="00E01B4B">
        <w:rPr>
          <w:lang w:val="fr-CA"/>
        </w:rPr>
        <w:t xml:space="preserve"> 2021 et 2022</w:t>
      </w:r>
      <w:r>
        <w:rPr>
          <w:lang w:val="fr-CA"/>
        </w:rPr>
        <w:t xml:space="preserve">. Les </w:t>
      </w:r>
      <w:r w:rsidR="00E01B4B">
        <w:rPr>
          <w:lang w:val="fr-CA"/>
        </w:rPr>
        <w:t>trois</w:t>
      </w:r>
      <w:r>
        <w:rPr>
          <w:lang w:val="fr-CA"/>
        </w:rPr>
        <w:t xml:space="preserve"> projets d’investissement en cours restants devraient être achevés </w:t>
      </w:r>
      <w:r w:rsidR="00E01B4B">
        <w:rPr>
          <w:lang w:val="fr-CA"/>
        </w:rPr>
        <w:t>de 2022</w:t>
      </w:r>
      <w:r>
        <w:rPr>
          <w:lang w:val="fr-CA"/>
        </w:rPr>
        <w:t xml:space="preserve"> à</w:t>
      </w:r>
      <w:r w:rsidR="00E01B4B">
        <w:rPr>
          <w:lang w:val="fr-CA"/>
        </w:rPr>
        <w:t xml:space="preserve"> 2023</w:t>
      </w:r>
      <w:r>
        <w:rPr>
          <w:lang w:val="fr-CA"/>
        </w:rPr>
        <w:t>, et la dernière préparation de projet devraient être menée à terme en 202</w:t>
      </w:r>
      <w:r w:rsidR="00E01B4B">
        <w:rPr>
          <w:lang w:val="fr-CA"/>
        </w:rPr>
        <w:t>2</w:t>
      </w:r>
      <w:r w:rsidR="00D631A9" w:rsidRPr="005F4F67">
        <w:rPr>
          <w:lang w:val="fr-CA"/>
        </w:rPr>
        <w:t>.</w:t>
      </w:r>
    </w:p>
    <w:p w14:paraId="2D13A91F" w14:textId="343D16B1" w:rsidR="00D631A9" w:rsidRPr="005F4F67" w:rsidRDefault="00D631A9" w:rsidP="001E39EE">
      <w:pPr>
        <w:pStyle w:val="Heading1"/>
        <w:keepNext/>
        <w:keepLines/>
        <w:numPr>
          <w:ilvl w:val="0"/>
          <w:numId w:val="0"/>
        </w:numPr>
        <w:ind w:left="1418" w:hanging="1418"/>
        <w:rPr>
          <w:b/>
          <w:caps/>
          <w:lang w:val="fr-CA"/>
        </w:rPr>
      </w:pPr>
      <w:r w:rsidRPr="005F4F67">
        <w:rPr>
          <w:b/>
          <w:caps/>
          <w:lang w:val="fr-CA"/>
        </w:rPr>
        <w:t>Part</w:t>
      </w:r>
      <w:r w:rsidR="00E01B4B">
        <w:rPr>
          <w:b/>
          <w:caps/>
          <w:lang w:val="fr-CA"/>
        </w:rPr>
        <w:t>IE</w:t>
      </w:r>
      <w:r w:rsidRPr="005F4F67">
        <w:rPr>
          <w:b/>
          <w:caps/>
          <w:lang w:val="fr-CA"/>
        </w:rPr>
        <w:t xml:space="preserve"> II</w:t>
      </w:r>
      <w:r w:rsidR="00E01B4B">
        <w:rPr>
          <w:b/>
          <w:caps/>
          <w:lang w:val="fr-CA"/>
        </w:rPr>
        <w:t xml:space="preserve"> </w:t>
      </w:r>
      <w:r w:rsidRPr="005F4F67">
        <w:rPr>
          <w:b/>
          <w:caps/>
          <w:lang w:val="fr-CA"/>
        </w:rPr>
        <w:t>:</w:t>
      </w:r>
      <w:r w:rsidRPr="005F4F67">
        <w:rPr>
          <w:b/>
          <w:caps/>
          <w:lang w:val="fr-CA"/>
        </w:rPr>
        <w:tab/>
      </w:r>
      <w:r w:rsidR="00E01B4B" w:rsidRPr="002F0C62">
        <w:rPr>
          <w:b/>
          <w:lang w:val="fr-CA"/>
        </w:rPr>
        <w:t>PROJETS APPROUVÉS AU TITRE DES CONTRIBUTIONS SUPPLÉMENTAIRES VOLONTAIRES POUR LE SOUTIEN AU DÉMARRAGE RAPIDE DE LA RÉDUCTION PROGRESSIVE DES HFC</w:t>
      </w:r>
    </w:p>
    <w:p w14:paraId="664BE273" w14:textId="5A33FBAF" w:rsidR="00D631A9" w:rsidRPr="005F4F67" w:rsidRDefault="00E01B4B" w:rsidP="001E39EE">
      <w:pPr>
        <w:pStyle w:val="Heading1"/>
        <w:rPr>
          <w:lang w:val="fr-CA"/>
        </w:rPr>
      </w:pPr>
      <w:r>
        <w:rPr>
          <w:lang w:val="fr-CA"/>
        </w:rPr>
        <w:t>Le Comité avait approuvé 144 projets en lien avec les HFC au titre des contributions supplémentaires volontaires au 31 décembre 2020, pour la somme de 23,93 millions $US (ne comprenant pas les coûts d’appui aux agences). Le tableau 10 résume l’état de ces projets</w:t>
      </w:r>
      <w:r w:rsidR="00D631A9" w:rsidRPr="005F4F67">
        <w:rPr>
          <w:lang w:val="fr-CA"/>
        </w:rPr>
        <w:t xml:space="preserve">. </w:t>
      </w:r>
    </w:p>
    <w:p w14:paraId="03B4F135" w14:textId="77777777" w:rsidR="00326C00" w:rsidRDefault="00326C00" w:rsidP="001E39EE">
      <w:pPr>
        <w:pStyle w:val="Heading1"/>
        <w:numPr>
          <w:ilvl w:val="0"/>
          <w:numId w:val="0"/>
        </w:numPr>
        <w:spacing w:after="0"/>
        <w:rPr>
          <w:b/>
          <w:lang w:val="fr-CA"/>
        </w:rPr>
      </w:pPr>
    </w:p>
    <w:p w14:paraId="4F9639F9" w14:textId="77777777" w:rsidR="00326C00" w:rsidRDefault="00326C00" w:rsidP="001E39EE">
      <w:pPr>
        <w:pStyle w:val="Heading1"/>
        <w:numPr>
          <w:ilvl w:val="0"/>
          <w:numId w:val="0"/>
        </w:numPr>
        <w:spacing w:after="0"/>
        <w:rPr>
          <w:b/>
          <w:lang w:val="fr-CA"/>
        </w:rPr>
      </w:pPr>
    </w:p>
    <w:p w14:paraId="513AD661" w14:textId="77777777" w:rsidR="00326C00" w:rsidRDefault="00326C00" w:rsidP="001E39EE">
      <w:pPr>
        <w:pStyle w:val="Heading1"/>
        <w:numPr>
          <w:ilvl w:val="0"/>
          <w:numId w:val="0"/>
        </w:numPr>
        <w:spacing w:after="0"/>
        <w:rPr>
          <w:b/>
          <w:lang w:val="fr-CA"/>
        </w:rPr>
      </w:pPr>
    </w:p>
    <w:p w14:paraId="083B4DF7" w14:textId="593F27AB" w:rsidR="00D631A9" w:rsidRPr="005F4F67" w:rsidRDefault="00D631A9" w:rsidP="001E39EE">
      <w:pPr>
        <w:pStyle w:val="Heading1"/>
        <w:numPr>
          <w:ilvl w:val="0"/>
          <w:numId w:val="0"/>
        </w:numPr>
        <w:spacing w:after="0"/>
        <w:rPr>
          <w:b/>
          <w:lang w:val="fr-CA"/>
        </w:rPr>
      </w:pPr>
      <w:r w:rsidRPr="005F4F67">
        <w:rPr>
          <w:b/>
          <w:lang w:val="fr-CA"/>
        </w:rPr>
        <w:lastRenderedPageBreak/>
        <w:t>Table</w:t>
      </w:r>
      <w:r w:rsidR="00E01B4B">
        <w:rPr>
          <w:b/>
          <w:lang w:val="fr-CA"/>
        </w:rPr>
        <w:t>au</w:t>
      </w:r>
      <w:r w:rsidRPr="005F4F67">
        <w:rPr>
          <w:b/>
          <w:lang w:val="fr-CA"/>
        </w:rPr>
        <w:t xml:space="preserve"> 10. </w:t>
      </w:r>
      <w:r w:rsidR="00E01B4B">
        <w:rPr>
          <w:b/>
          <w:lang w:val="fr-CA"/>
        </w:rPr>
        <w:t>État des projets en lien avec les HFC à la fin de</w:t>
      </w:r>
      <w:r w:rsidR="00326C00">
        <w:rPr>
          <w:b/>
          <w:lang w:val="fr-CA"/>
        </w:rPr>
        <w:t xml:space="preserve"> </w:t>
      </w:r>
      <w:r w:rsidR="00622BD4" w:rsidRPr="005F4F67">
        <w:rPr>
          <w:b/>
          <w:lang w:val="fr-CA"/>
        </w:rPr>
        <w:t>2020</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944"/>
        <w:gridCol w:w="998"/>
        <w:gridCol w:w="1162"/>
        <w:gridCol w:w="1116"/>
        <w:gridCol w:w="1180"/>
        <w:gridCol w:w="1016"/>
        <w:gridCol w:w="1161"/>
      </w:tblGrid>
      <w:tr w:rsidR="002C229B" w:rsidRPr="005F4F67" w14:paraId="38037922" w14:textId="77777777" w:rsidTr="00AD0261">
        <w:tc>
          <w:tcPr>
            <w:tcW w:w="1800" w:type="dxa"/>
            <w:vMerge w:val="restart"/>
            <w:shd w:val="clear" w:color="auto" w:fill="auto"/>
            <w:noWrap/>
            <w:tcMar>
              <w:left w:w="29" w:type="dxa"/>
              <w:right w:w="0" w:type="dxa"/>
            </w:tcMar>
            <w:vAlign w:val="center"/>
            <w:hideMark/>
          </w:tcPr>
          <w:p w14:paraId="662ABDB1" w14:textId="77777777" w:rsidR="002C229B" w:rsidRPr="005F4F67" w:rsidRDefault="002C229B" w:rsidP="001E39EE">
            <w:pPr>
              <w:jc w:val="left"/>
              <w:rPr>
                <w:b/>
                <w:bCs/>
                <w:sz w:val="20"/>
                <w:szCs w:val="20"/>
                <w:lang w:val="fr-CA" w:eastAsia="en-CA"/>
              </w:rPr>
            </w:pPr>
            <w:r w:rsidRPr="005F4F67">
              <w:rPr>
                <w:b/>
                <w:bCs/>
                <w:sz w:val="20"/>
                <w:szCs w:val="20"/>
                <w:lang w:val="fr-CA" w:eastAsia="en-CA"/>
              </w:rPr>
              <w:t>Type</w:t>
            </w:r>
          </w:p>
        </w:tc>
        <w:tc>
          <w:tcPr>
            <w:tcW w:w="3060" w:type="dxa"/>
            <w:gridSpan w:val="3"/>
            <w:shd w:val="clear" w:color="auto" w:fill="auto"/>
            <w:noWrap/>
            <w:hideMark/>
          </w:tcPr>
          <w:p w14:paraId="10BC1BA6" w14:textId="39BB14E0" w:rsidR="002C229B" w:rsidRPr="005F4F67" w:rsidRDefault="00E01B4B" w:rsidP="001E39EE">
            <w:pPr>
              <w:jc w:val="center"/>
              <w:rPr>
                <w:b/>
                <w:bCs/>
                <w:sz w:val="20"/>
                <w:szCs w:val="20"/>
                <w:lang w:val="fr-CA" w:eastAsia="en-CA"/>
              </w:rPr>
            </w:pPr>
            <w:r>
              <w:rPr>
                <w:b/>
                <w:bCs/>
                <w:sz w:val="20"/>
                <w:szCs w:val="20"/>
                <w:lang w:val="fr-CA" w:eastAsia="en-CA"/>
              </w:rPr>
              <w:t>Nombre de projets</w:t>
            </w:r>
          </w:p>
        </w:tc>
        <w:tc>
          <w:tcPr>
            <w:tcW w:w="4473" w:type="dxa"/>
            <w:gridSpan w:val="4"/>
            <w:shd w:val="clear" w:color="auto" w:fill="auto"/>
            <w:noWrap/>
            <w:hideMark/>
          </w:tcPr>
          <w:p w14:paraId="1B7D7BCF" w14:textId="6132FD87" w:rsidR="002C229B" w:rsidRPr="005F4F67" w:rsidRDefault="00E01B4B" w:rsidP="001E39EE">
            <w:pPr>
              <w:jc w:val="center"/>
              <w:rPr>
                <w:b/>
                <w:bCs/>
                <w:sz w:val="20"/>
                <w:szCs w:val="20"/>
                <w:lang w:val="fr-CA" w:eastAsia="en-CA"/>
              </w:rPr>
            </w:pPr>
            <w:r>
              <w:rPr>
                <w:b/>
                <w:bCs/>
                <w:sz w:val="20"/>
                <w:szCs w:val="20"/>
                <w:lang w:val="fr-CA" w:eastAsia="en-CA"/>
              </w:rPr>
              <w:t>Financement ($US)*</w:t>
            </w:r>
          </w:p>
        </w:tc>
      </w:tr>
      <w:tr w:rsidR="008720F3" w:rsidRPr="005F4F67" w14:paraId="2A228A36" w14:textId="77777777" w:rsidTr="00AD0261">
        <w:tc>
          <w:tcPr>
            <w:tcW w:w="1800" w:type="dxa"/>
            <w:vMerge/>
            <w:tcMar>
              <w:left w:w="29" w:type="dxa"/>
              <w:right w:w="0" w:type="dxa"/>
            </w:tcMar>
            <w:vAlign w:val="center"/>
            <w:hideMark/>
          </w:tcPr>
          <w:p w14:paraId="784AEB62" w14:textId="77777777" w:rsidR="008720F3" w:rsidRPr="005F4F67" w:rsidRDefault="008720F3" w:rsidP="001E39EE">
            <w:pPr>
              <w:jc w:val="left"/>
              <w:rPr>
                <w:b/>
                <w:bCs/>
                <w:sz w:val="20"/>
                <w:szCs w:val="20"/>
                <w:lang w:val="fr-CA" w:eastAsia="en-CA"/>
              </w:rPr>
            </w:pPr>
          </w:p>
        </w:tc>
        <w:tc>
          <w:tcPr>
            <w:tcW w:w="900" w:type="dxa"/>
            <w:shd w:val="clear" w:color="auto" w:fill="auto"/>
            <w:tcMar>
              <w:left w:w="0" w:type="dxa"/>
              <w:right w:w="0" w:type="dxa"/>
            </w:tcMar>
            <w:vAlign w:val="center"/>
            <w:hideMark/>
          </w:tcPr>
          <w:p w14:paraId="6D350D3A" w14:textId="0B20F1B4" w:rsidR="008720F3" w:rsidRPr="005F4F67" w:rsidRDefault="00E01B4B" w:rsidP="001E39EE">
            <w:pPr>
              <w:jc w:val="center"/>
              <w:rPr>
                <w:b/>
                <w:bCs/>
                <w:sz w:val="20"/>
                <w:szCs w:val="20"/>
                <w:lang w:val="fr-CA" w:eastAsia="en-CA"/>
              </w:rPr>
            </w:pPr>
            <w:r>
              <w:rPr>
                <w:b/>
                <w:bCs/>
                <w:sz w:val="20"/>
                <w:szCs w:val="20"/>
                <w:lang w:val="fr-CA" w:eastAsia="en-CA"/>
              </w:rPr>
              <w:t>Approuvés</w:t>
            </w:r>
          </w:p>
        </w:tc>
        <w:tc>
          <w:tcPr>
            <w:tcW w:w="998" w:type="dxa"/>
            <w:shd w:val="clear" w:color="auto" w:fill="auto"/>
            <w:tcMar>
              <w:left w:w="0" w:type="dxa"/>
              <w:right w:w="0" w:type="dxa"/>
            </w:tcMar>
            <w:vAlign w:val="center"/>
            <w:hideMark/>
          </w:tcPr>
          <w:p w14:paraId="27496960" w14:textId="2FA4B273" w:rsidR="008720F3" w:rsidRPr="005F4F67" w:rsidRDefault="00E01B4B" w:rsidP="001E39EE">
            <w:pPr>
              <w:jc w:val="center"/>
              <w:rPr>
                <w:b/>
                <w:bCs/>
                <w:sz w:val="20"/>
                <w:szCs w:val="20"/>
                <w:lang w:val="fr-CA" w:eastAsia="en-CA"/>
              </w:rPr>
            </w:pPr>
            <w:r>
              <w:rPr>
                <w:b/>
                <w:bCs/>
                <w:sz w:val="20"/>
                <w:szCs w:val="20"/>
                <w:lang w:val="fr-CA" w:eastAsia="en-CA"/>
              </w:rPr>
              <w:t>Achevés</w:t>
            </w:r>
          </w:p>
        </w:tc>
        <w:tc>
          <w:tcPr>
            <w:tcW w:w="1162" w:type="dxa"/>
            <w:shd w:val="clear" w:color="auto" w:fill="auto"/>
            <w:tcMar>
              <w:left w:w="0" w:type="dxa"/>
              <w:right w:w="0" w:type="dxa"/>
            </w:tcMar>
            <w:vAlign w:val="center"/>
            <w:hideMark/>
          </w:tcPr>
          <w:p w14:paraId="465C52BA" w14:textId="11D66349" w:rsidR="008720F3" w:rsidRPr="005F4F67" w:rsidRDefault="00E01B4B" w:rsidP="001E39EE">
            <w:pPr>
              <w:jc w:val="center"/>
              <w:rPr>
                <w:b/>
                <w:bCs/>
                <w:sz w:val="20"/>
                <w:szCs w:val="20"/>
                <w:lang w:val="fr-CA" w:eastAsia="en-CA"/>
              </w:rPr>
            </w:pPr>
            <w:r>
              <w:rPr>
                <w:b/>
                <w:bCs/>
                <w:sz w:val="20"/>
                <w:szCs w:val="20"/>
                <w:lang w:val="fr-CA" w:eastAsia="en-CA"/>
              </w:rPr>
              <w:t>% d’</w:t>
            </w:r>
            <w:proofErr w:type="spellStart"/>
            <w:r>
              <w:rPr>
                <w:b/>
                <w:bCs/>
                <w:sz w:val="20"/>
                <w:szCs w:val="20"/>
                <w:lang w:val="fr-CA" w:eastAsia="en-CA"/>
              </w:rPr>
              <w:t>achè-vement</w:t>
            </w:r>
            <w:proofErr w:type="spellEnd"/>
          </w:p>
        </w:tc>
        <w:tc>
          <w:tcPr>
            <w:tcW w:w="1116" w:type="dxa"/>
            <w:shd w:val="clear" w:color="auto" w:fill="auto"/>
            <w:tcMar>
              <w:left w:w="0" w:type="dxa"/>
              <w:right w:w="0" w:type="dxa"/>
            </w:tcMar>
            <w:vAlign w:val="center"/>
            <w:hideMark/>
          </w:tcPr>
          <w:p w14:paraId="5EDE9504" w14:textId="705D6F68" w:rsidR="008720F3" w:rsidRPr="005F4F67" w:rsidRDefault="00E01B4B" w:rsidP="001E39EE">
            <w:pPr>
              <w:jc w:val="center"/>
              <w:rPr>
                <w:b/>
                <w:bCs/>
                <w:sz w:val="20"/>
                <w:szCs w:val="20"/>
                <w:lang w:val="fr-CA" w:eastAsia="en-CA"/>
              </w:rPr>
            </w:pPr>
            <w:r>
              <w:rPr>
                <w:b/>
                <w:bCs/>
                <w:sz w:val="20"/>
                <w:szCs w:val="20"/>
                <w:lang w:val="fr-CA" w:eastAsia="en-CA"/>
              </w:rPr>
              <w:t>Approuvé</w:t>
            </w:r>
          </w:p>
        </w:tc>
        <w:tc>
          <w:tcPr>
            <w:tcW w:w="1180" w:type="dxa"/>
            <w:shd w:val="clear" w:color="auto" w:fill="auto"/>
            <w:tcMar>
              <w:left w:w="0" w:type="dxa"/>
              <w:right w:w="0" w:type="dxa"/>
            </w:tcMar>
            <w:vAlign w:val="center"/>
            <w:hideMark/>
          </w:tcPr>
          <w:p w14:paraId="1C07A66D" w14:textId="63D77C40" w:rsidR="008720F3" w:rsidRPr="005F4F67" w:rsidRDefault="00E01B4B" w:rsidP="001E39EE">
            <w:pPr>
              <w:jc w:val="center"/>
              <w:rPr>
                <w:b/>
                <w:bCs/>
                <w:sz w:val="20"/>
                <w:szCs w:val="20"/>
                <w:lang w:val="fr-CA" w:eastAsia="en-CA"/>
              </w:rPr>
            </w:pPr>
            <w:r>
              <w:rPr>
                <w:b/>
                <w:bCs/>
                <w:sz w:val="20"/>
                <w:szCs w:val="20"/>
                <w:lang w:val="fr-CA" w:eastAsia="en-CA"/>
              </w:rPr>
              <w:t>Décaissé</w:t>
            </w:r>
          </w:p>
        </w:tc>
        <w:tc>
          <w:tcPr>
            <w:tcW w:w="1016" w:type="dxa"/>
            <w:shd w:val="clear" w:color="auto" w:fill="auto"/>
            <w:tcMar>
              <w:left w:w="0" w:type="dxa"/>
              <w:right w:w="0" w:type="dxa"/>
            </w:tcMar>
            <w:vAlign w:val="center"/>
            <w:hideMark/>
          </w:tcPr>
          <w:p w14:paraId="6C88739E" w14:textId="08F06D78" w:rsidR="008720F3" w:rsidRPr="005F4F67" w:rsidRDefault="00E01B4B" w:rsidP="001E39EE">
            <w:pPr>
              <w:jc w:val="center"/>
              <w:rPr>
                <w:b/>
                <w:bCs/>
                <w:sz w:val="20"/>
                <w:szCs w:val="20"/>
                <w:lang w:val="fr-CA" w:eastAsia="en-CA"/>
              </w:rPr>
            </w:pPr>
            <w:r>
              <w:rPr>
                <w:b/>
                <w:bCs/>
                <w:sz w:val="20"/>
                <w:szCs w:val="20"/>
                <w:lang w:val="fr-CA" w:eastAsia="en-CA"/>
              </w:rPr>
              <w:t>Solde</w:t>
            </w:r>
          </w:p>
        </w:tc>
        <w:tc>
          <w:tcPr>
            <w:tcW w:w="1161" w:type="dxa"/>
            <w:shd w:val="clear" w:color="auto" w:fill="auto"/>
            <w:tcMar>
              <w:left w:w="0" w:type="dxa"/>
              <w:right w:w="0" w:type="dxa"/>
            </w:tcMar>
            <w:vAlign w:val="center"/>
            <w:hideMark/>
          </w:tcPr>
          <w:p w14:paraId="49C8744D" w14:textId="0595B8A0" w:rsidR="008720F3" w:rsidRPr="005F4F67" w:rsidRDefault="00E01B4B" w:rsidP="001E39EE">
            <w:pPr>
              <w:jc w:val="center"/>
              <w:rPr>
                <w:b/>
                <w:bCs/>
                <w:sz w:val="20"/>
                <w:szCs w:val="20"/>
                <w:lang w:val="fr-CA" w:eastAsia="en-CA"/>
              </w:rPr>
            </w:pPr>
            <w:r>
              <w:rPr>
                <w:b/>
                <w:bCs/>
                <w:sz w:val="20"/>
                <w:szCs w:val="20"/>
                <w:lang w:val="fr-CA" w:eastAsia="en-CA"/>
              </w:rPr>
              <w:t>% de décaissement</w:t>
            </w:r>
          </w:p>
        </w:tc>
      </w:tr>
      <w:tr w:rsidR="008720F3" w:rsidRPr="005F4F67" w14:paraId="3F07B474" w14:textId="77777777" w:rsidTr="00AD0261">
        <w:tc>
          <w:tcPr>
            <w:tcW w:w="1800" w:type="dxa"/>
            <w:shd w:val="clear" w:color="auto" w:fill="auto"/>
            <w:noWrap/>
            <w:tcMar>
              <w:left w:w="29" w:type="dxa"/>
              <w:right w:w="0" w:type="dxa"/>
            </w:tcMar>
            <w:hideMark/>
          </w:tcPr>
          <w:p w14:paraId="0A1D0419" w14:textId="488EB9C8" w:rsidR="008720F3" w:rsidRPr="005F4F67" w:rsidRDefault="00E01B4B" w:rsidP="001E39EE">
            <w:pPr>
              <w:jc w:val="left"/>
              <w:rPr>
                <w:sz w:val="20"/>
                <w:szCs w:val="20"/>
                <w:lang w:val="fr-CA" w:eastAsia="en-CA"/>
              </w:rPr>
            </w:pPr>
            <w:r>
              <w:rPr>
                <w:sz w:val="20"/>
                <w:szCs w:val="20"/>
                <w:lang w:val="fr-CA" w:eastAsia="en-CA"/>
              </w:rPr>
              <w:t>Investissement</w:t>
            </w:r>
            <w:r w:rsidR="008720F3" w:rsidRPr="005F4F67">
              <w:rPr>
                <w:sz w:val="20"/>
                <w:szCs w:val="20"/>
                <w:lang w:val="fr-CA" w:eastAsia="en-CA"/>
              </w:rPr>
              <w:t>**</w:t>
            </w:r>
          </w:p>
        </w:tc>
        <w:tc>
          <w:tcPr>
            <w:tcW w:w="900" w:type="dxa"/>
            <w:shd w:val="clear" w:color="auto" w:fill="auto"/>
            <w:noWrap/>
            <w:hideMark/>
          </w:tcPr>
          <w:p w14:paraId="1632FBB1" w14:textId="77777777" w:rsidR="008720F3" w:rsidRPr="005F4F67" w:rsidRDefault="008720F3" w:rsidP="001E39EE">
            <w:pPr>
              <w:jc w:val="right"/>
              <w:rPr>
                <w:sz w:val="20"/>
                <w:szCs w:val="20"/>
                <w:lang w:val="fr-CA" w:eastAsia="en-CA"/>
              </w:rPr>
            </w:pPr>
            <w:r w:rsidRPr="005F4F67">
              <w:rPr>
                <w:sz w:val="20"/>
                <w:szCs w:val="20"/>
                <w:lang w:val="fr-CA" w:eastAsia="en-CA"/>
              </w:rPr>
              <w:t>6</w:t>
            </w:r>
          </w:p>
        </w:tc>
        <w:tc>
          <w:tcPr>
            <w:tcW w:w="998" w:type="dxa"/>
            <w:shd w:val="clear" w:color="auto" w:fill="auto"/>
            <w:noWrap/>
            <w:hideMark/>
          </w:tcPr>
          <w:p w14:paraId="3CEE6927" w14:textId="77777777" w:rsidR="008720F3" w:rsidRPr="005F4F67" w:rsidRDefault="008720F3" w:rsidP="001E39EE">
            <w:pPr>
              <w:jc w:val="right"/>
              <w:rPr>
                <w:sz w:val="20"/>
                <w:szCs w:val="20"/>
                <w:lang w:val="fr-CA" w:eastAsia="en-CA"/>
              </w:rPr>
            </w:pPr>
            <w:r w:rsidRPr="005F4F67">
              <w:rPr>
                <w:sz w:val="20"/>
                <w:szCs w:val="20"/>
                <w:lang w:val="fr-CA" w:eastAsia="en-CA"/>
              </w:rPr>
              <w:t>2</w:t>
            </w:r>
          </w:p>
        </w:tc>
        <w:tc>
          <w:tcPr>
            <w:tcW w:w="1162" w:type="dxa"/>
            <w:shd w:val="clear" w:color="auto" w:fill="auto"/>
            <w:noWrap/>
            <w:hideMark/>
          </w:tcPr>
          <w:p w14:paraId="2144CB52" w14:textId="77777777" w:rsidR="008720F3" w:rsidRPr="005F4F67" w:rsidRDefault="008720F3" w:rsidP="001E39EE">
            <w:pPr>
              <w:jc w:val="right"/>
              <w:rPr>
                <w:sz w:val="20"/>
                <w:szCs w:val="20"/>
                <w:lang w:val="fr-CA" w:eastAsia="en-CA"/>
              </w:rPr>
            </w:pPr>
            <w:r w:rsidRPr="005F4F67">
              <w:rPr>
                <w:sz w:val="20"/>
                <w:szCs w:val="20"/>
                <w:lang w:val="fr-CA" w:eastAsia="en-CA"/>
              </w:rPr>
              <w:t>33</w:t>
            </w:r>
          </w:p>
        </w:tc>
        <w:tc>
          <w:tcPr>
            <w:tcW w:w="1116" w:type="dxa"/>
            <w:shd w:val="clear" w:color="auto" w:fill="auto"/>
            <w:noWrap/>
            <w:hideMark/>
          </w:tcPr>
          <w:p w14:paraId="6738CD92" w14:textId="3CE77709" w:rsidR="008720F3" w:rsidRPr="005F4F67" w:rsidRDefault="008720F3" w:rsidP="001E39EE">
            <w:pPr>
              <w:jc w:val="right"/>
              <w:rPr>
                <w:sz w:val="20"/>
                <w:szCs w:val="20"/>
                <w:lang w:val="fr-CA" w:eastAsia="en-CA"/>
              </w:rPr>
            </w:pPr>
            <w:r w:rsidRPr="005F4F67">
              <w:rPr>
                <w:sz w:val="20"/>
                <w:szCs w:val="20"/>
                <w:lang w:val="fr-CA" w:eastAsia="en-CA"/>
              </w:rPr>
              <w:t>8</w:t>
            </w:r>
            <w:r w:rsidR="00A07E20">
              <w:rPr>
                <w:sz w:val="20"/>
                <w:szCs w:val="20"/>
                <w:lang w:val="fr-CA" w:eastAsia="en-CA"/>
              </w:rPr>
              <w:t xml:space="preserve"> </w:t>
            </w:r>
            <w:r w:rsidRPr="005F4F67">
              <w:rPr>
                <w:sz w:val="20"/>
                <w:szCs w:val="20"/>
                <w:lang w:val="fr-CA" w:eastAsia="en-CA"/>
              </w:rPr>
              <w:t>502</w:t>
            </w:r>
            <w:r w:rsidR="00A07E20">
              <w:rPr>
                <w:sz w:val="20"/>
                <w:szCs w:val="20"/>
                <w:lang w:val="fr-CA" w:eastAsia="en-CA"/>
              </w:rPr>
              <w:t xml:space="preserve"> </w:t>
            </w:r>
            <w:r w:rsidRPr="005F4F67">
              <w:rPr>
                <w:sz w:val="20"/>
                <w:szCs w:val="20"/>
                <w:lang w:val="fr-CA" w:eastAsia="en-CA"/>
              </w:rPr>
              <w:t>860</w:t>
            </w:r>
          </w:p>
        </w:tc>
        <w:tc>
          <w:tcPr>
            <w:tcW w:w="1180" w:type="dxa"/>
            <w:shd w:val="clear" w:color="auto" w:fill="auto"/>
            <w:noWrap/>
            <w:hideMark/>
          </w:tcPr>
          <w:p w14:paraId="09335081" w14:textId="0ED1B123" w:rsidR="008720F3" w:rsidRPr="005F4F67" w:rsidRDefault="008720F3" w:rsidP="001E39EE">
            <w:pPr>
              <w:jc w:val="right"/>
              <w:rPr>
                <w:sz w:val="20"/>
                <w:szCs w:val="20"/>
                <w:lang w:val="fr-CA" w:eastAsia="en-CA"/>
              </w:rPr>
            </w:pPr>
            <w:r w:rsidRPr="005F4F67">
              <w:rPr>
                <w:sz w:val="20"/>
                <w:szCs w:val="20"/>
                <w:lang w:val="fr-CA" w:eastAsia="en-CA"/>
              </w:rPr>
              <w:t>6</w:t>
            </w:r>
            <w:r w:rsidR="00A07E20">
              <w:rPr>
                <w:sz w:val="20"/>
                <w:szCs w:val="20"/>
                <w:lang w:val="fr-CA" w:eastAsia="en-CA"/>
              </w:rPr>
              <w:t xml:space="preserve"> </w:t>
            </w:r>
            <w:r w:rsidRPr="005F4F67">
              <w:rPr>
                <w:sz w:val="20"/>
                <w:szCs w:val="20"/>
                <w:lang w:val="fr-CA" w:eastAsia="en-CA"/>
              </w:rPr>
              <w:t>266</w:t>
            </w:r>
            <w:r w:rsidR="00A07E20">
              <w:rPr>
                <w:sz w:val="20"/>
                <w:szCs w:val="20"/>
                <w:lang w:val="fr-CA" w:eastAsia="en-CA"/>
              </w:rPr>
              <w:t xml:space="preserve"> </w:t>
            </w:r>
            <w:r w:rsidRPr="005F4F67">
              <w:rPr>
                <w:sz w:val="20"/>
                <w:szCs w:val="20"/>
                <w:lang w:val="fr-CA" w:eastAsia="en-CA"/>
              </w:rPr>
              <w:t>199</w:t>
            </w:r>
          </w:p>
        </w:tc>
        <w:tc>
          <w:tcPr>
            <w:tcW w:w="1016" w:type="dxa"/>
            <w:shd w:val="clear" w:color="auto" w:fill="auto"/>
            <w:noWrap/>
            <w:hideMark/>
          </w:tcPr>
          <w:p w14:paraId="10A41F03" w14:textId="7F8B7915" w:rsidR="008720F3" w:rsidRPr="005F4F67" w:rsidRDefault="008720F3" w:rsidP="001E39EE">
            <w:pPr>
              <w:jc w:val="right"/>
              <w:rPr>
                <w:sz w:val="20"/>
                <w:szCs w:val="20"/>
                <w:lang w:val="fr-CA" w:eastAsia="en-CA"/>
              </w:rPr>
            </w:pPr>
            <w:r w:rsidRPr="005F4F67">
              <w:rPr>
                <w:sz w:val="20"/>
                <w:szCs w:val="20"/>
                <w:lang w:val="fr-CA" w:eastAsia="en-CA"/>
              </w:rPr>
              <w:t>2</w:t>
            </w:r>
            <w:r w:rsidR="00A07E20">
              <w:rPr>
                <w:sz w:val="20"/>
                <w:szCs w:val="20"/>
                <w:lang w:val="fr-CA" w:eastAsia="en-CA"/>
              </w:rPr>
              <w:t xml:space="preserve"> </w:t>
            </w:r>
            <w:r w:rsidRPr="005F4F67">
              <w:rPr>
                <w:sz w:val="20"/>
                <w:szCs w:val="20"/>
                <w:lang w:val="fr-CA" w:eastAsia="en-CA"/>
              </w:rPr>
              <w:t>236</w:t>
            </w:r>
            <w:r w:rsidR="00A07E20">
              <w:rPr>
                <w:sz w:val="20"/>
                <w:szCs w:val="20"/>
                <w:lang w:val="fr-CA" w:eastAsia="en-CA"/>
              </w:rPr>
              <w:t xml:space="preserve"> </w:t>
            </w:r>
            <w:r w:rsidRPr="005F4F67">
              <w:rPr>
                <w:sz w:val="20"/>
                <w:szCs w:val="20"/>
                <w:lang w:val="fr-CA" w:eastAsia="en-CA"/>
              </w:rPr>
              <w:t>661</w:t>
            </w:r>
          </w:p>
        </w:tc>
        <w:tc>
          <w:tcPr>
            <w:tcW w:w="1161" w:type="dxa"/>
            <w:shd w:val="clear" w:color="auto" w:fill="auto"/>
            <w:noWrap/>
            <w:hideMark/>
          </w:tcPr>
          <w:p w14:paraId="034667C5" w14:textId="77777777" w:rsidR="008720F3" w:rsidRPr="005F4F67" w:rsidRDefault="008720F3" w:rsidP="001E39EE">
            <w:pPr>
              <w:jc w:val="right"/>
              <w:rPr>
                <w:sz w:val="20"/>
                <w:szCs w:val="20"/>
                <w:lang w:val="fr-CA" w:eastAsia="en-CA"/>
              </w:rPr>
            </w:pPr>
            <w:r w:rsidRPr="005F4F67">
              <w:rPr>
                <w:sz w:val="20"/>
                <w:szCs w:val="20"/>
                <w:lang w:val="fr-CA" w:eastAsia="en-CA"/>
              </w:rPr>
              <w:t>74</w:t>
            </w:r>
          </w:p>
        </w:tc>
      </w:tr>
      <w:tr w:rsidR="008720F3" w:rsidRPr="005F4F67" w14:paraId="3A3FB9DA" w14:textId="77777777" w:rsidTr="00AD0261">
        <w:tc>
          <w:tcPr>
            <w:tcW w:w="1800" w:type="dxa"/>
            <w:shd w:val="clear" w:color="auto" w:fill="auto"/>
            <w:tcMar>
              <w:left w:w="29" w:type="dxa"/>
              <w:right w:w="0" w:type="dxa"/>
            </w:tcMar>
            <w:hideMark/>
          </w:tcPr>
          <w:p w14:paraId="25A28F5A" w14:textId="02E68E8B" w:rsidR="008720F3" w:rsidRPr="005F4F67" w:rsidRDefault="00E01B4B" w:rsidP="001E39EE">
            <w:pPr>
              <w:jc w:val="left"/>
              <w:rPr>
                <w:sz w:val="20"/>
                <w:szCs w:val="20"/>
                <w:lang w:val="fr-CA" w:eastAsia="en-CA"/>
              </w:rPr>
            </w:pPr>
            <w:r>
              <w:rPr>
                <w:sz w:val="20"/>
                <w:szCs w:val="20"/>
                <w:lang w:val="fr-CA" w:eastAsia="en-CA"/>
              </w:rPr>
              <w:t>Préparation de projet</w:t>
            </w:r>
          </w:p>
        </w:tc>
        <w:tc>
          <w:tcPr>
            <w:tcW w:w="900" w:type="dxa"/>
            <w:shd w:val="clear" w:color="auto" w:fill="auto"/>
            <w:noWrap/>
            <w:hideMark/>
          </w:tcPr>
          <w:p w14:paraId="68622591" w14:textId="77777777" w:rsidR="008720F3" w:rsidRPr="005F4F67" w:rsidRDefault="008720F3" w:rsidP="001E39EE">
            <w:pPr>
              <w:jc w:val="right"/>
              <w:rPr>
                <w:sz w:val="20"/>
                <w:szCs w:val="20"/>
                <w:lang w:val="fr-CA" w:eastAsia="en-CA"/>
              </w:rPr>
            </w:pPr>
            <w:r w:rsidRPr="005F4F67">
              <w:rPr>
                <w:sz w:val="20"/>
                <w:szCs w:val="20"/>
                <w:lang w:val="fr-CA" w:eastAsia="en-CA"/>
              </w:rPr>
              <w:t>10</w:t>
            </w:r>
          </w:p>
        </w:tc>
        <w:tc>
          <w:tcPr>
            <w:tcW w:w="998" w:type="dxa"/>
            <w:shd w:val="clear" w:color="auto" w:fill="auto"/>
            <w:noWrap/>
            <w:hideMark/>
          </w:tcPr>
          <w:p w14:paraId="18481C85" w14:textId="77777777" w:rsidR="008720F3" w:rsidRPr="005F4F67" w:rsidRDefault="008720F3" w:rsidP="001E39EE">
            <w:pPr>
              <w:jc w:val="right"/>
              <w:rPr>
                <w:sz w:val="20"/>
                <w:szCs w:val="20"/>
                <w:lang w:val="fr-CA" w:eastAsia="en-CA"/>
              </w:rPr>
            </w:pPr>
            <w:r w:rsidRPr="005F4F67">
              <w:rPr>
                <w:sz w:val="20"/>
                <w:szCs w:val="20"/>
                <w:lang w:val="fr-CA" w:eastAsia="en-CA"/>
              </w:rPr>
              <w:t>10</w:t>
            </w:r>
          </w:p>
        </w:tc>
        <w:tc>
          <w:tcPr>
            <w:tcW w:w="1162" w:type="dxa"/>
            <w:shd w:val="clear" w:color="auto" w:fill="auto"/>
            <w:noWrap/>
            <w:hideMark/>
          </w:tcPr>
          <w:p w14:paraId="217AE2ED" w14:textId="77777777" w:rsidR="008720F3" w:rsidRPr="005F4F67" w:rsidRDefault="008720F3" w:rsidP="001E39EE">
            <w:pPr>
              <w:jc w:val="right"/>
              <w:rPr>
                <w:sz w:val="20"/>
                <w:szCs w:val="20"/>
                <w:lang w:val="fr-CA" w:eastAsia="en-CA"/>
              </w:rPr>
            </w:pPr>
            <w:r w:rsidRPr="005F4F67">
              <w:rPr>
                <w:sz w:val="20"/>
                <w:szCs w:val="20"/>
                <w:lang w:val="fr-CA" w:eastAsia="en-CA"/>
              </w:rPr>
              <w:t>100</w:t>
            </w:r>
          </w:p>
        </w:tc>
        <w:tc>
          <w:tcPr>
            <w:tcW w:w="1116" w:type="dxa"/>
            <w:shd w:val="clear" w:color="auto" w:fill="auto"/>
            <w:hideMark/>
          </w:tcPr>
          <w:p w14:paraId="026051F4" w14:textId="3B33BA1F" w:rsidR="008720F3" w:rsidRPr="005F4F67" w:rsidRDefault="008720F3" w:rsidP="001E39EE">
            <w:pPr>
              <w:jc w:val="right"/>
              <w:rPr>
                <w:sz w:val="20"/>
                <w:szCs w:val="20"/>
                <w:lang w:val="fr-CA" w:eastAsia="en-CA"/>
              </w:rPr>
            </w:pPr>
            <w:r w:rsidRPr="005F4F67">
              <w:rPr>
                <w:sz w:val="20"/>
                <w:szCs w:val="20"/>
                <w:lang w:val="fr-CA" w:eastAsia="en-CA"/>
              </w:rPr>
              <w:t>273</w:t>
            </w:r>
            <w:r w:rsidR="00A07E20">
              <w:rPr>
                <w:sz w:val="20"/>
                <w:szCs w:val="20"/>
                <w:lang w:val="fr-CA" w:eastAsia="en-CA"/>
              </w:rPr>
              <w:t xml:space="preserve"> </w:t>
            </w:r>
            <w:r w:rsidRPr="005F4F67">
              <w:rPr>
                <w:sz w:val="20"/>
                <w:szCs w:val="20"/>
                <w:lang w:val="fr-CA" w:eastAsia="en-CA"/>
              </w:rPr>
              <w:t>821</w:t>
            </w:r>
          </w:p>
        </w:tc>
        <w:tc>
          <w:tcPr>
            <w:tcW w:w="1180" w:type="dxa"/>
            <w:shd w:val="clear" w:color="auto" w:fill="auto"/>
            <w:hideMark/>
          </w:tcPr>
          <w:p w14:paraId="4434A56D" w14:textId="7A4C0E97" w:rsidR="008720F3" w:rsidRPr="005F4F67" w:rsidRDefault="008720F3" w:rsidP="001E39EE">
            <w:pPr>
              <w:jc w:val="right"/>
              <w:rPr>
                <w:sz w:val="20"/>
                <w:szCs w:val="20"/>
                <w:lang w:val="fr-CA" w:eastAsia="en-CA"/>
              </w:rPr>
            </w:pPr>
            <w:r w:rsidRPr="005F4F67">
              <w:rPr>
                <w:sz w:val="20"/>
                <w:szCs w:val="20"/>
                <w:lang w:val="fr-CA" w:eastAsia="en-CA"/>
              </w:rPr>
              <w:t>214</w:t>
            </w:r>
            <w:r w:rsidR="00A07E20">
              <w:rPr>
                <w:sz w:val="20"/>
                <w:szCs w:val="20"/>
                <w:lang w:val="fr-CA" w:eastAsia="en-CA"/>
              </w:rPr>
              <w:t xml:space="preserve"> </w:t>
            </w:r>
            <w:r w:rsidRPr="005F4F67">
              <w:rPr>
                <w:sz w:val="20"/>
                <w:szCs w:val="20"/>
                <w:lang w:val="fr-CA" w:eastAsia="en-CA"/>
              </w:rPr>
              <w:t>900</w:t>
            </w:r>
          </w:p>
        </w:tc>
        <w:tc>
          <w:tcPr>
            <w:tcW w:w="1016" w:type="dxa"/>
            <w:shd w:val="clear" w:color="auto" w:fill="auto"/>
            <w:hideMark/>
          </w:tcPr>
          <w:p w14:paraId="32BB31C0" w14:textId="5D2A80AF" w:rsidR="008720F3" w:rsidRPr="005F4F67" w:rsidRDefault="008720F3" w:rsidP="001E39EE">
            <w:pPr>
              <w:jc w:val="right"/>
              <w:rPr>
                <w:sz w:val="20"/>
                <w:szCs w:val="20"/>
                <w:lang w:val="fr-CA" w:eastAsia="en-CA"/>
              </w:rPr>
            </w:pPr>
            <w:r w:rsidRPr="005F4F67">
              <w:rPr>
                <w:sz w:val="20"/>
                <w:szCs w:val="20"/>
                <w:lang w:val="fr-CA" w:eastAsia="en-CA"/>
              </w:rPr>
              <w:t>58</w:t>
            </w:r>
            <w:r w:rsidR="00A07E20">
              <w:rPr>
                <w:sz w:val="20"/>
                <w:szCs w:val="20"/>
                <w:lang w:val="fr-CA" w:eastAsia="en-CA"/>
              </w:rPr>
              <w:t xml:space="preserve"> </w:t>
            </w:r>
            <w:r w:rsidRPr="005F4F67">
              <w:rPr>
                <w:sz w:val="20"/>
                <w:szCs w:val="20"/>
                <w:lang w:val="fr-CA" w:eastAsia="en-CA"/>
              </w:rPr>
              <w:t>921</w:t>
            </w:r>
          </w:p>
        </w:tc>
        <w:tc>
          <w:tcPr>
            <w:tcW w:w="1161" w:type="dxa"/>
            <w:shd w:val="clear" w:color="auto" w:fill="auto"/>
            <w:noWrap/>
            <w:hideMark/>
          </w:tcPr>
          <w:p w14:paraId="5270537D" w14:textId="77777777" w:rsidR="008720F3" w:rsidRPr="005F4F67" w:rsidRDefault="008720F3" w:rsidP="001E39EE">
            <w:pPr>
              <w:jc w:val="right"/>
              <w:rPr>
                <w:sz w:val="20"/>
                <w:szCs w:val="20"/>
                <w:lang w:val="fr-CA" w:eastAsia="en-CA"/>
              </w:rPr>
            </w:pPr>
            <w:r w:rsidRPr="005F4F67">
              <w:rPr>
                <w:sz w:val="20"/>
                <w:szCs w:val="20"/>
                <w:lang w:val="fr-CA" w:eastAsia="en-CA"/>
              </w:rPr>
              <w:t>78</w:t>
            </w:r>
          </w:p>
        </w:tc>
      </w:tr>
      <w:tr w:rsidR="008720F3" w:rsidRPr="005F4F67" w14:paraId="0249B0B7" w14:textId="77777777" w:rsidTr="00AD0261">
        <w:tc>
          <w:tcPr>
            <w:tcW w:w="1800" w:type="dxa"/>
            <w:shd w:val="clear" w:color="auto" w:fill="auto"/>
            <w:tcMar>
              <w:left w:w="29" w:type="dxa"/>
              <w:right w:w="0" w:type="dxa"/>
            </w:tcMar>
            <w:hideMark/>
          </w:tcPr>
          <w:p w14:paraId="39C9B910" w14:textId="34CE7819" w:rsidR="008720F3" w:rsidRPr="005F4F67" w:rsidRDefault="00E01B4B" w:rsidP="001E39EE">
            <w:pPr>
              <w:jc w:val="left"/>
              <w:rPr>
                <w:sz w:val="20"/>
                <w:szCs w:val="20"/>
                <w:lang w:val="fr-CA" w:eastAsia="en-CA"/>
              </w:rPr>
            </w:pPr>
            <w:r>
              <w:rPr>
                <w:sz w:val="20"/>
                <w:szCs w:val="20"/>
                <w:lang w:val="fr-CA" w:eastAsia="en-CA"/>
              </w:rPr>
              <w:t>Assistance technique, activités de facilitation</w:t>
            </w:r>
          </w:p>
        </w:tc>
        <w:tc>
          <w:tcPr>
            <w:tcW w:w="900" w:type="dxa"/>
            <w:shd w:val="clear" w:color="auto" w:fill="auto"/>
            <w:noWrap/>
            <w:hideMark/>
          </w:tcPr>
          <w:p w14:paraId="0ACD5EA0" w14:textId="77777777" w:rsidR="008720F3" w:rsidRPr="005F4F67" w:rsidRDefault="008720F3" w:rsidP="001E39EE">
            <w:pPr>
              <w:jc w:val="right"/>
              <w:rPr>
                <w:sz w:val="20"/>
                <w:szCs w:val="20"/>
                <w:lang w:val="fr-CA" w:eastAsia="en-CA"/>
              </w:rPr>
            </w:pPr>
            <w:r w:rsidRPr="005F4F67">
              <w:rPr>
                <w:sz w:val="20"/>
                <w:szCs w:val="20"/>
                <w:lang w:val="fr-CA" w:eastAsia="en-CA"/>
              </w:rPr>
              <w:t>128</w:t>
            </w:r>
          </w:p>
        </w:tc>
        <w:tc>
          <w:tcPr>
            <w:tcW w:w="998" w:type="dxa"/>
            <w:shd w:val="clear" w:color="auto" w:fill="auto"/>
            <w:hideMark/>
          </w:tcPr>
          <w:p w14:paraId="03B3E25E" w14:textId="77777777" w:rsidR="008720F3" w:rsidRPr="005F4F67" w:rsidRDefault="008720F3" w:rsidP="001E39EE">
            <w:pPr>
              <w:jc w:val="right"/>
              <w:rPr>
                <w:sz w:val="20"/>
                <w:szCs w:val="20"/>
                <w:lang w:val="fr-CA" w:eastAsia="en-CA"/>
              </w:rPr>
            </w:pPr>
            <w:r w:rsidRPr="005F4F67">
              <w:rPr>
                <w:sz w:val="20"/>
                <w:szCs w:val="20"/>
                <w:lang w:val="fr-CA" w:eastAsia="en-CA"/>
              </w:rPr>
              <w:t>22</w:t>
            </w:r>
          </w:p>
        </w:tc>
        <w:tc>
          <w:tcPr>
            <w:tcW w:w="1162" w:type="dxa"/>
            <w:shd w:val="clear" w:color="auto" w:fill="auto"/>
            <w:noWrap/>
            <w:hideMark/>
          </w:tcPr>
          <w:p w14:paraId="26FFD324" w14:textId="77777777" w:rsidR="008720F3" w:rsidRPr="005F4F67" w:rsidRDefault="008720F3" w:rsidP="001E39EE">
            <w:pPr>
              <w:jc w:val="right"/>
              <w:rPr>
                <w:sz w:val="20"/>
                <w:szCs w:val="20"/>
                <w:lang w:val="fr-CA" w:eastAsia="en-CA"/>
              </w:rPr>
            </w:pPr>
            <w:r w:rsidRPr="005F4F67">
              <w:rPr>
                <w:sz w:val="20"/>
                <w:szCs w:val="20"/>
                <w:lang w:val="fr-CA" w:eastAsia="en-CA"/>
              </w:rPr>
              <w:t>17</w:t>
            </w:r>
          </w:p>
        </w:tc>
        <w:tc>
          <w:tcPr>
            <w:tcW w:w="1116" w:type="dxa"/>
            <w:shd w:val="clear" w:color="auto" w:fill="auto"/>
            <w:hideMark/>
          </w:tcPr>
          <w:p w14:paraId="3F53DF40" w14:textId="7A1AE3C4" w:rsidR="008720F3" w:rsidRPr="005F4F67" w:rsidRDefault="008720F3" w:rsidP="001E39EE">
            <w:pPr>
              <w:jc w:val="right"/>
              <w:rPr>
                <w:sz w:val="20"/>
                <w:szCs w:val="20"/>
                <w:lang w:val="fr-CA" w:eastAsia="en-CA"/>
              </w:rPr>
            </w:pPr>
            <w:r w:rsidRPr="005F4F67">
              <w:rPr>
                <w:sz w:val="20"/>
                <w:szCs w:val="20"/>
                <w:lang w:val="fr-CA" w:eastAsia="en-CA"/>
              </w:rPr>
              <w:t>15</w:t>
            </w:r>
            <w:r w:rsidR="00A07E20">
              <w:rPr>
                <w:sz w:val="20"/>
                <w:szCs w:val="20"/>
                <w:lang w:val="fr-CA" w:eastAsia="en-CA"/>
              </w:rPr>
              <w:t xml:space="preserve"> </w:t>
            </w:r>
            <w:r w:rsidRPr="005F4F67">
              <w:rPr>
                <w:sz w:val="20"/>
                <w:szCs w:val="20"/>
                <w:lang w:val="fr-CA" w:eastAsia="en-CA"/>
              </w:rPr>
              <w:t>154</w:t>
            </w:r>
            <w:r w:rsidR="00A07E20">
              <w:rPr>
                <w:sz w:val="20"/>
                <w:szCs w:val="20"/>
                <w:lang w:val="fr-CA" w:eastAsia="en-CA"/>
              </w:rPr>
              <w:t xml:space="preserve"> </w:t>
            </w:r>
            <w:r w:rsidRPr="005F4F67">
              <w:rPr>
                <w:sz w:val="20"/>
                <w:szCs w:val="20"/>
                <w:lang w:val="fr-CA" w:eastAsia="en-CA"/>
              </w:rPr>
              <w:t>254</w:t>
            </w:r>
          </w:p>
        </w:tc>
        <w:tc>
          <w:tcPr>
            <w:tcW w:w="1180" w:type="dxa"/>
            <w:shd w:val="clear" w:color="auto" w:fill="auto"/>
            <w:hideMark/>
          </w:tcPr>
          <w:p w14:paraId="0FA8658E" w14:textId="6591530F" w:rsidR="008720F3" w:rsidRPr="005F4F67" w:rsidRDefault="008720F3" w:rsidP="001E39EE">
            <w:pPr>
              <w:jc w:val="right"/>
              <w:rPr>
                <w:sz w:val="20"/>
                <w:szCs w:val="20"/>
                <w:lang w:val="fr-CA" w:eastAsia="en-CA"/>
              </w:rPr>
            </w:pPr>
            <w:r w:rsidRPr="005F4F67">
              <w:rPr>
                <w:sz w:val="20"/>
                <w:szCs w:val="20"/>
                <w:lang w:val="fr-CA" w:eastAsia="en-CA"/>
              </w:rPr>
              <w:t>9</w:t>
            </w:r>
            <w:r w:rsidR="00A07E20">
              <w:rPr>
                <w:sz w:val="20"/>
                <w:szCs w:val="20"/>
                <w:lang w:val="fr-CA" w:eastAsia="en-CA"/>
              </w:rPr>
              <w:t xml:space="preserve"> </w:t>
            </w:r>
            <w:r w:rsidRPr="005F4F67">
              <w:rPr>
                <w:sz w:val="20"/>
                <w:szCs w:val="20"/>
                <w:lang w:val="fr-CA" w:eastAsia="en-CA"/>
              </w:rPr>
              <w:t>842</w:t>
            </w:r>
            <w:r w:rsidR="00A07E20">
              <w:rPr>
                <w:sz w:val="20"/>
                <w:szCs w:val="20"/>
                <w:lang w:val="fr-CA" w:eastAsia="en-CA"/>
              </w:rPr>
              <w:t xml:space="preserve"> </w:t>
            </w:r>
            <w:r w:rsidRPr="005F4F67">
              <w:rPr>
                <w:sz w:val="20"/>
                <w:szCs w:val="20"/>
                <w:lang w:val="fr-CA" w:eastAsia="en-CA"/>
              </w:rPr>
              <w:t>553</w:t>
            </w:r>
          </w:p>
        </w:tc>
        <w:tc>
          <w:tcPr>
            <w:tcW w:w="1016" w:type="dxa"/>
            <w:shd w:val="clear" w:color="auto" w:fill="auto"/>
            <w:hideMark/>
          </w:tcPr>
          <w:p w14:paraId="4A4CC11E" w14:textId="12AC00FE" w:rsidR="008720F3" w:rsidRPr="005F4F67" w:rsidRDefault="008720F3" w:rsidP="001E39EE">
            <w:pPr>
              <w:jc w:val="right"/>
              <w:rPr>
                <w:sz w:val="20"/>
                <w:szCs w:val="20"/>
                <w:lang w:val="fr-CA" w:eastAsia="en-CA"/>
              </w:rPr>
            </w:pPr>
            <w:r w:rsidRPr="005F4F67">
              <w:rPr>
                <w:sz w:val="20"/>
                <w:szCs w:val="20"/>
                <w:lang w:val="fr-CA" w:eastAsia="en-CA"/>
              </w:rPr>
              <w:t>5</w:t>
            </w:r>
            <w:r w:rsidR="00A07E20">
              <w:rPr>
                <w:sz w:val="20"/>
                <w:szCs w:val="20"/>
                <w:lang w:val="fr-CA" w:eastAsia="en-CA"/>
              </w:rPr>
              <w:t xml:space="preserve"> </w:t>
            </w:r>
            <w:r w:rsidRPr="005F4F67">
              <w:rPr>
                <w:sz w:val="20"/>
                <w:szCs w:val="20"/>
                <w:lang w:val="fr-CA" w:eastAsia="en-CA"/>
              </w:rPr>
              <w:t>311</w:t>
            </w:r>
            <w:r w:rsidR="00A07E20">
              <w:rPr>
                <w:sz w:val="20"/>
                <w:szCs w:val="20"/>
                <w:lang w:val="fr-CA" w:eastAsia="en-CA"/>
              </w:rPr>
              <w:t xml:space="preserve"> </w:t>
            </w:r>
            <w:r w:rsidRPr="005F4F67">
              <w:rPr>
                <w:sz w:val="20"/>
                <w:szCs w:val="20"/>
                <w:lang w:val="fr-CA" w:eastAsia="en-CA"/>
              </w:rPr>
              <w:t>701</w:t>
            </w:r>
          </w:p>
        </w:tc>
        <w:tc>
          <w:tcPr>
            <w:tcW w:w="1161" w:type="dxa"/>
            <w:shd w:val="clear" w:color="auto" w:fill="auto"/>
            <w:noWrap/>
            <w:hideMark/>
          </w:tcPr>
          <w:p w14:paraId="7D996F24" w14:textId="77777777" w:rsidR="008720F3" w:rsidRPr="005F4F67" w:rsidRDefault="008720F3" w:rsidP="001E39EE">
            <w:pPr>
              <w:jc w:val="right"/>
              <w:rPr>
                <w:sz w:val="20"/>
                <w:szCs w:val="20"/>
                <w:lang w:val="fr-CA" w:eastAsia="en-CA"/>
              </w:rPr>
            </w:pPr>
            <w:r w:rsidRPr="005F4F67">
              <w:rPr>
                <w:sz w:val="20"/>
                <w:szCs w:val="20"/>
                <w:lang w:val="fr-CA" w:eastAsia="en-CA"/>
              </w:rPr>
              <w:t>65</w:t>
            </w:r>
          </w:p>
        </w:tc>
      </w:tr>
      <w:tr w:rsidR="008720F3" w:rsidRPr="005F4F67" w14:paraId="4799E81A" w14:textId="77777777" w:rsidTr="00AD0261">
        <w:tc>
          <w:tcPr>
            <w:tcW w:w="1800" w:type="dxa"/>
            <w:shd w:val="clear" w:color="auto" w:fill="auto"/>
            <w:tcMar>
              <w:left w:w="29" w:type="dxa"/>
              <w:right w:w="0" w:type="dxa"/>
            </w:tcMar>
            <w:hideMark/>
          </w:tcPr>
          <w:p w14:paraId="600D210A" w14:textId="77777777" w:rsidR="008720F3" w:rsidRPr="005F4F67" w:rsidRDefault="008720F3" w:rsidP="001E39EE">
            <w:pPr>
              <w:jc w:val="left"/>
              <w:rPr>
                <w:b/>
                <w:bCs/>
                <w:sz w:val="20"/>
                <w:szCs w:val="20"/>
                <w:lang w:val="fr-CA" w:eastAsia="en-CA"/>
              </w:rPr>
            </w:pPr>
            <w:r w:rsidRPr="005F4F67">
              <w:rPr>
                <w:b/>
                <w:bCs/>
                <w:sz w:val="20"/>
                <w:szCs w:val="20"/>
                <w:lang w:val="fr-CA" w:eastAsia="en-CA"/>
              </w:rPr>
              <w:t>Total</w:t>
            </w:r>
          </w:p>
        </w:tc>
        <w:tc>
          <w:tcPr>
            <w:tcW w:w="900" w:type="dxa"/>
            <w:shd w:val="clear" w:color="auto" w:fill="auto"/>
            <w:noWrap/>
            <w:hideMark/>
          </w:tcPr>
          <w:p w14:paraId="72B95E30" w14:textId="77777777" w:rsidR="008720F3" w:rsidRPr="005F4F67" w:rsidRDefault="008720F3" w:rsidP="001E39EE">
            <w:pPr>
              <w:jc w:val="right"/>
              <w:rPr>
                <w:b/>
                <w:bCs/>
                <w:sz w:val="20"/>
                <w:szCs w:val="20"/>
                <w:lang w:val="fr-CA" w:eastAsia="en-CA"/>
              </w:rPr>
            </w:pPr>
            <w:r w:rsidRPr="005F4F67">
              <w:rPr>
                <w:b/>
                <w:bCs/>
                <w:sz w:val="20"/>
                <w:szCs w:val="20"/>
                <w:lang w:val="fr-CA" w:eastAsia="en-CA"/>
              </w:rPr>
              <w:t>144</w:t>
            </w:r>
          </w:p>
        </w:tc>
        <w:tc>
          <w:tcPr>
            <w:tcW w:w="998" w:type="dxa"/>
            <w:shd w:val="clear" w:color="auto" w:fill="auto"/>
            <w:hideMark/>
          </w:tcPr>
          <w:p w14:paraId="4C5F5B50" w14:textId="77777777" w:rsidR="008720F3" w:rsidRPr="005F4F67" w:rsidRDefault="008720F3" w:rsidP="001E39EE">
            <w:pPr>
              <w:jc w:val="right"/>
              <w:rPr>
                <w:b/>
                <w:bCs/>
                <w:sz w:val="20"/>
                <w:szCs w:val="20"/>
                <w:lang w:val="fr-CA" w:eastAsia="en-CA"/>
              </w:rPr>
            </w:pPr>
            <w:r w:rsidRPr="005F4F67">
              <w:rPr>
                <w:b/>
                <w:bCs/>
                <w:sz w:val="20"/>
                <w:szCs w:val="20"/>
                <w:lang w:val="fr-CA" w:eastAsia="en-CA"/>
              </w:rPr>
              <w:t>34</w:t>
            </w:r>
          </w:p>
        </w:tc>
        <w:tc>
          <w:tcPr>
            <w:tcW w:w="1162" w:type="dxa"/>
            <w:shd w:val="clear" w:color="auto" w:fill="auto"/>
            <w:noWrap/>
            <w:hideMark/>
          </w:tcPr>
          <w:p w14:paraId="013ED9EB" w14:textId="77777777" w:rsidR="008720F3" w:rsidRPr="005F4F67" w:rsidRDefault="008720F3" w:rsidP="001E39EE">
            <w:pPr>
              <w:jc w:val="right"/>
              <w:rPr>
                <w:b/>
                <w:bCs/>
                <w:sz w:val="20"/>
                <w:szCs w:val="20"/>
                <w:lang w:val="fr-CA" w:eastAsia="en-CA"/>
              </w:rPr>
            </w:pPr>
            <w:r w:rsidRPr="005F4F67">
              <w:rPr>
                <w:b/>
                <w:bCs/>
                <w:sz w:val="20"/>
                <w:szCs w:val="20"/>
                <w:lang w:val="fr-CA" w:eastAsia="en-CA"/>
              </w:rPr>
              <w:t>24</w:t>
            </w:r>
          </w:p>
        </w:tc>
        <w:tc>
          <w:tcPr>
            <w:tcW w:w="1116" w:type="dxa"/>
            <w:shd w:val="clear" w:color="auto" w:fill="auto"/>
            <w:hideMark/>
          </w:tcPr>
          <w:p w14:paraId="633AB548" w14:textId="76C1EFA3" w:rsidR="008720F3" w:rsidRPr="005F4F67" w:rsidRDefault="008720F3" w:rsidP="001E39EE">
            <w:pPr>
              <w:jc w:val="right"/>
              <w:rPr>
                <w:b/>
                <w:bCs/>
                <w:sz w:val="20"/>
                <w:szCs w:val="20"/>
                <w:lang w:val="fr-CA" w:eastAsia="en-CA"/>
              </w:rPr>
            </w:pPr>
            <w:r w:rsidRPr="005F4F67">
              <w:rPr>
                <w:b/>
                <w:bCs/>
                <w:sz w:val="20"/>
                <w:szCs w:val="20"/>
                <w:lang w:val="fr-CA" w:eastAsia="en-CA"/>
              </w:rPr>
              <w:t>23</w:t>
            </w:r>
            <w:r w:rsidR="00A07E20">
              <w:rPr>
                <w:b/>
                <w:bCs/>
                <w:sz w:val="20"/>
                <w:szCs w:val="20"/>
                <w:lang w:val="fr-CA" w:eastAsia="en-CA"/>
              </w:rPr>
              <w:t xml:space="preserve"> </w:t>
            </w:r>
            <w:r w:rsidRPr="005F4F67">
              <w:rPr>
                <w:b/>
                <w:bCs/>
                <w:sz w:val="20"/>
                <w:szCs w:val="20"/>
                <w:lang w:val="fr-CA" w:eastAsia="en-CA"/>
              </w:rPr>
              <w:t>930</w:t>
            </w:r>
            <w:r w:rsidR="00A07E20">
              <w:rPr>
                <w:b/>
                <w:bCs/>
                <w:sz w:val="20"/>
                <w:szCs w:val="20"/>
                <w:lang w:val="fr-CA" w:eastAsia="en-CA"/>
              </w:rPr>
              <w:t xml:space="preserve"> </w:t>
            </w:r>
            <w:r w:rsidRPr="005F4F67">
              <w:rPr>
                <w:b/>
                <w:bCs/>
                <w:sz w:val="20"/>
                <w:szCs w:val="20"/>
                <w:lang w:val="fr-CA" w:eastAsia="en-CA"/>
              </w:rPr>
              <w:t>935</w:t>
            </w:r>
          </w:p>
        </w:tc>
        <w:tc>
          <w:tcPr>
            <w:tcW w:w="1180" w:type="dxa"/>
            <w:shd w:val="clear" w:color="auto" w:fill="auto"/>
            <w:hideMark/>
          </w:tcPr>
          <w:p w14:paraId="5E496BBD" w14:textId="15AC674A" w:rsidR="008720F3" w:rsidRPr="005F4F67" w:rsidRDefault="008720F3" w:rsidP="001E39EE">
            <w:pPr>
              <w:jc w:val="right"/>
              <w:rPr>
                <w:b/>
                <w:bCs/>
                <w:sz w:val="20"/>
                <w:szCs w:val="20"/>
                <w:lang w:val="fr-CA" w:eastAsia="en-CA"/>
              </w:rPr>
            </w:pPr>
            <w:r w:rsidRPr="005F4F67">
              <w:rPr>
                <w:b/>
                <w:bCs/>
                <w:sz w:val="20"/>
                <w:szCs w:val="20"/>
                <w:lang w:val="fr-CA" w:eastAsia="en-CA"/>
              </w:rPr>
              <w:t>16</w:t>
            </w:r>
            <w:r w:rsidR="00A07E20">
              <w:rPr>
                <w:b/>
                <w:bCs/>
                <w:sz w:val="20"/>
                <w:szCs w:val="20"/>
                <w:lang w:val="fr-CA" w:eastAsia="en-CA"/>
              </w:rPr>
              <w:t xml:space="preserve"> </w:t>
            </w:r>
            <w:r w:rsidRPr="005F4F67">
              <w:rPr>
                <w:b/>
                <w:bCs/>
                <w:sz w:val="20"/>
                <w:szCs w:val="20"/>
                <w:lang w:val="fr-CA" w:eastAsia="en-CA"/>
              </w:rPr>
              <w:t>323</w:t>
            </w:r>
            <w:r w:rsidR="00A07E20">
              <w:rPr>
                <w:b/>
                <w:bCs/>
                <w:sz w:val="20"/>
                <w:szCs w:val="20"/>
                <w:lang w:val="fr-CA" w:eastAsia="en-CA"/>
              </w:rPr>
              <w:t xml:space="preserve"> </w:t>
            </w:r>
            <w:r w:rsidRPr="005F4F67">
              <w:rPr>
                <w:b/>
                <w:bCs/>
                <w:sz w:val="20"/>
                <w:szCs w:val="20"/>
                <w:lang w:val="fr-CA" w:eastAsia="en-CA"/>
              </w:rPr>
              <w:t>651</w:t>
            </w:r>
          </w:p>
        </w:tc>
        <w:tc>
          <w:tcPr>
            <w:tcW w:w="1016" w:type="dxa"/>
            <w:shd w:val="clear" w:color="auto" w:fill="auto"/>
            <w:hideMark/>
          </w:tcPr>
          <w:p w14:paraId="41B71C22" w14:textId="014DE66B" w:rsidR="008720F3" w:rsidRPr="005F4F67" w:rsidRDefault="008720F3" w:rsidP="001E39EE">
            <w:pPr>
              <w:jc w:val="right"/>
              <w:rPr>
                <w:b/>
                <w:bCs/>
                <w:sz w:val="20"/>
                <w:szCs w:val="20"/>
                <w:lang w:val="fr-CA" w:eastAsia="en-CA"/>
              </w:rPr>
            </w:pPr>
            <w:r w:rsidRPr="005F4F67">
              <w:rPr>
                <w:b/>
                <w:bCs/>
                <w:sz w:val="20"/>
                <w:szCs w:val="20"/>
                <w:lang w:val="fr-CA" w:eastAsia="en-CA"/>
              </w:rPr>
              <w:t>7</w:t>
            </w:r>
            <w:r w:rsidR="00A07E20">
              <w:rPr>
                <w:b/>
                <w:bCs/>
                <w:sz w:val="20"/>
                <w:szCs w:val="20"/>
                <w:lang w:val="fr-CA" w:eastAsia="en-CA"/>
              </w:rPr>
              <w:t xml:space="preserve"> </w:t>
            </w:r>
            <w:r w:rsidRPr="005F4F67">
              <w:rPr>
                <w:b/>
                <w:bCs/>
                <w:sz w:val="20"/>
                <w:szCs w:val="20"/>
                <w:lang w:val="fr-CA" w:eastAsia="en-CA"/>
              </w:rPr>
              <w:t>607</w:t>
            </w:r>
            <w:r w:rsidR="00A07E20">
              <w:rPr>
                <w:b/>
                <w:bCs/>
                <w:sz w:val="20"/>
                <w:szCs w:val="20"/>
                <w:lang w:val="fr-CA" w:eastAsia="en-CA"/>
              </w:rPr>
              <w:t xml:space="preserve"> </w:t>
            </w:r>
            <w:r w:rsidRPr="005F4F67">
              <w:rPr>
                <w:b/>
                <w:bCs/>
                <w:sz w:val="20"/>
                <w:szCs w:val="20"/>
                <w:lang w:val="fr-CA" w:eastAsia="en-CA"/>
              </w:rPr>
              <w:t>284</w:t>
            </w:r>
          </w:p>
        </w:tc>
        <w:tc>
          <w:tcPr>
            <w:tcW w:w="1161" w:type="dxa"/>
            <w:shd w:val="clear" w:color="auto" w:fill="auto"/>
            <w:noWrap/>
            <w:hideMark/>
          </w:tcPr>
          <w:p w14:paraId="28BF2277" w14:textId="77777777" w:rsidR="008720F3" w:rsidRPr="005F4F67" w:rsidRDefault="008720F3" w:rsidP="001E39EE">
            <w:pPr>
              <w:jc w:val="right"/>
              <w:rPr>
                <w:b/>
                <w:bCs/>
                <w:sz w:val="20"/>
                <w:szCs w:val="20"/>
                <w:lang w:val="fr-CA" w:eastAsia="en-CA"/>
              </w:rPr>
            </w:pPr>
            <w:r w:rsidRPr="005F4F67">
              <w:rPr>
                <w:b/>
                <w:bCs/>
                <w:sz w:val="20"/>
                <w:szCs w:val="20"/>
                <w:lang w:val="fr-CA" w:eastAsia="en-CA"/>
              </w:rPr>
              <w:t>68</w:t>
            </w:r>
          </w:p>
        </w:tc>
      </w:tr>
    </w:tbl>
    <w:p w14:paraId="766A021C" w14:textId="0D3F0475" w:rsidR="00D631A9" w:rsidRPr="005F4F67" w:rsidRDefault="00D631A9" w:rsidP="001E39EE">
      <w:pPr>
        <w:rPr>
          <w:sz w:val="19"/>
          <w:szCs w:val="19"/>
          <w:lang w:val="fr-CA"/>
        </w:rPr>
      </w:pPr>
      <w:r w:rsidRPr="005F4F67">
        <w:rPr>
          <w:sz w:val="19"/>
          <w:szCs w:val="19"/>
          <w:lang w:val="fr-CA"/>
        </w:rPr>
        <w:t>*</w:t>
      </w:r>
      <w:r w:rsidR="00A07E20">
        <w:rPr>
          <w:sz w:val="19"/>
          <w:szCs w:val="19"/>
          <w:lang w:val="fr-CA"/>
        </w:rPr>
        <w:t>Ne comprend pas les coûts d’appui aux agences</w:t>
      </w:r>
      <w:r w:rsidRPr="005F4F67">
        <w:rPr>
          <w:sz w:val="19"/>
          <w:szCs w:val="19"/>
          <w:lang w:val="fr-CA"/>
        </w:rPr>
        <w:t xml:space="preserve">. </w:t>
      </w:r>
    </w:p>
    <w:p w14:paraId="39F19FCF" w14:textId="66B97755" w:rsidR="00D631A9" w:rsidRPr="005F4F67" w:rsidRDefault="00A07E20" w:rsidP="001E39EE">
      <w:pPr>
        <w:rPr>
          <w:sz w:val="19"/>
          <w:szCs w:val="19"/>
          <w:lang w:val="fr-CA"/>
        </w:rPr>
      </w:pPr>
      <w:r>
        <w:rPr>
          <w:sz w:val="19"/>
          <w:szCs w:val="19"/>
          <w:lang w:val="fr-CA"/>
        </w:rPr>
        <w:t>** 443,</w:t>
      </w:r>
      <w:r w:rsidR="001C0777" w:rsidRPr="005F4F67">
        <w:rPr>
          <w:sz w:val="19"/>
          <w:szCs w:val="19"/>
          <w:lang w:val="fr-CA"/>
        </w:rPr>
        <w:t xml:space="preserve">1 </w:t>
      </w:r>
      <w:proofErr w:type="spellStart"/>
      <w:r>
        <w:rPr>
          <w:sz w:val="19"/>
          <w:szCs w:val="19"/>
          <w:lang w:val="fr-CA"/>
        </w:rPr>
        <w:t>tm</w:t>
      </w:r>
      <w:proofErr w:type="spellEnd"/>
      <w:r w:rsidR="001C0777" w:rsidRPr="005F4F67">
        <w:rPr>
          <w:sz w:val="19"/>
          <w:szCs w:val="19"/>
          <w:lang w:val="fr-CA"/>
        </w:rPr>
        <w:t xml:space="preserve"> (678</w:t>
      </w:r>
      <w:r>
        <w:rPr>
          <w:sz w:val="19"/>
          <w:szCs w:val="19"/>
          <w:lang w:val="fr-CA"/>
        </w:rPr>
        <w:t xml:space="preserve"> </w:t>
      </w:r>
      <w:r w:rsidR="001C0777" w:rsidRPr="005F4F67">
        <w:rPr>
          <w:sz w:val="19"/>
          <w:szCs w:val="19"/>
          <w:lang w:val="fr-CA"/>
        </w:rPr>
        <w:t xml:space="preserve">661 </w:t>
      </w:r>
      <w:proofErr w:type="spellStart"/>
      <w:r>
        <w:rPr>
          <w:sz w:val="19"/>
          <w:szCs w:val="19"/>
          <w:lang w:val="fr-CA"/>
        </w:rPr>
        <w:t>tm</w:t>
      </w:r>
      <w:proofErr w:type="spellEnd"/>
      <w:r>
        <w:rPr>
          <w:sz w:val="19"/>
          <w:szCs w:val="19"/>
          <w:lang w:val="fr-CA"/>
        </w:rPr>
        <w:t xml:space="preserve"> d’éq-</w:t>
      </w:r>
      <w:r w:rsidR="001C0777" w:rsidRPr="005F4F67">
        <w:rPr>
          <w:sz w:val="19"/>
          <w:szCs w:val="19"/>
          <w:lang w:val="fr-CA"/>
        </w:rPr>
        <w:t>CO</w:t>
      </w:r>
      <w:r w:rsidR="001C0777" w:rsidRPr="005F4F67">
        <w:rPr>
          <w:sz w:val="19"/>
          <w:szCs w:val="19"/>
          <w:vertAlign w:val="subscript"/>
          <w:lang w:val="fr-CA"/>
        </w:rPr>
        <w:t>2</w:t>
      </w:r>
      <w:r w:rsidR="001C0777" w:rsidRPr="005F4F67">
        <w:rPr>
          <w:sz w:val="19"/>
          <w:szCs w:val="19"/>
          <w:lang w:val="fr-CA"/>
        </w:rPr>
        <w:t xml:space="preserve">) </w:t>
      </w:r>
      <w:r>
        <w:rPr>
          <w:sz w:val="19"/>
          <w:szCs w:val="19"/>
          <w:lang w:val="fr-CA"/>
        </w:rPr>
        <w:t xml:space="preserve">de </w:t>
      </w:r>
      <w:r>
        <w:rPr>
          <w:sz w:val="20"/>
          <w:szCs w:val="20"/>
          <w:lang w:val="fr-CA"/>
        </w:rPr>
        <w:t>754,</w:t>
      </w:r>
      <w:r w:rsidR="001C0777" w:rsidRPr="005F4F67">
        <w:rPr>
          <w:sz w:val="20"/>
          <w:szCs w:val="20"/>
          <w:lang w:val="fr-CA"/>
        </w:rPr>
        <w:t xml:space="preserve">5 </w:t>
      </w:r>
      <w:proofErr w:type="spellStart"/>
      <w:r>
        <w:rPr>
          <w:sz w:val="20"/>
          <w:szCs w:val="20"/>
          <w:lang w:val="fr-CA"/>
        </w:rPr>
        <w:t>tm</w:t>
      </w:r>
      <w:proofErr w:type="spellEnd"/>
      <w:r w:rsidR="001C0777" w:rsidRPr="005F4F67">
        <w:rPr>
          <w:sz w:val="20"/>
          <w:szCs w:val="20"/>
          <w:lang w:val="fr-CA"/>
        </w:rPr>
        <w:t xml:space="preserve"> (1</w:t>
      </w:r>
      <w:r>
        <w:rPr>
          <w:sz w:val="20"/>
          <w:szCs w:val="20"/>
          <w:lang w:val="fr-CA"/>
        </w:rPr>
        <w:t> </w:t>
      </w:r>
      <w:r w:rsidR="001C0777" w:rsidRPr="005F4F67">
        <w:rPr>
          <w:sz w:val="20"/>
          <w:szCs w:val="20"/>
          <w:lang w:val="fr-CA"/>
        </w:rPr>
        <w:t>108</w:t>
      </w:r>
      <w:r>
        <w:rPr>
          <w:sz w:val="20"/>
          <w:szCs w:val="20"/>
          <w:lang w:val="fr-CA"/>
        </w:rPr>
        <w:t xml:space="preserve"> </w:t>
      </w:r>
      <w:r w:rsidR="001C0777" w:rsidRPr="005F4F67">
        <w:rPr>
          <w:sz w:val="20"/>
          <w:szCs w:val="20"/>
          <w:lang w:val="fr-CA"/>
        </w:rPr>
        <w:t xml:space="preserve">442 </w:t>
      </w:r>
      <w:proofErr w:type="spellStart"/>
      <w:r>
        <w:rPr>
          <w:sz w:val="20"/>
          <w:szCs w:val="20"/>
          <w:lang w:val="fr-CA"/>
        </w:rPr>
        <w:t>tm</w:t>
      </w:r>
      <w:proofErr w:type="spellEnd"/>
      <w:r>
        <w:rPr>
          <w:sz w:val="20"/>
          <w:szCs w:val="20"/>
          <w:lang w:val="fr-CA"/>
        </w:rPr>
        <w:t xml:space="preserve"> d’éq-</w:t>
      </w:r>
      <w:r w:rsidR="001C0777" w:rsidRPr="005F4F67">
        <w:rPr>
          <w:sz w:val="20"/>
          <w:szCs w:val="20"/>
          <w:lang w:val="fr-CA"/>
        </w:rPr>
        <w:t>CO</w:t>
      </w:r>
      <w:r w:rsidR="001C0777" w:rsidRPr="005F4F67">
        <w:rPr>
          <w:sz w:val="20"/>
          <w:szCs w:val="20"/>
          <w:vertAlign w:val="subscript"/>
          <w:lang w:val="fr-CA"/>
        </w:rPr>
        <w:t>2</w:t>
      </w:r>
      <w:r w:rsidR="001C0777" w:rsidRPr="005F4F67">
        <w:rPr>
          <w:sz w:val="20"/>
          <w:szCs w:val="20"/>
          <w:lang w:val="fr-CA"/>
        </w:rPr>
        <w:t xml:space="preserve">) </w:t>
      </w:r>
      <w:r>
        <w:rPr>
          <w:sz w:val="20"/>
          <w:szCs w:val="20"/>
          <w:lang w:val="fr-CA"/>
        </w:rPr>
        <w:t>de</w:t>
      </w:r>
      <w:r w:rsidR="001C0777" w:rsidRPr="005F4F67">
        <w:rPr>
          <w:sz w:val="19"/>
          <w:szCs w:val="19"/>
          <w:lang w:val="fr-CA"/>
        </w:rPr>
        <w:t xml:space="preserve"> HFCs </w:t>
      </w:r>
      <w:r>
        <w:rPr>
          <w:sz w:val="19"/>
          <w:szCs w:val="19"/>
          <w:lang w:val="fr-CA"/>
        </w:rPr>
        <w:t>ont été éliminées</w:t>
      </w:r>
      <w:r w:rsidR="001C0777" w:rsidRPr="005F4F67">
        <w:rPr>
          <w:sz w:val="19"/>
          <w:szCs w:val="19"/>
          <w:lang w:val="fr-CA"/>
        </w:rPr>
        <w:t>.</w:t>
      </w:r>
    </w:p>
    <w:p w14:paraId="5DB94B76" w14:textId="77777777" w:rsidR="001C0777" w:rsidRPr="005F4F67" w:rsidRDefault="001C0777" w:rsidP="001E39EE">
      <w:pPr>
        <w:rPr>
          <w:lang w:val="fr-CA"/>
        </w:rPr>
      </w:pPr>
    </w:p>
    <w:p w14:paraId="058CA9E9" w14:textId="5F24AE41" w:rsidR="00D631A9" w:rsidRPr="005F4F67" w:rsidRDefault="00A07E20" w:rsidP="001E39EE">
      <w:pPr>
        <w:pStyle w:val="Heading1"/>
        <w:rPr>
          <w:lang w:val="fr-CA"/>
        </w:rPr>
      </w:pPr>
      <w:r>
        <w:rPr>
          <w:lang w:val="fr-CA"/>
        </w:rPr>
        <w:t>Deux projets d’investissement, dix activités de préparation de propositions de projet et 22 activités de facilitation parmi les 144 projets approuvés avaient été menés à terme à la fin de 2020. La prorogation des dates d’achèvement de 106 activités de facilitation en cours a été approuvée. Les activités de facilitation en cours en sont à différentes étapes de leur mise en œuvre et devraient être menées à terme en 2021 et 2022</w:t>
      </w:r>
      <w:r w:rsidR="00D631A9" w:rsidRPr="005F4F67">
        <w:rPr>
          <w:lang w:val="fr-CA"/>
        </w:rPr>
        <w:t>.</w:t>
      </w:r>
    </w:p>
    <w:p w14:paraId="005EFDBB" w14:textId="3FAF3882" w:rsidR="00D631A9" w:rsidRPr="005F4F67" w:rsidRDefault="00A07E20" w:rsidP="001E39EE">
      <w:pPr>
        <w:pStyle w:val="Heading1"/>
        <w:rPr>
          <w:lang w:val="fr-CA"/>
        </w:rPr>
      </w:pPr>
      <w:r>
        <w:rPr>
          <w:lang w:val="fr-CA"/>
        </w:rPr>
        <w:t>Les quatre projets d’investissement en cours restants devraient être achevés en 2021 et 2022</w:t>
      </w:r>
      <w:r w:rsidR="00786273">
        <w:rPr>
          <w:lang w:val="fr-CA"/>
        </w:rPr>
        <w:t>. Une</w:t>
      </w:r>
      <w:r>
        <w:rPr>
          <w:lang w:val="fr-CA"/>
        </w:rPr>
        <w:t xml:space="preserve"> part </w:t>
      </w:r>
      <w:r w:rsidR="00786273">
        <w:rPr>
          <w:lang w:val="fr-CA"/>
        </w:rPr>
        <w:t xml:space="preserve">cumulative </w:t>
      </w:r>
      <w:r>
        <w:rPr>
          <w:lang w:val="fr-CA"/>
        </w:rPr>
        <w:t xml:space="preserve">de </w:t>
      </w:r>
      <w:r w:rsidR="00786273">
        <w:rPr>
          <w:lang w:val="fr-CA"/>
        </w:rPr>
        <w:t>16 323 651</w:t>
      </w:r>
      <w:r>
        <w:rPr>
          <w:lang w:val="fr-CA"/>
        </w:rPr>
        <w:t> $US des 23</w:t>
      </w:r>
      <w:r w:rsidR="00786273">
        <w:rPr>
          <w:lang w:val="fr-CA"/>
        </w:rPr>
        <w:t> 930 935</w:t>
      </w:r>
      <w:r>
        <w:rPr>
          <w:lang w:val="fr-CA"/>
        </w:rPr>
        <w:t> $US approuvés a été décaissée (ne comprenant pas les coûts d’appui aux agences), ce qui représen</w:t>
      </w:r>
      <w:r w:rsidR="00786273">
        <w:rPr>
          <w:lang w:val="fr-CA"/>
        </w:rPr>
        <w:t>te un taux de décaissement de 68</w:t>
      </w:r>
      <w:r>
        <w:rPr>
          <w:lang w:val="fr-CA"/>
        </w:rPr>
        <w:t xml:space="preserve"> p. cent</w:t>
      </w:r>
      <w:r w:rsidR="00D631A9" w:rsidRPr="005F4F67">
        <w:rPr>
          <w:lang w:val="fr-CA"/>
        </w:rPr>
        <w:t>.</w:t>
      </w:r>
    </w:p>
    <w:p w14:paraId="5738973E" w14:textId="77777777" w:rsidR="00D631A9" w:rsidRPr="00A07E20" w:rsidRDefault="00D631A9" w:rsidP="001E39EE">
      <w:pPr>
        <w:rPr>
          <w:lang w:val="fr-CA"/>
        </w:rPr>
      </w:pPr>
    </w:p>
    <w:p w14:paraId="310F1B17" w14:textId="77777777" w:rsidR="00D631A9" w:rsidRPr="00A07E20" w:rsidRDefault="00D631A9" w:rsidP="001E39EE">
      <w:pPr>
        <w:rPr>
          <w:lang w:val="fr-CA"/>
        </w:rPr>
        <w:sectPr w:rsidR="00D631A9" w:rsidRPr="00A07E20" w:rsidSect="00A37590">
          <w:headerReference w:type="even" r:id="rId21"/>
          <w:headerReference w:type="default" r:id="rId22"/>
          <w:headerReference w:type="first" r:id="rId23"/>
          <w:footnotePr>
            <w:numRestart w:val="eachSect"/>
          </w:footnotePr>
          <w:pgSz w:w="12240" w:h="15840" w:code="1"/>
          <w:pgMar w:top="720" w:right="1440" w:bottom="864" w:left="1440" w:header="720" w:footer="475" w:gutter="0"/>
          <w:pgNumType w:start="1"/>
          <w:cols w:space="720"/>
          <w:titlePg/>
        </w:sectPr>
      </w:pPr>
    </w:p>
    <w:p w14:paraId="2B8F02FF" w14:textId="65B94978" w:rsidR="00D631A9" w:rsidRPr="00786273" w:rsidRDefault="00786273" w:rsidP="001E39EE">
      <w:pPr>
        <w:pStyle w:val="Title1"/>
        <w:rPr>
          <w:caps w:val="0"/>
          <w:lang w:val="fr-CA"/>
        </w:rPr>
      </w:pPr>
      <w:r>
        <w:rPr>
          <w:caps w:val="0"/>
          <w:lang w:val="fr-CA"/>
        </w:rPr>
        <w:lastRenderedPageBreak/>
        <w:t>Appendice</w:t>
      </w:r>
      <w:r w:rsidR="00D631A9" w:rsidRPr="00786273">
        <w:rPr>
          <w:caps w:val="0"/>
          <w:lang w:val="fr-CA"/>
        </w:rPr>
        <w:t xml:space="preserve"> I</w:t>
      </w:r>
    </w:p>
    <w:p w14:paraId="2872A89C" w14:textId="77777777" w:rsidR="00D631A9" w:rsidRPr="00786273" w:rsidRDefault="00D631A9" w:rsidP="001E39EE">
      <w:pPr>
        <w:pStyle w:val="Title1"/>
        <w:rPr>
          <w:caps w:val="0"/>
          <w:lang w:val="fr-CA"/>
        </w:rPr>
      </w:pPr>
    </w:p>
    <w:p w14:paraId="51BB3672" w14:textId="7E6D561C" w:rsidR="00D631A9" w:rsidRPr="00786273" w:rsidRDefault="00786273" w:rsidP="001E39EE">
      <w:pPr>
        <w:pStyle w:val="Title1"/>
        <w:rPr>
          <w:caps w:val="0"/>
          <w:lang w:val="fr-CA"/>
        </w:rPr>
      </w:pPr>
      <w:r>
        <w:rPr>
          <w:caps w:val="0"/>
          <w:lang w:val="fr-CA"/>
        </w:rPr>
        <w:t>MISE EN ŒUVRE DES PROJETS EN</w:t>
      </w:r>
      <w:r w:rsidR="00D631A9" w:rsidRPr="00786273">
        <w:rPr>
          <w:caps w:val="0"/>
          <w:lang w:val="fr-CA"/>
        </w:rPr>
        <w:t xml:space="preserve"> </w:t>
      </w:r>
      <w:r w:rsidR="00D631A9" w:rsidRPr="00786273">
        <w:rPr>
          <w:lang w:val="fr-CA"/>
        </w:rPr>
        <w:t>20</w:t>
      </w:r>
      <w:r w:rsidR="00FD14BB" w:rsidRPr="00786273">
        <w:rPr>
          <w:lang w:val="fr-CA"/>
        </w:rPr>
        <w:t>20</w:t>
      </w:r>
      <w:r>
        <w:rPr>
          <w:lang w:val="fr-CA"/>
        </w:rPr>
        <w:t>, PAR PAYS</w:t>
      </w:r>
    </w:p>
    <w:p w14:paraId="1624A216" w14:textId="77777777" w:rsidR="00FD14BB" w:rsidRPr="00786273" w:rsidRDefault="00FD14BB" w:rsidP="001E39EE">
      <w:pPr>
        <w:pStyle w:val="Title1"/>
        <w:rPr>
          <w:caps w:val="0"/>
          <w:lang w:val="fr-CA"/>
        </w:rPr>
      </w:pPr>
    </w:p>
    <w:tbl>
      <w:tblPr>
        <w:tblW w:w="10042" w:type="dxa"/>
        <w:tblInd w:w="-147" w:type="dxa"/>
        <w:tblLook w:val="04A0" w:firstRow="1" w:lastRow="0" w:firstColumn="1" w:lastColumn="0" w:noHBand="0" w:noVBand="1"/>
      </w:tblPr>
      <w:tblGrid>
        <w:gridCol w:w="2972"/>
        <w:gridCol w:w="1228"/>
        <w:gridCol w:w="1305"/>
        <w:gridCol w:w="1250"/>
        <w:gridCol w:w="1276"/>
        <w:gridCol w:w="1384"/>
        <w:gridCol w:w="1149"/>
      </w:tblGrid>
      <w:tr w:rsidR="00786273" w:rsidRPr="003D423A" w14:paraId="21B0FE1A" w14:textId="77777777" w:rsidTr="00691ABD">
        <w:trPr>
          <w:trHeight w:val="1056"/>
          <w:tblHead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AE456" w14:textId="51155F64" w:rsidR="00786273" w:rsidRPr="00786273" w:rsidRDefault="00786273" w:rsidP="00786273">
            <w:pPr>
              <w:jc w:val="center"/>
              <w:rPr>
                <w:b/>
                <w:bCs/>
                <w:sz w:val="20"/>
                <w:szCs w:val="20"/>
                <w:lang w:val="fr-CA" w:eastAsia="en-CA"/>
              </w:rPr>
            </w:pPr>
            <w:r w:rsidRPr="00F845E6">
              <w:rPr>
                <w:b/>
                <w:bCs/>
                <w:sz w:val="20"/>
                <w:szCs w:val="20"/>
                <w:lang w:val="fr-CA" w:eastAsia="en-CA"/>
              </w:rPr>
              <w:t>Pays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C66F84" w14:textId="07AB5601" w:rsidR="00786273" w:rsidRPr="00786273" w:rsidRDefault="00786273" w:rsidP="00786273">
            <w:pPr>
              <w:jc w:val="center"/>
              <w:rPr>
                <w:b/>
                <w:bCs/>
                <w:sz w:val="20"/>
                <w:szCs w:val="20"/>
                <w:lang w:val="fr-CA" w:eastAsia="en-CA"/>
              </w:rPr>
            </w:pPr>
            <w:r>
              <w:rPr>
                <w:b/>
                <w:bCs/>
                <w:sz w:val="20"/>
                <w:szCs w:val="20"/>
                <w:lang w:val="fr-CA" w:eastAsia="en-CA"/>
              </w:rPr>
              <w:t>Élimination en 2020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0B0DE3D" w14:textId="17EB673C" w:rsidR="00786273" w:rsidRPr="00786273" w:rsidRDefault="00786273" w:rsidP="00786273">
            <w:pPr>
              <w:jc w:val="center"/>
              <w:rPr>
                <w:b/>
                <w:bCs/>
                <w:sz w:val="20"/>
                <w:szCs w:val="20"/>
                <w:lang w:val="fr-CA" w:eastAsia="en-CA"/>
              </w:rPr>
            </w:pPr>
            <w:r w:rsidRPr="00F845E6">
              <w:rPr>
                <w:b/>
                <w:bCs/>
                <w:sz w:val="20"/>
                <w:szCs w:val="20"/>
                <w:lang w:val="fr-CA" w:eastAsia="en-CA"/>
              </w:rPr>
              <w:t>Pourcentage de l’élimination prévue réalisée en 20</w:t>
            </w:r>
            <w:r>
              <w:rPr>
                <w:b/>
                <w:bCs/>
                <w:sz w:val="20"/>
                <w:szCs w:val="20"/>
                <w:lang w:val="fr-CA" w:eastAsia="en-CA"/>
              </w:rPr>
              <w:t>20</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7C4AA857" w14:textId="528A5687" w:rsidR="00786273" w:rsidRPr="00786273" w:rsidRDefault="00786273" w:rsidP="00786273">
            <w:pPr>
              <w:ind w:left="-136" w:right="-108"/>
              <w:jc w:val="center"/>
              <w:rPr>
                <w:b/>
                <w:bCs/>
                <w:sz w:val="20"/>
                <w:szCs w:val="20"/>
                <w:lang w:val="fr-CA" w:eastAsia="en-CA"/>
              </w:rPr>
            </w:pPr>
            <w:r w:rsidRPr="00F845E6">
              <w:rPr>
                <w:b/>
                <w:bCs/>
                <w:sz w:val="20"/>
                <w:szCs w:val="20"/>
                <w:lang w:val="fr-CA" w:eastAsia="en-CA"/>
              </w:rPr>
              <w:t>Estimation des sommes décaissées en 20</w:t>
            </w:r>
            <w:r>
              <w:rPr>
                <w:b/>
                <w:bCs/>
                <w:sz w:val="20"/>
                <w:szCs w:val="20"/>
                <w:lang w:val="fr-CA" w:eastAsia="en-CA"/>
              </w:rPr>
              <w:t>20</w:t>
            </w:r>
            <w:r w:rsidRPr="00F845E6">
              <w:rPr>
                <w:b/>
                <w:bCs/>
                <w:sz w:val="20"/>
                <w:szCs w:val="20"/>
                <w:lang w:val="fr-CA" w:eastAsia="en-CA"/>
              </w:rPr>
              <w:t xml:space="preserve"> ($US)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291E2B" w14:textId="56CE20B6" w:rsidR="00786273" w:rsidRPr="00786273" w:rsidRDefault="00786273" w:rsidP="00786273">
            <w:pPr>
              <w:jc w:val="center"/>
              <w:rPr>
                <w:b/>
                <w:bCs/>
                <w:sz w:val="20"/>
                <w:szCs w:val="20"/>
                <w:lang w:val="fr-CA" w:eastAsia="en-CA"/>
              </w:rPr>
            </w:pPr>
            <w:r w:rsidRPr="00F845E6">
              <w:rPr>
                <w:b/>
                <w:bCs/>
                <w:sz w:val="20"/>
                <w:szCs w:val="20"/>
                <w:lang w:val="fr-CA" w:eastAsia="en-CA"/>
              </w:rPr>
              <w:t>Sommes décaissées en 20</w:t>
            </w:r>
            <w:r>
              <w:rPr>
                <w:b/>
                <w:bCs/>
                <w:sz w:val="20"/>
                <w:szCs w:val="20"/>
                <w:lang w:val="fr-CA" w:eastAsia="en-CA"/>
              </w:rPr>
              <w:t>20</w:t>
            </w:r>
            <w:r w:rsidRPr="00F845E6">
              <w:rPr>
                <w:b/>
                <w:bCs/>
                <w:sz w:val="20"/>
                <w:szCs w:val="20"/>
                <w:lang w:val="fr-CA" w:eastAsia="en-CA"/>
              </w:rPr>
              <w:t xml:space="preserve"> ($US)</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5F774E88" w14:textId="72AAAF40" w:rsidR="00786273" w:rsidRPr="00786273" w:rsidRDefault="00786273" w:rsidP="00786273">
            <w:pPr>
              <w:ind w:left="-109" w:right="-144"/>
              <w:jc w:val="center"/>
              <w:rPr>
                <w:b/>
                <w:bCs/>
                <w:sz w:val="20"/>
                <w:szCs w:val="20"/>
                <w:lang w:val="fr-CA" w:eastAsia="en-CA"/>
              </w:rPr>
            </w:pPr>
            <w:r w:rsidRPr="00F845E6">
              <w:rPr>
                <w:b/>
                <w:bCs/>
                <w:sz w:val="20"/>
                <w:szCs w:val="20"/>
                <w:lang w:val="fr-CA" w:eastAsia="en-CA"/>
              </w:rPr>
              <w:t>Pourcentage des fo</w:t>
            </w:r>
            <w:r w:rsidR="00E3685D">
              <w:rPr>
                <w:b/>
                <w:bCs/>
                <w:sz w:val="20"/>
                <w:szCs w:val="20"/>
                <w:lang w:val="fr-CA" w:eastAsia="en-CA"/>
              </w:rPr>
              <w:t>nds décaissé</w:t>
            </w:r>
            <w:r>
              <w:rPr>
                <w:b/>
                <w:bCs/>
                <w:sz w:val="20"/>
                <w:szCs w:val="20"/>
                <w:lang w:val="fr-CA" w:eastAsia="en-CA"/>
              </w:rPr>
              <w:t>s par rapport à l’e</w:t>
            </w:r>
            <w:r w:rsidRPr="00F845E6">
              <w:rPr>
                <w:b/>
                <w:bCs/>
                <w:sz w:val="20"/>
                <w:szCs w:val="20"/>
                <w:lang w:val="fr-CA" w:eastAsia="en-CA"/>
              </w:rPr>
              <w:t>stimation en 20</w:t>
            </w:r>
            <w:r>
              <w:rPr>
                <w:b/>
                <w:bCs/>
                <w:sz w:val="20"/>
                <w:szCs w:val="20"/>
                <w:lang w:val="fr-CA" w:eastAsia="en-CA"/>
              </w:rPr>
              <w:t>20</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07DF0462" w14:textId="77777777" w:rsidR="00786273" w:rsidRDefault="00786273" w:rsidP="00786273">
            <w:pPr>
              <w:ind w:left="-213" w:right="-112"/>
              <w:jc w:val="center"/>
              <w:rPr>
                <w:b/>
                <w:bCs/>
                <w:sz w:val="20"/>
                <w:szCs w:val="20"/>
                <w:lang w:val="fr-CA" w:eastAsia="en-CA"/>
              </w:rPr>
            </w:pPr>
            <w:r w:rsidRPr="00F845E6">
              <w:rPr>
                <w:b/>
                <w:bCs/>
                <w:sz w:val="20"/>
                <w:szCs w:val="20"/>
                <w:lang w:val="fr-CA" w:eastAsia="en-CA"/>
              </w:rPr>
              <w:t xml:space="preserve">Pourcentage des projets prévus </w:t>
            </w:r>
          </w:p>
          <w:p w14:paraId="7F0C9B5B" w14:textId="11B7E099" w:rsidR="00786273" w:rsidRPr="00786273" w:rsidRDefault="00786273" w:rsidP="00786273">
            <w:pPr>
              <w:ind w:left="-213" w:right="-112"/>
              <w:jc w:val="center"/>
              <w:rPr>
                <w:b/>
                <w:bCs/>
                <w:sz w:val="20"/>
                <w:szCs w:val="20"/>
                <w:lang w:val="fr-CA" w:eastAsia="en-CA"/>
              </w:rPr>
            </w:pPr>
            <w:r w:rsidRPr="00F845E6">
              <w:rPr>
                <w:b/>
                <w:bCs/>
                <w:sz w:val="20"/>
                <w:szCs w:val="20"/>
                <w:lang w:val="fr-CA" w:eastAsia="en-CA"/>
              </w:rPr>
              <w:t>achevé en 20</w:t>
            </w:r>
            <w:r>
              <w:rPr>
                <w:b/>
                <w:bCs/>
                <w:sz w:val="20"/>
                <w:szCs w:val="20"/>
                <w:lang w:val="fr-CA" w:eastAsia="en-CA"/>
              </w:rPr>
              <w:t>20</w:t>
            </w:r>
          </w:p>
        </w:tc>
      </w:tr>
      <w:tr w:rsidR="00691ABD" w:rsidRPr="00786273" w14:paraId="61FC322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AAC93F3" w14:textId="77777777" w:rsidR="00691ABD" w:rsidRPr="00786273" w:rsidRDefault="00691ABD" w:rsidP="001E39EE">
            <w:pPr>
              <w:jc w:val="left"/>
              <w:rPr>
                <w:sz w:val="20"/>
                <w:szCs w:val="20"/>
                <w:lang w:val="fr-CA" w:eastAsia="en-CA"/>
              </w:rPr>
            </w:pPr>
            <w:r w:rsidRPr="00786273">
              <w:rPr>
                <w:sz w:val="20"/>
                <w:szCs w:val="20"/>
                <w:lang w:val="fr-CA" w:eastAsia="en-CA"/>
              </w:rPr>
              <w:t>Afghanistan</w:t>
            </w:r>
          </w:p>
        </w:tc>
        <w:tc>
          <w:tcPr>
            <w:tcW w:w="851" w:type="dxa"/>
            <w:tcBorders>
              <w:top w:val="nil"/>
              <w:left w:val="nil"/>
              <w:bottom w:val="single" w:sz="4" w:space="0" w:color="auto"/>
              <w:right w:val="single" w:sz="4" w:space="0" w:color="auto"/>
            </w:tcBorders>
            <w:shd w:val="clear" w:color="auto" w:fill="auto"/>
            <w:noWrap/>
            <w:hideMark/>
          </w:tcPr>
          <w:p w14:paraId="39B495C3" w14:textId="70EFAEBD"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2</w:t>
            </w:r>
          </w:p>
        </w:tc>
        <w:tc>
          <w:tcPr>
            <w:tcW w:w="1160" w:type="dxa"/>
            <w:tcBorders>
              <w:top w:val="nil"/>
              <w:left w:val="nil"/>
              <w:bottom w:val="single" w:sz="4" w:space="0" w:color="auto"/>
              <w:right w:val="single" w:sz="4" w:space="0" w:color="auto"/>
            </w:tcBorders>
            <w:shd w:val="clear" w:color="auto" w:fill="auto"/>
            <w:noWrap/>
            <w:hideMark/>
          </w:tcPr>
          <w:p w14:paraId="5FE2346D"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04022A98" w14:textId="270520CE" w:rsidR="00691ABD" w:rsidRPr="00786273" w:rsidRDefault="00691ABD" w:rsidP="001E39EE">
            <w:pPr>
              <w:jc w:val="right"/>
              <w:rPr>
                <w:sz w:val="20"/>
                <w:szCs w:val="20"/>
                <w:lang w:val="fr-CA" w:eastAsia="en-CA"/>
              </w:rPr>
            </w:pPr>
            <w:r w:rsidRPr="00786273">
              <w:rPr>
                <w:sz w:val="20"/>
                <w:szCs w:val="20"/>
                <w:lang w:val="fr-CA" w:eastAsia="en-CA"/>
              </w:rPr>
              <w:t>153</w:t>
            </w:r>
            <w:r>
              <w:rPr>
                <w:sz w:val="20"/>
                <w:szCs w:val="20"/>
                <w:lang w:val="fr-CA" w:eastAsia="en-CA"/>
              </w:rPr>
              <w:t xml:space="preserve"> </w:t>
            </w:r>
            <w:r w:rsidRPr="00786273">
              <w:rPr>
                <w:sz w:val="20"/>
                <w:szCs w:val="20"/>
                <w:lang w:val="fr-CA" w:eastAsia="en-CA"/>
              </w:rPr>
              <w:t>693</w:t>
            </w:r>
          </w:p>
        </w:tc>
        <w:tc>
          <w:tcPr>
            <w:tcW w:w="1276" w:type="dxa"/>
            <w:tcBorders>
              <w:top w:val="nil"/>
              <w:left w:val="nil"/>
              <w:bottom w:val="single" w:sz="4" w:space="0" w:color="auto"/>
              <w:right w:val="single" w:sz="4" w:space="0" w:color="auto"/>
            </w:tcBorders>
            <w:shd w:val="clear" w:color="auto" w:fill="auto"/>
            <w:noWrap/>
            <w:hideMark/>
          </w:tcPr>
          <w:p w14:paraId="6228B965" w14:textId="3E69EB49" w:rsidR="00691ABD" w:rsidRPr="00786273" w:rsidRDefault="00691ABD" w:rsidP="001E39EE">
            <w:pPr>
              <w:jc w:val="right"/>
              <w:rPr>
                <w:sz w:val="20"/>
                <w:szCs w:val="20"/>
                <w:lang w:val="fr-CA" w:eastAsia="en-CA"/>
              </w:rPr>
            </w:pPr>
            <w:r w:rsidRPr="00786273">
              <w:rPr>
                <w:sz w:val="20"/>
                <w:szCs w:val="20"/>
                <w:lang w:val="fr-CA" w:eastAsia="en-CA"/>
              </w:rPr>
              <w:t>189</w:t>
            </w:r>
            <w:r>
              <w:rPr>
                <w:sz w:val="20"/>
                <w:szCs w:val="20"/>
                <w:lang w:val="fr-CA" w:eastAsia="en-CA"/>
              </w:rPr>
              <w:t xml:space="preserve"> </w:t>
            </w:r>
            <w:r w:rsidRPr="00786273">
              <w:rPr>
                <w:sz w:val="20"/>
                <w:szCs w:val="20"/>
                <w:lang w:val="fr-CA" w:eastAsia="en-CA"/>
              </w:rPr>
              <w:t>669</w:t>
            </w:r>
          </w:p>
        </w:tc>
        <w:tc>
          <w:tcPr>
            <w:tcW w:w="1384" w:type="dxa"/>
            <w:tcBorders>
              <w:top w:val="nil"/>
              <w:left w:val="nil"/>
              <w:bottom w:val="single" w:sz="4" w:space="0" w:color="auto"/>
              <w:right w:val="single" w:sz="4" w:space="0" w:color="auto"/>
            </w:tcBorders>
            <w:shd w:val="clear" w:color="auto" w:fill="auto"/>
            <w:noWrap/>
            <w:hideMark/>
          </w:tcPr>
          <w:p w14:paraId="4F5D5007" w14:textId="77777777" w:rsidR="00691ABD" w:rsidRPr="00786273" w:rsidRDefault="00691ABD" w:rsidP="001E39EE">
            <w:pPr>
              <w:jc w:val="right"/>
              <w:rPr>
                <w:sz w:val="20"/>
                <w:szCs w:val="20"/>
                <w:lang w:val="fr-CA" w:eastAsia="en-CA"/>
              </w:rPr>
            </w:pPr>
            <w:r w:rsidRPr="00786273">
              <w:rPr>
                <w:sz w:val="20"/>
                <w:szCs w:val="20"/>
                <w:lang w:val="fr-CA" w:eastAsia="en-CA"/>
              </w:rPr>
              <w:t>123</w:t>
            </w:r>
          </w:p>
        </w:tc>
        <w:tc>
          <w:tcPr>
            <w:tcW w:w="1149" w:type="dxa"/>
            <w:tcBorders>
              <w:top w:val="nil"/>
              <w:left w:val="nil"/>
              <w:bottom w:val="single" w:sz="4" w:space="0" w:color="auto"/>
              <w:right w:val="single" w:sz="4" w:space="0" w:color="auto"/>
            </w:tcBorders>
            <w:shd w:val="clear" w:color="auto" w:fill="auto"/>
            <w:noWrap/>
            <w:hideMark/>
          </w:tcPr>
          <w:p w14:paraId="49D3EB71"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4189AA79"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31CF5C9" w14:textId="77777777" w:rsidR="00691ABD" w:rsidRPr="00786273" w:rsidRDefault="00691ABD" w:rsidP="001E39EE">
            <w:pPr>
              <w:jc w:val="left"/>
              <w:rPr>
                <w:sz w:val="20"/>
                <w:szCs w:val="20"/>
                <w:lang w:val="fr-CA" w:eastAsia="en-CA"/>
              </w:rPr>
            </w:pPr>
            <w:r>
              <w:rPr>
                <w:sz w:val="20"/>
                <w:szCs w:val="20"/>
                <w:lang w:val="fr-CA" w:eastAsia="en-CA"/>
              </w:rPr>
              <w:t>Afrique du Sud</w:t>
            </w:r>
          </w:p>
        </w:tc>
        <w:tc>
          <w:tcPr>
            <w:tcW w:w="851" w:type="dxa"/>
            <w:tcBorders>
              <w:top w:val="nil"/>
              <w:left w:val="nil"/>
              <w:bottom w:val="single" w:sz="4" w:space="0" w:color="auto"/>
              <w:right w:val="single" w:sz="4" w:space="0" w:color="auto"/>
            </w:tcBorders>
            <w:shd w:val="clear" w:color="auto" w:fill="auto"/>
            <w:noWrap/>
            <w:hideMark/>
          </w:tcPr>
          <w:p w14:paraId="290DDDE9" w14:textId="0DA350CB"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4070ED6"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6DD0DD63" w14:textId="02554C41" w:rsidR="00691ABD" w:rsidRPr="00786273" w:rsidRDefault="00691ABD" w:rsidP="001E39EE">
            <w:pPr>
              <w:jc w:val="right"/>
              <w:rPr>
                <w:sz w:val="20"/>
                <w:szCs w:val="20"/>
                <w:lang w:val="fr-CA" w:eastAsia="en-CA"/>
              </w:rPr>
            </w:pPr>
            <w:r w:rsidRPr="00786273">
              <w:rPr>
                <w:sz w:val="20"/>
                <w:szCs w:val="20"/>
                <w:lang w:val="fr-CA" w:eastAsia="en-CA"/>
              </w:rPr>
              <w:t>163</w:t>
            </w:r>
            <w:r>
              <w:rPr>
                <w:sz w:val="20"/>
                <w:szCs w:val="20"/>
                <w:lang w:val="fr-CA" w:eastAsia="en-CA"/>
              </w:rPr>
              <w:t xml:space="preserve"> </w:t>
            </w:r>
            <w:r w:rsidRPr="00786273">
              <w:rPr>
                <w:sz w:val="20"/>
                <w:szCs w:val="20"/>
                <w:lang w:val="fr-CA" w:eastAsia="en-CA"/>
              </w:rPr>
              <w:t>300</w:t>
            </w:r>
          </w:p>
        </w:tc>
        <w:tc>
          <w:tcPr>
            <w:tcW w:w="1276" w:type="dxa"/>
            <w:tcBorders>
              <w:top w:val="nil"/>
              <w:left w:val="nil"/>
              <w:bottom w:val="single" w:sz="4" w:space="0" w:color="auto"/>
              <w:right w:val="single" w:sz="4" w:space="0" w:color="auto"/>
            </w:tcBorders>
            <w:shd w:val="clear" w:color="auto" w:fill="auto"/>
            <w:noWrap/>
            <w:hideMark/>
          </w:tcPr>
          <w:p w14:paraId="00CA2145" w14:textId="499082D6" w:rsidR="00691ABD" w:rsidRPr="00786273" w:rsidRDefault="00691ABD" w:rsidP="001E39EE">
            <w:pPr>
              <w:jc w:val="right"/>
              <w:rPr>
                <w:sz w:val="20"/>
                <w:szCs w:val="20"/>
                <w:lang w:val="fr-CA" w:eastAsia="en-CA"/>
              </w:rPr>
            </w:pPr>
            <w:r w:rsidRPr="00786273">
              <w:rPr>
                <w:sz w:val="20"/>
                <w:szCs w:val="20"/>
                <w:lang w:val="fr-CA" w:eastAsia="en-CA"/>
              </w:rPr>
              <w:t>119</w:t>
            </w:r>
            <w:r>
              <w:rPr>
                <w:sz w:val="20"/>
                <w:szCs w:val="20"/>
                <w:lang w:val="fr-CA" w:eastAsia="en-CA"/>
              </w:rPr>
              <w:t xml:space="preserve"> </w:t>
            </w:r>
            <w:r w:rsidRPr="00786273">
              <w:rPr>
                <w:sz w:val="20"/>
                <w:szCs w:val="20"/>
                <w:lang w:val="fr-CA" w:eastAsia="en-CA"/>
              </w:rPr>
              <w:t>458</w:t>
            </w:r>
          </w:p>
        </w:tc>
        <w:tc>
          <w:tcPr>
            <w:tcW w:w="1384" w:type="dxa"/>
            <w:tcBorders>
              <w:top w:val="nil"/>
              <w:left w:val="nil"/>
              <w:bottom w:val="single" w:sz="4" w:space="0" w:color="auto"/>
              <w:right w:val="single" w:sz="4" w:space="0" w:color="auto"/>
            </w:tcBorders>
            <w:shd w:val="clear" w:color="auto" w:fill="auto"/>
            <w:noWrap/>
            <w:hideMark/>
          </w:tcPr>
          <w:p w14:paraId="656B02BF" w14:textId="77777777" w:rsidR="00691ABD" w:rsidRPr="00786273" w:rsidRDefault="00691ABD" w:rsidP="001E39EE">
            <w:pPr>
              <w:jc w:val="right"/>
              <w:rPr>
                <w:sz w:val="20"/>
                <w:szCs w:val="20"/>
                <w:lang w:val="fr-CA" w:eastAsia="en-CA"/>
              </w:rPr>
            </w:pPr>
            <w:r w:rsidRPr="00786273">
              <w:rPr>
                <w:sz w:val="20"/>
                <w:szCs w:val="20"/>
                <w:lang w:val="fr-CA" w:eastAsia="en-CA"/>
              </w:rPr>
              <w:t>73</w:t>
            </w:r>
          </w:p>
        </w:tc>
        <w:tc>
          <w:tcPr>
            <w:tcW w:w="1149" w:type="dxa"/>
            <w:tcBorders>
              <w:top w:val="nil"/>
              <w:left w:val="nil"/>
              <w:bottom w:val="single" w:sz="4" w:space="0" w:color="auto"/>
              <w:right w:val="single" w:sz="4" w:space="0" w:color="auto"/>
            </w:tcBorders>
            <w:shd w:val="clear" w:color="auto" w:fill="auto"/>
            <w:noWrap/>
            <w:hideMark/>
          </w:tcPr>
          <w:p w14:paraId="55553972" w14:textId="77777777" w:rsidR="00691ABD" w:rsidRPr="00786273" w:rsidRDefault="00691ABD" w:rsidP="001E39EE">
            <w:pPr>
              <w:jc w:val="right"/>
              <w:rPr>
                <w:sz w:val="20"/>
                <w:szCs w:val="20"/>
                <w:lang w:val="fr-CA" w:eastAsia="en-CA"/>
              </w:rPr>
            </w:pPr>
            <w:r w:rsidRPr="00786273">
              <w:rPr>
                <w:sz w:val="20"/>
                <w:szCs w:val="20"/>
                <w:lang w:val="fr-CA" w:eastAsia="en-CA"/>
              </w:rPr>
              <w:t>25</w:t>
            </w:r>
          </w:p>
        </w:tc>
      </w:tr>
      <w:tr w:rsidR="00691ABD" w:rsidRPr="00786273" w14:paraId="2E8A41E5"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95DB88D" w14:textId="77777777" w:rsidR="00691ABD" w:rsidRPr="00786273" w:rsidRDefault="00691ABD" w:rsidP="001E39EE">
            <w:pPr>
              <w:jc w:val="left"/>
              <w:rPr>
                <w:sz w:val="20"/>
                <w:szCs w:val="20"/>
                <w:lang w:val="fr-CA" w:eastAsia="en-CA"/>
              </w:rPr>
            </w:pPr>
            <w:r>
              <w:rPr>
                <w:sz w:val="20"/>
                <w:szCs w:val="20"/>
                <w:lang w:val="fr-CA" w:eastAsia="en-CA"/>
              </w:rPr>
              <w:t>Albanie</w:t>
            </w:r>
          </w:p>
        </w:tc>
        <w:tc>
          <w:tcPr>
            <w:tcW w:w="851" w:type="dxa"/>
            <w:tcBorders>
              <w:top w:val="nil"/>
              <w:left w:val="nil"/>
              <w:bottom w:val="single" w:sz="4" w:space="0" w:color="auto"/>
              <w:right w:val="single" w:sz="4" w:space="0" w:color="auto"/>
            </w:tcBorders>
            <w:shd w:val="clear" w:color="auto" w:fill="auto"/>
            <w:noWrap/>
            <w:hideMark/>
          </w:tcPr>
          <w:p w14:paraId="7B7DD5D5" w14:textId="58868529"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58139B4"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698F6277" w14:textId="160743DB" w:rsidR="00691ABD" w:rsidRPr="00786273" w:rsidRDefault="00691ABD" w:rsidP="001E39EE">
            <w:pPr>
              <w:jc w:val="right"/>
              <w:rPr>
                <w:sz w:val="20"/>
                <w:szCs w:val="20"/>
                <w:lang w:val="fr-CA" w:eastAsia="en-CA"/>
              </w:rPr>
            </w:pPr>
            <w:r w:rsidRPr="00786273">
              <w:rPr>
                <w:sz w:val="20"/>
                <w:szCs w:val="20"/>
                <w:lang w:val="fr-CA" w:eastAsia="en-CA"/>
              </w:rPr>
              <w:t>105</w:t>
            </w:r>
            <w:r>
              <w:rPr>
                <w:sz w:val="20"/>
                <w:szCs w:val="20"/>
                <w:lang w:val="fr-CA" w:eastAsia="en-CA"/>
              </w:rPr>
              <w:t xml:space="preserve"> </w:t>
            </w:r>
            <w:r w:rsidRPr="00786273">
              <w:rPr>
                <w:sz w:val="20"/>
                <w:szCs w:val="20"/>
                <w:lang w:val="fr-CA" w:eastAsia="en-CA"/>
              </w:rPr>
              <w:t>203</w:t>
            </w:r>
          </w:p>
        </w:tc>
        <w:tc>
          <w:tcPr>
            <w:tcW w:w="1276" w:type="dxa"/>
            <w:tcBorders>
              <w:top w:val="nil"/>
              <w:left w:val="nil"/>
              <w:bottom w:val="single" w:sz="4" w:space="0" w:color="auto"/>
              <w:right w:val="single" w:sz="4" w:space="0" w:color="auto"/>
            </w:tcBorders>
            <w:shd w:val="clear" w:color="auto" w:fill="auto"/>
            <w:noWrap/>
            <w:hideMark/>
          </w:tcPr>
          <w:p w14:paraId="3CC15249" w14:textId="64433720" w:rsidR="00691ABD" w:rsidRPr="00786273" w:rsidRDefault="00691ABD" w:rsidP="001E39EE">
            <w:pPr>
              <w:jc w:val="right"/>
              <w:rPr>
                <w:sz w:val="20"/>
                <w:szCs w:val="20"/>
                <w:lang w:val="fr-CA" w:eastAsia="en-CA"/>
              </w:rPr>
            </w:pPr>
            <w:r w:rsidRPr="00786273">
              <w:rPr>
                <w:sz w:val="20"/>
                <w:szCs w:val="20"/>
                <w:lang w:val="fr-CA" w:eastAsia="en-CA"/>
              </w:rPr>
              <w:t>87</w:t>
            </w:r>
            <w:r>
              <w:rPr>
                <w:sz w:val="20"/>
                <w:szCs w:val="20"/>
                <w:lang w:val="fr-CA" w:eastAsia="en-CA"/>
              </w:rPr>
              <w:t xml:space="preserve"> </w:t>
            </w:r>
            <w:r w:rsidRPr="00786273">
              <w:rPr>
                <w:sz w:val="20"/>
                <w:szCs w:val="20"/>
                <w:lang w:val="fr-CA" w:eastAsia="en-CA"/>
              </w:rPr>
              <w:t>049</w:t>
            </w:r>
          </w:p>
        </w:tc>
        <w:tc>
          <w:tcPr>
            <w:tcW w:w="1384" w:type="dxa"/>
            <w:tcBorders>
              <w:top w:val="nil"/>
              <w:left w:val="nil"/>
              <w:bottom w:val="single" w:sz="4" w:space="0" w:color="auto"/>
              <w:right w:val="single" w:sz="4" w:space="0" w:color="auto"/>
            </w:tcBorders>
            <w:shd w:val="clear" w:color="auto" w:fill="auto"/>
            <w:noWrap/>
            <w:hideMark/>
          </w:tcPr>
          <w:p w14:paraId="5F7E994D" w14:textId="77777777" w:rsidR="00691ABD" w:rsidRPr="00786273" w:rsidRDefault="00691ABD" w:rsidP="001E39EE">
            <w:pPr>
              <w:jc w:val="right"/>
              <w:rPr>
                <w:sz w:val="20"/>
                <w:szCs w:val="20"/>
                <w:lang w:val="fr-CA" w:eastAsia="en-CA"/>
              </w:rPr>
            </w:pPr>
            <w:r w:rsidRPr="00786273">
              <w:rPr>
                <w:sz w:val="20"/>
                <w:szCs w:val="20"/>
                <w:lang w:val="fr-CA" w:eastAsia="en-CA"/>
              </w:rPr>
              <w:t>83</w:t>
            </w:r>
          </w:p>
        </w:tc>
        <w:tc>
          <w:tcPr>
            <w:tcW w:w="1149" w:type="dxa"/>
            <w:tcBorders>
              <w:top w:val="nil"/>
              <w:left w:val="nil"/>
              <w:bottom w:val="single" w:sz="4" w:space="0" w:color="auto"/>
              <w:right w:val="single" w:sz="4" w:space="0" w:color="auto"/>
            </w:tcBorders>
            <w:shd w:val="clear" w:color="auto" w:fill="auto"/>
            <w:noWrap/>
            <w:hideMark/>
          </w:tcPr>
          <w:p w14:paraId="16CC1690"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00CB55C4"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90EAEC9" w14:textId="77777777" w:rsidR="00691ABD" w:rsidRPr="00786273" w:rsidRDefault="00691ABD" w:rsidP="001E39EE">
            <w:pPr>
              <w:jc w:val="left"/>
              <w:rPr>
                <w:sz w:val="20"/>
                <w:szCs w:val="20"/>
                <w:lang w:val="fr-CA" w:eastAsia="en-CA"/>
              </w:rPr>
            </w:pPr>
            <w:r>
              <w:rPr>
                <w:sz w:val="20"/>
                <w:szCs w:val="20"/>
                <w:lang w:val="fr-CA" w:eastAsia="en-CA"/>
              </w:rPr>
              <w:t>Algérie</w:t>
            </w:r>
          </w:p>
        </w:tc>
        <w:tc>
          <w:tcPr>
            <w:tcW w:w="851" w:type="dxa"/>
            <w:tcBorders>
              <w:top w:val="nil"/>
              <w:left w:val="nil"/>
              <w:bottom w:val="single" w:sz="4" w:space="0" w:color="auto"/>
              <w:right w:val="single" w:sz="4" w:space="0" w:color="auto"/>
            </w:tcBorders>
            <w:shd w:val="clear" w:color="auto" w:fill="auto"/>
            <w:noWrap/>
            <w:hideMark/>
          </w:tcPr>
          <w:p w14:paraId="1353F82A" w14:textId="52756FBB"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7641E01"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76DFCF6C" w14:textId="73A2A1A7" w:rsidR="00691ABD" w:rsidRPr="00786273" w:rsidRDefault="00691ABD" w:rsidP="001E39EE">
            <w:pPr>
              <w:jc w:val="right"/>
              <w:rPr>
                <w:sz w:val="20"/>
                <w:szCs w:val="20"/>
                <w:lang w:val="fr-CA" w:eastAsia="en-CA"/>
              </w:rPr>
            </w:pPr>
            <w:r w:rsidRPr="00786273">
              <w:rPr>
                <w:sz w:val="20"/>
                <w:szCs w:val="20"/>
                <w:lang w:val="fr-CA" w:eastAsia="en-CA"/>
              </w:rPr>
              <w:t>187</w:t>
            </w:r>
            <w:r>
              <w:rPr>
                <w:sz w:val="20"/>
                <w:szCs w:val="20"/>
                <w:lang w:val="fr-CA" w:eastAsia="en-CA"/>
              </w:rPr>
              <w:t xml:space="preserve"> </w:t>
            </w:r>
            <w:r w:rsidRPr="00786273">
              <w:rPr>
                <w:sz w:val="20"/>
                <w:szCs w:val="20"/>
                <w:lang w:val="fr-CA" w:eastAsia="en-CA"/>
              </w:rPr>
              <w:t>220</w:t>
            </w:r>
          </w:p>
        </w:tc>
        <w:tc>
          <w:tcPr>
            <w:tcW w:w="1276" w:type="dxa"/>
            <w:tcBorders>
              <w:top w:val="nil"/>
              <w:left w:val="nil"/>
              <w:bottom w:val="single" w:sz="4" w:space="0" w:color="auto"/>
              <w:right w:val="single" w:sz="4" w:space="0" w:color="auto"/>
            </w:tcBorders>
            <w:shd w:val="clear" w:color="auto" w:fill="auto"/>
            <w:noWrap/>
            <w:hideMark/>
          </w:tcPr>
          <w:p w14:paraId="032551E2" w14:textId="17BA9BF0" w:rsidR="00691ABD" w:rsidRPr="00786273" w:rsidRDefault="00691ABD" w:rsidP="001E39EE">
            <w:pPr>
              <w:jc w:val="right"/>
              <w:rPr>
                <w:sz w:val="20"/>
                <w:szCs w:val="20"/>
                <w:lang w:val="fr-CA" w:eastAsia="en-CA"/>
              </w:rPr>
            </w:pPr>
            <w:r w:rsidRPr="00786273">
              <w:rPr>
                <w:sz w:val="20"/>
                <w:szCs w:val="20"/>
                <w:lang w:val="fr-CA" w:eastAsia="en-CA"/>
              </w:rPr>
              <w:t>56</w:t>
            </w:r>
            <w:r>
              <w:rPr>
                <w:sz w:val="20"/>
                <w:szCs w:val="20"/>
                <w:lang w:val="fr-CA" w:eastAsia="en-CA"/>
              </w:rPr>
              <w:t xml:space="preserve"> </w:t>
            </w:r>
            <w:r w:rsidRPr="00786273">
              <w:rPr>
                <w:sz w:val="20"/>
                <w:szCs w:val="20"/>
                <w:lang w:val="fr-CA" w:eastAsia="en-CA"/>
              </w:rPr>
              <w:t>864</w:t>
            </w:r>
          </w:p>
        </w:tc>
        <w:tc>
          <w:tcPr>
            <w:tcW w:w="1384" w:type="dxa"/>
            <w:tcBorders>
              <w:top w:val="nil"/>
              <w:left w:val="nil"/>
              <w:bottom w:val="single" w:sz="4" w:space="0" w:color="auto"/>
              <w:right w:val="single" w:sz="4" w:space="0" w:color="auto"/>
            </w:tcBorders>
            <w:shd w:val="clear" w:color="auto" w:fill="auto"/>
            <w:noWrap/>
            <w:hideMark/>
          </w:tcPr>
          <w:p w14:paraId="49C2F117" w14:textId="77777777" w:rsidR="00691ABD" w:rsidRPr="00786273" w:rsidRDefault="00691ABD" w:rsidP="001E39EE">
            <w:pPr>
              <w:jc w:val="right"/>
              <w:rPr>
                <w:sz w:val="20"/>
                <w:szCs w:val="20"/>
                <w:lang w:val="fr-CA" w:eastAsia="en-CA"/>
              </w:rPr>
            </w:pPr>
            <w:r w:rsidRPr="00786273">
              <w:rPr>
                <w:sz w:val="20"/>
                <w:szCs w:val="20"/>
                <w:lang w:val="fr-CA" w:eastAsia="en-CA"/>
              </w:rPr>
              <w:t>30</w:t>
            </w:r>
          </w:p>
        </w:tc>
        <w:tc>
          <w:tcPr>
            <w:tcW w:w="1149" w:type="dxa"/>
            <w:tcBorders>
              <w:top w:val="nil"/>
              <w:left w:val="nil"/>
              <w:bottom w:val="single" w:sz="4" w:space="0" w:color="auto"/>
              <w:right w:val="single" w:sz="4" w:space="0" w:color="auto"/>
            </w:tcBorders>
            <w:shd w:val="clear" w:color="auto" w:fill="auto"/>
            <w:noWrap/>
            <w:hideMark/>
          </w:tcPr>
          <w:p w14:paraId="56A7DCB8"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7B83B69F"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3A5E84B" w14:textId="77777777" w:rsidR="00691ABD" w:rsidRPr="00786273" w:rsidRDefault="00691ABD" w:rsidP="001E39EE">
            <w:pPr>
              <w:jc w:val="left"/>
              <w:rPr>
                <w:sz w:val="20"/>
                <w:szCs w:val="20"/>
                <w:lang w:val="fr-CA" w:eastAsia="en-CA"/>
              </w:rPr>
            </w:pPr>
            <w:r w:rsidRPr="00786273">
              <w:rPr>
                <w:sz w:val="20"/>
                <w:szCs w:val="20"/>
                <w:lang w:val="fr-CA" w:eastAsia="en-CA"/>
              </w:rPr>
              <w:t>Angola</w:t>
            </w:r>
          </w:p>
        </w:tc>
        <w:tc>
          <w:tcPr>
            <w:tcW w:w="851" w:type="dxa"/>
            <w:tcBorders>
              <w:top w:val="nil"/>
              <w:left w:val="nil"/>
              <w:bottom w:val="single" w:sz="4" w:space="0" w:color="auto"/>
              <w:right w:val="single" w:sz="4" w:space="0" w:color="auto"/>
            </w:tcBorders>
            <w:shd w:val="clear" w:color="auto" w:fill="auto"/>
            <w:noWrap/>
            <w:hideMark/>
          </w:tcPr>
          <w:p w14:paraId="5ECD3F8A" w14:textId="4E752E62"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030B829E"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6B9E8B5D" w14:textId="42054948" w:rsidR="00691ABD" w:rsidRPr="00786273" w:rsidRDefault="00691ABD" w:rsidP="001E39EE">
            <w:pPr>
              <w:jc w:val="right"/>
              <w:rPr>
                <w:sz w:val="20"/>
                <w:szCs w:val="20"/>
                <w:lang w:val="fr-CA" w:eastAsia="en-CA"/>
              </w:rPr>
            </w:pPr>
            <w:r w:rsidRPr="00786273">
              <w:rPr>
                <w:sz w:val="20"/>
                <w:szCs w:val="20"/>
                <w:lang w:val="fr-CA" w:eastAsia="en-CA"/>
              </w:rPr>
              <w:t>206</w:t>
            </w:r>
            <w:r>
              <w:rPr>
                <w:sz w:val="20"/>
                <w:szCs w:val="20"/>
                <w:lang w:val="fr-CA" w:eastAsia="en-CA"/>
              </w:rPr>
              <w:t xml:space="preserve"> </w:t>
            </w:r>
            <w:r w:rsidRPr="00786273">
              <w:rPr>
                <w:sz w:val="20"/>
                <w:szCs w:val="20"/>
                <w:lang w:val="fr-CA" w:eastAsia="en-CA"/>
              </w:rPr>
              <w:t>137</w:t>
            </w:r>
          </w:p>
        </w:tc>
        <w:tc>
          <w:tcPr>
            <w:tcW w:w="1276" w:type="dxa"/>
            <w:tcBorders>
              <w:top w:val="nil"/>
              <w:left w:val="nil"/>
              <w:bottom w:val="single" w:sz="4" w:space="0" w:color="auto"/>
              <w:right w:val="single" w:sz="4" w:space="0" w:color="auto"/>
            </w:tcBorders>
            <w:shd w:val="clear" w:color="auto" w:fill="auto"/>
            <w:noWrap/>
            <w:hideMark/>
          </w:tcPr>
          <w:p w14:paraId="3C554FD2" w14:textId="27A7E017" w:rsidR="00691ABD" w:rsidRPr="00786273" w:rsidRDefault="00691ABD" w:rsidP="001E39EE">
            <w:pPr>
              <w:jc w:val="right"/>
              <w:rPr>
                <w:sz w:val="20"/>
                <w:szCs w:val="20"/>
                <w:lang w:val="fr-CA" w:eastAsia="en-CA"/>
              </w:rPr>
            </w:pPr>
            <w:r w:rsidRPr="00786273">
              <w:rPr>
                <w:sz w:val="20"/>
                <w:szCs w:val="20"/>
                <w:lang w:val="fr-CA" w:eastAsia="en-CA"/>
              </w:rPr>
              <w:t>119</w:t>
            </w:r>
            <w:r>
              <w:rPr>
                <w:sz w:val="20"/>
                <w:szCs w:val="20"/>
                <w:lang w:val="fr-CA" w:eastAsia="en-CA"/>
              </w:rPr>
              <w:t xml:space="preserve"> </w:t>
            </w:r>
            <w:r w:rsidRPr="00786273">
              <w:rPr>
                <w:sz w:val="20"/>
                <w:szCs w:val="20"/>
                <w:lang w:val="fr-CA" w:eastAsia="en-CA"/>
              </w:rPr>
              <w:t>673</w:t>
            </w:r>
          </w:p>
        </w:tc>
        <w:tc>
          <w:tcPr>
            <w:tcW w:w="1384" w:type="dxa"/>
            <w:tcBorders>
              <w:top w:val="nil"/>
              <w:left w:val="nil"/>
              <w:bottom w:val="single" w:sz="4" w:space="0" w:color="auto"/>
              <w:right w:val="single" w:sz="4" w:space="0" w:color="auto"/>
            </w:tcBorders>
            <w:shd w:val="clear" w:color="auto" w:fill="auto"/>
            <w:noWrap/>
            <w:hideMark/>
          </w:tcPr>
          <w:p w14:paraId="2FE3FE63" w14:textId="77777777" w:rsidR="00691ABD" w:rsidRPr="00786273" w:rsidRDefault="00691ABD" w:rsidP="001E39EE">
            <w:pPr>
              <w:jc w:val="right"/>
              <w:rPr>
                <w:sz w:val="20"/>
                <w:szCs w:val="20"/>
                <w:lang w:val="fr-CA" w:eastAsia="en-CA"/>
              </w:rPr>
            </w:pPr>
            <w:r w:rsidRPr="00786273">
              <w:rPr>
                <w:sz w:val="20"/>
                <w:szCs w:val="20"/>
                <w:lang w:val="fr-CA" w:eastAsia="en-CA"/>
              </w:rPr>
              <w:t>58</w:t>
            </w:r>
          </w:p>
        </w:tc>
        <w:tc>
          <w:tcPr>
            <w:tcW w:w="1149" w:type="dxa"/>
            <w:tcBorders>
              <w:top w:val="nil"/>
              <w:left w:val="nil"/>
              <w:bottom w:val="single" w:sz="4" w:space="0" w:color="auto"/>
              <w:right w:val="single" w:sz="4" w:space="0" w:color="auto"/>
            </w:tcBorders>
            <w:shd w:val="clear" w:color="auto" w:fill="auto"/>
            <w:noWrap/>
            <w:hideMark/>
          </w:tcPr>
          <w:p w14:paraId="58A2E04C"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4FFD9CDD"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701EB00" w14:textId="77777777" w:rsidR="00691ABD" w:rsidRPr="00786273" w:rsidRDefault="00691ABD" w:rsidP="00786273">
            <w:pPr>
              <w:jc w:val="left"/>
              <w:rPr>
                <w:sz w:val="20"/>
                <w:szCs w:val="20"/>
                <w:lang w:val="fr-CA" w:eastAsia="en-CA"/>
              </w:rPr>
            </w:pPr>
            <w:r w:rsidRPr="00786273">
              <w:rPr>
                <w:sz w:val="20"/>
                <w:szCs w:val="20"/>
                <w:lang w:val="fr-CA" w:eastAsia="en-CA"/>
              </w:rPr>
              <w:t>Antigua</w:t>
            </w:r>
            <w:r>
              <w:rPr>
                <w:sz w:val="20"/>
                <w:szCs w:val="20"/>
                <w:lang w:val="fr-CA" w:eastAsia="en-CA"/>
              </w:rPr>
              <w:t>-et-</w:t>
            </w:r>
            <w:r w:rsidRPr="00786273">
              <w:rPr>
                <w:sz w:val="20"/>
                <w:szCs w:val="20"/>
                <w:lang w:val="fr-CA" w:eastAsia="en-CA"/>
              </w:rPr>
              <w:t>Barbuda</w:t>
            </w:r>
          </w:p>
        </w:tc>
        <w:tc>
          <w:tcPr>
            <w:tcW w:w="851" w:type="dxa"/>
            <w:tcBorders>
              <w:top w:val="nil"/>
              <w:left w:val="nil"/>
              <w:bottom w:val="single" w:sz="4" w:space="0" w:color="auto"/>
              <w:right w:val="single" w:sz="4" w:space="0" w:color="auto"/>
            </w:tcBorders>
            <w:shd w:val="clear" w:color="auto" w:fill="auto"/>
            <w:noWrap/>
            <w:hideMark/>
          </w:tcPr>
          <w:p w14:paraId="6FA10E94" w14:textId="79AAE0E0"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0B92AB8"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2AA89E80" w14:textId="094107D9" w:rsidR="00691ABD" w:rsidRPr="00786273" w:rsidRDefault="00691ABD" w:rsidP="001E39EE">
            <w:pPr>
              <w:jc w:val="right"/>
              <w:rPr>
                <w:sz w:val="20"/>
                <w:szCs w:val="20"/>
                <w:lang w:val="fr-CA" w:eastAsia="en-CA"/>
              </w:rPr>
            </w:pPr>
            <w:r w:rsidRPr="00786273">
              <w:rPr>
                <w:sz w:val="20"/>
                <w:szCs w:val="20"/>
                <w:lang w:val="fr-CA" w:eastAsia="en-CA"/>
              </w:rPr>
              <w:t>37</w:t>
            </w:r>
            <w:r>
              <w:rPr>
                <w:sz w:val="20"/>
                <w:szCs w:val="20"/>
                <w:lang w:val="fr-CA" w:eastAsia="en-CA"/>
              </w:rPr>
              <w:t xml:space="preserve"> </w:t>
            </w:r>
            <w:r w:rsidRPr="00786273">
              <w:rPr>
                <w:sz w:val="20"/>
                <w:szCs w:val="20"/>
                <w:lang w:val="fr-CA" w:eastAsia="en-CA"/>
              </w:rPr>
              <w:t>812</w:t>
            </w:r>
          </w:p>
        </w:tc>
        <w:tc>
          <w:tcPr>
            <w:tcW w:w="1276" w:type="dxa"/>
            <w:tcBorders>
              <w:top w:val="nil"/>
              <w:left w:val="nil"/>
              <w:bottom w:val="single" w:sz="4" w:space="0" w:color="auto"/>
              <w:right w:val="single" w:sz="4" w:space="0" w:color="auto"/>
            </w:tcBorders>
            <w:shd w:val="clear" w:color="auto" w:fill="auto"/>
            <w:noWrap/>
            <w:hideMark/>
          </w:tcPr>
          <w:p w14:paraId="21D55D2F" w14:textId="77777777" w:rsidR="00691ABD" w:rsidRPr="00786273" w:rsidRDefault="00691ABD" w:rsidP="001E39EE">
            <w:pPr>
              <w:jc w:val="right"/>
              <w:rPr>
                <w:sz w:val="20"/>
                <w:szCs w:val="20"/>
                <w:lang w:val="fr-CA" w:eastAsia="en-CA"/>
              </w:rPr>
            </w:pPr>
            <w:r w:rsidRPr="00786273">
              <w:rPr>
                <w:sz w:val="20"/>
                <w:szCs w:val="20"/>
                <w:lang w:val="fr-CA" w:eastAsia="en-CA"/>
              </w:rPr>
              <w:t>188</w:t>
            </w:r>
          </w:p>
        </w:tc>
        <w:tc>
          <w:tcPr>
            <w:tcW w:w="1384" w:type="dxa"/>
            <w:tcBorders>
              <w:top w:val="nil"/>
              <w:left w:val="nil"/>
              <w:bottom w:val="single" w:sz="4" w:space="0" w:color="auto"/>
              <w:right w:val="single" w:sz="4" w:space="0" w:color="auto"/>
            </w:tcBorders>
            <w:shd w:val="clear" w:color="auto" w:fill="auto"/>
            <w:noWrap/>
            <w:hideMark/>
          </w:tcPr>
          <w:p w14:paraId="11648EE5"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149" w:type="dxa"/>
            <w:tcBorders>
              <w:top w:val="nil"/>
              <w:left w:val="nil"/>
              <w:bottom w:val="single" w:sz="4" w:space="0" w:color="auto"/>
              <w:right w:val="single" w:sz="4" w:space="0" w:color="auto"/>
            </w:tcBorders>
            <w:shd w:val="clear" w:color="auto" w:fill="auto"/>
            <w:noWrap/>
            <w:hideMark/>
          </w:tcPr>
          <w:p w14:paraId="59CAB138"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257C875E" w14:textId="77777777" w:rsidTr="00AD0261">
        <w:trPr>
          <w:trHeight w:val="174"/>
        </w:trPr>
        <w:tc>
          <w:tcPr>
            <w:tcW w:w="2972" w:type="dxa"/>
            <w:tcBorders>
              <w:top w:val="nil"/>
              <w:left w:val="single" w:sz="4" w:space="0" w:color="auto"/>
              <w:bottom w:val="single" w:sz="4" w:space="0" w:color="auto"/>
              <w:right w:val="single" w:sz="4" w:space="0" w:color="auto"/>
            </w:tcBorders>
            <w:shd w:val="clear" w:color="auto" w:fill="auto"/>
            <w:noWrap/>
            <w:hideMark/>
          </w:tcPr>
          <w:p w14:paraId="4F77BD39" w14:textId="77777777" w:rsidR="00691ABD" w:rsidRPr="00786273" w:rsidRDefault="00691ABD" w:rsidP="001E39EE">
            <w:pPr>
              <w:jc w:val="left"/>
              <w:rPr>
                <w:sz w:val="20"/>
                <w:szCs w:val="20"/>
                <w:lang w:val="fr-CA" w:eastAsia="en-CA"/>
              </w:rPr>
            </w:pPr>
            <w:r>
              <w:rPr>
                <w:sz w:val="20"/>
                <w:szCs w:val="20"/>
                <w:lang w:val="fr-CA" w:eastAsia="en-CA"/>
              </w:rPr>
              <w:t>Arabie saoudite</w:t>
            </w:r>
          </w:p>
        </w:tc>
        <w:tc>
          <w:tcPr>
            <w:tcW w:w="851" w:type="dxa"/>
            <w:tcBorders>
              <w:top w:val="nil"/>
              <w:left w:val="nil"/>
              <w:bottom w:val="single" w:sz="4" w:space="0" w:color="auto"/>
              <w:right w:val="single" w:sz="4" w:space="0" w:color="auto"/>
            </w:tcBorders>
            <w:shd w:val="clear" w:color="auto" w:fill="auto"/>
            <w:noWrap/>
            <w:hideMark/>
          </w:tcPr>
          <w:p w14:paraId="3FA325F9" w14:textId="30F5B0E2" w:rsidR="00691ABD" w:rsidRPr="00786273" w:rsidRDefault="00691ABD" w:rsidP="001E39EE">
            <w:pPr>
              <w:jc w:val="right"/>
              <w:rPr>
                <w:sz w:val="20"/>
                <w:szCs w:val="20"/>
                <w:lang w:val="fr-CA" w:eastAsia="en-CA"/>
              </w:rPr>
            </w:pPr>
            <w:r w:rsidRPr="00786273">
              <w:rPr>
                <w:sz w:val="20"/>
                <w:szCs w:val="20"/>
                <w:lang w:val="fr-CA" w:eastAsia="en-CA"/>
              </w:rPr>
              <w:t>19</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0F49B5E"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72F96426" w14:textId="2F1E0A3C" w:rsidR="00691ABD" w:rsidRPr="00786273" w:rsidRDefault="00691ABD" w:rsidP="001E39EE">
            <w:pPr>
              <w:jc w:val="right"/>
              <w:rPr>
                <w:sz w:val="20"/>
                <w:szCs w:val="20"/>
                <w:lang w:val="fr-CA" w:eastAsia="en-CA"/>
              </w:rPr>
            </w:pPr>
            <w:r w:rsidRPr="00786273">
              <w:rPr>
                <w:sz w:val="20"/>
                <w:szCs w:val="20"/>
                <w:lang w:val="fr-CA" w:eastAsia="en-CA"/>
              </w:rPr>
              <w:t>911</w:t>
            </w:r>
            <w:r>
              <w:rPr>
                <w:sz w:val="20"/>
                <w:szCs w:val="20"/>
                <w:lang w:val="fr-CA" w:eastAsia="en-CA"/>
              </w:rPr>
              <w:t xml:space="preserve"> </w:t>
            </w:r>
            <w:r w:rsidRPr="00786273">
              <w:rPr>
                <w:sz w:val="20"/>
                <w:szCs w:val="20"/>
                <w:lang w:val="fr-CA" w:eastAsia="en-CA"/>
              </w:rPr>
              <w:t>624</w:t>
            </w:r>
          </w:p>
        </w:tc>
        <w:tc>
          <w:tcPr>
            <w:tcW w:w="1276" w:type="dxa"/>
            <w:tcBorders>
              <w:top w:val="nil"/>
              <w:left w:val="nil"/>
              <w:bottom w:val="single" w:sz="4" w:space="0" w:color="auto"/>
              <w:right w:val="single" w:sz="4" w:space="0" w:color="auto"/>
            </w:tcBorders>
            <w:shd w:val="clear" w:color="auto" w:fill="auto"/>
            <w:noWrap/>
            <w:hideMark/>
          </w:tcPr>
          <w:p w14:paraId="64840182" w14:textId="5207731C" w:rsidR="00691ABD" w:rsidRPr="00786273" w:rsidRDefault="00691ABD" w:rsidP="001E39EE">
            <w:pPr>
              <w:jc w:val="right"/>
              <w:rPr>
                <w:sz w:val="20"/>
                <w:szCs w:val="20"/>
                <w:lang w:val="fr-CA" w:eastAsia="en-CA"/>
              </w:rPr>
            </w:pPr>
            <w:r w:rsidRPr="00786273">
              <w:rPr>
                <w:sz w:val="20"/>
                <w:szCs w:val="20"/>
                <w:lang w:val="fr-CA" w:eastAsia="en-CA"/>
              </w:rPr>
              <w:t>863</w:t>
            </w:r>
            <w:r>
              <w:rPr>
                <w:sz w:val="20"/>
                <w:szCs w:val="20"/>
                <w:lang w:val="fr-CA" w:eastAsia="en-CA"/>
              </w:rPr>
              <w:t xml:space="preserve"> </w:t>
            </w:r>
            <w:r w:rsidRPr="00786273">
              <w:rPr>
                <w:sz w:val="20"/>
                <w:szCs w:val="20"/>
                <w:lang w:val="fr-CA" w:eastAsia="en-CA"/>
              </w:rPr>
              <w:t>317</w:t>
            </w:r>
          </w:p>
        </w:tc>
        <w:tc>
          <w:tcPr>
            <w:tcW w:w="1384" w:type="dxa"/>
            <w:tcBorders>
              <w:top w:val="nil"/>
              <w:left w:val="nil"/>
              <w:bottom w:val="single" w:sz="4" w:space="0" w:color="auto"/>
              <w:right w:val="single" w:sz="4" w:space="0" w:color="auto"/>
            </w:tcBorders>
            <w:shd w:val="clear" w:color="auto" w:fill="auto"/>
            <w:noWrap/>
            <w:hideMark/>
          </w:tcPr>
          <w:p w14:paraId="373AD43C" w14:textId="77777777" w:rsidR="00691ABD" w:rsidRPr="00786273" w:rsidRDefault="00691ABD" w:rsidP="001E39EE">
            <w:pPr>
              <w:jc w:val="right"/>
              <w:rPr>
                <w:sz w:val="20"/>
                <w:szCs w:val="20"/>
                <w:lang w:val="fr-CA" w:eastAsia="en-CA"/>
              </w:rPr>
            </w:pPr>
            <w:r w:rsidRPr="00786273">
              <w:rPr>
                <w:sz w:val="20"/>
                <w:szCs w:val="20"/>
                <w:lang w:val="fr-CA" w:eastAsia="en-CA"/>
              </w:rPr>
              <w:t>95</w:t>
            </w:r>
          </w:p>
        </w:tc>
        <w:tc>
          <w:tcPr>
            <w:tcW w:w="1149" w:type="dxa"/>
            <w:tcBorders>
              <w:top w:val="nil"/>
              <w:left w:val="nil"/>
              <w:bottom w:val="single" w:sz="4" w:space="0" w:color="auto"/>
              <w:right w:val="single" w:sz="4" w:space="0" w:color="auto"/>
            </w:tcBorders>
            <w:shd w:val="clear" w:color="auto" w:fill="auto"/>
            <w:noWrap/>
            <w:hideMark/>
          </w:tcPr>
          <w:p w14:paraId="66ECCCDF" w14:textId="77777777" w:rsidR="00691ABD" w:rsidRPr="00786273" w:rsidRDefault="00691ABD" w:rsidP="001E39EE">
            <w:pPr>
              <w:jc w:val="right"/>
              <w:rPr>
                <w:sz w:val="20"/>
                <w:szCs w:val="20"/>
                <w:lang w:val="fr-CA" w:eastAsia="en-CA"/>
              </w:rPr>
            </w:pPr>
            <w:r w:rsidRPr="00786273">
              <w:rPr>
                <w:sz w:val="20"/>
                <w:szCs w:val="20"/>
                <w:lang w:val="fr-CA" w:eastAsia="en-CA"/>
              </w:rPr>
              <w:t>67</w:t>
            </w:r>
          </w:p>
        </w:tc>
      </w:tr>
      <w:tr w:rsidR="00691ABD" w:rsidRPr="00786273" w14:paraId="6F4DE17A"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561DA65" w14:textId="77777777" w:rsidR="00691ABD" w:rsidRPr="00786273" w:rsidRDefault="00691ABD" w:rsidP="001E39EE">
            <w:pPr>
              <w:jc w:val="left"/>
              <w:rPr>
                <w:sz w:val="20"/>
                <w:szCs w:val="20"/>
                <w:lang w:val="fr-CA" w:eastAsia="en-CA"/>
              </w:rPr>
            </w:pPr>
            <w:r>
              <w:rPr>
                <w:sz w:val="20"/>
                <w:szCs w:val="20"/>
                <w:lang w:val="fr-CA" w:eastAsia="en-CA"/>
              </w:rPr>
              <w:t>Argentine</w:t>
            </w:r>
          </w:p>
        </w:tc>
        <w:tc>
          <w:tcPr>
            <w:tcW w:w="851" w:type="dxa"/>
            <w:tcBorders>
              <w:top w:val="nil"/>
              <w:left w:val="nil"/>
              <w:bottom w:val="single" w:sz="4" w:space="0" w:color="auto"/>
              <w:right w:val="single" w:sz="4" w:space="0" w:color="auto"/>
            </w:tcBorders>
            <w:shd w:val="clear" w:color="auto" w:fill="auto"/>
            <w:noWrap/>
            <w:hideMark/>
          </w:tcPr>
          <w:p w14:paraId="060425D8" w14:textId="0CD4899E" w:rsidR="00691ABD" w:rsidRPr="00786273" w:rsidRDefault="00691ABD" w:rsidP="001E39EE">
            <w:pPr>
              <w:jc w:val="right"/>
              <w:rPr>
                <w:sz w:val="20"/>
                <w:szCs w:val="20"/>
                <w:lang w:val="fr-CA" w:eastAsia="en-CA"/>
              </w:rPr>
            </w:pPr>
            <w:r w:rsidRPr="00786273">
              <w:rPr>
                <w:sz w:val="20"/>
                <w:szCs w:val="20"/>
                <w:lang w:val="fr-CA" w:eastAsia="en-CA"/>
              </w:rPr>
              <w:t>4</w:t>
            </w:r>
            <w:r>
              <w:rPr>
                <w:sz w:val="20"/>
                <w:szCs w:val="20"/>
                <w:lang w:val="fr-CA" w:eastAsia="en-CA"/>
              </w:rPr>
              <w:t>,</w:t>
            </w:r>
            <w:r w:rsidRPr="00786273">
              <w:rPr>
                <w:sz w:val="20"/>
                <w:szCs w:val="20"/>
                <w:lang w:val="fr-CA" w:eastAsia="en-CA"/>
              </w:rPr>
              <w:t>7</w:t>
            </w:r>
          </w:p>
        </w:tc>
        <w:tc>
          <w:tcPr>
            <w:tcW w:w="1160" w:type="dxa"/>
            <w:tcBorders>
              <w:top w:val="nil"/>
              <w:left w:val="nil"/>
              <w:bottom w:val="single" w:sz="4" w:space="0" w:color="auto"/>
              <w:right w:val="single" w:sz="4" w:space="0" w:color="auto"/>
            </w:tcBorders>
            <w:shd w:val="clear" w:color="auto" w:fill="auto"/>
            <w:noWrap/>
            <w:hideMark/>
          </w:tcPr>
          <w:p w14:paraId="682C7814" w14:textId="77777777" w:rsidR="00691ABD" w:rsidRPr="00786273" w:rsidRDefault="00691ABD" w:rsidP="001E39EE">
            <w:pPr>
              <w:jc w:val="right"/>
              <w:rPr>
                <w:sz w:val="20"/>
                <w:szCs w:val="20"/>
                <w:lang w:val="fr-CA" w:eastAsia="en-CA"/>
              </w:rPr>
            </w:pPr>
            <w:r w:rsidRPr="00786273">
              <w:rPr>
                <w:sz w:val="20"/>
                <w:szCs w:val="20"/>
                <w:lang w:val="fr-CA" w:eastAsia="en-CA"/>
              </w:rPr>
              <w:t>100</w:t>
            </w:r>
          </w:p>
        </w:tc>
        <w:tc>
          <w:tcPr>
            <w:tcW w:w="1250" w:type="dxa"/>
            <w:tcBorders>
              <w:top w:val="nil"/>
              <w:left w:val="nil"/>
              <w:bottom w:val="single" w:sz="4" w:space="0" w:color="auto"/>
              <w:right w:val="single" w:sz="4" w:space="0" w:color="auto"/>
            </w:tcBorders>
            <w:shd w:val="clear" w:color="auto" w:fill="auto"/>
            <w:noWrap/>
            <w:hideMark/>
          </w:tcPr>
          <w:p w14:paraId="0D078257" w14:textId="2EC0D500" w:rsidR="00691ABD" w:rsidRPr="00786273" w:rsidRDefault="00691ABD" w:rsidP="001E39EE">
            <w:pPr>
              <w:jc w:val="right"/>
              <w:rPr>
                <w:sz w:val="20"/>
                <w:szCs w:val="20"/>
                <w:lang w:val="fr-CA" w:eastAsia="en-CA"/>
              </w:rPr>
            </w:pPr>
            <w:r w:rsidRPr="00786273">
              <w:rPr>
                <w:sz w:val="20"/>
                <w:szCs w:val="20"/>
                <w:lang w:val="fr-CA" w:eastAsia="en-CA"/>
              </w:rPr>
              <w:t>796</w:t>
            </w:r>
            <w:r>
              <w:rPr>
                <w:sz w:val="20"/>
                <w:szCs w:val="20"/>
                <w:lang w:val="fr-CA" w:eastAsia="en-CA"/>
              </w:rPr>
              <w:t xml:space="preserve"> </w:t>
            </w:r>
            <w:r w:rsidRPr="00786273">
              <w:rPr>
                <w:sz w:val="20"/>
                <w:szCs w:val="20"/>
                <w:lang w:val="fr-CA" w:eastAsia="en-CA"/>
              </w:rPr>
              <w:t>989</w:t>
            </w:r>
          </w:p>
        </w:tc>
        <w:tc>
          <w:tcPr>
            <w:tcW w:w="1276" w:type="dxa"/>
            <w:tcBorders>
              <w:top w:val="nil"/>
              <w:left w:val="nil"/>
              <w:bottom w:val="single" w:sz="4" w:space="0" w:color="auto"/>
              <w:right w:val="single" w:sz="4" w:space="0" w:color="auto"/>
            </w:tcBorders>
            <w:shd w:val="clear" w:color="auto" w:fill="auto"/>
            <w:noWrap/>
            <w:hideMark/>
          </w:tcPr>
          <w:p w14:paraId="74200CBC" w14:textId="552EED59" w:rsidR="00691ABD" w:rsidRPr="00786273" w:rsidRDefault="00691ABD" w:rsidP="001E39EE">
            <w:pPr>
              <w:jc w:val="right"/>
              <w:rPr>
                <w:sz w:val="20"/>
                <w:szCs w:val="20"/>
                <w:lang w:val="fr-CA" w:eastAsia="en-CA"/>
              </w:rPr>
            </w:pPr>
            <w:r w:rsidRPr="00786273">
              <w:rPr>
                <w:sz w:val="20"/>
                <w:szCs w:val="20"/>
                <w:lang w:val="fr-CA" w:eastAsia="en-CA"/>
              </w:rPr>
              <w:t>874</w:t>
            </w:r>
            <w:r>
              <w:rPr>
                <w:sz w:val="20"/>
                <w:szCs w:val="20"/>
                <w:lang w:val="fr-CA" w:eastAsia="en-CA"/>
              </w:rPr>
              <w:t xml:space="preserve"> </w:t>
            </w:r>
            <w:r w:rsidRPr="00786273">
              <w:rPr>
                <w:sz w:val="20"/>
                <w:szCs w:val="20"/>
                <w:lang w:val="fr-CA" w:eastAsia="en-CA"/>
              </w:rPr>
              <w:t>747</w:t>
            </w:r>
          </w:p>
        </w:tc>
        <w:tc>
          <w:tcPr>
            <w:tcW w:w="1384" w:type="dxa"/>
            <w:tcBorders>
              <w:top w:val="nil"/>
              <w:left w:val="nil"/>
              <w:bottom w:val="single" w:sz="4" w:space="0" w:color="auto"/>
              <w:right w:val="single" w:sz="4" w:space="0" w:color="auto"/>
            </w:tcBorders>
            <w:shd w:val="clear" w:color="auto" w:fill="auto"/>
            <w:noWrap/>
            <w:hideMark/>
          </w:tcPr>
          <w:p w14:paraId="0C956CEE" w14:textId="77777777" w:rsidR="00691ABD" w:rsidRPr="00786273" w:rsidRDefault="00691ABD" w:rsidP="001E39EE">
            <w:pPr>
              <w:jc w:val="right"/>
              <w:rPr>
                <w:sz w:val="20"/>
                <w:szCs w:val="20"/>
                <w:lang w:val="fr-CA" w:eastAsia="en-CA"/>
              </w:rPr>
            </w:pPr>
            <w:r w:rsidRPr="00786273">
              <w:rPr>
                <w:sz w:val="20"/>
                <w:szCs w:val="20"/>
                <w:lang w:val="fr-CA" w:eastAsia="en-CA"/>
              </w:rPr>
              <w:t>110</w:t>
            </w:r>
          </w:p>
        </w:tc>
        <w:tc>
          <w:tcPr>
            <w:tcW w:w="1149" w:type="dxa"/>
            <w:tcBorders>
              <w:top w:val="nil"/>
              <w:left w:val="nil"/>
              <w:bottom w:val="single" w:sz="4" w:space="0" w:color="auto"/>
              <w:right w:val="single" w:sz="4" w:space="0" w:color="auto"/>
            </w:tcBorders>
            <w:shd w:val="clear" w:color="auto" w:fill="auto"/>
            <w:noWrap/>
            <w:hideMark/>
          </w:tcPr>
          <w:p w14:paraId="5B8097D6" w14:textId="77777777" w:rsidR="00691ABD" w:rsidRPr="00786273" w:rsidRDefault="00691ABD" w:rsidP="001E39EE">
            <w:pPr>
              <w:jc w:val="right"/>
              <w:rPr>
                <w:sz w:val="20"/>
                <w:szCs w:val="20"/>
                <w:lang w:val="fr-CA" w:eastAsia="en-CA"/>
              </w:rPr>
            </w:pPr>
            <w:r w:rsidRPr="00786273">
              <w:rPr>
                <w:sz w:val="20"/>
                <w:szCs w:val="20"/>
                <w:lang w:val="fr-CA" w:eastAsia="en-CA"/>
              </w:rPr>
              <w:t>75</w:t>
            </w:r>
          </w:p>
        </w:tc>
      </w:tr>
      <w:tr w:rsidR="00691ABD" w:rsidRPr="00786273" w14:paraId="47AA61B5"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9D00560" w14:textId="4D63ECD2" w:rsidR="00691ABD" w:rsidRPr="00786273" w:rsidRDefault="00E3685D" w:rsidP="001E39EE">
            <w:pPr>
              <w:jc w:val="left"/>
              <w:rPr>
                <w:sz w:val="20"/>
                <w:szCs w:val="20"/>
                <w:lang w:val="fr-CA" w:eastAsia="en-CA"/>
              </w:rPr>
            </w:pPr>
            <w:r>
              <w:rPr>
                <w:sz w:val="20"/>
                <w:szCs w:val="20"/>
                <w:lang w:val="fr-CA" w:eastAsia="en-CA"/>
              </w:rPr>
              <w:t>Arménie</w:t>
            </w:r>
          </w:p>
        </w:tc>
        <w:tc>
          <w:tcPr>
            <w:tcW w:w="851" w:type="dxa"/>
            <w:tcBorders>
              <w:top w:val="nil"/>
              <w:left w:val="nil"/>
              <w:bottom w:val="single" w:sz="4" w:space="0" w:color="auto"/>
              <w:right w:val="single" w:sz="4" w:space="0" w:color="auto"/>
            </w:tcBorders>
            <w:shd w:val="clear" w:color="auto" w:fill="auto"/>
            <w:noWrap/>
            <w:hideMark/>
          </w:tcPr>
          <w:p w14:paraId="5C6AF7AF" w14:textId="0F59832E"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0EACDD2D"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8ADD0B5" w14:textId="31E97EC0" w:rsidR="00691ABD" w:rsidRPr="00786273" w:rsidRDefault="00691ABD" w:rsidP="001E39EE">
            <w:pPr>
              <w:jc w:val="right"/>
              <w:rPr>
                <w:sz w:val="20"/>
                <w:szCs w:val="20"/>
                <w:lang w:val="fr-CA" w:eastAsia="en-CA"/>
              </w:rPr>
            </w:pPr>
            <w:r w:rsidRPr="00786273">
              <w:rPr>
                <w:sz w:val="20"/>
                <w:szCs w:val="20"/>
                <w:lang w:val="fr-CA" w:eastAsia="en-CA"/>
              </w:rPr>
              <w:t>110</w:t>
            </w:r>
            <w:r>
              <w:rPr>
                <w:sz w:val="20"/>
                <w:szCs w:val="20"/>
                <w:lang w:val="fr-CA" w:eastAsia="en-CA"/>
              </w:rPr>
              <w:t xml:space="preserve"> </w:t>
            </w:r>
            <w:r w:rsidRPr="00786273">
              <w:rPr>
                <w:sz w:val="20"/>
                <w:szCs w:val="20"/>
                <w:lang w:val="fr-CA" w:eastAsia="en-CA"/>
              </w:rPr>
              <w:t>545</w:t>
            </w:r>
          </w:p>
        </w:tc>
        <w:tc>
          <w:tcPr>
            <w:tcW w:w="1276" w:type="dxa"/>
            <w:tcBorders>
              <w:top w:val="nil"/>
              <w:left w:val="nil"/>
              <w:bottom w:val="single" w:sz="4" w:space="0" w:color="auto"/>
              <w:right w:val="single" w:sz="4" w:space="0" w:color="auto"/>
            </w:tcBorders>
            <w:shd w:val="clear" w:color="auto" w:fill="auto"/>
            <w:noWrap/>
            <w:hideMark/>
          </w:tcPr>
          <w:p w14:paraId="5F2C5C8F" w14:textId="39EB9267" w:rsidR="00691ABD" w:rsidRPr="00786273" w:rsidRDefault="00691ABD" w:rsidP="001E39EE">
            <w:pPr>
              <w:jc w:val="right"/>
              <w:rPr>
                <w:sz w:val="20"/>
                <w:szCs w:val="20"/>
                <w:lang w:val="fr-CA" w:eastAsia="en-CA"/>
              </w:rPr>
            </w:pPr>
            <w:r w:rsidRPr="00786273">
              <w:rPr>
                <w:sz w:val="20"/>
                <w:szCs w:val="20"/>
                <w:lang w:val="fr-CA" w:eastAsia="en-CA"/>
              </w:rPr>
              <w:t>141</w:t>
            </w:r>
            <w:r>
              <w:rPr>
                <w:sz w:val="20"/>
                <w:szCs w:val="20"/>
                <w:lang w:val="fr-CA" w:eastAsia="en-CA"/>
              </w:rPr>
              <w:t xml:space="preserve"> </w:t>
            </w:r>
            <w:r w:rsidRPr="00786273">
              <w:rPr>
                <w:sz w:val="20"/>
                <w:szCs w:val="20"/>
                <w:lang w:val="fr-CA" w:eastAsia="en-CA"/>
              </w:rPr>
              <w:t>250</w:t>
            </w:r>
          </w:p>
        </w:tc>
        <w:tc>
          <w:tcPr>
            <w:tcW w:w="1384" w:type="dxa"/>
            <w:tcBorders>
              <w:top w:val="nil"/>
              <w:left w:val="nil"/>
              <w:bottom w:val="single" w:sz="4" w:space="0" w:color="auto"/>
              <w:right w:val="single" w:sz="4" w:space="0" w:color="auto"/>
            </w:tcBorders>
            <w:shd w:val="clear" w:color="auto" w:fill="auto"/>
            <w:noWrap/>
            <w:hideMark/>
          </w:tcPr>
          <w:p w14:paraId="43E7CB9E" w14:textId="77777777" w:rsidR="00691ABD" w:rsidRPr="00786273" w:rsidRDefault="00691ABD" w:rsidP="001E39EE">
            <w:pPr>
              <w:jc w:val="right"/>
              <w:rPr>
                <w:sz w:val="20"/>
                <w:szCs w:val="20"/>
                <w:lang w:val="fr-CA" w:eastAsia="en-CA"/>
              </w:rPr>
            </w:pPr>
            <w:r w:rsidRPr="00786273">
              <w:rPr>
                <w:sz w:val="20"/>
                <w:szCs w:val="20"/>
                <w:lang w:val="fr-CA" w:eastAsia="en-CA"/>
              </w:rPr>
              <w:t>128</w:t>
            </w:r>
          </w:p>
        </w:tc>
        <w:tc>
          <w:tcPr>
            <w:tcW w:w="1149" w:type="dxa"/>
            <w:tcBorders>
              <w:top w:val="nil"/>
              <w:left w:val="nil"/>
              <w:bottom w:val="single" w:sz="4" w:space="0" w:color="auto"/>
              <w:right w:val="single" w:sz="4" w:space="0" w:color="auto"/>
            </w:tcBorders>
            <w:shd w:val="clear" w:color="auto" w:fill="auto"/>
            <w:noWrap/>
            <w:hideMark/>
          </w:tcPr>
          <w:p w14:paraId="2E7B34EE"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4673998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E732F06" w14:textId="77777777" w:rsidR="00691ABD" w:rsidRPr="00786273" w:rsidRDefault="00691ABD" w:rsidP="00786273">
            <w:pPr>
              <w:jc w:val="left"/>
              <w:rPr>
                <w:sz w:val="20"/>
                <w:szCs w:val="20"/>
                <w:lang w:val="fr-CA" w:eastAsia="en-CA"/>
              </w:rPr>
            </w:pPr>
            <w:r w:rsidRPr="00786273">
              <w:rPr>
                <w:sz w:val="20"/>
                <w:szCs w:val="20"/>
                <w:lang w:val="fr-CA" w:eastAsia="en-CA"/>
              </w:rPr>
              <w:t xml:space="preserve">Bahamas </w:t>
            </w:r>
          </w:p>
        </w:tc>
        <w:tc>
          <w:tcPr>
            <w:tcW w:w="851" w:type="dxa"/>
            <w:tcBorders>
              <w:top w:val="nil"/>
              <w:left w:val="nil"/>
              <w:bottom w:val="single" w:sz="4" w:space="0" w:color="auto"/>
              <w:right w:val="single" w:sz="4" w:space="0" w:color="auto"/>
            </w:tcBorders>
            <w:shd w:val="clear" w:color="auto" w:fill="auto"/>
            <w:noWrap/>
            <w:hideMark/>
          </w:tcPr>
          <w:p w14:paraId="53DFE3F4" w14:textId="3CF45141"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F38DB56"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534347F6" w14:textId="762A283A" w:rsidR="00691ABD" w:rsidRPr="00786273" w:rsidRDefault="00691ABD" w:rsidP="001E39EE">
            <w:pPr>
              <w:jc w:val="right"/>
              <w:rPr>
                <w:sz w:val="20"/>
                <w:szCs w:val="20"/>
                <w:lang w:val="fr-CA" w:eastAsia="en-CA"/>
              </w:rPr>
            </w:pPr>
            <w:r w:rsidRPr="00786273">
              <w:rPr>
                <w:sz w:val="20"/>
                <w:szCs w:val="20"/>
                <w:lang w:val="fr-CA" w:eastAsia="en-CA"/>
              </w:rPr>
              <w:t>139</w:t>
            </w:r>
            <w:r>
              <w:rPr>
                <w:sz w:val="20"/>
                <w:szCs w:val="20"/>
                <w:lang w:val="fr-CA" w:eastAsia="en-CA"/>
              </w:rPr>
              <w:t xml:space="preserve"> </w:t>
            </w:r>
            <w:r w:rsidRPr="00786273">
              <w:rPr>
                <w:sz w:val="20"/>
                <w:szCs w:val="20"/>
                <w:lang w:val="fr-CA" w:eastAsia="en-CA"/>
              </w:rPr>
              <w:t>847</w:t>
            </w:r>
          </w:p>
        </w:tc>
        <w:tc>
          <w:tcPr>
            <w:tcW w:w="1276" w:type="dxa"/>
            <w:tcBorders>
              <w:top w:val="nil"/>
              <w:left w:val="nil"/>
              <w:bottom w:val="single" w:sz="4" w:space="0" w:color="auto"/>
              <w:right w:val="single" w:sz="4" w:space="0" w:color="auto"/>
            </w:tcBorders>
            <w:shd w:val="clear" w:color="auto" w:fill="auto"/>
            <w:noWrap/>
            <w:hideMark/>
          </w:tcPr>
          <w:p w14:paraId="572C7A6A" w14:textId="69F6D78E" w:rsidR="00691ABD" w:rsidRPr="00786273" w:rsidRDefault="00691ABD" w:rsidP="001E39EE">
            <w:pPr>
              <w:jc w:val="right"/>
              <w:rPr>
                <w:sz w:val="20"/>
                <w:szCs w:val="20"/>
                <w:lang w:val="fr-CA" w:eastAsia="en-CA"/>
              </w:rPr>
            </w:pPr>
            <w:r w:rsidRPr="00786273">
              <w:rPr>
                <w:sz w:val="20"/>
                <w:szCs w:val="20"/>
                <w:lang w:val="fr-CA" w:eastAsia="en-CA"/>
              </w:rPr>
              <w:t>94</w:t>
            </w:r>
            <w:r>
              <w:rPr>
                <w:sz w:val="20"/>
                <w:szCs w:val="20"/>
                <w:lang w:val="fr-CA" w:eastAsia="en-CA"/>
              </w:rPr>
              <w:t xml:space="preserve"> </w:t>
            </w:r>
            <w:r w:rsidRPr="00786273">
              <w:rPr>
                <w:sz w:val="20"/>
                <w:szCs w:val="20"/>
                <w:lang w:val="fr-CA" w:eastAsia="en-CA"/>
              </w:rPr>
              <w:t>603</w:t>
            </w:r>
          </w:p>
        </w:tc>
        <w:tc>
          <w:tcPr>
            <w:tcW w:w="1384" w:type="dxa"/>
            <w:tcBorders>
              <w:top w:val="nil"/>
              <w:left w:val="nil"/>
              <w:bottom w:val="single" w:sz="4" w:space="0" w:color="auto"/>
              <w:right w:val="single" w:sz="4" w:space="0" w:color="auto"/>
            </w:tcBorders>
            <w:shd w:val="clear" w:color="auto" w:fill="auto"/>
            <w:noWrap/>
            <w:hideMark/>
          </w:tcPr>
          <w:p w14:paraId="60610A60" w14:textId="77777777" w:rsidR="00691ABD" w:rsidRPr="00786273" w:rsidRDefault="00691ABD" w:rsidP="001E39EE">
            <w:pPr>
              <w:jc w:val="right"/>
              <w:rPr>
                <w:sz w:val="20"/>
                <w:szCs w:val="20"/>
                <w:lang w:val="fr-CA" w:eastAsia="en-CA"/>
              </w:rPr>
            </w:pPr>
            <w:r w:rsidRPr="00786273">
              <w:rPr>
                <w:sz w:val="20"/>
                <w:szCs w:val="20"/>
                <w:lang w:val="fr-CA" w:eastAsia="en-CA"/>
              </w:rPr>
              <w:t>68</w:t>
            </w:r>
          </w:p>
        </w:tc>
        <w:tc>
          <w:tcPr>
            <w:tcW w:w="1149" w:type="dxa"/>
            <w:tcBorders>
              <w:top w:val="nil"/>
              <w:left w:val="nil"/>
              <w:bottom w:val="single" w:sz="4" w:space="0" w:color="auto"/>
              <w:right w:val="single" w:sz="4" w:space="0" w:color="auto"/>
            </w:tcBorders>
            <w:shd w:val="clear" w:color="auto" w:fill="auto"/>
            <w:noWrap/>
            <w:hideMark/>
          </w:tcPr>
          <w:p w14:paraId="05D7E4DD"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0B473B05"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BD67097" w14:textId="77777777" w:rsidR="00691ABD" w:rsidRPr="00786273" w:rsidRDefault="00691ABD" w:rsidP="001E39EE">
            <w:pPr>
              <w:jc w:val="left"/>
              <w:rPr>
                <w:sz w:val="20"/>
                <w:szCs w:val="20"/>
                <w:lang w:val="fr-CA" w:eastAsia="en-CA"/>
              </w:rPr>
            </w:pPr>
            <w:r>
              <w:rPr>
                <w:sz w:val="20"/>
                <w:szCs w:val="20"/>
                <w:lang w:val="fr-CA" w:eastAsia="en-CA"/>
              </w:rPr>
              <w:t>Bahreïn</w:t>
            </w:r>
          </w:p>
        </w:tc>
        <w:tc>
          <w:tcPr>
            <w:tcW w:w="851" w:type="dxa"/>
            <w:tcBorders>
              <w:top w:val="nil"/>
              <w:left w:val="nil"/>
              <w:bottom w:val="single" w:sz="4" w:space="0" w:color="auto"/>
              <w:right w:val="single" w:sz="4" w:space="0" w:color="auto"/>
            </w:tcBorders>
            <w:shd w:val="clear" w:color="auto" w:fill="auto"/>
            <w:noWrap/>
            <w:hideMark/>
          </w:tcPr>
          <w:p w14:paraId="4CAA3DCD" w14:textId="73C5D132"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A11BF5C"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55E6F6C0" w14:textId="63376DA2" w:rsidR="00691ABD" w:rsidRPr="00786273" w:rsidRDefault="00691ABD" w:rsidP="001E39EE">
            <w:pPr>
              <w:jc w:val="right"/>
              <w:rPr>
                <w:sz w:val="20"/>
                <w:szCs w:val="20"/>
                <w:lang w:val="fr-CA" w:eastAsia="en-CA"/>
              </w:rPr>
            </w:pPr>
            <w:r w:rsidRPr="00786273">
              <w:rPr>
                <w:sz w:val="20"/>
                <w:szCs w:val="20"/>
                <w:lang w:val="fr-CA" w:eastAsia="en-CA"/>
              </w:rPr>
              <w:t>73</w:t>
            </w:r>
            <w:r>
              <w:rPr>
                <w:sz w:val="20"/>
                <w:szCs w:val="20"/>
                <w:lang w:val="fr-CA" w:eastAsia="en-CA"/>
              </w:rPr>
              <w:t xml:space="preserve"> </w:t>
            </w:r>
            <w:r w:rsidRPr="00786273">
              <w:rPr>
                <w:sz w:val="20"/>
                <w:szCs w:val="20"/>
                <w:lang w:val="fr-CA" w:eastAsia="en-CA"/>
              </w:rPr>
              <w:t>621</w:t>
            </w:r>
          </w:p>
        </w:tc>
        <w:tc>
          <w:tcPr>
            <w:tcW w:w="1276" w:type="dxa"/>
            <w:tcBorders>
              <w:top w:val="nil"/>
              <w:left w:val="nil"/>
              <w:bottom w:val="single" w:sz="4" w:space="0" w:color="auto"/>
              <w:right w:val="single" w:sz="4" w:space="0" w:color="auto"/>
            </w:tcBorders>
            <w:shd w:val="clear" w:color="auto" w:fill="auto"/>
            <w:noWrap/>
            <w:hideMark/>
          </w:tcPr>
          <w:p w14:paraId="189504C9" w14:textId="2391BCBC" w:rsidR="00691ABD" w:rsidRPr="00786273" w:rsidRDefault="00691ABD" w:rsidP="001E39EE">
            <w:pPr>
              <w:jc w:val="right"/>
              <w:rPr>
                <w:sz w:val="20"/>
                <w:szCs w:val="20"/>
                <w:lang w:val="fr-CA" w:eastAsia="en-CA"/>
              </w:rPr>
            </w:pPr>
            <w:r w:rsidRPr="00786273">
              <w:rPr>
                <w:sz w:val="20"/>
                <w:szCs w:val="20"/>
                <w:lang w:val="fr-CA" w:eastAsia="en-CA"/>
              </w:rPr>
              <w:t>118</w:t>
            </w:r>
            <w:r>
              <w:rPr>
                <w:sz w:val="20"/>
                <w:szCs w:val="20"/>
                <w:lang w:val="fr-CA" w:eastAsia="en-CA"/>
              </w:rPr>
              <w:t xml:space="preserve"> </w:t>
            </w:r>
            <w:r w:rsidRPr="00786273">
              <w:rPr>
                <w:sz w:val="20"/>
                <w:szCs w:val="20"/>
                <w:lang w:val="fr-CA" w:eastAsia="en-CA"/>
              </w:rPr>
              <w:t>525</w:t>
            </w:r>
          </w:p>
        </w:tc>
        <w:tc>
          <w:tcPr>
            <w:tcW w:w="1384" w:type="dxa"/>
            <w:tcBorders>
              <w:top w:val="nil"/>
              <w:left w:val="nil"/>
              <w:bottom w:val="single" w:sz="4" w:space="0" w:color="auto"/>
              <w:right w:val="single" w:sz="4" w:space="0" w:color="auto"/>
            </w:tcBorders>
            <w:shd w:val="clear" w:color="auto" w:fill="auto"/>
            <w:noWrap/>
            <w:hideMark/>
          </w:tcPr>
          <w:p w14:paraId="27E54F1D" w14:textId="77777777" w:rsidR="00691ABD" w:rsidRPr="00786273" w:rsidRDefault="00691ABD" w:rsidP="001E39EE">
            <w:pPr>
              <w:jc w:val="right"/>
              <w:rPr>
                <w:sz w:val="20"/>
                <w:szCs w:val="20"/>
                <w:lang w:val="fr-CA" w:eastAsia="en-CA"/>
              </w:rPr>
            </w:pPr>
            <w:r w:rsidRPr="00786273">
              <w:rPr>
                <w:sz w:val="20"/>
                <w:szCs w:val="20"/>
                <w:lang w:val="fr-CA" w:eastAsia="en-CA"/>
              </w:rPr>
              <w:t>161</w:t>
            </w:r>
          </w:p>
        </w:tc>
        <w:tc>
          <w:tcPr>
            <w:tcW w:w="1149" w:type="dxa"/>
            <w:tcBorders>
              <w:top w:val="nil"/>
              <w:left w:val="nil"/>
              <w:bottom w:val="single" w:sz="4" w:space="0" w:color="auto"/>
              <w:right w:val="single" w:sz="4" w:space="0" w:color="auto"/>
            </w:tcBorders>
            <w:shd w:val="clear" w:color="auto" w:fill="auto"/>
            <w:noWrap/>
            <w:hideMark/>
          </w:tcPr>
          <w:p w14:paraId="2318D8F0"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0A57278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6AFDB66" w14:textId="77777777" w:rsidR="00691ABD" w:rsidRPr="00786273" w:rsidRDefault="00691ABD" w:rsidP="001E39EE">
            <w:pPr>
              <w:jc w:val="left"/>
              <w:rPr>
                <w:sz w:val="20"/>
                <w:szCs w:val="20"/>
                <w:lang w:val="fr-CA" w:eastAsia="en-CA"/>
              </w:rPr>
            </w:pPr>
            <w:r w:rsidRPr="00786273">
              <w:rPr>
                <w:sz w:val="20"/>
                <w:szCs w:val="20"/>
                <w:lang w:val="fr-CA" w:eastAsia="en-CA"/>
              </w:rPr>
              <w:t>Bangladesh</w:t>
            </w:r>
          </w:p>
        </w:tc>
        <w:tc>
          <w:tcPr>
            <w:tcW w:w="851" w:type="dxa"/>
            <w:tcBorders>
              <w:top w:val="nil"/>
              <w:left w:val="nil"/>
              <w:bottom w:val="single" w:sz="4" w:space="0" w:color="auto"/>
              <w:right w:val="single" w:sz="4" w:space="0" w:color="auto"/>
            </w:tcBorders>
            <w:shd w:val="clear" w:color="auto" w:fill="auto"/>
            <w:noWrap/>
            <w:hideMark/>
          </w:tcPr>
          <w:p w14:paraId="6380B4D0" w14:textId="5935B10E"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5BA58AD1"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78CB6C68" w14:textId="589FFFB0" w:rsidR="00691ABD" w:rsidRPr="00786273" w:rsidRDefault="00691ABD" w:rsidP="001E39EE">
            <w:pPr>
              <w:jc w:val="right"/>
              <w:rPr>
                <w:sz w:val="20"/>
                <w:szCs w:val="20"/>
                <w:lang w:val="fr-CA" w:eastAsia="en-CA"/>
              </w:rPr>
            </w:pPr>
            <w:r w:rsidRPr="00786273">
              <w:rPr>
                <w:sz w:val="20"/>
                <w:szCs w:val="20"/>
                <w:lang w:val="fr-CA" w:eastAsia="en-CA"/>
              </w:rPr>
              <w:t>705</w:t>
            </w:r>
            <w:r>
              <w:rPr>
                <w:sz w:val="20"/>
                <w:szCs w:val="20"/>
                <w:lang w:val="fr-CA" w:eastAsia="en-CA"/>
              </w:rPr>
              <w:t xml:space="preserve"> </w:t>
            </w:r>
            <w:r w:rsidRPr="00786273">
              <w:rPr>
                <w:sz w:val="20"/>
                <w:szCs w:val="20"/>
                <w:lang w:val="fr-CA" w:eastAsia="en-CA"/>
              </w:rPr>
              <w:t>387</w:t>
            </w:r>
          </w:p>
        </w:tc>
        <w:tc>
          <w:tcPr>
            <w:tcW w:w="1276" w:type="dxa"/>
            <w:tcBorders>
              <w:top w:val="nil"/>
              <w:left w:val="nil"/>
              <w:bottom w:val="single" w:sz="4" w:space="0" w:color="auto"/>
              <w:right w:val="single" w:sz="4" w:space="0" w:color="auto"/>
            </w:tcBorders>
            <w:shd w:val="clear" w:color="auto" w:fill="auto"/>
            <w:noWrap/>
            <w:hideMark/>
          </w:tcPr>
          <w:p w14:paraId="2F0AD4FB" w14:textId="430455F8" w:rsidR="00691ABD" w:rsidRPr="00786273" w:rsidRDefault="00691ABD" w:rsidP="001E39EE">
            <w:pPr>
              <w:jc w:val="right"/>
              <w:rPr>
                <w:sz w:val="20"/>
                <w:szCs w:val="20"/>
                <w:lang w:val="fr-CA" w:eastAsia="en-CA"/>
              </w:rPr>
            </w:pPr>
            <w:r w:rsidRPr="00786273">
              <w:rPr>
                <w:sz w:val="20"/>
                <w:szCs w:val="20"/>
                <w:lang w:val="fr-CA" w:eastAsia="en-CA"/>
              </w:rPr>
              <w:t>7</w:t>
            </w:r>
            <w:r>
              <w:rPr>
                <w:sz w:val="20"/>
                <w:szCs w:val="20"/>
                <w:lang w:val="fr-CA" w:eastAsia="en-CA"/>
              </w:rPr>
              <w:t xml:space="preserve"> </w:t>
            </w:r>
            <w:r w:rsidRPr="00786273">
              <w:rPr>
                <w:sz w:val="20"/>
                <w:szCs w:val="20"/>
                <w:lang w:val="fr-CA" w:eastAsia="en-CA"/>
              </w:rPr>
              <w:t>532</w:t>
            </w:r>
          </w:p>
        </w:tc>
        <w:tc>
          <w:tcPr>
            <w:tcW w:w="1384" w:type="dxa"/>
            <w:tcBorders>
              <w:top w:val="nil"/>
              <w:left w:val="nil"/>
              <w:bottom w:val="single" w:sz="4" w:space="0" w:color="auto"/>
              <w:right w:val="single" w:sz="4" w:space="0" w:color="auto"/>
            </w:tcBorders>
            <w:shd w:val="clear" w:color="auto" w:fill="auto"/>
            <w:noWrap/>
            <w:hideMark/>
          </w:tcPr>
          <w:p w14:paraId="4D997D1F" w14:textId="77777777" w:rsidR="00691ABD" w:rsidRPr="00786273" w:rsidRDefault="00691ABD" w:rsidP="001E39EE">
            <w:pPr>
              <w:jc w:val="right"/>
              <w:rPr>
                <w:sz w:val="20"/>
                <w:szCs w:val="20"/>
                <w:lang w:val="fr-CA" w:eastAsia="en-CA"/>
              </w:rPr>
            </w:pPr>
            <w:r w:rsidRPr="00786273">
              <w:rPr>
                <w:sz w:val="20"/>
                <w:szCs w:val="20"/>
                <w:lang w:val="fr-CA" w:eastAsia="en-CA"/>
              </w:rPr>
              <w:t>1</w:t>
            </w:r>
          </w:p>
        </w:tc>
        <w:tc>
          <w:tcPr>
            <w:tcW w:w="1149" w:type="dxa"/>
            <w:tcBorders>
              <w:top w:val="nil"/>
              <w:left w:val="nil"/>
              <w:bottom w:val="single" w:sz="4" w:space="0" w:color="auto"/>
              <w:right w:val="single" w:sz="4" w:space="0" w:color="auto"/>
            </w:tcBorders>
            <w:shd w:val="clear" w:color="auto" w:fill="auto"/>
            <w:noWrap/>
            <w:hideMark/>
          </w:tcPr>
          <w:p w14:paraId="1461E33C"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02D77EAD" w14:textId="77777777" w:rsidTr="00AD0261">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4C941865" w14:textId="77777777" w:rsidR="00691ABD" w:rsidRPr="00786273" w:rsidRDefault="00691ABD" w:rsidP="00786273">
            <w:pPr>
              <w:jc w:val="left"/>
              <w:rPr>
                <w:sz w:val="20"/>
                <w:szCs w:val="20"/>
                <w:lang w:val="fr-CA" w:eastAsia="en-CA"/>
              </w:rPr>
            </w:pPr>
            <w:r>
              <w:rPr>
                <w:sz w:val="20"/>
                <w:szCs w:val="20"/>
                <w:lang w:val="fr-CA" w:eastAsia="en-CA"/>
              </w:rPr>
              <w:t>Barbade</w:t>
            </w:r>
          </w:p>
        </w:tc>
        <w:tc>
          <w:tcPr>
            <w:tcW w:w="851" w:type="dxa"/>
            <w:tcBorders>
              <w:top w:val="nil"/>
              <w:left w:val="nil"/>
              <w:bottom w:val="single" w:sz="4" w:space="0" w:color="auto"/>
              <w:right w:val="single" w:sz="4" w:space="0" w:color="auto"/>
            </w:tcBorders>
            <w:shd w:val="clear" w:color="auto" w:fill="auto"/>
            <w:noWrap/>
            <w:hideMark/>
          </w:tcPr>
          <w:p w14:paraId="6878B6ED" w14:textId="66760C39"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A0E92F0"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C27F029" w14:textId="273CFC3F" w:rsidR="00691ABD" w:rsidRPr="00786273" w:rsidRDefault="00691ABD" w:rsidP="001E39EE">
            <w:pPr>
              <w:jc w:val="right"/>
              <w:rPr>
                <w:sz w:val="20"/>
                <w:szCs w:val="20"/>
                <w:lang w:val="fr-CA" w:eastAsia="en-CA"/>
              </w:rPr>
            </w:pPr>
            <w:r w:rsidRPr="00786273">
              <w:rPr>
                <w:sz w:val="20"/>
                <w:szCs w:val="20"/>
                <w:lang w:val="fr-CA" w:eastAsia="en-CA"/>
              </w:rPr>
              <w:t>33</w:t>
            </w:r>
            <w:r>
              <w:rPr>
                <w:sz w:val="20"/>
                <w:szCs w:val="20"/>
                <w:lang w:val="fr-CA" w:eastAsia="en-CA"/>
              </w:rPr>
              <w:t xml:space="preserve"> </w:t>
            </w:r>
            <w:r w:rsidRPr="00786273">
              <w:rPr>
                <w:sz w:val="20"/>
                <w:szCs w:val="20"/>
                <w:lang w:val="fr-CA" w:eastAsia="en-CA"/>
              </w:rPr>
              <w:t>081</w:t>
            </w:r>
          </w:p>
        </w:tc>
        <w:tc>
          <w:tcPr>
            <w:tcW w:w="1276" w:type="dxa"/>
            <w:tcBorders>
              <w:top w:val="nil"/>
              <w:left w:val="nil"/>
              <w:bottom w:val="single" w:sz="4" w:space="0" w:color="auto"/>
              <w:right w:val="single" w:sz="4" w:space="0" w:color="auto"/>
            </w:tcBorders>
            <w:shd w:val="clear" w:color="auto" w:fill="auto"/>
            <w:noWrap/>
            <w:hideMark/>
          </w:tcPr>
          <w:p w14:paraId="433508D2" w14:textId="1577056F" w:rsidR="00691ABD" w:rsidRPr="00786273" w:rsidRDefault="00691ABD" w:rsidP="001E39EE">
            <w:pPr>
              <w:jc w:val="right"/>
              <w:rPr>
                <w:sz w:val="20"/>
                <w:szCs w:val="20"/>
                <w:lang w:val="fr-CA" w:eastAsia="en-CA"/>
              </w:rPr>
            </w:pPr>
            <w:r w:rsidRPr="00786273">
              <w:rPr>
                <w:sz w:val="20"/>
                <w:szCs w:val="20"/>
                <w:lang w:val="fr-CA" w:eastAsia="en-CA"/>
              </w:rPr>
              <w:t>62</w:t>
            </w:r>
            <w:r>
              <w:rPr>
                <w:sz w:val="20"/>
                <w:szCs w:val="20"/>
                <w:lang w:val="fr-CA" w:eastAsia="en-CA"/>
              </w:rPr>
              <w:t xml:space="preserve"> </w:t>
            </w:r>
            <w:r w:rsidRPr="00786273">
              <w:rPr>
                <w:sz w:val="20"/>
                <w:szCs w:val="20"/>
                <w:lang w:val="fr-CA" w:eastAsia="en-CA"/>
              </w:rPr>
              <w:t>185</w:t>
            </w:r>
          </w:p>
        </w:tc>
        <w:tc>
          <w:tcPr>
            <w:tcW w:w="1384" w:type="dxa"/>
            <w:tcBorders>
              <w:top w:val="nil"/>
              <w:left w:val="nil"/>
              <w:bottom w:val="single" w:sz="4" w:space="0" w:color="auto"/>
              <w:right w:val="single" w:sz="4" w:space="0" w:color="auto"/>
            </w:tcBorders>
            <w:shd w:val="clear" w:color="auto" w:fill="auto"/>
            <w:noWrap/>
            <w:hideMark/>
          </w:tcPr>
          <w:p w14:paraId="64A03568" w14:textId="77777777" w:rsidR="00691ABD" w:rsidRPr="00786273" w:rsidRDefault="00691ABD" w:rsidP="001E39EE">
            <w:pPr>
              <w:jc w:val="right"/>
              <w:rPr>
                <w:sz w:val="20"/>
                <w:szCs w:val="20"/>
                <w:lang w:val="fr-CA" w:eastAsia="en-CA"/>
              </w:rPr>
            </w:pPr>
            <w:r w:rsidRPr="00786273">
              <w:rPr>
                <w:sz w:val="20"/>
                <w:szCs w:val="20"/>
                <w:lang w:val="fr-CA" w:eastAsia="en-CA"/>
              </w:rPr>
              <w:t>188</w:t>
            </w:r>
          </w:p>
        </w:tc>
        <w:tc>
          <w:tcPr>
            <w:tcW w:w="1149" w:type="dxa"/>
            <w:tcBorders>
              <w:top w:val="nil"/>
              <w:left w:val="nil"/>
              <w:bottom w:val="single" w:sz="4" w:space="0" w:color="auto"/>
              <w:right w:val="single" w:sz="4" w:space="0" w:color="auto"/>
            </w:tcBorders>
            <w:shd w:val="clear" w:color="auto" w:fill="auto"/>
            <w:noWrap/>
            <w:hideMark/>
          </w:tcPr>
          <w:p w14:paraId="712DBDCE"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73CBF7E3"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023699F" w14:textId="77777777" w:rsidR="00691ABD" w:rsidRPr="00786273" w:rsidRDefault="00691ABD" w:rsidP="001E39EE">
            <w:pPr>
              <w:jc w:val="left"/>
              <w:rPr>
                <w:sz w:val="20"/>
                <w:szCs w:val="20"/>
                <w:lang w:val="fr-CA" w:eastAsia="en-CA"/>
              </w:rPr>
            </w:pPr>
            <w:r w:rsidRPr="00786273">
              <w:rPr>
                <w:sz w:val="20"/>
                <w:szCs w:val="20"/>
                <w:lang w:val="fr-CA" w:eastAsia="en-CA"/>
              </w:rPr>
              <w:t>Belize</w:t>
            </w:r>
          </w:p>
        </w:tc>
        <w:tc>
          <w:tcPr>
            <w:tcW w:w="851" w:type="dxa"/>
            <w:tcBorders>
              <w:top w:val="nil"/>
              <w:left w:val="nil"/>
              <w:bottom w:val="single" w:sz="4" w:space="0" w:color="auto"/>
              <w:right w:val="single" w:sz="4" w:space="0" w:color="auto"/>
            </w:tcBorders>
            <w:shd w:val="clear" w:color="auto" w:fill="auto"/>
            <w:noWrap/>
            <w:hideMark/>
          </w:tcPr>
          <w:p w14:paraId="0997CA24" w14:textId="2F91E6C5"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F32753C"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6DC85470" w14:textId="43927846" w:rsidR="00691ABD" w:rsidRPr="00786273" w:rsidRDefault="00691ABD" w:rsidP="001E39EE">
            <w:pPr>
              <w:jc w:val="right"/>
              <w:rPr>
                <w:sz w:val="20"/>
                <w:szCs w:val="20"/>
                <w:lang w:val="fr-CA" w:eastAsia="en-CA"/>
              </w:rPr>
            </w:pPr>
            <w:r w:rsidRPr="00786273">
              <w:rPr>
                <w:sz w:val="20"/>
                <w:szCs w:val="20"/>
                <w:lang w:val="fr-CA" w:eastAsia="en-CA"/>
              </w:rPr>
              <w:t>10</w:t>
            </w:r>
            <w:r>
              <w:rPr>
                <w:sz w:val="20"/>
                <w:szCs w:val="20"/>
                <w:lang w:val="fr-CA" w:eastAsia="en-CA"/>
              </w:rPr>
              <w:t xml:space="preserve"> </w:t>
            </w:r>
            <w:r w:rsidRPr="00786273">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395C3E21" w14:textId="22A0D567" w:rsidR="00691ABD" w:rsidRPr="00786273" w:rsidRDefault="00691ABD" w:rsidP="001E39EE">
            <w:pPr>
              <w:jc w:val="right"/>
              <w:rPr>
                <w:sz w:val="20"/>
                <w:szCs w:val="20"/>
                <w:lang w:val="fr-CA" w:eastAsia="en-CA"/>
              </w:rPr>
            </w:pPr>
            <w:r w:rsidRPr="00786273">
              <w:rPr>
                <w:sz w:val="20"/>
                <w:szCs w:val="20"/>
                <w:lang w:val="fr-CA" w:eastAsia="en-CA"/>
              </w:rPr>
              <w:t>47</w:t>
            </w:r>
            <w:r>
              <w:rPr>
                <w:sz w:val="20"/>
                <w:szCs w:val="20"/>
                <w:lang w:val="fr-CA" w:eastAsia="en-CA"/>
              </w:rPr>
              <w:t xml:space="preserve"> </w:t>
            </w:r>
            <w:r w:rsidRPr="00786273">
              <w:rPr>
                <w:sz w:val="20"/>
                <w:szCs w:val="20"/>
                <w:lang w:val="fr-CA" w:eastAsia="en-CA"/>
              </w:rPr>
              <w:t>850</w:t>
            </w:r>
          </w:p>
        </w:tc>
        <w:tc>
          <w:tcPr>
            <w:tcW w:w="1384" w:type="dxa"/>
            <w:tcBorders>
              <w:top w:val="nil"/>
              <w:left w:val="nil"/>
              <w:bottom w:val="single" w:sz="4" w:space="0" w:color="auto"/>
              <w:right w:val="single" w:sz="4" w:space="0" w:color="auto"/>
            </w:tcBorders>
            <w:shd w:val="clear" w:color="auto" w:fill="auto"/>
            <w:noWrap/>
            <w:hideMark/>
          </w:tcPr>
          <w:p w14:paraId="22C85221" w14:textId="77777777" w:rsidR="00691ABD" w:rsidRPr="00786273" w:rsidRDefault="00691ABD" w:rsidP="001E39EE">
            <w:pPr>
              <w:jc w:val="right"/>
              <w:rPr>
                <w:sz w:val="20"/>
                <w:szCs w:val="20"/>
                <w:lang w:val="fr-CA" w:eastAsia="en-CA"/>
              </w:rPr>
            </w:pPr>
            <w:r w:rsidRPr="00786273">
              <w:rPr>
                <w:sz w:val="20"/>
                <w:szCs w:val="20"/>
                <w:lang w:val="fr-CA" w:eastAsia="en-CA"/>
              </w:rPr>
              <w:t>479</w:t>
            </w:r>
          </w:p>
        </w:tc>
        <w:tc>
          <w:tcPr>
            <w:tcW w:w="1149" w:type="dxa"/>
            <w:tcBorders>
              <w:top w:val="nil"/>
              <w:left w:val="nil"/>
              <w:bottom w:val="single" w:sz="4" w:space="0" w:color="auto"/>
              <w:right w:val="single" w:sz="4" w:space="0" w:color="auto"/>
            </w:tcBorders>
            <w:shd w:val="clear" w:color="auto" w:fill="auto"/>
            <w:noWrap/>
            <w:hideMark/>
          </w:tcPr>
          <w:p w14:paraId="7A03832B"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13B12ACD"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2F1B5A0" w14:textId="77777777" w:rsidR="00691ABD" w:rsidRPr="00786273" w:rsidRDefault="00691ABD" w:rsidP="001E39EE">
            <w:pPr>
              <w:jc w:val="left"/>
              <w:rPr>
                <w:sz w:val="20"/>
                <w:szCs w:val="20"/>
                <w:lang w:val="fr-CA" w:eastAsia="en-CA"/>
              </w:rPr>
            </w:pPr>
            <w:r>
              <w:rPr>
                <w:sz w:val="20"/>
                <w:szCs w:val="20"/>
                <w:lang w:val="fr-CA" w:eastAsia="en-CA"/>
              </w:rPr>
              <w:t>Bénin</w:t>
            </w:r>
          </w:p>
        </w:tc>
        <w:tc>
          <w:tcPr>
            <w:tcW w:w="851" w:type="dxa"/>
            <w:tcBorders>
              <w:top w:val="nil"/>
              <w:left w:val="nil"/>
              <w:bottom w:val="single" w:sz="4" w:space="0" w:color="auto"/>
              <w:right w:val="single" w:sz="4" w:space="0" w:color="auto"/>
            </w:tcBorders>
            <w:shd w:val="clear" w:color="auto" w:fill="auto"/>
            <w:noWrap/>
            <w:hideMark/>
          </w:tcPr>
          <w:p w14:paraId="3DD1A633" w14:textId="6BC8D98A"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EE1BBBC"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24EBE088" w14:textId="7E2629E1" w:rsidR="00691ABD" w:rsidRPr="00786273" w:rsidRDefault="00691ABD" w:rsidP="001E39EE">
            <w:pPr>
              <w:jc w:val="right"/>
              <w:rPr>
                <w:sz w:val="20"/>
                <w:szCs w:val="20"/>
                <w:lang w:val="fr-CA" w:eastAsia="en-CA"/>
              </w:rPr>
            </w:pPr>
            <w:r w:rsidRPr="00786273">
              <w:rPr>
                <w:sz w:val="20"/>
                <w:szCs w:val="20"/>
                <w:lang w:val="fr-CA" w:eastAsia="en-CA"/>
              </w:rPr>
              <w:t>75</w:t>
            </w:r>
            <w:r>
              <w:rPr>
                <w:sz w:val="20"/>
                <w:szCs w:val="20"/>
                <w:lang w:val="fr-CA" w:eastAsia="en-CA"/>
              </w:rPr>
              <w:t xml:space="preserve"> </w:t>
            </w:r>
            <w:r w:rsidRPr="00786273">
              <w:rPr>
                <w:sz w:val="20"/>
                <w:szCs w:val="20"/>
                <w:lang w:val="fr-CA" w:eastAsia="en-CA"/>
              </w:rPr>
              <w:t>651</w:t>
            </w:r>
          </w:p>
        </w:tc>
        <w:tc>
          <w:tcPr>
            <w:tcW w:w="1276" w:type="dxa"/>
            <w:tcBorders>
              <w:top w:val="nil"/>
              <w:left w:val="nil"/>
              <w:bottom w:val="single" w:sz="4" w:space="0" w:color="auto"/>
              <w:right w:val="single" w:sz="4" w:space="0" w:color="auto"/>
            </w:tcBorders>
            <w:shd w:val="clear" w:color="auto" w:fill="auto"/>
            <w:noWrap/>
            <w:hideMark/>
          </w:tcPr>
          <w:p w14:paraId="081194F4" w14:textId="3A54F24D" w:rsidR="00691ABD" w:rsidRPr="00786273" w:rsidRDefault="00691ABD" w:rsidP="001E39EE">
            <w:pPr>
              <w:jc w:val="right"/>
              <w:rPr>
                <w:sz w:val="20"/>
                <w:szCs w:val="20"/>
                <w:lang w:val="fr-CA" w:eastAsia="en-CA"/>
              </w:rPr>
            </w:pPr>
            <w:r w:rsidRPr="00786273">
              <w:rPr>
                <w:sz w:val="20"/>
                <w:szCs w:val="20"/>
                <w:lang w:val="fr-CA" w:eastAsia="en-CA"/>
              </w:rPr>
              <w:t>107</w:t>
            </w:r>
            <w:r>
              <w:rPr>
                <w:sz w:val="20"/>
                <w:szCs w:val="20"/>
                <w:lang w:val="fr-CA" w:eastAsia="en-CA"/>
              </w:rPr>
              <w:t xml:space="preserve"> </w:t>
            </w:r>
            <w:r w:rsidRPr="00786273">
              <w:rPr>
                <w:sz w:val="20"/>
                <w:szCs w:val="20"/>
                <w:lang w:val="fr-CA" w:eastAsia="en-CA"/>
              </w:rPr>
              <w:t>992</w:t>
            </w:r>
          </w:p>
        </w:tc>
        <w:tc>
          <w:tcPr>
            <w:tcW w:w="1384" w:type="dxa"/>
            <w:tcBorders>
              <w:top w:val="nil"/>
              <w:left w:val="nil"/>
              <w:bottom w:val="single" w:sz="4" w:space="0" w:color="auto"/>
              <w:right w:val="single" w:sz="4" w:space="0" w:color="auto"/>
            </w:tcBorders>
            <w:shd w:val="clear" w:color="auto" w:fill="auto"/>
            <w:noWrap/>
            <w:hideMark/>
          </w:tcPr>
          <w:p w14:paraId="258C1C6D" w14:textId="77777777" w:rsidR="00691ABD" w:rsidRPr="00786273" w:rsidRDefault="00691ABD" w:rsidP="001E39EE">
            <w:pPr>
              <w:jc w:val="right"/>
              <w:rPr>
                <w:sz w:val="20"/>
                <w:szCs w:val="20"/>
                <w:lang w:val="fr-CA" w:eastAsia="en-CA"/>
              </w:rPr>
            </w:pPr>
            <w:r w:rsidRPr="00786273">
              <w:rPr>
                <w:sz w:val="20"/>
                <w:szCs w:val="20"/>
                <w:lang w:val="fr-CA" w:eastAsia="en-CA"/>
              </w:rPr>
              <w:t>143</w:t>
            </w:r>
          </w:p>
        </w:tc>
        <w:tc>
          <w:tcPr>
            <w:tcW w:w="1149" w:type="dxa"/>
            <w:tcBorders>
              <w:top w:val="nil"/>
              <w:left w:val="nil"/>
              <w:bottom w:val="single" w:sz="4" w:space="0" w:color="auto"/>
              <w:right w:val="single" w:sz="4" w:space="0" w:color="auto"/>
            </w:tcBorders>
            <w:shd w:val="clear" w:color="auto" w:fill="auto"/>
            <w:noWrap/>
            <w:hideMark/>
          </w:tcPr>
          <w:p w14:paraId="0B2B3587"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71F8119F"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EC3BB24" w14:textId="77777777" w:rsidR="00691ABD" w:rsidRPr="00786273" w:rsidRDefault="00691ABD" w:rsidP="001E39EE">
            <w:pPr>
              <w:jc w:val="left"/>
              <w:rPr>
                <w:sz w:val="20"/>
                <w:szCs w:val="20"/>
                <w:lang w:val="fr-CA" w:eastAsia="en-CA"/>
              </w:rPr>
            </w:pPr>
            <w:r w:rsidRPr="00786273">
              <w:rPr>
                <w:sz w:val="20"/>
                <w:szCs w:val="20"/>
                <w:lang w:val="fr-CA" w:eastAsia="en-CA"/>
              </w:rPr>
              <w:t>Bh</w:t>
            </w:r>
            <w:r>
              <w:rPr>
                <w:sz w:val="20"/>
                <w:szCs w:val="20"/>
                <w:lang w:val="fr-CA" w:eastAsia="en-CA"/>
              </w:rPr>
              <w:t>o</w:t>
            </w:r>
            <w:r w:rsidRPr="00786273">
              <w:rPr>
                <w:sz w:val="20"/>
                <w:szCs w:val="20"/>
                <w:lang w:val="fr-CA" w:eastAsia="en-CA"/>
              </w:rPr>
              <w:t>utan</w:t>
            </w:r>
          </w:p>
        </w:tc>
        <w:tc>
          <w:tcPr>
            <w:tcW w:w="851" w:type="dxa"/>
            <w:tcBorders>
              <w:top w:val="nil"/>
              <w:left w:val="nil"/>
              <w:bottom w:val="single" w:sz="4" w:space="0" w:color="auto"/>
              <w:right w:val="single" w:sz="4" w:space="0" w:color="auto"/>
            </w:tcBorders>
            <w:shd w:val="clear" w:color="auto" w:fill="auto"/>
            <w:noWrap/>
            <w:hideMark/>
          </w:tcPr>
          <w:p w14:paraId="05EEFE31" w14:textId="4514575F"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C9A546D"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07A59D09" w14:textId="20A6324D" w:rsidR="00691ABD" w:rsidRPr="00786273" w:rsidRDefault="00691ABD" w:rsidP="001E39EE">
            <w:pPr>
              <w:jc w:val="right"/>
              <w:rPr>
                <w:sz w:val="20"/>
                <w:szCs w:val="20"/>
                <w:lang w:val="fr-CA" w:eastAsia="en-CA"/>
              </w:rPr>
            </w:pPr>
            <w:r w:rsidRPr="00786273">
              <w:rPr>
                <w:sz w:val="20"/>
                <w:szCs w:val="20"/>
                <w:lang w:val="fr-CA" w:eastAsia="en-CA"/>
              </w:rPr>
              <w:t>125</w:t>
            </w:r>
            <w:r>
              <w:rPr>
                <w:sz w:val="20"/>
                <w:szCs w:val="20"/>
                <w:lang w:val="fr-CA" w:eastAsia="en-CA"/>
              </w:rPr>
              <w:t xml:space="preserve"> </w:t>
            </w:r>
            <w:r w:rsidRPr="00786273">
              <w:rPr>
                <w:sz w:val="20"/>
                <w:szCs w:val="20"/>
                <w:lang w:val="fr-CA" w:eastAsia="en-CA"/>
              </w:rPr>
              <w:t>407</w:t>
            </w:r>
          </w:p>
        </w:tc>
        <w:tc>
          <w:tcPr>
            <w:tcW w:w="1276" w:type="dxa"/>
            <w:tcBorders>
              <w:top w:val="nil"/>
              <w:left w:val="nil"/>
              <w:bottom w:val="single" w:sz="4" w:space="0" w:color="auto"/>
              <w:right w:val="single" w:sz="4" w:space="0" w:color="auto"/>
            </w:tcBorders>
            <w:shd w:val="clear" w:color="auto" w:fill="auto"/>
            <w:noWrap/>
            <w:hideMark/>
          </w:tcPr>
          <w:p w14:paraId="77862806" w14:textId="311944AA" w:rsidR="00691ABD" w:rsidRPr="00786273" w:rsidRDefault="00691ABD" w:rsidP="001E39EE">
            <w:pPr>
              <w:jc w:val="right"/>
              <w:rPr>
                <w:sz w:val="20"/>
                <w:szCs w:val="20"/>
                <w:lang w:val="fr-CA" w:eastAsia="en-CA"/>
              </w:rPr>
            </w:pPr>
            <w:r w:rsidRPr="00786273">
              <w:rPr>
                <w:sz w:val="20"/>
                <w:szCs w:val="20"/>
                <w:lang w:val="fr-CA" w:eastAsia="en-CA"/>
              </w:rPr>
              <w:t>66</w:t>
            </w:r>
            <w:r>
              <w:rPr>
                <w:sz w:val="20"/>
                <w:szCs w:val="20"/>
                <w:lang w:val="fr-CA" w:eastAsia="en-CA"/>
              </w:rPr>
              <w:t xml:space="preserve"> </w:t>
            </w:r>
            <w:r w:rsidRPr="00786273">
              <w:rPr>
                <w:sz w:val="20"/>
                <w:szCs w:val="20"/>
                <w:lang w:val="fr-CA" w:eastAsia="en-CA"/>
              </w:rPr>
              <w:t>784</w:t>
            </w:r>
          </w:p>
        </w:tc>
        <w:tc>
          <w:tcPr>
            <w:tcW w:w="1384" w:type="dxa"/>
            <w:tcBorders>
              <w:top w:val="nil"/>
              <w:left w:val="nil"/>
              <w:bottom w:val="single" w:sz="4" w:space="0" w:color="auto"/>
              <w:right w:val="single" w:sz="4" w:space="0" w:color="auto"/>
            </w:tcBorders>
            <w:shd w:val="clear" w:color="auto" w:fill="auto"/>
            <w:noWrap/>
            <w:hideMark/>
          </w:tcPr>
          <w:p w14:paraId="70BA7280" w14:textId="77777777" w:rsidR="00691ABD" w:rsidRPr="00786273" w:rsidRDefault="00691ABD" w:rsidP="001E39EE">
            <w:pPr>
              <w:jc w:val="right"/>
              <w:rPr>
                <w:sz w:val="20"/>
                <w:szCs w:val="20"/>
                <w:lang w:val="fr-CA" w:eastAsia="en-CA"/>
              </w:rPr>
            </w:pPr>
            <w:r w:rsidRPr="00786273">
              <w:rPr>
                <w:sz w:val="20"/>
                <w:szCs w:val="20"/>
                <w:lang w:val="fr-CA" w:eastAsia="en-CA"/>
              </w:rPr>
              <w:t>53</w:t>
            </w:r>
          </w:p>
        </w:tc>
        <w:tc>
          <w:tcPr>
            <w:tcW w:w="1149" w:type="dxa"/>
            <w:tcBorders>
              <w:top w:val="nil"/>
              <w:left w:val="nil"/>
              <w:bottom w:val="single" w:sz="4" w:space="0" w:color="auto"/>
              <w:right w:val="single" w:sz="4" w:space="0" w:color="auto"/>
            </w:tcBorders>
            <w:shd w:val="clear" w:color="auto" w:fill="auto"/>
            <w:noWrap/>
            <w:hideMark/>
          </w:tcPr>
          <w:p w14:paraId="3BC79050"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6A57B56D"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4C8E251" w14:textId="77777777" w:rsidR="00691ABD" w:rsidRPr="00786273" w:rsidRDefault="00691ABD" w:rsidP="00786273">
            <w:pPr>
              <w:jc w:val="left"/>
              <w:rPr>
                <w:sz w:val="20"/>
                <w:szCs w:val="20"/>
                <w:lang w:val="fr-CA" w:eastAsia="en-CA"/>
              </w:rPr>
            </w:pPr>
            <w:r w:rsidRPr="00786273">
              <w:rPr>
                <w:sz w:val="20"/>
                <w:szCs w:val="20"/>
                <w:lang w:val="fr-CA" w:eastAsia="en-CA"/>
              </w:rPr>
              <w:t>Bolivi</w:t>
            </w:r>
            <w:r>
              <w:rPr>
                <w:sz w:val="20"/>
                <w:szCs w:val="20"/>
                <w:lang w:val="fr-CA" w:eastAsia="en-CA"/>
              </w:rPr>
              <w:t>e</w:t>
            </w:r>
            <w:r w:rsidRPr="00786273">
              <w:rPr>
                <w:sz w:val="20"/>
                <w:szCs w:val="20"/>
                <w:lang w:val="fr-CA" w:eastAsia="en-CA"/>
              </w:rPr>
              <w:t xml:space="preserve"> (</w:t>
            </w:r>
            <w:r>
              <w:rPr>
                <w:sz w:val="20"/>
                <w:szCs w:val="20"/>
                <w:lang w:val="fr-CA" w:eastAsia="en-CA"/>
              </w:rPr>
              <w:t>État plurinational de</w:t>
            </w:r>
            <w:r w:rsidRPr="00786273">
              <w:rPr>
                <w:sz w:val="20"/>
                <w:szCs w:val="20"/>
                <w:lang w:val="fr-CA" w:eastAsia="en-CA"/>
              </w:rPr>
              <w:t>)</w:t>
            </w:r>
          </w:p>
        </w:tc>
        <w:tc>
          <w:tcPr>
            <w:tcW w:w="851" w:type="dxa"/>
            <w:tcBorders>
              <w:top w:val="nil"/>
              <w:left w:val="nil"/>
              <w:bottom w:val="single" w:sz="4" w:space="0" w:color="auto"/>
              <w:right w:val="single" w:sz="4" w:space="0" w:color="auto"/>
            </w:tcBorders>
            <w:shd w:val="clear" w:color="auto" w:fill="auto"/>
            <w:noWrap/>
            <w:hideMark/>
          </w:tcPr>
          <w:p w14:paraId="399F2A72" w14:textId="213DD454"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5</w:t>
            </w:r>
          </w:p>
        </w:tc>
        <w:tc>
          <w:tcPr>
            <w:tcW w:w="1160" w:type="dxa"/>
            <w:tcBorders>
              <w:top w:val="nil"/>
              <w:left w:val="nil"/>
              <w:bottom w:val="single" w:sz="4" w:space="0" w:color="auto"/>
              <w:right w:val="single" w:sz="4" w:space="0" w:color="auto"/>
            </w:tcBorders>
            <w:shd w:val="clear" w:color="auto" w:fill="auto"/>
            <w:noWrap/>
            <w:hideMark/>
          </w:tcPr>
          <w:p w14:paraId="2A2C3C45"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7E10E945" w14:textId="15DA07DF" w:rsidR="00691ABD" w:rsidRPr="00786273" w:rsidRDefault="00691ABD" w:rsidP="001E39EE">
            <w:pPr>
              <w:jc w:val="right"/>
              <w:rPr>
                <w:sz w:val="20"/>
                <w:szCs w:val="20"/>
                <w:lang w:val="fr-CA" w:eastAsia="en-CA"/>
              </w:rPr>
            </w:pPr>
            <w:r w:rsidRPr="00786273">
              <w:rPr>
                <w:sz w:val="20"/>
                <w:szCs w:val="20"/>
                <w:lang w:val="fr-CA" w:eastAsia="en-CA"/>
              </w:rPr>
              <w:t>81</w:t>
            </w:r>
            <w:r>
              <w:rPr>
                <w:sz w:val="20"/>
                <w:szCs w:val="20"/>
                <w:lang w:val="fr-CA" w:eastAsia="en-CA"/>
              </w:rPr>
              <w:t xml:space="preserve"> </w:t>
            </w:r>
            <w:r w:rsidRPr="00786273">
              <w:rPr>
                <w:sz w:val="20"/>
                <w:szCs w:val="20"/>
                <w:lang w:val="fr-CA" w:eastAsia="en-CA"/>
              </w:rPr>
              <w:t>216</w:t>
            </w:r>
          </w:p>
        </w:tc>
        <w:tc>
          <w:tcPr>
            <w:tcW w:w="1276" w:type="dxa"/>
            <w:tcBorders>
              <w:top w:val="nil"/>
              <w:left w:val="nil"/>
              <w:bottom w:val="single" w:sz="4" w:space="0" w:color="auto"/>
              <w:right w:val="single" w:sz="4" w:space="0" w:color="auto"/>
            </w:tcBorders>
            <w:shd w:val="clear" w:color="auto" w:fill="auto"/>
            <w:noWrap/>
            <w:hideMark/>
          </w:tcPr>
          <w:p w14:paraId="69D203D6" w14:textId="2F102B28" w:rsidR="00691ABD" w:rsidRPr="00786273" w:rsidRDefault="00691ABD" w:rsidP="001E39EE">
            <w:pPr>
              <w:jc w:val="right"/>
              <w:rPr>
                <w:sz w:val="20"/>
                <w:szCs w:val="20"/>
                <w:lang w:val="fr-CA" w:eastAsia="en-CA"/>
              </w:rPr>
            </w:pPr>
            <w:r w:rsidRPr="00786273">
              <w:rPr>
                <w:sz w:val="20"/>
                <w:szCs w:val="20"/>
                <w:lang w:val="fr-CA" w:eastAsia="en-CA"/>
              </w:rPr>
              <w:t>46</w:t>
            </w:r>
            <w:r>
              <w:rPr>
                <w:sz w:val="20"/>
                <w:szCs w:val="20"/>
                <w:lang w:val="fr-CA" w:eastAsia="en-CA"/>
              </w:rPr>
              <w:t xml:space="preserve"> </w:t>
            </w:r>
            <w:r w:rsidRPr="00786273">
              <w:rPr>
                <w:sz w:val="20"/>
                <w:szCs w:val="20"/>
                <w:lang w:val="fr-CA" w:eastAsia="en-CA"/>
              </w:rPr>
              <w:t>152</w:t>
            </w:r>
          </w:p>
        </w:tc>
        <w:tc>
          <w:tcPr>
            <w:tcW w:w="1384" w:type="dxa"/>
            <w:tcBorders>
              <w:top w:val="nil"/>
              <w:left w:val="nil"/>
              <w:bottom w:val="single" w:sz="4" w:space="0" w:color="auto"/>
              <w:right w:val="single" w:sz="4" w:space="0" w:color="auto"/>
            </w:tcBorders>
            <w:shd w:val="clear" w:color="auto" w:fill="auto"/>
            <w:noWrap/>
            <w:hideMark/>
          </w:tcPr>
          <w:p w14:paraId="38EA07AD" w14:textId="77777777" w:rsidR="00691ABD" w:rsidRPr="00786273" w:rsidRDefault="00691ABD" w:rsidP="001E39EE">
            <w:pPr>
              <w:jc w:val="right"/>
              <w:rPr>
                <w:sz w:val="20"/>
                <w:szCs w:val="20"/>
                <w:lang w:val="fr-CA" w:eastAsia="en-CA"/>
              </w:rPr>
            </w:pPr>
            <w:r w:rsidRPr="00786273">
              <w:rPr>
                <w:sz w:val="20"/>
                <w:szCs w:val="20"/>
                <w:lang w:val="fr-CA" w:eastAsia="en-CA"/>
              </w:rPr>
              <w:t>57</w:t>
            </w:r>
          </w:p>
        </w:tc>
        <w:tc>
          <w:tcPr>
            <w:tcW w:w="1149" w:type="dxa"/>
            <w:tcBorders>
              <w:top w:val="nil"/>
              <w:left w:val="nil"/>
              <w:bottom w:val="single" w:sz="4" w:space="0" w:color="auto"/>
              <w:right w:val="single" w:sz="4" w:space="0" w:color="auto"/>
            </w:tcBorders>
            <w:shd w:val="clear" w:color="auto" w:fill="auto"/>
            <w:noWrap/>
            <w:hideMark/>
          </w:tcPr>
          <w:p w14:paraId="05355703"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4A2D6D5E" w14:textId="77777777" w:rsidTr="00AD0261">
        <w:trPr>
          <w:trHeight w:val="150"/>
        </w:trPr>
        <w:tc>
          <w:tcPr>
            <w:tcW w:w="2972" w:type="dxa"/>
            <w:tcBorders>
              <w:top w:val="nil"/>
              <w:left w:val="single" w:sz="4" w:space="0" w:color="auto"/>
              <w:bottom w:val="single" w:sz="4" w:space="0" w:color="auto"/>
              <w:right w:val="single" w:sz="4" w:space="0" w:color="auto"/>
            </w:tcBorders>
            <w:shd w:val="clear" w:color="auto" w:fill="auto"/>
            <w:noWrap/>
            <w:hideMark/>
          </w:tcPr>
          <w:p w14:paraId="41D7FE4C" w14:textId="77777777" w:rsidR="00691ABD" w:rsidRPr="00786273" w:rsidRDefault="00691ABD" w:rsidP="001E39EE">
            <w:pPr>
              <w:jc w:val="left"/>
              <w:rPr>
                <w:sz w:val="20"/>
                <w:szCs w:val="20"/>
                <w:lang w:val="fr-CA" w:eastAsia="en-CA"/>
              </w:rPr>
            </w:pPr>
            <w:r>
              <w:rPr>
                <w:sz w:val="20"/>
                <w:szCs w:val="20"/>
                <w:lang w:val="fr-CA" w:eastAsia="en-CA"/>
              </w:rPr>
              <w:t>Bosnie-Herzégovine</w:t>
            </w:r>
          </w:p>
        </w:tc>
        <w:tc>
          <w:tcPr>
            <w:tcW w:w="851" w:type="dxa"/>
            <w:tcBorders>
              <w:top w:val="nil"/>
              <w:left w:val="nil"/>
              <w:bottom w:val="single" w:sz="4" w:space="0" w:color="auto"/>
              <w:right w:val="single" w:sz="4" w:space="0" w:color="auto"/>
            </w:tcBorders>
            <w:shd w:val="clear" w:color="auto" w:fill="auto"/>
            <w:noWrap/>
            <w:hideMark/>
          </w:tcPr>
          <w:p w14:paraId="16439270" w14:textId="236C8B3A"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9558A96"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21B2634D" w14:textId="33778013" w:rsidR="00691ABD" w:rsidRPr="00786273" w:rsidRDefault="00691ABD" w:rsidP="001E39EE">
            <w:pPr>
              <w:jc w:val="right"/>
              <w:rPr>
                <w:sz w:val="20"/>
                <w:szCs w:val="20"/>
                <w:lang w:val="fr-CA" w:eastAsia="en-CA"/>
              </w:rPr>
            </w:pPr>
            <w:r w:rsidRPr="00786273">
              <w:rPr>
                <w:sz w:val="20"/>
                <w:szCs w:val="20"/>
                <w:lang w:val="fr-CA" w:eastAsia="en-CA"/>
              </w:rPr>
              <w:t>99</w:t>
            </w:r>
            <w:r>
              <w:rPr>
                <w:sz w:val="20"/>
                <w:szCs w:val="20"/>
                <w:lang w:val="fr-CA" w:eastAsia="en-CA"/>
              </w:rPr>
              <w:t xml:space="preserve"> </w:t>
            </w:r>
            <w:r w:rsidRPr="00786273">
              <w:rPr>
                <w:sz w:val="20"/>
                <w:szCs w:val="20"/>
                <w:lang w:val="fr-CA" w:eastAsia="en-CA"/>
              </w:rPr>
              <w:t>500</w:t>
            </w:r>
          </w:p>
        </w:tc>
        <w:tc>
          <w:tcPr>
            <w:tcW w:w="1276" w:type="dxa"/>
            <w:tcBorders>
              <w:top w:val="nil"/>
              <w:left w:val="nil"/>
              <w:bottom w:val="single" w:sz="4" w:space="0" w:color="auto"/>
              <w:right w:val="single" w:sz="4" w:space="0" w:color="auto"/>
            </w:tcBorders>
            <w:shd w:val="clear" w:color="auto" w:fill="auto"/>
            <w:noWrap/>
            <w:hideMark/>
          </w:tcPr>
          <w:p w14:paraId="53984D66" w14:textId="669F5490" w:rsidR="00691ABD" w:rsidRPr="00786273" w:rsidRDefault="00691ABD" w:rsidP="001E39EE">
            <w:pPr>
              <w:jc w:val="right"/>
              <w:rPr>
                <w:sz w:val="20"/>
                <w:szCs w:val="20"/>
                <w:lang w:val="fr-CA" w:eastAsia="en-CA"/>
              </w:rPr>
            </w:pPr>
            <w:r w:rsidRPr="00786273">
              <w:rPr>
                <w:sz w:val="20"/>
                <w:szCs w:val="20"/>
                <w:lang w:val="fr-CA" w:eastAsia="en-CA"/>
              </w:rPr>
              <w:t>95</w:t>
            </w:r>
            <w:r>
              <w:rPr>
                <w:sz w:val="20"/>
                <w:szCs w:val="20"/>
                <w:lang w:val="fr-CA" w:eastAsia="en-CA"/>
              </w:rPr>
              <w:t xml:space="preserve"> </w:t>
            </w:r>
            <w:r w:rsidRPr="00786273">
              <w:rPr>
                <w:sz w:val="20"/>
                <w:szCs w:val="20"/>
                <w:lang w:val="fr-CA" w:eastAsia="en-CA"/>
              </w:rPr>
              <w:t>096</w:t>
            </w:r>
          </w:p>
        </w:tc>
        <w:tc>
          <w:tcPr>
            <w:tcW w:w="1384" w:type="dxa"/>
            <w:tcBorders>
              <w:top w:val="nil"/>
              <w:left w:val="nil"/>
              <w:bottom w:val="single" w:sz="4" w:space="0" w:color="auto"/>
              <w:right w:val="single" w:sz="4" w:space="0" w:color="auto"/>
            </w:tcBorders>
            <w:shd w:val="clear" w:color="auto" w:fill="auto"/>
            <w:noWrap/>
            <w:hideMark/>
          </w:tcPr>
          <w:p w14:paraId="14DE2663" w14:textId="77777777" w:rsidR="00691ABD" w:rsidRPr="00786273" w:rsidRDefault="00691ABD" w:rsidP="001E39EE">
            <w:pPr>
              <w:jc w:val="right"/>
              <w:rPr>
                <w:sz w:val="20"/>
                <w:szCs w:val="20"/>
                <w:lang w:val="fr-CA" w:eastAsia="en-CA"/>
              </w:rPr>
            </w:pPr>
            <w:r w:rsidRPr="00786273">
              <w:rPr>
                <w:sz w:val="20"/>
                <w:szCs w:val="20"/>
                <w:lang w:val="fr-CA" w:eastAsia="en-CA"/>
              </w:rPr>
              <w:t>96</w:t>
            </w:r>
          </w:p>
        </w:tc>
        <w:tc>
          <w:tcPr>
            <w:tcW w:w="1149" w:type="dxa"/>
            <w:tcBorders>
              <w:top w:val="nil"/>
              <w:left w:val="nil"/>
              <w:bottom w:val="single" w:sz="4" w:space="0" w:color="auto"/>
              <w:right w:val="single" w:sz="4" w:space="0" w:color="auto"/>
            </w:tcBorders>
            <w:shd w:val="clear" w:color="auto" w:fill="auto"/>
            <w:noWrap/>
            <w:hideMark/>
          </w:tcPr>
          <w:p w14:paraId="29735FC2"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64D681B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BC98B76" w14:textId="77777777" w:rsidR="00691ABD" w:rsidRPr="00786273" w:rsidRDefault="00691ABD" w:rsidP="001E39EE">
            <w:pPr>
              <w:jc w:val="left"/>
              <w:rPr>
                <w:sz w:val="20"/>
                <w:szCs w:val="20"/>
                <w:lang w:val="fr-CA" w:eastAsia="en-CA"/>
              </w:rPr>
            </w:pPr>
            <w:r w:rsidRPr="00786273">
              <w:rPr>
                <w:sz w:val="20"/>
                <w:szCs w:val="20"/>
                <w:lang w:val="fr-CA" w:eastAsia="en-CA"/>
              </w:rPr>
              <w:t>Botswana</w:t>
            </w:r>
          </w:p>
        </w:tc>
        <w:tc>
          <w:tcPr>
            <w:tcW w:w="851" w:type="dxa"/>
            <w:tcBorders>
              <w:top w:val="nil"/>
              <w:left w:val="nil"/>
              <w:bottom w:val="single" w:sz="4" w:space="0" w:color="auto"/>
              <w:right w:val="single" w:sz="4" w:space="0" w:color="auto"/>
            </w:tcBorders>
            <w:shd w:val="clear" w:color="auto" w:fill="auto"/>
            <w:noWrap/>
            <w:hideMark/>
          </w:tcPr>
          <w:p w14:paraId="0DF7FF51" w14:textId="4899CC62"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E0A8AE8"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757FE73B" w14:textId="7815F983" w:rsidR="00691ABD" w:rsidRPr="00786273" w:rsidRDefault="00691ABD" w:rsidP="001E39EE">
            <w:pPr>
              <w:jc w:val="right"/>
              <w:rPr>
                <w:sz w:val="20"/>
                <w:szCs w:val="20"/>
                <w:lang w:val="fr-CA" w:eastAsia="en-CA"/>
              </w:rPr>
            </w:pPr>
            <w:r w:rsidRPr="00786273">
              <w:rPr>
                <w:sz w:val="20"/>
                <w:szCs w:val="20"/>
                <w:lang w:val="fr-CA" w:eastAsia="en-CA"/>
              </w:rPr>
              <w:t>212</w:t>
            </w:r>
            <w:r>
              <w:rPr>
                <w:sz w:val="20"/>
                <w:szCs w:val="20"/>
                <w:lang w:val="fr-CA" w:eastAsia="en-CA"/>
              </w:rPr>
              <w:t xml:space="preserve"> </w:t>
            </w:r>
            <w:r w:rsidRPr="00786273">
              <w:rPr>
                <w:sz w:val="20"/>
                <w:szCs w:val="20"/>
                <w:lang w:val="fr-CA" w:eastAsia="en-CA"/>
              </w:rPr>
              <w:t>818</w:t>
            </w:r>
          </w:p>
        </w:tc>
        <w:tc>
          <w:tcPr>
            <w:tcW w:w="1276" w:type="dxa"/>
            <w:tcBorders>
              <w:top w:val="nil"/>
              <w:left w:val="nil"/>
              <w:bottom w:val="single" w:sz="4" w:space="0" w:color="auto"/>
              <w:right w:val="single" w:sz="4" w:space="0" w:color="auto"/>
            </w:tcBorders>
            <w:shd w:val="clear" w:color="auto" w:fill="auto"/>
            <w:noWrap/>
            <w:hideMark/>
          </w:tcPr>
          <w:p w14:paraId="46D6B380" w14:textId="145DB9D0" w:rsidR="00691ABD" w:rsidRPr="00786273" w:rsidRDefault="00691ABD" w:rsidP="001E39EE">
            <w:pPr>
              <w:jc w:val="right"/>
              <w:rPr>
                <w:sz w:val="20"/>
                <w:szCs w:val="20"/>
                <w:lang w:val="fr-CA" w:eastAsia="en-CA"/>
              </w:rPr>
            </w:pPr>
            <w:r w:rsidRPr="00786273">
              <w:rPr>
                <w:sz w:val="20"/>
                <w:szCs w:val="20"/>
                <w:lang w:val="fr-CA" w:eastAsia="en-CA"/>
              </w:rPr>
              <w:t>116</w:t>
            </w:r>
            <w:r>
              <w:rPr>
                <w:sz w:val="20"/>
                <w:szCs w:val="20"/>
                <w:lang w:val="fr-CA" w:eastAsia="en-CA"/>
              </w:rPr>
              <w:t xml:space="preserve"> </w:t>
            </w:r>
            <w:r w:rsidRPr="00786273">
              <w:rPr>
                <w:sz w:val="20"/>
                <w:szCs w:val="20"/>
                <w:lang w:val="fr-CA" w:eastAsia="en-CA"/>
              </w:rPr>
              <w:t>557</w:t>
            </w:r>
          </w:p>
        </w:tc>
        <w:tc>
          <w:tcPr>
            <w:tcW w:w="1384" w:type="dxa"/>
            <w:tcBorders>
              <w:top w:val="nil"/>
              <w:left w:val="nil"/>
              <w:bottom w:val="single" w:sz="4" w:space="0" w:color="auto"/>
              <w:right w:val="single" w:sz="4" w:space="0" w:color="auto"/>
            </w:tcBorders>
            <w:shd w:val="clear" w:color="auto" w:fill="auto"/>
            <w:noWrap/>
            <w:hideMark/>
          </w:tcPr>
          <w:p w14:paraId="35B11316" w14:textId="77777777" w:rsidR="00691ABD" w:rsidRPr="00786273" w:rsidRDefault="00691ABD" w:rsidP="001E39EE">
            <w:pPr>
              <w:jc w:val="right"/>
              <w:rPr>
                <w:sz w:val="20"/>
                <w:szCs w:val="20"/>
                <w:lang w:val="fr-CA" w:eastAsia="en-CA"/>
              </w:rPr>
            </w:pPr>
            <w:r w:rsidRPr="00786273">
              <w:rPr>
                <w:sz w:val="20"/>
                <w:szCs w:val="20"/>
                <w:lang w:val="fr-CA" w:eastAsia="en-CA"/>
              </w:rPr>
              <w:t>55</w:t>
            </w:r>
          </w:p>
        </w:tc>
        <w:tc>
          <w:tcPr>
            <w:tcW w:w="1149" w:type="dxa"/>
            <w:tcBorders>
              <w:top w:val="nil"/>
              <w:left w:val="nil"/>
              <w:bottom w:val="single" w:sz="4" w:space="0" w:color="auto"/>
              <w:right w:val="single" w:sz="4" w:space="0" w:color="auto"/>
            </w:tcBorders>
            <w:shd w:val="clear" w:color="auto" w:fill="auto"/>
            <w:noWrap/>
            <w:hideMark/>
          </w:tcPr>
          <w:p w14:paraId="653607CF"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68818CD3"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43B2A71" w14:textId="77777777" w:rsidR="00691ABD" w:rsidRPr="00786273" w:rsidRDefault="00691ABD" w:rsidP="001E39EE">
            <w:pPr>
              <w:jc w:val="left"/>
              <w:rPr>
                <w:sz w:val="20"/>
                <w:szCs w:val="20"/>
                <w:lang w:val="fr-CA" w:eastAsia="en-CA"/>
              </w:rPr>
            </w:pPr>
            <w:r>
              <w:rPr>
                <w:sz w:val="20"/>
                <w:szCs w:val="20"/>
                <w:lang w:val="fr-CA" w:eastAsia="en-CA"/>
              </w:rPr>
              <w:t>Brésil</w:t>
            </w:r>
          </w:p>
        </w:tc>
        <w:tc>
          <w:tcPr>
            <w:tcW w:w="851" w:type="dxa"/>
            <w:tcBorders>
              <w:top w:val="nil"/>
              <w:left w:val="nil"/>
              <w:bottom w:val="single" w:sz="4" w:space="0" w:color="auto"/>
              <w:right w:val="single" w:sz="4" w:space="0" w:color="auto"/>
            </w:tcBorders>
            <w:shd w:val="clear" w:color="auto" w:fill="auto"/>
            <w:noWrap/>
            <w:hideMark/>
          </w:tcPr>
          <w:p w14:paraId="3CD7E62D" w14:textId="497021A1" w:rsidR="00691ABD" w:rsidRPr="00786273" w:rsidRDefault="00691ABD" w:rsidP="001E39EE">
            <w:pPr>
              <w:jc w:val="right"/>
              <w:rPr>
                <w:sz w:val="20"/>
                <w:szCs w:val="20"/>
                <w:lang w:val="fr-CA" w:eastAsia="en-CA"/>
              </w:rPr>
            </w:pPr>
            <w:r w:rsidRPr="00786273">
              <w:rPr>
                <w:sz w:val="20"/>
                <w:szCs w:val="20"/>
                <w:lang w:val="fr-CA" w:eastAsia="en-CA"/>
              </w:rPr>
              <w:t>20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1A61DDF"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1CD4BF78" w14:textId="733F0820" w:rsidR="00691ABD" w:rsidRPr="00786273" w:rsidRDefault="00691ABD" w:rsidP="001E39EE">
            <w:pPr>
              <w:jc w:val="right"/>
              <w:rPr>
                <w:sz w:val="20"/>
                <w:szCs w:val="20"/>
                <w:lang w:val="fr-CA" w:eastAsia="en-CA"/>
              </w:rPr>
            </w:pPr>
            <w:r w:rsidRPr="00786273">
              <w:rPr>
                <w:sz w:val="20"/>
                <w:szCs w:val="20"/>
                <w:lang w:val="fr-CA" w:eastAsia="en-CA"/>
              </w:rPr>
              <w:t>6</w:t>
            </w:r>
            <w:r>
              <w:rPr>
                <w:sz w:val="20"/>
                <w:szCs w:val="20"/>
                <w:lang w:val="fr-CA" w:eastAsia="en-CA"/>
              </w:rPr>
              <w:t xml:space="preserve"> </w:t>
            </w:r>
            <w:r w:rsidRPr="00786273">
              <w:rPr>
                <w:sz w:val="20"/>
                <w:szCs w:val="20"/>
                <w:lang w:val="fr-CA" w:eastAsia="en-CA"/>
              </w:rPr>
              <w:t>784</w:t>
            </w:r>
            <w:r>
              <w:rPr>
                <w:sz w:val="20"/>
                <w:szCs w:val="20"/>
                <w:lang w:val="fr-CA" w:eastAsia="en-CA"/>
              </w:rPr>
              <w:t xml:space="preserve"> </w:t>
            </w:r>
            <w:r w:rsidRPr="00786273">
              <w:rPr>
                <w:sz w:val="20"/>
                <w:szCs w:val="20"/>
                <w:lang w:val="fr-CA" w:eastAsia="en-CA"/>
              </w:rPr>
              <w:t>746</w:t>
            </w:r>
          </w:p>
        </w:tc>
        <w:tc>
          <w:tcPr>
            <w:tcW w:w="1276" w:type="dxa"/>
            <w:tcBorders>
              <w:top w:val="nil"/>
              <w:left w:val="nil"/>
              <w:bottom w:val="single" w:sz="4" w:space="0" w:color="auto"/>
              <w:right w:val="single" w:sz="4" w:space="0" w:color="auto"/>
            </w:tcBorders>
            <w:shd w:val="clear" w:color="auto" w:fill="auto"/>
            <w:noWrap/>
            <w:hideMark/>
          </w:tcPr>
          <w:p w14:paraId="28C20EB3" w14:textId="0F0660E4" w:rsidR="00691ABD" w:rsidRPr="00786273" w:rsidRDefault="00691ABD" w:rsidP="001E39EE">
            <w:pPr>
              <w:jc w:val="right"/>
              <w:rPr>
                <w:sz w:val="20"/>
                <w:szCs w:val="20"/>
                <w:lang w:val="fr-CA" w:eastAsia="en-CA"/>
              </w:rPr>
            </w:pPr>
            <w:r w:rsidRPr="00786273">
              <w:rPr>
                <w:sz w:val="20"/>
                <w:szCs w:val="20"/>
                <w:lang w:val="fr-CA" w:eastAsia="en-CA"/>
              </w:rPr>
              <w:t>3</w:t>
            </w:r>
            <w:r>
              <w:rPr>
                <w:sz w:val="20"/>
                <w:szCs w:val="20"/>
                <w:lang w:val="fr-CA" w:eastAsia="en-CA"/>
              </w:rPr>
              <w:t xml:space="preserve"> </w:t>
            </w:r>
            <w:r w:rsidRPr="00786273">
              <w:rPr>
                <w:sz w:val="20"/>
                <w:szCs w:val="20"/>
                <w:lang w:val="fr-CA" w:eastAsia="en-CA"/>
              </w:rPr>
              <w:t>110</w:t>
            </w:r>
            <w:r>
              <w:rPr>
                <w:sz w:val="20"/>
                <w:szCs w:val="20"/>
                <w:lang w:val="fr-CA" w:eastAsia="en-CA"/>
              </w:rPr>
              <w:t xml:space="preserve"> </w:t>
            </w:r>
            <w:r w:rsidRPr="00786273">
              <w:rPr>
                <w:sz w:val="20"/>
                <w:szCs w:val="20"/>
                <w:lang w:val="fr-CA" w:eastAsia="en-CA"/>
              </w:rPr>
              <w:t>462</w:t>
            </w:r>
          </w:p>
        </w:tc>
        <w:tc>
          <w:tcPr>
            <w:tcW w:w="1384" w:type="dxa"/>
            <w:tcBorders>
              <w:top w:val="nil"/>
              <w:left w:val="nil"/>
              <w:bottom w:val="single" w:sz="4" w:space="0" w:color="auto"/>
              <w:right w:val="single" w:sz="4" w:space="0" w:color="auto"/>
            </w:tcBorders>
            <w:shd w:val="clear" w:color="auto" w:fill="auto"/>
            <w:noWrap/>
            <w:hideMark/>
          </w:tcPr>
          <w:p w14:paraId="37BAB408" w14:textId="77777777" w:rsidR="00691ABD" w:rsidRPr="00786273" w:rsidRDefault="00691ABD" w:rsidP="001E39EE">
            <w:pPr>
              <w:jc w:val="right"/>
              <w:rPr>
                <w:sz w:val="20"/>
                <w:szCs w:val="20"/>
                <w:lang w:val="fr-CA" w:eastAsia="en-CA"/>
              </w:rPr>
            </w:pPr>
            <w:r w:rsidRPr="00786273">
              <w:rPr>
                <w:sz w:val="20"/>
                <w:szCs w:val="20"/>
                <w:lang w:val="fr-CA" w:eastAsia="en-CA"/>
              </w:rPr>
              <w:t>46</w:t>
            </w:r>
          </w:p>
        </w:tc>
        <w:tc>
          <w:tcPr>
            <w:tcW w:w="1149" w:type="dxa"/>
            <w:tcBorders>
              <w:top w:val="nil"/>
              <w:left w:val="nil"/>
              <w:bottom w:val="single" w:sz="4" w:space="0" w:color="auto"/>
              <w:right w:val="single" w:sz="4" w:space="0" w:color="auto"/>
            </w:tcBorders>
            <w:shd w:val="clear" w:color="auto" w:fill="auto"/>
            <w:noWrap/>
            <w:hideMark/>
          </w:tcPr>
          <w:p w14:paraId="109969EE"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16A12A9F"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D0471CA" w14:textId="77777777" w:rsidR="00691ABD" w:rsidRPr="00786273" w:rsidRDefault="00691ABD" w:rsidP="001E39EE">
            <w:pPr>
              <w:jc w:val="left"/>
              <w:rPr>
                <w:sz w:val="20"/>
                <w:szCs w:val="20"/>
                <w:lang w:val="fr-CA" w:eastAsia="en-CA"/>
              </w:rPr>
            </w:pPr>
            <w:r w:rsidRPr="00786273">
              <w:rPr>
                <w:sz w:val="20"/>
                <w:szCs w:val="20"/>
                <w:lang w:val="fr-CA" w:eastAsia="en-CA"/>
              </w:rPr>
              <w:t>Brunei Darussalam</w:t>
            </w:r>
          </w:p>
        </w:tc>
        <w:tc>
          <w:tcPr>
            <w:tcW w:w="851" w:type="dxa"/>
            <w:tcBorders>
              <w:top w:val="nil"/>
              <w:left w:val="nil"/>
              <w:bottom w:val="single" w:sz="4" w:space="0" w:color="auto"/>
              <w:right w:val="single" w:sz="4" w:space="0" w:color="auto"/>
            </w:tcBorders>
            <w:shd w:val="clear" w:color="auto" w:fill="auto"/>
            <w:noWrap/>
            <w:hideMark/>
          </w:tcPr>
          <w:p w14:paraId="3E8E24E1" w14:textId="063335DF"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2</w:t>
            </w:r>
          </w:p>
        </w:tc>
        <w:tc>
          <w:tcPr>
            <w:tcW w:w="1160" w:type="dxa"/>
            <w:tcBorders>
              <w:top w:val="nil"/>
              <w:left w:val="nil"/>
              <w:bottom w:val="single" w:sz="4" w:space="0" w:color="auto"/>
              <w:right w:val="single" w:sz="4" w:space="0" w:color="auto"/>
            </w:tcBorders>
            <w:shd w:val="clear" w:color="auto" w:fill="auto"/>
            <w:noWrap/>
            <w:hideMark/>
          </w:tcPr>
          <w:p w14:paraId="6E29A50D" w14:textId="77777777" w:rsidR="00691ABD" w:rsidRPr="00786273" w:rsidRDefault="00691ABD" w:rsidP="001E39EE">
            <w:pPr>
              <w:jc w:val="right"/>
              <w:rPr>
                <w:sz w:val="20"/>
                <w:szCs w:val="20"/>
                <w:lang w:val="fr-CA" w:eastAsia="en-CA"/>
              </w:rPr>
            </w:pPr>
            <w:r w:rsidRPr="00786273">
              <w:rPr>
                <w:sz w:val="20"/>
                <w:szCs w:val="20"/>
                <w:lang w:val="fr-CA" w:eastAsia="en-CA"/>
              </w:rPr>
              <w:t>20</w:t>
            </w:r>
          </w:p>
        </w:tc>
        <w:tc>
          <w:tcPr>
            <w:tcW w:w="1250" w:type="dxa"/>
            <w:tcBorders>
              <w:top w:val="nil"/>
              <w:left w:val="nil"/>
              <w:bottom w:val="single" w:sz="4" w:space="0" w:color="auto"/>
              <w:right w:val="single" w:sz="4" w:space="0" w:color="auto"/>
            </w:tcBorders>
            <w:shd w:val="clear" w:color="auto" w:fill="auto"/>
            <w:noWrap/>
            <w:hideMark/>
          </w:tcPr>
          <w:p w14:paraId="4EADD158" w14:textId="149ABDFB" w:rsidR="00691ABD" w:rsidRPr="00786273" w:rsidRDefault="00691ABD" w:rsidP="001E39EE">
            <w:pPr>
              <w:jc w:val="right"/>
              <w:rPr>
                <w:sz w:val="20"/>
                <w:szCs w:val="20"/>
                <w:lang w:val="fr-CA" w:eastAsia="en-CA"/>
              </w:rPr>
            </w:pPr>
            <w:r w:rsidRPr="00786273">
              <w:rPr>
                <w:sz w:val="20"/>
                <w:szCs w:val="20"/>
                <w:lang w:val="fr-CA" w:eastAsia="en-CA"/>
              </w:rPr>
              <w:t>10</w:t>
            </w:r>
            <w:r>
              <w:rPr>
                <w:sz w:val="20"/>
                <w:szCs w:val="20"/>
                <w:lang w:val="fr-CA" w:eastAsia="en-CA"/>
              </w:rPr>
              <w:t xml:space="preserve"> </w:t>
            </w:r>
            <w:r w:rsidRPr="00786273">
              <w:rPr>
                <w:sz w:val="20"/>
                <w:szCs w:val="20"/>
                <w:lang w:val="fr-CA" w:eastAsia="en-CA"/>
              </w:rPr>
              <w:t>493</w:t>
            </w:r>
          </w:p>
        </w:tc>
        <w:tc>
          <w:tcPr>
            <w:tcW w:w="1276" w:type="dxa"/>
            <w:tcBorders>
              <w:top w:val="nil"/>
              <w:left w:val="nil"/>
              <w:bottom w:val="single" w:sz="4" w:space="0" w:color="auto"/>
              <w:right w:val="single" w:sz="4" w:space="0" w:color="auto"/>
            </w:tcBorders>
            <w:shd w:val="clear" w:color="auto" w:fill="auto"/>
            <w:noWrap/>
            <w:hideMark/>
          </w:tcPr>
          <w:p w14:paraId="7D44ECEA" w14:textId="62C4CC06" w:rsidR="00691ABD" w:rsidRPr="00786273" w:rsidRDefault="00691ABD" w:rsidP="001E39EE">
            <w:pPr>
              <w:jc w:val="right"/>
              <w:rPr>
                <w:sz w:val="20"/>
                <w:szCs w:val="20"/>
                <w:lang w:val="fr-CA" w:eastAsia="en-CA"/>
              </w:rPr>
            </w:pPr>
            <w:r w:rsidRPr="00786273">
              <w:rPr>
                <w:sz w:val="20"/>
                <w:szCs w:val="20"/>
                <w:lang w:val="fr-CA" w:eastAsia="en-CA"/>
              </w:rPr>
              <w:t>122</w:t>
            </w:r>
            <w:r>
              <w:rPr>
                <w:sz w:val="20"/>
                <w:szCs w:val="20"/>
                <w:lang w:val="fr-CA" w:eastAsia="en-CA"/>
              </w:rPr>
              <w:t xml:space="preserve"> </w:t>
            </w:r>
            <w:r w:rsidRPr="00786273">
              <w:rPr>
                <w:sz w:val="20"/>
                <w:szCs w:val="20"/>
                <w:lang w:val="fr-CA" w:eastAsia="en-CA"/>
              </w:rPr>
              <w:t>512</w:t>
            </w:r>
          </w:p>
        </w:tc>
        <w:tc>
          <w:tcPr>
            <w:tcW w:w="1384" w:type="dxa"/>
            <w:tcBorders>
              <w:top w:val="nil"/>
              <w:left w:val="nil"/>
              <w:bottom w:val="single" w:sz="4" w:space="0" w:color="auto"/>
              <w:right w:val="single" w:sz="4" w:space="0" w:color="auto"/>
            </w:tcBorders>
            <w:shd w:val="clear" w:color="auto" w:fill="auto"/>
            <w:noWrap/>
            <w:hideMark/>
          </w:tcPr>
          <w:p w14:paraId="5841C5F1" w14:textId="77777777" w:rsidR="00691ABD" w:rsidRPr="00786273" w:rsidRDefault="00691ABD" w:rsidP="001E39EE">
            <w:pPr>
              <w:jc w:val="right"/>
              <w:rPr>
                <w:sz w:val="20"/>
                <w:szCs w:val="20"/>
                <w:lang w:val="fr-CA" w:eastAsia="en-CA"/>
              </w:rPr>
            </w:pPr>
            <w:r w:rsidRPr="00786273">
              <w:rPr>
                <w:sz w:val="20"/>
                <w:szCs w:val="20"/>
                <w:lang w:val="fr-CA" w:eastAsia="en-CA"/>
              </w:rPr>
              <w:t>1168</w:t>
            </w:r>
          </w:p>
        </w:tc>
        <w:tc>
          <w:tcPr>
            <w:tcW w:w="1149" w:type="dxa"/>
            <w:tcBorders>
              <w:top w:val="nil"/>
              <w:left w:val="nil"/>
              <w:bottom w:val="single" w:sz="4" w:space="0" w:color="auto"/>
              <w:right w:val="single" w:sz="4" w:space="0" w:color="auto"/>
            </w:tcBorders>
            <w:shd w:val="clear" w:color="auto" w:fill="auto"/>
            <w:noWrap/>
            <w:hideMark/>
          </w:tcPr>
          <w:p w14:paraId="6E538EFB" w14:textId="77777777" w:rsidR="00691ABD" w:rsidRPr="00786273" w:rsidRDefault="00691ABD" w:rsidP="001E39EE">
            <w:pPr>
              <w:jc w:val="right"/>
              <w:rPr>
                <w:sz w:val="20"/>
                <w:szCs w:val="20"/>
                <w:lang w:val="fr-CA" w:eastAsia="en-CA"/>
              </w:rPr>
            </w:pPr>
            <w:r w:rsidRPr="00786273">
              <w:rPr>
                <w:sz w:val="20"/>
                <w:szCs w:val="20"/>
                <w:lang w:val="fr-CA" w:eastAsia="en-CA"/>
              </w:rPr>
              <w:t>67</w:t>
            </w:r>
          </w:p>
        </w:tc>
      </w:tr>
      <w:tr w:rsidR="00691ABD" w:rsidRPr="00786273" w14:paraId="017DC88F"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FECDDEB" w14:textId="77777777" w:rsidR="00691ABD" w:rsidRPr="00786273" w:rsidRDefault="00691ABD" w:rsidP="001E39EE">
            <w:pPr>
              <w:jc w:val="left"/>
              <w:rPr>
                <w:sz w:val="20"/>
                <w:szCs w:val="20"/>
                <w:lang w:val="fr-CA" w:eastAsia="en-CA"/>
              </w:rPr>
            </w:pPr>
            <w:r w:rsidRPr="00786273">
              <w:rPr>
                <w:sz w:val="20"/>
                <w:szCs w:val="20"/>
                <w:lang w:val="fr-CA" w:eastAsia="en-CA"/>
              </w:rPr>
              <w:t>Burkina Faso</w:t>
            </w:r>
          </w:p>
        </w:tc>
        <w:tc>
          <w:tcPr>
            <w:tcW w:w="851" w:type="dxa"/>
            <w:tcBorders>
              <w:top w:val="nil"/>
              <w:left w:val="nil"/>
              <w:bottom w:val="single" w:sz="4" w:space="0" w:color="auto"/>
              <w:right w:val="single" w:sz="4" w:space="0" w:color="auto"/>
            </w:tcBorders>
            <w:shd w:val="clear" w:color="auto" w:fill="auto"/>
            <w:noWrap/>
            <w:hideMark/>
          </w:tcPr>
          <w:p w14:paraId="7D0A5722" w14:textId="0A3CD500"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0BDC098"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5A9249D4" w14:textId="07E8583F" w:rsidR="00691ABD" w:rsidRPr="00786273" w:rsidRDefault="00691ABD" w:rsidP="001E39EE">
            <w:pPr>
              <w:jc w:val="right"/>
              <w:rPr>
                <w:sz w:val="20"/>
                <w:szCs w:val="20"/>
                <w:lang w:val="fr-CA" w:eastAsia="en-CA"/>
              </w:rPr>
            </w:pPr>
            <w:r w:rsidRPr="00786273">
              <w:rPr>
                <w:sz w:val="20"/>
                <w:szCs w:val="20"/>
                <w:lang w:val="fr-CA" w:eastAsia="en-CA"/>
              </w:rPr>
              <w:t>124</w:t>
            </w:r>
            <w:r>
              <w:rPr>
                <w:sz w:val="20"/>
                <w:szCs w:val="20"/>
                <w:lang w:val="fr-CA" w:eastAsia="en-CA"/>
              </w:rPr>
              <w:t xml:space="preserve"> </w:t>
            </w:r>
            <w:r w:rsidRPr="00786273">
              <w:rPr>
                <w:sz w:val="20"/>
                <w:szCs w:val="20"/>
                <w:lang w:val="fr-CA" w:eastAsia="en-CA"/>
              </w:rPr>
              <w:t>565</w:t>
            </w:r>
          </w:p>
        </w:tc>
        <w:tc>
          <w:tcPr>
            <w:tcW w:w="1276" w:type="dxa"/>
            <w:tcBorders>
              <w:top w:val="nil"/>
              <w:left w:val="nil"/>
              <w:bottom w:val="single" w:sz="4" w:space="0" w:color="auto"/>
              <w:right w:val="single" w:sz="4" w:space="0" w:color="auto"/>
            </w:tcBorders>
            <w:shd w:val="clear" w:color="auto" w:fill="auto"/>
            <w:noWrap/>
            <w:hideMark/>
          </w:tcPr>
          <w:p w14:paraId="39273636" w14:textId="222DAA19" w:rsidR="00691ABD" w:rsidRPr="00786273" w:rsidRDefault="00691ABD" w:rsidP="001E39EE">
            <w:pPr>
              <w:jc w:val="right"/>
              <w:rPr>
                <w:sz w:val="20"/>
                <w:szCs w:val="20"/>
                <w:lang w:val="fr-CA" w:eastAsia="en-CA"/>
              </w:rPr>
            </w:pPr>
            <w:r w:rsidRPr="00786273">
              <w:rPr>
                <w:sz w:val="20"/>
                <w:szCs w:val="20"/>
                <w:lang w:val="fr-CA" w:eastAsia="en-CA"/>
              </w:rPr>
              <w:t>130</w:t>
            </w:r>
            <w:r>
              <w:rPr>
                <w:sz w:val="20"/>
                <w:szCs w:val="20"/>
                <w:lang w:val="fr-CA" w:eastAsia="en-CA"/>
              </w:rPr>
              <w:t xml:space="preserve"> </w:t>
            </w:r>
            <w:r w:rsidRPr="00786273">
              <w:rPr>
                <w:sz w:val="20"/>
                <w:szCs w:val="20"/>
                <w:lang w:val="fr-CA" w:eastAsia="en-CA"/>
              </w:rPr>
              <w:t>257</w:t>
            </w:r>
          </w:p>
        </w:tc>
        <w:tc>
          <w:tcPr>
            <w:tcW w:w="1384" w:type="dxa"/>
            <w:tcBorders>
              <w:top w:val="nil"/>
              <w:left w:val="nil"/>
              <w:bottom w:val="single" w:sz="4" w:space="0" w:color="auto"/>
              <w:right w:val="single" w:sz="4" w:space="0" w:color="auto"/>
            </w:tcBorders>
            <w:shd w:val="clear" w:color="auto" w:fill="auto"/>
            <w:noWrap/>
            <w:hideMark/>
          </w:tcPr>
          <w:p w14:paraId="30579A8C" w14:textId="77777777" w:rsidR="00691ABD" w:rsidRPr="00786273" w:rsidRDefault="00691ABD" w:rsidP="001E39EE">
            <w:pPr>
              <w:jc w:val="right"/>
              <w:rPr>
                <w:sz w:val="20"/>
                <w:szCs w:val="20"/>
                <w:lang w:val="fr-CA" w:eastAsia="en-CA"/>
              </w:rPr>
            </w:pPr>
            <w:r w:rsidRPr="00786273">
              <w:rPr>
                <w:sz w:val="20"/>
                <w:szCs w:val="20"/>
                <w:lang w:val="fr-CA" w:eastAsia="en-CA"/>
              </w:rPr>
              <w:t>105</w:t>
            </w:r>
          </w:p>
        </w:tc>
        <w:tc>
          <w:tcPr>
            <w:tcW w:w="1149" w:type="dxa"/>
            <w:tcBorders>
              <w:top w:val="nil"/>
              <w:left w:val="nil"/>
              <w:bottom w:val="single" w:sz="4" w:space="0" w:color="auto"/>
              <w:right w:val="single" w:sz="4" w:space="0" w:color="auto"/>
            </w:tcBorders>
            <w:shd w:val="clear" w:color="auto" w:fill="auto"/>
            <w:noWrap/>
            <w:hideMark/>
          </w:tcPr>
          <w:p w14:paraId="2BD0BA09"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01DDACB8"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183CEE5" w14:textId="77777777" w:rsidR="00691ABD" w:rsidRPr="00786273" w:rsidRDefault="00691ABD" w:rsidP="001E39EE">
            <w:pPr>
              <w:jc w:val="left"/>
              <w:rPr>
                <w:sz w:val="20"/>
                <w:szCs w:val="20"/>
                <w:lang w:val="fr-CA" w:eastAsia="en-CA"/>
              </w:rPr>
            </w:pPr>
            <w:r w:rsidRPr="00786273">
              <w:rPr>
                <w:sz w:val="20"/>
                <w:szCs w:val="20"/>
                <w:lang w:val="fr-CA" w:eastAsia="en-CA"/>
              </w:rPr>
              <w:t>Burundi</w:t>
            </w:r>
          </w:p>
        </w:tc>
        <w:tc>
          <w:tcPr>
            <w:tcW w:w="851" w:type="dxa"/>
            <w:tcBorders>
              <w:top w:val="nil"/>
              <w:left w:val="nil"/>
              <w:bottom w:val="single" w:sz="4" w:space="0" w:color="auto"/>
              <w:right w:val="single" w:sz="4" w:space="0" w:color="auto"/>
            </w:tcBorders>
            <w:shd w:val="clear" w:color="auto" w:fill="auto"/>
            <w:noWrap/>
            <w:hideMark/>
          </w:tcPr>
          <w:p w14:paraId="48A502D4" w14:textId="2FB9D956"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D6A69EF"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766EFDBE" w14:textId="448396B0" w:rsidR="00691ABD" w:rsidRPr="00786273" w:rsidRDefault="00691ABD" w:rsidP="001E39EE">
            <w:pPr>
              <w:jc w:val="right"/>
              <w:rPr>
                <w:sz w:val="20"/>
                <w:szCs w:val="20"/>
                <w:lang w:val="fr-CA" w:eastAsia="en-CA"/>
              </w:rPr>
            </w:pPr>
            <w:r w:rsidRPr="00786273">
              <w:rPr>
                <w:sz w:val="20"/>
                <w:szCs w:val="20"/>
                <w:lang w:val="fr-CA" w:eastAsia="en-CA"/>
              </w:rPr>
              <w:t>26</w:t>
            </w:r>
            <w:r>
              <w:rPr>
                <w:sz w:val="20"/>
                <w:szCs w:val="20"/>
                <w:lang w:val="fr-CA" w:eastAsia="en-CA"/>
              </w:rPr>
              <w:t xml:space="preserve"> </w:t>
            </w:r>
            <w:r w:rsidRPr="00786273">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1B094F0C" w14:textId="27594EAC" w:rsidR="00691ABD" w:rsidRPr="00786273" w:rsidRDefault="00691ABD" w:rsidP="001E39EE">
            <w:pPr>
              <w:jc w:val="right"/>
              <w:rPr>
                <w:sz w:val="20"/>
                <w:szCs w:val="20"/>
                <w:lang w:val="fr-CA" w:eastAsia="en-CA"/>
              </w:rPr>
            </w:pPr>
            <w:r w:rsidRPr="00786273">
              <w:rPr>
                <w:sz w:val="20"/>
                <w:szCs w:val="20"/>
                <w:lang w:val="fr-CA" w:eastAsia="en-CA"/>
              </w:rPr>
              <w:t>117</w:t>
            </w:r>
            <w:r>
              <w:rPr>
                <w:sz w:val="20"/>
                <w:szCs w:val="20"/>
                <w:lang w:val="fr-CA" w:eastAsia="en-CA"/>
              </w:rPr>
              <w:t xml:space="preserve"> </w:t>
            </w:r>
            <w:r w:rsidRPr="00786273">
              <w:rPr>
                <w:sz w:val="20"/>
                <w:szCs w:val="20"/>
                <w:lang w:val="fr-CA" w:eastAsia="en-CA"/>
              </w:rPr>
              <w:t>455</w:t>
            </w:r>
          </w:p>
        </w:tc>
        <w:tc>
          <w:tcPr>
            <w:tcW w:w="1384" w:type="dxa"/>
            <w:tcBorders>
              <w:top w:val="nil"/>
              <w:left w:val="nil"/>
              <w:bottom w:val="single" w:sz="4" w:space="0" w:color="auto"/>
              <w:right w:val="single" w:sz="4" w:space="0" w:color="auto"/>
            </w:tcBorders>
            <w:shd w:val="clear" w:color="auto" w:fill="auto"/>
            <w:noWrap/>
            <w:hideMark/>
          </w:tcPr>
          <w:p w14:paraId="4F2A3DED" w14:textId="77777777" w:rsidR="00691ABD" w:rsidRPr="00786273" w:rsidRDefault="00691ABD" w:rsidP="001E39EE">
            <w:pPr>
              <w:jc w:val="right"/>
              <w:rPr>
                <w:sz w:val="20"/>
                <w:szCs w:val="20"/>
                <w:lang w:val="fr-CA" w:eastAsia="en-CA"/>
              </w:rPr>
            </w:pPr>
            <w:r w:rsidRPr="00786273">
              <w:rPr>
                <w:sz w:val="20"/>
                <w:szCs w:val="20"/>
                <w:lang w:val="fr-CA" w:eastAsia="en-CA"/>
              </w:rPr>
              <w:t>452</w:t>
            </w:r>
          </w:p>
        </w:tc>
        <w:tc>
          <w:tcPr>
            <w:tcW w:w="1149" w:type="dxa"/>
            <w:tcBorders>
              <w:top w:val="nil"/>
              <w:left w:val="nil"/>
              <w:bottom w:val="single" w:sz="4" w:space="0" w:color="auto"/>
              <w:right w:val="single" w:sz="4" w:space="0" w:color="auto"/>
            </w:tcBorders>
            <w:shd w:val="clear" w:color="auto" w:fill="auto"/>
            <w:noWrap/>
            <w:hideMark/>
          </w:tcPr>
          <w:p w14:paraId="22967A47"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0894F7E0"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037C7CA" w14:textId="77777777" w:rsidR="00691ABD" w:rsidRPr="00786273" w:rsidRDefault="00691ABD" w:rsidP="001E39EE">
            <w:pPr>
              <w:jc w:val="left"/>
              <w:rPr>
                <w:sz w:val="20"/>
                <w:szCs w:val="20"/>
                <w:lang w:val="fr-CA" w:eastAsia="en-CA"/>
              </w:rPr>
            </w:pPr>
            <w:r w:rsidRPr="00786273">
              <w:rPr>
                <w:sz w:val="20"/>
                <w:szCs w:val="20"/>
                <w:lang w:val="fr-CA" w:eastAsia="en-CA"/>
              </w:rPr>
              <w:t>Cabo Verde</w:t>
            </w:r>
          </w:p>
        </w:tc>
        <w:tc>
          <w:tcPr>
            <w:tcW w:w="851" w:type="dxa"/>
            <w:tcBorders>
              <w:top w:val="nil"/>
              <w:left w:val="nil"/>
              <w:bottom w:val="single" w:sz="4" w:space="0" w:color="auto"/>
              <w:right w:val="single" w:sz="4" w:space="0" w:color="auto"/>
            </w:tcBorders>
            <w:shd w:val="clear" w:color="auto" w:fill="auto"/>
            <w:noWrap/>
            <w:hideMark/>
          </w:tcPr>
          <w:p w14:paraId="66F86C05" w14:textId="5B4A3948"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354F247"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4CDF6E4D"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76" w:type="dxa"/>
            <w:tcBorders>
              <w:top w:val="nil"/>
              <w:left w:val="nil"/>
              <w:bottom w:val="single" w:sz="4" w:space="0" w:color="auto"/>
              <w:right w:val="single" w:sz="4" w:space="0" w:color="auto"/>
            </w:tcBorders>
            <w:shd w:val="clear" w:color="auto" w:fill="auto"/>
            <w:noWrap/>
            <w:hideMark/>
          </w:tcPr>
          <w:p w14:paraId="32975804" w14:textId="3670C409" w:rsidR="00691ABD" w:rsidRPr="00786273" w:rsidRDefault="00691ABD" w:rsidP="001E39EE">
            <w:pPr>
              <w:jc w:val="right"/>
              <w:rPr>
                <w:sz w:val="20"/>
                <w:szCs w:val="20"/>
                <w:lang w:val="fr-CA" w:eastAsia="en-CA"/>
              </w:rPr>
            </w:pPr>
            <w:r w:rsidRPr="00786273">
              <w:rPr>
                <w:sz w:val="20"/>
                <w:szCs w:val="20"/>
                <w:lang w:val="fr-CA" w:eastAsia="en-CA"/>
              </w:rPr>
              <w:t>58</w:t>
            </w:r>
            <w:r>
              <w:rPr>
                <w:sz w:val="20"/>
                <w:szCs w:val="20"/>
                <w:lang w:val="fr-CA" w:eastAsia="en-CA"/>
              </w:rPr>
              <w:t xml:space="preserve"> </w:t>
            </w:r>
            <w:r w:rsidRPr="00786273">
              <w:rPr>
                <w:sz w:val="20"/>
                <w:szCs w:val="20"/>
                <w:lang w:val="fr-CA" w:eastAsia="en-CA"/>
              </w:rPr>
              <w:t>808</w:t>
            </w:r>
          </w:p>
        </w:tc>
        <w:tc>
          <w:tcPr>
            <w:tcW w:w="1384" w:type="dxa"/>
            <w:tcBorders>
              <w:top w:val="nil"/>
              <w:left w:val="nil"/>
              <w:bottom w:val="single" w:sz="4" w:space="0" w:color="auto"/>
              <w:right w:val="single" w:sz="4" w:space="0" w:color="auto"/>
            </w:tcBorders>
            <w:shd w:val="clear" w:color="auto" w:fill="auto"/>
            <w:noWrap/>
            <w:hideMark/>
          </w:tcPr>
          <w:p w14:paraId="73185556" w14:textId="77777777" w:rsidR="00691ABD" w:rsidRPr="00786273" w:rsidRDefault="00691ABD" w:rsidP="001E39EE">
            <w:pPr>
              <w:jc w:val="right"/>
              <w:rPr>
                <w:sz w:val="20"/>
                <w:szCs w:val="20"/>
                <w:lang w:val="fr-CA" w:eastAsia="en-CA"/>
              </w:rPr>
            </w:pPr>
            <w:r w:rsidRPr="00786273">
              <w:rPr>
                <w:sz w:val="20"/>
                <w:szCs w:val="20"/>
                <w:lang w:val="fr-CA" w:eastAsia="en-CA"/>
              </w:rPr>
              <w:t> Over</w:t>
            </w:r>
          </w:p>
        </w:tc>
        <w:tc>
          <w:tcPr>
            <w:tcW w:w="1149" w:type="dxa"/>
            <w:tcBorders>
              <w:top w:val="nil"/>
              <w:left w:val="nil"/>
              <w:bottom w:val="single" w:sz="4" w:space="0" w:color="auto"/>
              <w:right w:val="single" w:sz="4" w:space="0" w:color="auto"/>
            </w:tcBorders>
            <w:shd w:val="clear" w:color="auto" w:fill="auto"/>
            <w:noWrap/>
            <w:hideMark/>
          </w:tcPr>
          <w:p w14:paraId="078EB3D0" w14:textId="77777777" w:rsidR="00691ABD" w:rsidRPr="00786273" w:rsidRDefault="00691ABD" w:rsidP="001E39EE">
            <w:pPr>
              <w:jc w:val="right"/>
              <w:rPr>
                <w:sz w:val="20"/>
                <w:szCs w:val="20"/>
                <w:lang w:val="fr-CA" w:eastAsia="en-CA"/>
              </w:rPr>
            </w:pPr>
            <w:r w:rsidRPr="00786273">
              <w:rPr>
                <w:sz w:val="20"/>
                <w:szCs w:val="20"/>
                <w:lang w:val="fr-CA" w:eastAsia="en-CA"/>
              </w:rPr>
              <w:t>67</w:t>
            </w:r>
          </w:p>
        </w:tc>
      </w:tr>
      <w:tr w:rsidR="00691ABD" w:rsidRPr="00786273" w14:paraId="4EEBD4C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5F60086" w14:textId="77777777" w:rsidR="00691ABD" w:rsidRPr="00786273" w:rsidRDefault="00691ABD" w:rsidP="001E39EE">
            <w:pPr>
              <w:jc w:val="left"/>
              <w:rPr>
                <w:sz w:val="20"/>
                <w:szCs w:val="20"/>
                <w:lang w:val="fr-CA" w:eastAsia="en-CA"/>
              </w:rPr>
            </w:pPr>
            <w:r>
              <w:rPr>
                <w:sz w:val="20"/>
                <w:szCs w:val="20"/>
                <w:lang w:val="fr-CA" w:eastAsia="en-CA"/>
              </w:rPr>
              <w:t>Cambodge</w:t>
            </w:r>
          </w:p>
        </w:tc>
        <w:tc>
          <w:tcPr>
            <w:tcW w:w="851" w:type="dxa"/>
            <w:tcBorders>
              <w:top w:val="nil"/>
              <w:left w:val="nil"/>
              <w:bottom w:val="single" w:sz="4" w:space="0" w:color="auto"/>
              <w:right w:val="single" w:sz="4" w:space="0" w:color="auto"/>
            </w:tcBorders>
            <w:shd w:val="clear" w:color="auto" w:fill="auto"/>
            <w:noWrap/>
            <w:hideMark/>
          </w:tcPr>
          <w:p w14:paraId="597EFEB4" w14:textId="7739EA94"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7FE1A0D"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6A3A5CAE" w14:textId="466B2A72" w:rsidR="00691ABD" w:rsidRPr="00786273" w:rsidRDefault="00691ABD" w:rsidP="001E39EE">
            <w:pPr>
              <w:jc w:val="right"/>
              <w:rPr>
                <w:sz w:val="20"/>
                <w:szCs w:val="20"/>
                <w:lang w:val="fr-CA" w:eastAsia="en-CA"/>
              </w:rPr>
            </w:pPr>
            <w:r w:rsidRPr="00786273">
              <w:rPr>
                <w:sz w:val="20"/>
                <w:szCs w:val="20"/>
                <w:lang w:val="fr-CA" w:eastAsia="en-CA"/>
              </w:rPr>
              <w:t>150</w:t>
            </w:r>
            <w:r>
              <w:rPr>
                <w:sz w:val="20"/>
                <w:szCs w:val="20"/>
                <w:lang w:val="fr-CA" w:eastAsia="en-CA"/>
              </w:rPr>
              <w:t xml:space="preserve"> </w:t>
            </w:r>
            <w:r w:rsidRPr="00786273">
              <w:rPr>
                <w:sz w:val="20"/>
                <w:szCs w:val="20"/>
                <w:lang w:val="fr-CA" w:eastAsia="en-CA"/>
              </w:rPr>
              <w:t>186</w:t>
            </w:r>
          </w:p>
        </w:tc>
        <w:tc>
          <w:tcPr>
            <w:tcW w:w="1276" w:type="dxa"/>
            <w:tcBorders>
              <w:top w:val="nil"/>
              <w:left w:val="nil"/>
              <w:bottom w:val="single" w:sz="4" w:space="0" w:color="auto"/>
              <w:right w:val="single" w:sz="4" w:space="0" w:color="auto"/>
            </w:tcBorders>
            <w:shd w:val="clear" w:color="auto" w:fill="auto"/>
            <w:noWrap/>
            <w:hideMark/>
          </w:tcPr>
          <w:p w14:paraId="5C027812" w14:textId="2684C60B" w:rsidR="00691ABD" w:rsidRPr="00786273" w:rsidRDefault="00691ABD" w:rsidP="001E39EE">
            <w:pPr>
              <w:jc w:val="right"/>
              <w:rPr>
                <w:sz w:val="20"/>
                <w:szCs w:val="20"/>
                <w:lang w:val="fr-CA" w:eastAsia="en-CA"/>
              </w:rPr>
            </w:pPr>
            <w:r w:rsidRPr="00786273">
              <w:rPr>
                <w:sz w:val="20"/>
                <w:szCs w:val="20"/>
                <w:lang w:val="fr-CA" w:eastAsia="en-CA"/>
              </w:rPr>
              <w:t>174</w:t>
            </w:r>
            <w:r>
              <w:rPr>
                <w:sz w:val="20"/>
                <w:szCs w:val="20"/>
                <w:lang w:val="fr-CA" w:eastAsia="en-CA"/>
              </w:rPr>
              <w:t xml:space="preserve"> </w:t>
            </w:r>
            <w:r w:rsidRPr="00786273">
              <w:rPr>
                <w:sz w:val="20"/>
                <w:szCs w:val="20"/>
                <w:lang w:val="fr-CA" w:eastAsia="en-CA"/>
              </w:rPr>
              <w:t>782</w:t>
            </w:r>
          </w:p>
        </w:tc>
        <w:tc>
          <w:tcPr>
            <w:tcW w:w="1384" w:type="dxa"/>
            <w:tcBorders>
              <w:top w:val="nil"/>
              <w:left w:val="nil"/>
              <w:bottom w:val="single" w:sz="4" w:space="0" w:color="auto"/>
              <w:right w:val="single" w:sz="4" w:space="0" w:color="auto"/>
            </w:tcBorders>
            <w:shd w:val="clear" w:color="auto" w:fill="auto"/>
            <w:noWrap/>
            <w:hideMark/>
          </w:tcPr>
          <w:p w14:paraId="65C523DA" w14:textId="77777777" w:rsidR="00691ABD" w:rsidRPr="00786273" w:rsidRDefault="00691ABD" w:rsidP="001E39EE">
            <w:pPr>
              <w:jc w:val="right"/>
              <w:rPr>
                <w:sz w:val="20"/>
                <w:szCs w:val="20"/>
                <w:lang w:val="fr-CA" w:eastAsia="en-CA"/>
              </w:rPr>
            </w:pPr>
            <w:r w:rsidRPr="00786273">
              <w:rPr>
                <w:sz w:val="20"/>
                <w:szCs w:val="20"/>
                <w:lang w:val="fr-CA" w:eastAsia="en-CA"/>
              </w:rPr>
              <w:t>116</w:t>
            </w:r>
          </w:p>
        </w:tc>
        <w:tc>
          <w:tcPr>
            <w:tcW w:w="1149" w:type="dxa"/>
            <w:tcBorders>
              <w:top w:val="nil"/>
              <w:left w:val="nil"/>
              <w:bottom w:val="single" w:sz="4" w:space="0" w:color="auto"/>
              <w:right w:val="single" w:sz="4" w:space="0" w:color="auto"/>
            </w:tcBorders>
            <w:shd w:val="clear" w:color="auto" w:fill="auto"/>
            <w:noWrap/>
            <w:hideMark/>
          </w:tcPr>
          <w:p w14:paraId="56FD4FD0"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1A37DAA8"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84F8813" w14:textId="77777777" w:rsidR="00691ABD" w:rsidRPr="00786273" w:rsidRDefault="00691ABD" w:rsidP="001E39EE">
            <w:pPr>
              <w:jc w:val="left"/>
              <w:rPr>
                <w:sz w:val="20"/>
                <w:szCs w:val="20"/>
                <w:lang w:val="fr-CA" w:eastAsia="en-CA"/>
              </w:rPr>
            </w:pPr>
            <w:r>
              <w:rPr>
                <w:sz w:val="20"/>
                <w:szCs w:val="20"/>
                <w:lang w:val="fr-CA" w:eastAsia="en-CA"/>
              </w:rPr>
              <w:t>Cameroun</w:t>
            </w:r>
          </w:p>
        </w:tc>
        <w:tc>
          <w:tcPr>
            <w:tcW w:w="851" w:type="dxa"/>
            <w:tcBorders>
              <w:top w:val="nil"/>
              <w:left w:val="nil"/>
              <w:bottom w:val="single" w:sz="4" w:space="0" w:color="auto"/>
              <w:right w:val="single" w:sz="4" w:space="0" w:color="auto"/>
            </w:tcBorders>
            <w:shd w:val="clear" w:color="auto" w:fill="auto"/>
            <w:noWrap/>
            <w:hideMark/>
          </w:tcPr>
          <w:p w14:paraId="2E24254F" w14:textId="238BD2B9"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1</w:t>
            </w:r>
          </w:p>
        </w:tc>
        <w:tc>
          <w:tcPr>
            <w:tcW w:w="1160" w:type="dxa"/>
            <w:tcBorders>
              <w:top w:val="nil"/>
              <w:left w:val="nil"/>
              <w:bottom w:val="single" w:sz="4" w:space="0" w:color="auto"/>
              <w:right w:val="single" w:sz="4" w:space="0" w:color="auto"/>
            </w:tcBorders>
            <w:shd w:val="clear" w:color="auto" w:fill="auto"/>
            <w:noWrap/>
            <w:hideMark/>
          </w:tcPr>
          <w:p w14:paraId="3BB80A76"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E7624A4" w14:textId="11E9DCC0" w:rsidR="00691ABD" w:rsidRPr="00786273" w:rsidRDefault="00691ABD" w:rsidP="001E39EE">
            <w:pPr>
              <w:jc w:val="right"/>
              <w:rPr>
                <w:sz w:val="20"/>
                <w:szCs w:val="20"/>
                <w:lang w:val="fr-CA" w:eastAsia="en-CA"/>
              </w:rPr>
            </w:pPr>
            <w:r w:rsidRPr="00786273">
              <w:rPr>
                <w:sz w:val="20"/>
                <w:szCs w:val="20"/>
                <w:lang w:val="fr-CA" w:eastAsia="en-CA"/>
              </w:rPr>
              <w:t>73</w:t>
            </w:r>
            <w:r>
              <w:rPr>
                <w:sz w:val="20"/>
                <w:szCs w:val="20"/>
                <w:lang w:val="fr-CA" w:eastAsia="en-CA"/>
              </w:rPr>
              <w:t xml:space="preserve"> </w:t>
            </w:r>
            <w:r w:rsidRPr="00786273">
              <w:rPr>
                <w:sz w:val="20"/>
                <w:szCs w:val="20"/>
                <w:lang w:val="fr-CA" w:eastAsia="en-CA"/>
              </w:rPr>
              <w:t>651</w:t>
            </w:r>
          </w:p>
        </w:tc>
        <w:tc>
          <w:tcPr>
            <w:tcW w:w="1276" w:type="dxa"/>
            <w:tcBorders>
              <w:top w:val="nil"/>
              <w:left w:val="nil"/>
              <w:bottom w:val="single" w:sz="4" w:space="0" w:color="auto"/>
              <w:right w:val="single" w:sz="4" w:space="0" w:color="auto"/>
            </w:tcBorders>
            <w:shd w:val="clear" w:color="auto" w:fill="auto"/>
            <w:noWrap/>
            <w:hideMark/>
          </w:tcPr>
          <w:p w14:paraId="35685DE7" w14:textId="7C403E16" w:rsidR="00691ABD" w:rsidRPr="00786273" w:rsidRDefault="00691ABD" w:rsidP="001E39EE">
            <w:pPr>
              <w:jc w:val="right"/>
              <w:rPr>
                <w:sz w:val="20"/>
                <w:szCs w:val="20"/>
                <w:lang w:val="fr-CA" w:eastAsia="en-CA"/>
              </w:rPr>
            </w:pPr>
            <w:r w:rsidRPr="00786273">
              <w:rPr>
                <w:sz w:val="20"/>
                <w:szCs w:val="20"/>
                <w:lang w:val="fr-CA" w:eastAsia="en-CA"/>
              </w:rPr>
              <w:t>34</w:t>
            </w:r>
            <w:r>
              <w:rPr>
                <w:sz w:val="20"/>
                <w:szCs w:val="20"/>
                <w:lang w:val="fr-CA" w:eastAsia="en-CA"/>
              </w:rPr>
              <w:t xml:space="preserve"> </w:t>
            </w:r>
            <w:r w:rsidRPr="00786273">
              <w:rPr>
                <w:sz w:val="20"/>
                <w:szCs w:val="20"/>
                <w:lang w:val="fr-CA" w:eastAsia="en-CA"/>
              </w:rPr>
              <w:t>355</w:t>
            </w:r>
          </w:p>
        </w:tc>
        <w:tc>
          <w:tcPr>
            <w:tcW w:w="1384" w:type="dxa"/>
            <w:tcBorders>
              <w:top w:val="nil"/>
              <w:left w:val="nil"/>
              <w:bottom w:val="single" w:sz="4" w:space="0" w:color="auto"/>
              <w:right w:val="single" w:sz="4" w:space="0" w:color="auto"/>
            </w:tcBorders>
            <w:shd w:val="clear" w:color="auto" w:fill="auto"/>
            <w:noWrap/>
            <w:hideMark/>
          </w:tcPr>
          <w:p w14:paraId="7FE734D7" w14:textId="77777777" w:rsidR="00691ABD" w:rsidRPr="00786273" w:rsidRDefault="00691ABD" w:rsidP="001E39EE">
            <w:pPr>
              <w:jc w:val="right"/>
              <w:rPr>
                <w:sz w:val="20"/>
                <w:szCs w:val="20"/>
                <w:lang w:val="fr-CA" w:eastAsia="en-CA"/>
              </w:rPr>
            </w:pPr>
            <w:r w:rsidRPr="00786273">
              <w:rPr>
                <w:sz w:val="20"/>
                <w:szCs w:val="20"/>
                <w:lang w:val="fr-CA" w:eastAsia="en-CA"/>
              </w:rPr>
              <w:t>47</w:t>
            </w:r>
          </w:p>
        </w:tc>
        <w:tc>
          <w:tcPr>
            <w:tcW w:w="1149" w:type="dxa"/>
            <w:tcBorders>
              <w:top w:val="nil"/>
              <w:left w:val="nil"/>
              <w:bottom w:val="single" w:sz="4" w:space="0" w:color="auto"/>
              <w:right w:val="single" w:sz="4" w:space="0" w:color="auto"/>
            </w:tcBorders>
            <w:shd w:val="clear" w:color="auto" w:fill="auto"/>
            <w:noWrap/>
            <w:hideMark/>
          </w:tcPr>
          <w:p w14:paraId="63E318B6"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7E03E122" w14:textId="77777777" w:rsidTr="00AD0261">
        <w:trPr>
          <w:trHeight w:val="61"/>
        </w:trPr>
        <w:tc>
          <w:tcPr>
            <w:tcW w:w="2972" w:type="dxa"/>
            <w:tcBorders>
              <w:top w:val="nil"/>
              <w:left w:val="single" w:sz="4" w:space="0" w:color="auto"/>
              <w:bottom w:val="single" w:sz="4" w:space="0" w:color="auto"/>
              <w:right w:val="single" w:sz="4" w:space="0" w:color="auto"/>
            </w:tcBorders>
            <w:shd w:val="clear" w:color="auto" w:fill="auto"/>
            <w:noWrap/>
            <w:hideMark/>
          </w:tcPr>
          <w:p w14:paraId="6BCC1F05" w14:textId="77777777" w:rsidR="00691ABD" w:rsidRPr="00786273" w:rsidRDefault="00691ABD" w:rsidP="001E39EE">
            <w:pPr>
              <w:jc w:val="left"/>
              <w:rPr>
                <w:sz w:val="20"/>
                <w:szCs w:val="20"/>
                <w:lang w:val="fr-CA" w:eastAsia="en-CA"/>
              </w:rPr>
            </w:pPr>
            <w:r>
              <w:rPr>
                <w:sz w:val="20"/>
                <w:szCs w:val="20"/>
                <w:lang w:val="fr-CA" w:eastAsia="en-CA"/>
              </w:rPr>
              <w:t>Chili</w:t>
            </w:r>
          </w:p>
        </w:tc>
        <w:tc>
          <w:tcPr>
            <w:tcW w:w="851" w:type="dxa"/>
            <w:tcBorders>
              <w:top w:val="nil"/>
              <w:left w:val="nil"/>
              <w:bottom w:val="single" w:sz="4" w:space="0" w:color="auto"/>
              <w:right w:val="single" w:sz="4" w:space="0" w:color="auto"/>
            </w:tcBorders>
            <w:shd w:val="clear" w:color="auto" w:fill="auto"/>
            <w:noWrap/>
            <w:hideMark/>
          </w:tcPr>
          <w:p w14:paraId="10CEE14E" w14:textId="4BF1EF40" w:rsidR="00691ABD" w:rsidRPr="00786273" w:rsidRDefault="00691ABD" w:rsidP="001E39EE">
            <w:pPr>
              <w:jc w:val="right"/>
              <w:rPr>
                <w:sz w:val="20"/>
                <w:szCs w:val="20"/>
                <w:lang w:val="fr-CA" w:eastAsia="en-CA"/>
              </w:rPr>
            </w:pPr>
            <w:r w:rsidRPr="00786273">
              <w:rPr>
                <w:sz w:val="20"/>
                <w:szCs w:val="20"/>
                <w:lang w:val="fr-CA" w:eastAsia="en-CA"/>
              </w:rPr>
              <w:t>5</w:t>
            </w:r>
            <w:r>
              <w:rPr>
                <w:sz w:val="20"/>
                <w:szCs w:val="20"/>
                <w:lang w:val="fr-CA" w:eastAsia="en-CA"/>
              </w:rPr>
              <w:t>,</w:t>
            </w:r>
            <w:r w:rsidRPr="00786273">
              <w:rPr>
                <w:sz w:val="20"/>
                <w:szCs w:val="20"/>
                <w:lang w:val="fr-CA" w:eastAsia="en-CA"/>
              </w:rPr>
              <w:t>7</w:t>
            </w:r>
          </w:p>
        </w:tc>
        <w:tc>
          <w:tcPr>
            <w:tcW w:w="1160" w:type="dxa"/>
            <w:tcBorders>
              <w:top w:val="nil"/>
              <w:left w:val="nil"/>
              <w:bottom w:val="single" w:sz="4" w:space="0" w:color="auto"/>
              <w:right w:val="single" w:sz="4" w:space="0" w:color="auto"/>
            </w:tcBorders>
            <w:shd w:val="clear" w:color="auto" w:fill="auto"/>
            <w:noWrap/>
            <w:hideMark/>
          </w:tcPr>
          <w:p w14:paraId="6BA622C2"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5F9059DF" w14:textId="17177597" w:rsidR="00691ABD" w:rsidRPr="00786273" w:rsidRDefault="00691ABD" w:rsidP="001E39EE">
            <w:pPr>
              <w:jc w:val="right"/>
              <w:rPr>
                <w:sz w:val="20"/>
                <w:szCs w:val="20"/>
                <w:lang w:val="fr-CA" w:eastAsia="en-CA"/>
              </w:rPr>
            </w:pPr>
            <w:r w:rsidRPr="00786273">
              <w:rPr>
                <w:sz w:val="20"/>
                <w:szCs w:val="20"/>
                <w:lang w:val="fr-CA" w:eastAsia="en-CA"/>
              </w:rPr>
              <w:t>609</w:t>
            </w:r>
            <w:r>
              <w:rPr>
                <w:sz w:val="20"/>
                <w:szCs w:val="20"/>
                <w:lang w:val="fr-CA" w:eastAsia="en-CA"/>
              </w:rPr>
              <w:t xml:space="preserve"> </w:t>
            </w:r>
            <w:r w:rsidRPr="00786273">
              <w:rPr>
                <w:sz w:val="20"/>
                <w:szCs w:val="20"/>
                <w:lang w:val="fr-CA" w:eastAsia="en-CA"/>
              </w:rPr>
              <w:t>674</w:t>
            </w:r>
          </w:p>
        </w:tc>
        <w:tc>
          <w:tcPr>
            <w:tcW w:w="1276" w:type="dxa"/>
            <w:tcBorders>
              <w:top w:val="nil"/>
              <w:left w:val="nil"/>
              <w:bottom w:val="single" w:sz="4" w:space="0" w:color="auto"/>
              <w:right w:val="single" w:sz="4" w:space="0" w:color="auto"/>
            </w:tcBorders>
            <w:shd w:val="clear" w:color="auto" w:fill="auto"/>
            <w:noWrap/>
            <w:hideMark/>
          </w:tcPr>
          <w:p w14:paraId="3FD4A158" w14:textId="741BC513" w:rsidR="00691ABD" w:rsidRPr="00786273" w:rsidRDefault="00691ABD" w:rsidP="001E39EE">
            <w:pPr>
              <w:jc w:val="right"/>
              <w:rPr>
                <w:sz w:val="20"/>
                <w:szCs w:val="20"/>
                <w:lang w:val="fr-CA" w:eastAsia="en-CA"/>
              </w:rPr>
            </w:pPr>
            <w:r w:rsidRPr="00786273">
              <w:rPr>
                <w:sz w:val="20"/>
                <w:szCs w:val="20"/>
                <w:lang w:val="fr-CA" w:eastAsia="en-CA"/>
              </w:rPr>
              <w:t>441</w:t>
            </w:r>
            <w:r>
              <w:rPr>
                <w:sz w:val="20"/>
                <w:szCs w:val="20"/>
                <w:lang w:val="fr-CA" w:eastAsia="en-CA"/>
              </w:rPr>
              <w:t xml:space="preserve"> </w:t>
            </w:r>
            <w:r w:rsidRPr="00786273">
              <w:rPr>
                <w:sz w:val="20"/>
                <w:szCs w:val="20"/>
                <w:lang w:val="fr-CA" w:eastAsia="en-CA"/>
              </w:rPr>
              <w:t>788</w:t>
            </w:r>
          </w:p>
        </w:tc>
        <w:tc>
          <w:tcPr>
            <w:tcW w:w="1384" w:type="dxa"/>
            <w:tcBorders>
              <w:top w:val="nil"/>
              <w:left w:val="nil"/>
              <w:bottom w:val="single" w:sz="4" w:space="0" w:color="auto"/>
              <w:right w:val="single" w:sz="4" w:space="0" w:color="auto"/>
            </w:tcBorders>
            <w:shd w:val="clear" w:color="auto" w:fill="auto"/>
            <w:noWrap/>
            <w:hideMark/>
          </w:tcPr>
          <w:p w14:paraId="5B3E84EF" w14:textId="77777777" w:rsidR="00691ABD" w:rsidRPr="00786273" w:rsidRDefault="00691ABD" w:rsidP="001E39EE">
            <w:pPr>
              <w:jc w:val="right"/>
              <w:rPr>
                <w:sz w:val="20"/>
                <w:szCs w:val="20"/>
                <w:lang w:val="fr-CA" w:eastAsia="en-CA"/>
              </w:rPr>
            </w:pPr>
            <w:r w:rsidRPr="00786273">
              <w:rPr>
                <w:sz w:val="20"/>
                <w:szCs w:val="20"/>
                <w:lang w:val="fr-CA" w:eastAsia="en-CA"/>
              </w:rPr>
              <w:t>72</w:t>
            </w:r>
          </w:p>
        </w:tc>
        <w:tc>
          <w:tcPr>
            <w:tcW w:w="1149" w:type="dxa"/>
            <w:tcBorders>
              <w:top w:val="nil"/>
              <w:left w:val="nil"/>
              <w:bottom w:val="single" w:sz="4" w:space="0" w:color="auto"/>
              <w:right w:val="single" w:sz="4" w:space="0" w:color="auto"/>
            </w:tcBorders>
            <w:shd w:val="clear" w:color="auto" w:fill="auto"/>
            <w:noWrap/>
            <w:hideMark/>
          </w:tcPr>
          <w:p w14:paraId="087EA81C"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169E64A6"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5E0C092" w14:textId="77777777" w:rsidR="00691ABD" w:rsidRPr="00786273" w:rsidRDefault="00691ABD" w:rsidP="00786273">
            <w:pPr>
              <w:jc w:val="left"/>
              <w:rPr>
                <w:sz w:val="20"/>
                <w:szCs w:val="20"/>
                <w:lang w:val="fr-CA" w:eastAsia="en-CA"/>
              </w:rPr>
            </w:pPr>
            <w:r w:rsidRPr="00786273">
              <w:rPr>
                <w:sz w:val="20"/>
                <w:szCs w:val="20"/>
                <w:lang w:val="fr-CA" w:eastAsia="en-CA"/>
              </w:rPr>
              <w:t>Chin</w:t>
            </w:r>
            <w:r>
              <w:rPr>
                <w:sz w:val="20"/>
                <w:szCs w:val="20"/>
                <w:lang w:val="fr-CA" w:eastAsia="en-CA"/>
              </w:rPr>
              <w:t>e</w:t>
            </w:r>
          </w:p>
        </w:tc>
        <w:tc>
          <w:tcPr>
            <w:tcW w:w="851" w:type="dxa"/>
            <w:tcBorders>
              <w:top w:val="nil"/>
              <w:left w:val="nil"/>
              <w:bottom w:val="single" w:sz="4" w:space="0" w:color="auto"/>
              <w:right w:val="single" w:sz="4" w:space="0" w:color="auto"/>
            </w:tcBorders>
            <w:shd w:val="clear" w:color="auto" w:fill="auto"/>
            <w:noWrap/>
            <w:hideMark/>
          </w:tcPr>
          <w:p w14:paraId="4A489E8B" w14:textId="58AC7DC6" w:rsidR="00691ABD" w:rsidRPr="00786273" w:rsidRDefault="00691ABD" w:rsidP="001E39EE">
            <w:pPr>
              <w:jc w:val="right"/>
              <w:rPr>
                <w:sz w:val="20"/>
                <w:szCs w:val="20"/>
                <w:lang w:val="fr-CA" w:eastAsia="en-CA"/>
              </w:rPr>
            </w:pPr>
            <w:r w:rsidRPr="00786273">
              <w:rPr>
                <w:sz w:val="20"/>
                <w:szCs w:val="20"/>
                <w:lang w:val="fr-CA" w:eastAsia="en-CA"/>
              </w:rPr>
              <w:t>831</w:t>
            </w:r>
            <w:r>
              <w:rPr>
                <w:sz w:val="20"/>
                <w:szCs w:val="20"/>
                <w:lang w:val="fr-CA" w:eastAsia="en-CA"/>
              </w:rPr>
              <w:t>,</w:t>
            </w:r>
            <w:r w:rsidRPr="00786273">
              <w:rPr>
                <w:sz w:val="20"/>
                <w:szCs w:val="20"/>
                <w:lang w:val="fr-CA" w:eastAsia="en-CA"/>
              </w:rPr>
              <w:t>5</w:t>
            </w:r>
          </w:p>
        </w:tc>
        <w:tc>
          <w:tcPr>
            <w:tcW w:w="1160" w:type="dxa"/>
            <w:tcBorders>
              <w:top w:val="nil"/>
              <w:left w:val="nil"/>
              <w:bottom w:val="single" w:sz="4" w:space="0" w:color="auto"/>
              <w:right w:val="single" w:sz="4" w:space="0" w:color="auto"/>
            </w:tcBorders>
            <w:shd w:val="clear" w:color="auto" w:fill="auto"/>
            <w:noWrap/>
            <w:hideMark/>
          </w:tcPr>
          <w:p w14:paraId="5EF71DED" w14:textId="77777777" w:rsidR="00691ABD" w:rsidRPr="00786273" w:rsidRDefault="00691ABD" w:rsidP="001E39EE">
            <w:pPr>
              <w:jc w:val="right"/>
              <w:rPr>
                <w:sz w:val="20"/>
                <w:szCs w:val="20"/>
                <w:lang w:val="fr-CA" w:eastAsia="en-CA"/>
              </w:rPr>
            </w:pPr>
            <w:r w:rsidRPr="00786273">
              <w:rPr>
                <w:sz w:val="20"/>
                <w:szCs w:val="20"/>
                <w:lang w:val="fr-CA" w:eastAsia="en-CA"/>
              </w:rPr>
              <w:t>6</w:t>
            </w:r>
          </w:p>
        </w:tc>
        <w:tc>
          <w:tcPr>
            <w:tcW w:w="1250" w:type="dxa"/>
            <w:tcBorders>
              <w:top w:val="nil"/>
              <w:left w:val="nil"/>
              <w:bottom w:val="single" w:sz="4" w:space="0" w:color="auto"/>
              <w:right w:val="single" w:sz="4" w:space="0" w:color="auto"/>
            </w:tcBorders>
            <w:shd w:val="clear" w:color="auto" w:fill="auto"/>
            <w:noWrap/>
            <w:hideMark/>
          </w:tcPr>
          <w:p w14:paraId="4943E85C" w14:textId="490DC65C" w:rsidR="00691ABD" w:rsidRPr="00786273" w:rsidRDefault="00691ABD" w:rsidP="001E39EE">
            <w:pPr>
              <w:jc w:val="right"/>
              <w:rPr>
                <w:sz w:val="20"/>
                <w:szCs w:val="20"/>
                <w:lang w:val="fr-CA" w:eastAsia="en-CA"/>
              </w:rPr>
            </w:pPr>
            <w:r w:rsidRPr="00786273">
              <w:rPr>
                <w:sz w:val="20"/>
                <w:szCs w:val="20"/>
                <w:lang w:val="fr-CA" w:eastAsia="en-CA"/>
              </w:rPr>
              <w:t>23</w:t>
            </w:r>
            <w:r>
              <w:rPr>
                <w:sz w:val="20"/>
                <w:szCs w:val="20"/>
                <w:lang w:val="fr-CA" w:eastAsia="en-CA"/>
              </w:rPr>
              <w:t xml:space="preserve"> </w:t>
            </w:r>
            <w:r w:rsidRPr="00786273">
              <w:rPr>
                <w:sz w:val="20"/>
                <w:szCs w:val="20"/>
                <w:lang w:val="fr-CA" w:eastAsia="en-CA"/>
              </w:rPr>
              <w:t>648</w:t>
            </w:r>
            <w:r>
              <w:rPr>
                <w:sz w:val="20"/>
                <w:szCs w:val="20"/>
                <w:lang w:val="fr-CA" w:eastAsia="en-CA"/>
              </w:rPr>
              <w:t xml:space="preserve"> </w:t>
            </w:r>
            <w:r w:rsidRPr="00786273">
              <w:rPr>
                <w:sz w:val="20"/>
                <w:szCs w:val="20"/>
                <w:lang w:val="fr-CA" w:eastAsia="en-CA"/>
              </w:rPr>
              <w:t>546</w:t>
            </w:r>
          </w:p>
        </w:tc>
        <w:tc>
          <w:tcPr>
            <w:tcW w:w="1276" w:type="dxa"/>
            <w:tcBorders>
              <w:top w:val="nil"/>
              <w:left w:val="nil"/>
              <w:bottom w:val="single" w:sz="4" w:space="0" w:color="auto"/>
              <w:right w:val="single" w:sz="4" w:space="0" w:color="auto"/>
            </w:tcBorders>
            <w:shd w:val="clear" w:color="auto" w:fill="auto"/>
            <w:noWrap/>
            <w:hideMark/>
          </w:tcPr>
          <w:p w14:paraId="4D35F467" w14:textId="1577C582" w:rsidR="00691ABD" w:rsidRPr="00786273" w:rsidRDefault="00691ABD" w:rsidP="001E39EE">
            <w:pPr>
              <w:jc w:val="right"/>
              <w:rPr>
                <w:sz w:val="20"/>
                <w:szCs w:val="20"/>
                <w:lang w:val="fr-CA" w:eastAsia="en-CA"/>
              </w:rPr>
            </w:pPr>
            <w:r w:rsidRPr="00786273">
              <w:rPr>
                <w:sz w:val="20"/>
                <w:szCs w:val="20"/>
                <w:lang w:val="fr-CA" w:eastAsia="en-CA"/>
              </w:rPr>
              <w:t>33</w:t>
            </w:r>
            <w:r>
              <w:rPr>
                <w:sz w:val="20"/>
                <w:szCs w:val="20"/>
                <w:lang w:val="fr-CA" w:eastAsia="en-CA"/>
              </w:rPr>
              <w:t xml:space="preserve"> </w:t>
            </w:r>
            <w:r w:rsidRPr="00786273">
              <w:rPr>
                <w:sz w:val="20"/>
                <w:szCs w:val="20"/>
                <w:lang w:val="fr-CA" w:eastAsia="en-CA"/>
              </w:rPr>
              <w:t>865</w:t>
            </w:r>
            <w:r>
              <w:rPr>
                <w:sz w:val="20"/>
                <w:szCs w:val="20"/>
                <w:lang w:val="fr-CA" w:eastAsia="en-CA"/>
              </w:rPr>
              <w:t xml:space="preserve"> </w:t>
            </w:r>
            <w:r w:rsidRPr="00786273">
              <w:rPr>
                <w:sz w:val="20"/>
                <w:szCs w:val="20"/>
                <w:lang w:val="fr-CA" w:eastAsia="en-CA"/>
              </w:rPr>
              <w:t>817</w:t>
            </w:r>
          </w:p>
        </w:tc>
        <w:tc>
          <w:tcPr>
            <w:tcW w:w="1384" w:type="dxa"/>
            <w:tcBorders>
              <w:top w:val="nil"/>
              <w:left w:val="nil"/>
              <w:bottom w:val="single" w:sz="4" w:space="0" w:color="auto"/>
              <w:right w:val="single" w:sz="4" w:space="0" w:color="auto"/>
            </w:tcBorders>
            <w:shd w:val="clear" w:color="auto" w:fill="auto"/>
            <w:noWrap/>
            <w:hideMark/>
          </w:tcPr>
          <w:p w14:paraId="29EDEB3C" w14:textId="77777777" w:rsidR="00691ABD" w:rsidRPr="00786273" w:rsidRDefault="00691ABD" w:rsidP="001E39EE">
            <w:pPr>
              <w:jc w:val="right"/>
              <w:rPr>
                <w:sz w:val="20"/>
                <w:szCs w:val="20"/>
                <w:lang w:val="fr-CA" w:eastAsia="en-CA"/>
              </w:rPr>
            </w:pPr>
            <w:r w:rsidRPr="00786273">
              <w:rPr>
                <w:sz w:val="20"/>
                <w:szCs w:val="20"/>
                <w:lang w:val="fr-CA" w:eastAsia="en-CA"/>
              </w:rPr>
              <w:t>143</w:t>
            </w:r>
          </w:p>
        </w:tc>
        <w:tc>
          <w:tcPr>
            <w:tcW w:w="1149" w:type="dxa"/>
            <w:tcBorders>
              <w:top w:val="nil"/>
              <w:left w:val="nil"/>
              <w:bottom w:val="single" w:sz="4" w:space="0" w:color="auto"/>
              <w:right w:val="single" w:sz="4" w:space="0" w:color="auto"/>
            </w:tcBorders>
            <w:shd w:val="clear" w:color="auto" w:fill="auto"/>
            <w:noWrap/>
            <w:hideMark/>
          </w:tcPr>
          <w:p w14:paraId="27663224" w14:textId="77777777" w:rsidR="00691ABD" w:rsidRPr="00786273" w:rsidRDefault="00691ABD" w:rsidP="001E39EE">
            <w:pPr>
              <w:jc w:val="right"/>
              <w:rPr>
                <w:sz w:val="20"/>
                <w:szCs w:val="20"/>
                <w:lang w:val="fr-CA" w:eastAsia="en-CA"/>
              </w:rPr>
            </w:pPr>
            <w:r w:rsidRPr="00786273">
              <w:rPr>
                <w:sz w:val="20"/>
                <w:szCs w:val="20"/>
                <w:lang w:val="fr-CA" w:eastAsia="en-CA"/>
              </w:rPr>
              <w:t>27</w:t>
            </w:r>
          </w:p>
        </w:tc>
      </w:tr>
      <w:tr w:rsidR="00691ABD" w:rsidRPr="00786273" w14:paraId="407E2794"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587F86A" w14:textId="77777777" w:rsidR="00691ABD" w:rsidRPr="00786273" w:rsidRDefault="00691ABD" w:rsidP="00786273">
            <w:pPr>
              <w:jc w:val="left"/>
              <w:rPr>
                <w:sz w:val="20"/>
                <w:szCs w:val="20"/>
                <w:lang w:val="fr-CA" w:eastAsia="en-CA"/>
              </w:rPr>
            </w:pPr>
            <w:r w:rsidRPr="00786273">
              <w:rPr>
                <w:sz w:val="20"/>
                <w:szCs w:val="20"/>
                <w:lang w:val="fr-CA" w:eastAsia="en-CA"/>
              </w:rPr>
              <w:t>Colombi</w:t>
            </w:r>
            <w:r>
              <w:rPr>
                <w:sz w:val="20"/>
                <w:szCs w:val="20"/>
                <w:lang w:val="fr-CA" w:eastAsia="en-CA"/>
              </w:rPr>
              <w:t>e</w:t>
            </w:r>
          </w:p>
        </w:tc>
        <w:tc>
          <w:tcPr>
            <w:tcW w:w="851" w:type="dxa"/>
            <w:tcBorders>
              <w:top w:val="nil"/>
              <w:left w:val="nil"/>
              <w:bottom w:val="single" w:sz="4" w:space="0" w:color="auto"/>
              <w:right w:val="single" w:sz="4" w:space="0" w:color="auto"/>
            </w:tcBorders>
            <w:shd w:val="clear" w:color="auto" w:fill="auto"/>
            <w:noWrap/>
            <w:hideMark/>
          </w:tcPr>
          <w:p w14:paraId="5C51D89E" w14:textId="051D2137" w:rsidR="00691ABD" w:rsidRPr="00786273" w:rsidRDefault="00691ABD" w:rsidP="001E39EE">
            <w:pPr>
              <w:jc w:val="right"/>
              <w:rPr>
                <w:sz w:val="20"/>
                <w:szCs w:val="20"/>
                <w:lang w:val="fr-CA" w:eastAsia="en-CA"/>
              </w:rPr>
            </w:pPr>
            <w:r w:rsidRPr="00786273">
              <w:rPr>
                <w:sz w:val="20"/>
                <w:szCs w:val="20"/>
                <w:lang w:val="fr-CA" w:eastAsia="en-CA"/>
              </w:rPr>
              <w:t>26</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AF004A2" w14:textId="77777777" w:rsidR="00691ABD" w:rsidRPr="00786273" w:rsidRDefault="00691ABD" w:rsidP="001E39EE">
            <w:pPr>
              <w:jc w:val="right"/>
              <w:rPr>
                <w:sz w:val="20"/>
                <w:szCs w:val="20"/>
                <w:lang w:val="fr-CA" w:eastAsia="en-CA"/>
              </w:rPr>
            </w:pPr>
            <w:r w:rsidRPr="00786273">
              <w:rPr>
                <w:sz w:val="20"/>
                <w:szCs w:val="20"/>
                <w:lang w:val="fr-CA" w:eastAsia="en-CA"/>
              </w:rPr>
              <w:t>13</w:t>
            </w:r>
          </w:p>
        </w:tc>
        <w:tc>
          <w:tcPr>
            <w:tcW w:w="1250" w:type="dxa"/>
            <w:tcBorders>
              <w:top w:val="nil"/>
              <w:left w:val="nil"/>
              <w:bottom w:val="single" w:sz="4" w:space="0" w:color="auto"/>
              <w:right w:val="single" w:sz="4" w:space="0" w:color="auto"/>
            </w:tcBorders>
            <w:shd w:val="clear" w:color="auto" w:fill="auto"/>
            <w:noWrap/>
            <w:hideMark/>
          </w:tcPr>
          <w:p w14:paraId="74EE8F85" w14:textId="7E8ED4EA" w:rsidR="00691ABD" w:rsidRPr="00786273" w:rsidRDefault="00691ABD" w:rsidP="001E39EE">
            <w:pPr>
              <w:jc w:val="right"/>
              <w:rPr>
                <w:sz w:val="20"/>
                <w:szCs w:val="20"/>
                <w:lang w:val="fr-CA" w:eastAsia="en-CA"/>
              </w:rPr>
            </w:pPr>
            <w:r w:rsidRPr="00786273">
              <w:rPr>
                <w:sz w:val="20"/>
                <w:szCs w:val="20"/>
                <w:lang w:val="fr-CA" w:eastAsia="en-CA"/>
              </w:rPr>
              <w:t>964</w:t>
            </w:r>
            <w:r>
              <w:rPr>
                <w:sz w:val="20"/>
                <w:szCs w:val="20"/>
                <w:lang w:val="fr-CA" w:eastAsia="en-CA"/>
              </w:rPr>
              <w:t xml:space="preserve"> </w:t>
            </w:r>
            <w:r w:rsidRPr="00786273">
              <w:rPr>
                <w:sz w:val="20"/>
                <w:szCs w:val="20"/>
                <w:lang w:val="fr-CA" w:eastAsia="en-CA"/>
              </w:rPr>
              <w:t>254</w:t>
            </w:r>
          </w:p>
        </w:tc>
        <w:tc>
          <w:tcPr>
            <w:tcW w:w="1276" w:type="dxa"/>
            <w:tcBorders>
              <w:top w:val="nil"/>
              <w:left w:val="nil"/>
              <w:bottom w:val="single" w:sz="4" w:space="0" w:color="auto"/>
              <w:right w:val="single" w:sz="4" w:space="0" w:color="auto"/>
            </w:tcBorders>
            <w:shd w:val="clear" w:color="auto" w:fill="auto"/>
            <w:noWrap/>
            <w:hideMark/>
          </w:tcPr>
          <w:p w14:paraId="7F04C4E5" w14:textId="18E4FF5F" w:rsidR="00691ABD" w:rsidRPr="00786273" w:rsidRDefault="00691ABD" w:rsidP="001E39EE">
            <w:pPr>
              <w:jc w:val="right"/>
              <w:rPr>
                <w:sz w:val="20"/>
                <w:szCs w:val="20"/>
                <w:lang w:val="fr-CA" w:eastAsia="en-CA"/>
              </w:rPr>
            </w:pPr>
            <w:r w:rsidRPr="00786273">
              <w:rPr>
                <w:sz w:val="20"/>
                <w:szCs w:val="20"/>
                <w:lang w:val="fr-CA" w:eastAsia="en-CA"/>
              </w:rPr>
              <w:t>392</w:t>
            </w:r>
            <w:r>
              <w:rPr>
                <w:sz w:val="20"/>
                <w:szCs w:val="20"/>
                <w:lang w:val="fr-CA" w:eastAsia="en-CA"/>
              </w:rPr>
              <w:t xml:space="preserve"> </w:t>
            </w:r>
            <w:r w:rsidRPr="00786273">
              <w:rPr>
                <w:sz w:val="20"/>
                <w:szCs w:val="20"/>
                <w:lang w:val="fr-CA" w:eastAsia="en-CA"/>
              </w:rPr>
              <w:t>820</w:t>
            </w:r>
          </w:p>
        </w:tc>
        <w:tc>
          <w:tcPr>
            <w:tcW w:w="1384" w:type="dxa"/>
            <w:tcBorders>
              <w:top w:val="nil"/>
              <w:left w:val="nil"/>
              <w:bottom w:val="single" w:sz="4" w:space="0" w:color="auto"/>
              <w:right w:val="single" w:sz="4" w:space="0" w:color="auto"/>
            </w:tcBorders>
            <w:shd w:val="clear" w:color="auto" w:fill="auto"/>
            <w:noWrap/>
            <w:hideMark/>
          </w:tcPr>
          <w:p w14:paraId="75026E76" w14:textId="77777777" w:rsidR="00691ABD" w:rsidRPr="00786273" w:rsidRDefault="00691ABD" w:rsidP="001E39EE">
            <w:pPr>
              <w:jc w:val="right"/>
              <w:rPr>
                <w:sz w:val="20"/>
                <w:szCs w:val="20"/>
                <w:lang w:val="fr-CA" w:eastAsia="en-CA"/>
              </w:rPr>
            </w:pPr>
            <w:r w:rsidRPr="00786273">
              <w:rPr>
                <w:sz w:val="20"/>
                <w:szCs w:val="20"/>
                <w:lang w:val="fr-CA" w:eastAsia="en-CA"/>
              </w:rPr>
              <w:t>41</w:t>
            </w:r>
          </w:p>
        </w:tc>
        <w:tc>
          <w:tcPr>
            <w:tcW w:w="1149" w:type="dxa"/>
            <w:tcBorders>
              <w:top w:val="nil"/>
              <w:left w:val="nil"/>
              <w:bottom w:val="single" w:sz="4" w:space="0" w:color="auto"/>
              <w:right w:val="single" w:sz="4" w:space="0" w:color="auto"/>
            </w:tcBorders>
            <w:shd w:val="clear" w:color="auto" w:fill="auto"/>
            <w:noWrap/>
            <w:hideMark/>
          </w:tcPr>
          <w:p w14:paraId="7954AD02" w14:textId="77777777" w:rsidR="00691ABD" w:rsidRPr="00786273" w:rsidRDefault="00691ABD" w:rsidP="001E39EE">
            <w:pPr>
              <w:jc w:val="right"/>
              <w:rPr>
                <w:sz w:val="20"/>
                <w:szCs w:val="20"/>
                <w:lang w:val="fr-CA" w:eastAsia="en-CA"/>
              </w:rPr>
            </w:pPr>
            <w:r w:rsidRPr="00786273">
              <w:rPr>
                <w:sz w:val="20"/>
                <w:szCs w:val="20"/>
                <w:lang w:val="fr-CA" w:eastAsia="en-CA"/>
              </w:rPr>
              <w:t>60</w:t>
            </w:r>
          </w:p>
        </w:tc>
      </w:tr>
      <w:tr w:rsidR="00691ABD" w:rsidRPr="00786273" w14:paraId="522ADB94"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2C12A5D" w14:textId="77777777" w:rsidR="00691ABD" w:rsidRPr="00786273" w:rsidRDefault="00691ABD" w:rsidP="00786273">
            <w:pPr>
              <w:jc w:val="left"/>
              <w:rPr>
                <w:sz w:val="20"/>
                <w:szCs w:val="20"/>
                <w:lang w:val="fr-CA" w:eastAsia="en-CA"/>
              </w:rPr>
            </w:pPr>
            <w:r>
              <w:rPr>
                <w:sz w:val="20"/>
                <w:szCs w:val="20"/>
                <w:lang w:val="fr-CA" w:eastAsia="en-CA"/>
              </w:rPr>
              <w:t xml:space="preserve">Comores </w:t>
            </w:r>
          </w:p>
        </w:tc>
        <w:tc>
          <w:tcPr>
            <w:tcW w:w="851" w:type="dxa"/>
            <w:tcBorders>
              <w:top w:val="nil"/>
              <w:left w:val="nil"/>
              <w:bottom w:val="single" w:sz="4" w:space="0" w:color="auto"/>
              <w:right w:val="single" w:sz="4" w:space="0" w:color="auto"/>
            </w:tcBorders>
            <w:shd w:val="clear" w:color="auto" w:fill="auto"/>
            <w:noWrap/>
            <w:hideMark/>
          </w:tcPr>
          <w:p w14:paraId="07830436" w14:textId="31BBD02D"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845379A"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2272DA53" w14:textId="5361C49A" w:rsidR="00691ABD" w:rsidRPr="00786273" w:rsidRDefault="00691ABD" w:rsidP="001E39EE">
            <w:pPr>
              <w:jc w:val="right"/>
              <w:rPr>
                <w:sz w:val="20"/>
                <w:szCs w:val="20"/>
                <w:lang w:val="fr-CA" w:eastAsia="en-CA"/>
              </w:rPr>
            </w:pPr>
            <w:r w:rsidRPr="00786273">
              <w:rPr>
                <w:sz w:val="20"/>
                <w:szCs w:val="20"/>
                <w:lang w:val="fr-CA" w:eastAsia="en-CA"/>
              </w:rPr>
              <w:t>72</w:t>
            </w:r>
            <w:r>
              <w:rPr>
                <w:sz w:val="20"/>
                <w:szCs w:val="20"/>
                <w:lang w:val="fr-CA" w:eastAsia="en-CA"/>
              </w:rPr>
              <w:t xml:space="preserve"> </w:t>
            </w:r>
            <w:r w:rsidRPr="00786273">
              <w:rPr>
                <w:sz w:val="20"/>
                <w:szCs w:val="20"/>
                <w:lang w:val="fr-CA" w:eastAsia="en-CA"/>
              </w:rPr>
              <w:t>952</w:t>
            </w:r>
          </w:p>
        </w:tc>
        <w:tc>
          <w:tcPr>
            <w:tcW w:w="1276" w:type="dxa"/>
            <w:tcBorders>
              <w:top w:val="nil"/>
              <w:left w:val="nil"/>
              <w:bottom w:val="single" w:sz="4" w:space="0" w:color="auto"/>
              <w:right w:val="single" w:sz="4" w:space="0" w:color="auto"/>
            </w:tcBorders>
            <w:shd w:val="clear" w:color="auto" w:fill="auto"/>
            <w:noWrap/>
            <w:hideMark/>
          </w:tcPr>
          <w:p w14:paraId="2B2E71A7" w14:textId="3149A640" w:rsidR="00691ABD" w:rsidRPr="00786273" w:rsidRDefault="00691ABD" w:rsidP="001E39EE">
            <w:pPr>
              <w:jc w:val="right"/>
              <w:rPr>
                <w:sz w:val="20"/>
                <w:szCs w:val="20"/>
                <w:lang w:val="fr-CA" w:eastAsia="en-CA"/>
              </w:rPr>
            </w:pPr>
            <w:r w:rsidRPr="00786273">
              <w:rPr>
                <w:sz w:val="20"/>
                <w:szCs w:val="20"/>
                <w:lang w:val="fr-CA" w:eastAsia="en-CA"/>
              </w:rPr>
              <w:t>96</w:t>
            </w:r>
            <w:r>
              <w:rPr>
                <w:sz w:val="20"/>
                <w:szCs w:val="20"/>
                <w:lang w:val="fr-CA" w:eastAsia="en-CA"/>
              </w:rPr>
              <w:t xml:space="preserve"> </w:t>
            </w:r>
            <w:r w:rsidRPr="00786273">
              <w:rPr>
                <w:sz w:val="20"/>
                <w:szCs w:val="20"/>
                <w:lang w:val="fr-CA" w:eastAsia="en-CA"/>
              </w:rPr>
              <w:t>709</w:t>
            </w:r>
          </w:p>
        </w:tc>
        <w:tc>
          <w:tcPr>
            <w:tcW w:w="1384" w:type="dxa"/>
            <w:tcBorders>
              <w:top w:val="nil"/>
              <w:left w:val="nil"/>
              <w:bottom w:val="single" w:sz="4" w:space="0" w:color="auto"/>
              <w:right w:val="single" w:sz="4" w:space="0" w:color="auto"/>
            </w:tcBorders>
            <w:shd w:val="clear" w:color="auto" w:fill="auto"/>
            <w:noWrap/>
            <w:hideMark/>
          </w:tcPr>
          <w:p w14:paraId="2FCAE2CB" w14:textId="77777777" w:rsidR="00691ABD" w:rsidRPr="00786273" w:rsidRDefault="00691ABD" w:rsidP="001E39EE">
            <w:pPr>
              <w:jc w:val="right"/>
              <w:rPr>
                <w:sz w:val="20"/>
                <w:szCs w:val="20"/>
                <w:lang w:val="fr-CA" w:eastAsia="en-CA"/>
              </w:rPr>
            </w:pPr>
            <w:r w:rsidRPr="00786273">
              <w:rPr>
                <w:sz w:val="20"/>
                <w:szCs w:val="20"/>
                <w:lang w:val="fr-CA" w:eastAsia="en-CA"/>
              </w:rPr>
              <w:t>133</w:t>
            </w:r>
          </w:p>
        </w:tc>
        <w:tc>
          <w:tcPr>
            <w:tcW w:w="1149" w:type="dxa"/>
            <w:tcBorders>
              <w:top w:val="nil"/>
              <w:left w:val="nil"/>
              <w:bottom w:val="single" w:sz="4" w:space="0" w:color="auto"/>
              <w:right w:val="single" w:sz="4" w:space="0" w:color="auto"/>
            </w:tcBorders>
            <w:shd w:val="clear" w:color="auto" w:fill="auto"/>
            <w:noWrap/>
            <w:hideMark/>
          </w:tcPr>
          <w:p w14:paraId="156B5865"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1218CD2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136A225" w14:textId="77777777" w:rsidR="00691ABD" w:rsidRPr="00786273" w:rsidRDefault="00691ABD" w:rsidP="001E39EE">
            <w:pPr>
              <w:jc w:val="left"/>
              <w:rPr>
                <w:sz w:val="20"/>
                <w:szCs w:val="20"/>
                <w:lang w:val="fr-CA" w:eastAsia="en-CA"/>
              </w:rPr>
            </w:pPr>
            <w:r>
              <w:rPr>
                <w:sz w:val="20"/>
                <w:szCs w:val="20"/>
                <w:lang w:val="fr-CA" w:eastAsia="en-CA"/>
              </w:rPr>
              <w:t xml:space="preserve">Congo </w:t>
            </w:r>
          </w:p>
        </w:tc>
        <w:tc>
          <w:tcPr>
            <w:tcW w:w="851" w:type="dxa"/>
            <w:tcBorders>
              <w:top w:val="nil"/>
              <w:left w:val="nil"/>
              <w:bottom w:val="single" w:sz="4" w:space="0" w:color="auto"/>
              <w:right w:val="single" w:sz="4" w:space="0" w:color="auto"/>
            </w:tcBorders>
            <w:shd w:val="clear" w:color="auto" w:fill="auto"/>
            <w:noWrap/>
            <w:hideMark/>
          </w:tcPr>
          <w:p w14:paraId="37F73611" w14:textId="3EB74BE3"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1E1EEBD"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739083DA" w14:textId="2EE97A5F" w:rsidR="00691ABD" w:rsidRPr="00786273" w:rsidRDefault="00691ABD" w:rsidP="001E39EE">
            <w:pPr>
              <w:jc w:val="right"/>
              <w:rPr>
                <w:sz w:val="20"/>
                <w:szCs w:val="20"/>
                <w:lang w:val="fr-CA" w:eastAsia="en-CA"/>
              </w:rPr>
            </w:pPr>
            <w:r w:rsidRPr="00786273">
              <w:rPr>
                <w:sz w:val="20"/>
                <w:szCs w:val="20"/>
                <w:lang w:val="fr-CA" w:eastAsia="en-CA"/>
              </w:rPr>
              <w:t>85</w:t>
            </w:r>
            <w:r>
              <w:rPr>
                <w:sz w:val="20"/>
                <w:szCs w:val="20"/>
                <w:lang w:val="fr-CA" w:eastAsia="en-CA"/>
              </w:rPr>
              <w:t xml:space="preserve"> </w:t>
            </w:r>
            <w:r w:rsidRPr="00786273">
              <w:rPr>
                <w:sz w:val="20"/>
                <w:szCs w:val="20"/>
                <w:lang w:val="fr-CA" w:eastAsia="en-CA"/>
              </w:rPr>
              <w:t>250</w:t>
            </w:r>
          </w:p>
        </w:tc>
        <w:tc>
          <w:tcPr>
            <w:tcW w:w="1276" w:type="dxa"/>
            <w:tcBorders>
              <w:top w:val="nil"/>
              <w:left w:val="nil"/>
              <w:bottom w:val="single" w:sz="4" w:space="0" w:color="auto"/>
              <w:right w:val="single" w:sz="4" w:space="0" w:color="auto"/>
            </w:tcBorders>
            <w:shd w:val="clear" w:color="auto" w:fill="auto"/>
            <w:noWrap/>
            <w:hideMark/>
          </w:tcPr>
          <w:p w14:paraId="0A1F2F12" w14:textId="31816E6C" w:rsidR="00691ABD" w:rsidRPr="00786273" w:rsidRDefault="00691ABD" w:rsidP="001E39EE">
            <w:pPr>
              <w:jc w:val="right"/>
              <w:rPr>
                <w:sz w:val="20"/>
                <w:szCs w:val="20"/>
                <w:lang w:val="fr-CA" w:eastAsia="en-CA"/>
              </w:rPr>
            </w:pPr>
            <w:r w:rsidRPr="00786273">
              <w:rPr>
                <w:sz w:val="20"/>
                <w:szCs w:val="20"/>
                <w:lang w:val="fr-CA" w:eastAsia="en-CA"/>
              </w:rPr>
              <w:t>88</w:t>
            </w:r>
            <w:r>
              <w:rPr>
                <w:sz w:val="20"/>
                <w:szCs w:val="20"/>
                <w:lang w:val="fr-CA" w:eastAsia="en-CA"/>
              </w:rPr>
              <w:t xml:space="preserve"> </w:t>
            </w:r>
            <w:r w:rsidRPr="00786273">
              <w:rPr>
                <w:sz w:val="20"/>
                <w:szCs w:val="20"/>
                <w:lang w:val="fr-CA" w:eastAsia="en-CA"/>
              </w:rPr>
              <w:t>165</w:t>
            </w:r>
          </w:p>
        </w:tc>
        <w:tc>
          <w:tcPr>
            <w:tcW w:w="1384" w:type="dxa"/>
            <w:tcBorders>
              <w:top w:val="nil"/>
              <w:left w:val="nil"/>
              <w:bottom w:val="single" w:sz="4" w:space="0" w:color="auto"/>
              <w:right w:val="single" w:sz="4" w:space="0" w:color="auto"/>
            </w:tcBorders>
            <w:shd w:val="clear" w:color="auto" w:fill="auto"/>
            <w:noWrap/>
            <w:hideMark/>
          </w:tcPr>
          <w:p w14:paraId="695D762A" w14:textId="77777777" w:rsidR="00691ABD" w:rsidRPr="00786273" w:rsidRDefault="00691ABD" w:rsidP="001E39EE">
            <w:pPr>
              <w:jc w:val="right"/>
              <w:rPr>
                <w:sz w:val="20"/>
                <w:szCs w:val="20"/>
                <w:lang w:val="fr-CA" w:eastAsia="en-CA"/>
              </w:rPr>
            </w:pPr>
            <w:r w:rsidRPr="00786273">
              <w:rPr>
                <w:sz w:val="20"/>
                <w:szCs w:val="20"/>
                <w:lang w:val="fr-CA" w:eastAsia="en-CA"/>
              </w:rPr>
              <w:t>103</w:t>
            </w:r>
          </w:p>
        </w:tc>
        <w:tc>
          <w:tcPr>
            <w:tcW w:w="1149" w:type="dxa"/>
            <w:tcBorders>
              <w:top w:val="nil"/>
              <w:left w:val="nil"/>
              <w:bottom w:val="single" w:sz="4" w:space="0" w:color="auto"/>
              <w:right w:val="single" w:sz="4" w:space="0" w:color="auto"/>
            </w:tcBorders>
            <w:shd w:val="clear" w:color="auto" w:fill="auto"/>
            <w:noWrap/>
            <w:hideMark/>
          </w:tcPr>
          <w:p w14:paraId="418B250A"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3299833F"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C83D0F9" w14:textId="77777777" w:rsidR="00691ABD" w:rsidRPr="00786273" w:rsidRDefault="00691ABD" w:rsidP="001E39EE">
            <w:pPr>
              <w:jc w:val="left"/>
              <w:rPr>
                <w:sz w:val="20"/>
                <w:szCs w:val="20"/>
                <w:lang w:val="fr-CA" w:eastAsia="en-CA"/>
              </w:rPr>
            </w:pPr>
            <w:r w:rsidRPr="00786273">
              <w:rPr>
                <w:sz w:val="20"/>
                <w:szCs w:val="20"/>
                <w:lang w:val="fr-CA" w:eastAsia="en-CA"/>
              </w:rPr>
              <w:t>Costa Rica</w:t>
            </w:r>
          </w:p>
        </w:tc>
        <w:tc>
          <w:tcPr>
            <w:tcW w:w="851" w:type="dxa"/>
            <w:tcBorders>
              <w:top w:val="nil"/>
              <w:left w:val="nil"/>
              <w:bottom w:val="single" w:sz="4" w:space="0" w:color="auto"/>
              <w:right w:val="single" w:sz="4" w:space="0" w:color="auto"/>
            </w:tcBorders>
            <w:shd w:val="clear" w:color="auto" w:fill="auto"/>
            <w:noWrap/>
            <w:hideMark/>
          </w:tcPr>
          <w:p w14:paraId="47F4BEF1" w14:textId="733FA351" w:rsidR="00691ABD" w:rsidRPr="00786273" w:rsidRDefault="00691ABD" w:rsidP="001E39EE">
            <w:pPr>
              <w:jc w:val="right"/>
              <w:rPr>
                <w:sz w:val="20"/>
                <w:szCs w:val="20"/>
                <w:lang w:val="fr-CA" w:eastAsia="en-CA"/>
              </w:rPr>
            </w:pPr>
            <w:r w:rsidRPr="00786273">
              <w:rPr>
                <w:sz w:val="20"/>
                <w:szCs w:val="20"/>
                <w:lang w:val="fr-CA" w:eastAsia="en-CA"/>
              </w:rPr>
              <w:t>3</w:t>
            </w:r>
            <w:r>
              <w:rPr>
                <w:sz w:val="20"/>
                <w:szCs w:val="20"/>
                <w:lang w:val="fr-CA" w:eastAsia="en-CA"/>
              </w:rPr>
              <w:t>,</w:t>
            </w:r>
            <w:r w:rsidRPr="00786273">
              <w:rPr>
                <w:sz w:val="20"/>
                <w:szCs w:val="20"/>
                <w:lang w:val="fr-CA" w:eastAsia="en-CA"/>
              </w:rPr>
              <w:t>5</w:t>
            </w:r>
          </w:p>
        </w:tc>
        <w:tc>
          <w:tcPr>
            <w:tcW w:w="1160" w:type="dxa"/>
            <w:tcBorders>
              <w:top w:val="nil"/>
              <w:left w:val="nil"/>
              <w:bottom w:val="single" w:sz="4" w:space="0" w:color="auto"/>
              <w:right w:val="single" w:sz="4" w:space="0" w:color="auto"/>
            </w:tcBorders>
            <w:shd w:val="clear" w:color="auto" w:fill="auto"/>
            <w:noWrap/>
            <w:hideMark/>
          </w:tcPr>
          <w:p w14:paraId="134DFF44"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324693C5" w14:textId="42994FA5" w:rsidR="00691ABD" w:rsidRPr="00786273" w:rsidRDefault="00691ABD" w:rsidP="001E39EE">
            <w:pPr>
              <w:jc w:val="right"/>
              <w:rPr>
                <w:sz w:val="20"/>
                <w:szCs w:val="20"/>
                <w:lang w:val="fr-CA" w:eastAsia="en-CA"/>
              </w:rPr>
            </w:pPr>
            <w:r w:rsidRPr="00786273">
              <w:rPr>
                <w:sz w:val="20"/>
                <w:szCs w:val="20"/>
                <w:lang w:val="fr-CA" w:eastAsia="en-CA"/>
              </w:rPr>
              <w:t>222</w:t>
            </w:r>
            <w:r>
              <w:rPr>
                <w:sz w:val="20"/>
                <w:szCs w:val="20"/>
                <w:lang w:val="fr-CA" w:eastAsia="en-CA"/>
              </w:rPr>
              <w:t xml:space="preserve"> </w:t>
            </w:r>
            <w:r w:rsidRPr="00786273">
              <w:rPr>
                <w:sz w:val="20"/>
                <w:szCs w:val="20"/>
                <w:lang w:val="fr-CA" w:eastAsia="en-CA"/>
              </w:rPr>
              <w:t>542</w:t>
            </w:r>
          </w:p>
        </w:tc>
        <w:tc>
          <w:tcPr>
            <w:tcW w:w="1276" w:type="dxa"/>
            <w:tcBorders>
              <w:top w:val="nil"/>
              <w:left w:val="nil"/>
              <w:bottom w:val="single" w:sz="4" w:space="0" w:color="auto"/>
              <w:right w:val="single" w:sz="4" w:space="0" w:color="auto"/>
            </w:tcBorders>
            <w:shd w:val="clear" w:color="auto" w:fill="auto"/>
            <w:noWrap/>
            <w:hideMark/>
          </w:tcPr>
          <w:p w14:paraId="589FABA8" w14:textId="74A60BB9" w:rsidR="00691ABD" w:rsidRPr="00786273" w:rsidRDefault="00691ABD" w:rsidP="001E39EE">
            <w:pPr>
              <w:jc w:val="right"/>
              <w:rPr>
                <w:sz w:val="20"/>
                <w:szCs w:val="20"/>
                <w:lang w:val="fr-CA" w:eastAsia="en-CA"/>
              </w:rPr>
            </w:pPr>
            <w:r w:rsidRPr="00786273">
              <w:rPr>
                <w:sz w:val="20"/>
                <w:szCs w:val="20"/>
                <w:lang w:val="fr-CA" w:eastAsia="en-CA"/>
              </w:rPr>
              <w:t>164</w:t>
            </w:r>
            <w:r>
              <w:rPr>
                <w:sz w:val="20"/>
                <w:szCs w:val="20"/>
                <w:lang w:val="fr-CA" w:eastAsia="en-CA"/>
              </w:rPr>
              <w:t xml:space="preserve"> </w:t>
            </w:r>
            <w:r w:rsidRPr="00786273">
              <w:rPr>
                <w:sz w:val="20"/>
                <w:szCs w:val="20"/>
                <w:lang w:val="fr-CA" w:eastAsia="en-CA"/>
              </w:rPr>
              <w:t>696</w:t>
            </w:r>
          </w:p>
        </w:tc>
        <w:tc>
          <w:tcPr>
            <w:tcW w:w="1384" w:type="dxa"/>
            <w:tcBorders>
              <w:top w:val="nil"/>
              <w:left w:val="nil"/>
              <w:bottom w:val="single" w:sz="4" w:space="0" w:color="auto"/>
              <w:right w:val="single" w:sz="4" w:space="0" w:color="auto"/>
            </w:tcBorders>
            <w:shd w:val="clear" w:color="auto" w:fill="auto"/>
            <w:noWrap/>
            <w:hideMark/>
          </w:tcPr>
          <w:p w14:paraId="008923A0" w14:textId="77777777" w:rsidR="00691ABD" w:rsidRPr="00786273" w:rsidRDefault="00691ABD" w:rsidP="001E39EE">
            <w:pPr>
              <w:jc w:val="right"/>
              <w:rPr>
                <w:sz w:val="20"/>
                <w:szCs w:val="20"/>
                <w:lang w:val="fr-CA" w:eastAsia="en-CA"/>
              </w:rPr>
            </w:pPr>
            <w:r w:rsidRPr="00786273">
              <w:rPr>
                <w:sz w:val="20"/>
                <w:szCs w:val="20"/>
                <w:lang w:val="fr-CA" w:eastAsia="en-CA"/>
              </w:rPr>
              <w:t>74</w:t>
            </w:r>
          </w:p>
        </w:tc>
        <w:tc>
          <w:tcPr>
            <w:tcW w:w="1149" w:type="dxa"/>
            <w:tcBorders>
              <w:top w:val="nil"/>
              <w:left w:val="nil"/>
              <w:bottom w:val="single" w:sz="4" w:space="0" w:color="auto"/>
              <w:right w:val="single" w:sz="4" w:space="0" w:color="auto"/>
            </w:tcBorders>
            <w:shd w:val="clear" w:color="auto" w:fill="auto"/>
            <w:noWrap/>
            <w:hideMark/>
          </w:tcPr>
          <w:p w14:paraId="28287191"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7753636A"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64CD660" w14:textId="2AD41BFD" w:rsidR="00691ABD" w:rsidRPr="00786273" w:rsidRDefault="00E3685D" w:rsidP="00331806">
            <w:pPr>
              <w:jc w:val="left"/>
              <w:rPr>
                <w:sz w:val="20"/>
                <w:szCs w:val="20"/>
                <w:lang w:val="fr-CA" w:eastAsia="en-CA"/>
              </w:rPr>
            </w:pPr>
            <w:r>
              <w:rPr>
                <w:sz w:val="20"/>
                <w:szCs w:val="20"/>
                <w:lang w:val="fr-CA" w:eastAsia="en-CA"/>
              </w:rPr>
              <w:t>Côte d</w:t>
            </w:r>
            <w:r w:rsidR="00691ABD" w:rsidRPr="00786273">
              <w:rPr>
                <w:sz w:val="20"/>
                <w:szCs w:val="20"/>
                <w:lang w:val="fr-CA" w:eastAsia="en-CA"/>
              </w:rPr>
              <w:t>'Ivoire</w:t>
            </w:r>
          </w:p>
        </w:tc>
        <w:tc>
          <w:tcPr>
            <w:tcW w:w="851" w:type="dxa"/>
            <w:tcBorders>
              <w:top w:val="nil"/>
              <w:left w:val="nil"/>
              <w:bottom w:val="single" w:sz="4" w:space="0" w:color="auto"/>
              <w:right w:val="single" w:sz="4" w:space="0" w:color="auto"/>
            </w:tcBorders>
            <w:shd w:val="clear" w:color="auto" w:fill="auto"/>
            <w:noWrap/>
            <w:hideMark/>
          </w:tcPr>
          <w:p w14:paraId="0CC8F1D7" w14:textId="44D4D814"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1</w:t>
            </w:r>
          </w:p>
        </w:tc>
        <w:tc>
          <w:tcPr>
            <w:tcW w:w="1160" w:type="dxa"/>
            <w:tcBorders>
              <w:top w:val="nil"/>
              <w:left w:val="nil"/>
              <w:bottom w:val="single" w:sz="4" w:space="0" w:color="auto"/>
              <w:right w:val="single" w:sz="4" w:space="0" w:color="auto"/>
            </w:tcBorders>
            <w:shd w:val="clear" w:color="auto" w:fill="auto"/>
            <w:noWrap/>
            <w:hideMark/>
          </w:tcPr>
          <w:p w14:paraId="13F26F85"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56ACED73" w14:textId="6670DF2A" w:rsidR="00691ABD" w:rsidRPr="00786273" w:rsidRDefault="00691ABD" w:rsidP="001E39EE">
            <w:pPr>
              <w:jc w:val="right"/>
              <w:rPr>
                <w:sz w:val="20"/>
                <w:szCs w:val="20"/>
                <w:lang w:val="fr-CA" w:eastAsia="en-CA"/>
              </w:rPr>
            </w:pPr>
            <w:r w:rsidRPr="00786273">
              <w:rPr>
                <w:sz w:val="20"/>
                <w:szCs w:val="20"/>
                <w:lang w:val="fr-CA" w:eastAsia="en-CA"/>
              </w:rPr>
              <w:t>209</w:t>
            </w:r>
            <w:r>
              <w:rPr>
                <w:sz w:val="20"/>
                <w:szCs w:val="20"/>
                <w:lang w:val="fr-CA" w:eastAsia="en-CA"/>
              </w:rPr>
              <w:t xml:space="preserve"> </w:t>
            </w:r>
            <w:r w:rsidRPr="00786273">
              <w:rPr>
                <w:sz w:val="20"/>
                <w:szCs w:val="20"/>
                <w:lang w:val="fr-CA" w:eastAsia="en-CA"/>
              </w:rPr>
              <w:t>446</w:t>
            </w:r>
          </w:p>
        </w:tc>
        <w:tc>
          <w:tcPr>
            <w:tcW w:w="1276" w:type="dxa"/>
            <w:tcBorders>
              <w:top w:val="nil"/>
              <w:left w:val="nil"/>
              <w:bottom w:val="single" w:sz="4" w:space="0" w:color="auto"/>
              <w:right w:val="single" w:sz="4" w:space="0" w:color="auto"/>
            </w:tcBorders>
            <w:shd w:val="clear" w:color="auto" w:fill="auto"/>
            <w:noWrap/>
            <w:hideMark/>
          </w:tcPr>
          <w:p w14:paraId="431E2E18" w14:textId="70209215" w:rsidR="00691ABD" w:rsidRPr="00786273" w:rsidRDefault="00691ABD" w:rsidP="001E39EE">
            <w:pPr>
              <w:jc w:val="right"/>
              <w:rPr>
                <w:sz w:val="20"/>
                <w:szCs w:val="20"/>
                <w:lang w:val="fr-CA" w:eastAsia="en-CA"/>
              </w:rPr>
            </w:pPr>
            <w:r w:rsidRPr="00786273">
              <w:rPr>
                <w:sz w:val="20"/>
                <w:szCs w:val="20"/>
                <w:lang w:val="fr-CA" w:eastAsia="en-CA"/>
              </w:rPr>
              <w:t>33</w:t>
            </w:r>
            <w:r>
              <w:rPr>
                <w:sz w:val="20"/>
                <w:szCs w:val="20"/>
                <w:lang w:val="fr-CA" w:eastAsia="en-CA"/>
              </w:rPr>
              <w:t xml:space="preserve"> </w:t>
            </w:r>
            <w:r w:rsidRPr="00786273">
              <w:rPr>
                <w:sz w:val="20"/>
                <w:szCs w:val="20"/>
                <w:lang w:val="fr-CA" w:eastAsia="en-CA"/>
              </w:rPr>
              <w:t>810</w:t>
            </w:r>
          </w:p>
        </w:tc>
        <w:tc>
          <w:tcPr>
            <w:tcW w:w="1384" w:type="dxa"/>
            <w:tcBorders>
              <w:top w:val="nil"/>
              <w:left w:val="nil"/>
              <w:bottom w:val="single" w:sz="4" w:space="0" w:color="auto"/>
              <w:right w:val="single" w:sz="4" w:space="0" w:color="auto"/>
            </w:tcBorders>
            <w:shd w:val="clear" w:color="auto" w:fill="auto"/>
            <w:noWrap/>
            <w:hideMark/>
          </w:tcPr>
          <w:p w14:paraId="77DB15F9" w14:textId="77777777" w:rsidR="00691ABD" w:rsidRPr="00786273" w:rsidRDefault="00691ABD" w:rsidP="001E39EE">
            <w:pPr>
              <w:jc w:val="right"/>
              <w:rPr>
                <w:sz w:val="20"/>
                <w:szCs w:val="20"/>
                <w:lang w:val="fr-CA" w:eastAsia="en-CA"/>
              </w:rPr>
            </w:pPr>
            <w:r w:rsidRPr="00786273">
              <w:rPr>
                <w:sz w:val="20"/>
                <w:szCs w:val="20"/>
                <w:lang w:val="fr-CA" w:eastAsia="en-CA"/>
              </w:rPr>
              <w:t>16</w:t>
            </w:r>
          </w:p>
        </w:tc>
        <w:tc>
          <w:tcPr>
            <w:tcW w:w="1149" w:type="dxa"/>
            <w:tcBorders>
              <w:top w:val="nil"/>
              <w:left w:val="nil"/>
              <w:bottom w:val="single" w:sz="4" w:space="0" w:color="auto"/>
              <w:right w:val="single" w:sz="4" w:space="0" w:color="auto"/>
            </w:tcBorders>
            <w:shd w:val="clear" w:color="auto" w:fill="auto"/>
            <w:noWrap/>
            <w:hideMark/>
          </w:tcPr>
          <w:p w14:paraId="2AE6E7B2"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0813BCE0"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519CBD9" w14:textId="77777777" w:rsidR="00691ABD" w:rsidRPr="00786273" w:rsidRDefault="00691ABD" w:rsidP="001E39EE">
            <w:pPr>
              <w:jc w:val="left"/>
              <w:rPr>
                <w:sz w:val="20"/>
                <w:szCs w:val="20"/>
                <w:lang w:val="fr-CA" w:eastAsia="en-CA"/>
              </w:rPr>
            </w:pPr>
            <w:r w:rsidRPr="00786273">
              <w:rPr>
                <w:sz w:val="20"/>
                <w:szCs w:val="20"/>
                <w:lang w:val="fr-CA" w:eastAsia="en-CA"/>
              </w:rPr>
              <w:t>Cuba</w:t>
            </w:r>
          </w:p>
        </w:tc>
        <w:tc>
          <w:tcPr>
            <w:tcW w:w="851" w:type="dxa"/>
            <w:tcBorders>
              <w:top w:val="nil"/>
              <w:left w:val="nil"/>
              <w:bottom w:val="single" w:sz="4" w:space="0" w:color="auto"/>
              <w:right w:val="single" w:sz="4" w:space="0" w:color="auto"/>
            </w:tcBorders>
            <w:shd w:val="clear" w:color="auto" w:fill="auto"/>
            <w:noWrap/>
            <w:hideMark/>
          </w:tcPr>
          <w:p w14:paraId="59AE24DD" w14:textId="210B8591" w:rsidR="00691ABD" w:rsidRPr="00786273" w:rsidRDefault="00691ABD" w:rsidP="001E39EE">
            <w:pPr>
              <w:jc w:val="right"/>
              <w:rPr>
                <w:sz w:val="20"/>
                <w:szCs w:val="20"/>
                <w:lang w:val="fr-CA" w:eastAsia="en-CA"/>
              </w:rPr>
            </w:pPr>
            <w:r w:rsidRPr="00786273">
              <w:rPr>
                <w:sz w:val="20"/>
                <w:szCs w:val="20"/>
                <w:lang w:val="fr-CA" w:eastAsia="en-CA"/>
              </w:rPr>
              <w:t>3</w:t>
            </w:r>
            <w:r>
              <w:rPr>
                <w:sz w:val="20"/>
                <w:szCs w:val="20"/>
                <w:lang w:val="fr-CA" w:eastAsia="en-CA"/>
              </w:rPr>
              <w:t>,</w:t>
            </w:r>
            <w:r w:rsidRPr="00786273">
              <w:rPr>
                <w:sz w:val="20"/>
                <w:szCs w:val="20"/>
                <w:lang w:val="fr-CA" w:eastAsia="en-CA"/>
              </w:rPr>
              <w:t>2</w:t>
            </w:r>
          </w:p>
        </w:tc>
        <w:tc>
          <w:tcPr>
            <w:tcW w:w="1160" w:type="dxa"/>
            <w:tcBorders>
              <w:top w:val="nil"/>
              <w:left w:val="nil"/>
              <w:bottom w:val="single" w:sz="4" w:space="0" w:color="auto"/>
              <w:right w:val="single" w:sz="4" w:space="0" w:color="auto"/>
            </w:tcBorders>
            <w:shd w:val="clear" w:color="auto" w:fill="auto"/>
            <w:noWrap/>
            <w:hideMark/>
          </w:tcPr>
          <w:p w14:paraId="08C914BF"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252D8A6D" w14:textId="582438B7" w:rsidR="00691ABD" w:rsidRPr="00786273" w:rsidRDefault="00691ABD" w:rsidP="001E39EE">
            <w:pPr>
              <w:jc w:val="right"/>
              <w:rPr>
                <w:sz w:val="20"/>
                <w:szCs w:val="20"/>
                <w:lang w:val="fr-CA" w:eastAsia="en-CA"/>
              </w:rPr>
            </w:pPr>
            <w:r w:rsidRPr="00786273">
              <w:rPr>
                <w:sz w:val="20"/>
                <w:szCs w:val="20"/>
                <w:lang w:val="fr-CA" w:eastAsia="en-CA"/>
              </w:rPr>
              <w:t>223</w:t>
            </w:r>
            <w:r>
              <w:rPr>
                <w:sz w:val="20"/>
                <w:szCs w:val="20"/>
                <w:lang w:val="fr-CA" w:eastAsia="en-CA"/>
              </w:rPr>
              <w:t xml:space="preserve"> </w:t>
            </w:r>
            <w:r w:rsidRPr="00786273">
              <w:rPr>
                <w:sz w:val="20"/>
                <w:szCs w:val="20"/>
                <w:lang w:val="fr-CA" w:eastAsia="en-CA"/>
              </w:rPr>
              <w:t>459</w:t>
            </w:r>
          </w:p>
        </w:tc>
        <w:tc>
          <w:tcPr>
            <w:tcW w:w="1276" w:type="dxa"/>
            <w:tcBorders>
              <w:top w:val="nil"/>
              <w:left w:val="nil"/>
              <w:bottom w:val="single" w:sz="4" w:space="0" w:color="auto"/>
              <w:right w:val="single" w:sz="4" w:space="0" w:color="auto"/>
            </w:tcBorders>
            <w:shd w:val="clear" w:color="auto" w:fill="auto"/>
            <w:noWrap/>
            <w:hideMark/>
          </w:tcPr>
          <w:p w14:paraId="5F24436C" w14:textId="2DF7952D" w:rsidR="00691ABD" w:rsidRPr="00786273" w:rsidRDefault="00691ABD" w:rsidP="001E39EE">
            <w:pPr>
              <w:jc w:val="right"/>
              <w:rPr>
                <w:sz w:val="20"/>
                <w:szCs w:val="20"/>
                <w:lang w:val="fr-CA" w:eastAsia="en-CA"/>
              </w:rPr>
            </w:pPr>
            <w:r w:rsidRPr="00786273">
              <w:rPr>
                <w:sz w:val="20"/>
                <w:szCs w:val="20"/>
                <w:lang w:val="fr-CA" w:eastAsia="en-CA"/>
              </w:rPr>
              <w:t>289</w:t>
            </w:r>
            <w:r>
              <w:rPr>
                <w:sz w:val="20"/>
                <w:szCs w:val="20"/>
                <w:lang w:val="fr-CA" w:eastAsia="en-CA"/>
              </w:rPr>
              <w:t xml:space="preserve"> </w:t>
            </w:r>
            <w:r w:rsidRPr="00786273">
              <w:rPr>
                <w:sz w:val="20"/>
                <w:szCs w:val="20"/>
                <w:lang w:val="fr-CA" w:eastAsia="en-CA"/>
              </w:rPr>
              <w:t>759</w:t>
            </w:r>
          </w:p>
        </w:tc>
        <w:tc>
          <w:tcPr>
            <w:tcW w:w="1384" w:type="dxa"/>
            <w:tcBorders>
              <w:top w:val="nil"/>
              <w:left w:val="nil"/>
              <w:bottom w:val="single" w:sz="4" w:space="0" w:color="auto"/>
              <w:right w:val="single" w:sz="4" w:space="0" w:color="auto"/>
            </w:tcBorders>
            <w:shd w:val="clear" w:color="auto" w:fill="auto"/>
            <w:noWrap/>
            <w:hideMark/>
          </w:tcPr>
          <w:p w14:paraId="0D3B7F8C" w14:textId="77777777" w:rsidR="00691ABD" w:rsidRPr="00786273" w:rsidRDefault="00691ABD" w:rsidP="001E39EE">
            <w:pPr>
              <w:jc w:val="right"/>
              <w:rPr>
                <w:sz w:val="20"/>
                <w:szCs w:val="20"/>
                <w:lang w:val="fr-CA" w:eastAsia="en-CA"/>
              </w:rPr>
            </w:pPr>
            <w:r w:rsidRPr="00786273">
              <w:rPr>
                <w:sz w:val="20"/>
                <w:szCs w:val="20"/>
                <w:lang w:val="fr-CA" w:eastAsia="en-CA"/>
              </w:rPr>
              <w:t>130</w:t>
            </w:r>
          </w:p>
        </w:tc>
        <w:tc>
          <w:tcPr>
            <w:tcW w:w="1149" w:type="dxa"/>
            <w:tcBorders>
              <w:top w:val="nil"/>
              <w:left w:val="nil"/>
              <w:bottom w:val="single" w:sz="4" w:space="0" w:color="auto"/>
              <w:right w:val="single" w:sz="4" w:space="0" w:color="auto"/>
            </w:tcBorders>
            <w:shd w:val="clear" w:color="auto" w:fill="auto"/>
            <w:noWrap/>
            <w:hideMark/>
          </w:tcPr>
          <w:p w14:paraId="3E98D442"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5F1C051D" w14:textId="77777777" w:rsidTr="00AD0261">
        <w:trPr>
          <w:trHeight w:val="76"/>
        </w:trPr>
        <w:tc>
          <w:tcPr>
            <w:tcW w:w="2972" w:type="dxa"/>
            <w:tcBorders>
              <w:top w:val="nil"/>
              <w:left w:val="single" w:sz="4" w:space="0" w:color="auto"/>
              <w:bottom w:val="single" w:sz="4" w:space="0" w:color="auto"/>
              <w:right w:val="single" w:sz="4" w:space="0" w:color="auto"/>
            </w:tcBorders>
            <w:shd w:val="clear" w:color="auto" w:fill="auto"/>
            <w:noWrap/>
            <w:hideMark/>
          </w:tcPr>
          <w:p w14:paraId="78418921" w14:textId="77777777" w:rsidR="00691ABD" w:rsidRPr="00786273" w:rsidRDefault="00691ABD" w:rsidP="001E39EE">
            <w:pPr>
              <w:jc w:val="left"/>
              <w:rPr>
                <w:sz w:val="20"/>
                <w:szCs w:val="20"/>
                <w:lang w:val="fr-CA" w:eastAsia="en-CA"/>
              </w:rPr>
            </w:pPr>
            <w:r w:rsidRPr="00786273">
              <w:rPr>
                <w:sz w:val="20"/>
                <w:szCs w:val="20"/>
                <w:lang w:val="fr-CA" w:eastAsia="en-CA"/>
              </w:rPr>
              <w:t>Djibouti</w:t>
            </w:r>
          </w:p>
        </w:tc>
        <w:tc>
          <w:tcPr>
            <w:tcW w:w="851" w:type="dxa"/>
            <w:tcBorders>
              <w:top w:val="nil"/>
              <w:left w:val="nil"/>
              <w:bottom w:val="single" w:sz="4" w:space="0" w:color="auto"/>
              <w:right w:val="single" w:sz="4" w:space="0" w:color="auto"/>
            </w:tcBorders>
            <w:shd w:val="clear" w:color="auto" w:fill="auto"/>
            <w:noWrap/>
            <w:hideMark/>
          </w:tcPr>
          <w:p w14:paraId="0536BA31" w14:textId="465AD0D5"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F919F60"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309BFAD8" w14:textId="63E831F7" w:rsidR="00691ABD" w:rsidRPr="00786273" w:rsidRDefault="00691ABD" w:rsidP="001E39EE">
            <w:pPr>
              <w:jc w:val="right"/>
              <w:rPr>
                <w:sz w:val="20"/>
                <w:szCs w:val="20"/>
                <w:lang w:val="fr-CA" w:eastAsia="en-CA"/>
              </w:rPr>
            </w:pPr>
            <w:r w:rsidRPr="00786273">
              <w:rPr>
                <w:sz w:val="20"/>
                <w:szCs w:val="20"/>
                <w:lang w:val="fr-CA" w:eastAsia="en-CA"/>
              </w:rPr>
              <w:t>50</w:t>
            </w:r>
            <w:r>
              <w:rPr>
                <w:sz w:val="20"/>
                <w:szCs w:val="20"/>
                <w:lang w:val="fr-CA" w:eastAsia="en-CA"/>
              </w:rPr>
              <w:t xml:space="preserve"> </w:t>
            </w:r>
            <w:r w:rsidRPr="00786273">
              <w:rPr>
                <w:sz w:val="20"/>
                <w:szCs w:val="20"/>
                <w:lang w:val="fr-CA" w:eastAsia="en-CA"/>
              </w:rPr>
              <w:t>846</w:t>
            </w:r>
          </w:p>
        </w:tc>
        <w:tc>
          <w:tcPr>
            <w:tcW w:w="1276" w:type="dxa"/>
            <w:tcBorders>
              <w:top w:val="nil"/>
              <w:left w:val="nil"/>
              <w:bottom w:val="single" w:sz="4" w:space="0" w:color="auto"/>
              <w:right w:val="single" w:sz="4" w:space="0" w:color="auto"/>
            </w:tcBorders>
            <w:shd w:val="clear" w:color="auto" w:fill="auto"/>
            <w:noWrap/>
            <w:hideMark/>
          </w:tcPr>
          <w:p w14:paraId="6AF3098E"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384" w:type="dxa"/>
            <w:tcBorders>
              <w:top w:val="nil"/>
              <w:left w:val="nil"/>
              <w:bottom w:val="single" w:sz="4" w:space="0" w:color="auto"/>
              <w:right w:val="single" w:sz="4" w:space="0" w:color="auto"/>
            </w:tcBorders>
            <w:shd w:val="clear" w:color="auto" w:fill="auto"/>
            <w:noWrap/>
            <w:hideMark/>
          </w:tcPr>
          <w:p w14:paraId="08C28BAB"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149" w:type="dxa"/>
            <w:tcBorders>
              <w:top w:val="nil"/>
              <w:left w:val="nil"/>
              <w:bottom w:val="single" w:sz="4" w:space="0" w:color="auto"/>
              <w:right w:val="single" w:sz="4" w:space="0" w:color="auto"/>
            </w:tcBorders>
            <w:shd w:val="clear" w:color="auto" w:fill="auto"/>
            <w:noWrap/>
            <w:hideMark/>
          </w:tcPr>
          <w:p w14:paraId="2A74D4FF"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4049DA5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0FD1881" w14:textId="77777777" w:rsidR="00691ABD" w:rsidRPr="00786273" w:rsidRDefault="00691ABD" w:rsidP="001E39EE">
            <w:pPr>
              <w:jc w:val="left"/>
              <w:rPr>
                <w:sz w:val="20"/>
                <w:szCs w:val="20"/>
                <w:lang w:val="fr-CA" w:eastAsia="en-CA"/>
              </w:rPr>
            </w:pPr>
            <w:r>
              <w:rPr>
                <w:sz w:val="20"/>
                <w:szCs w:val="20"/>
                <w:lang w:val="fr-CA" w:eastAsia="en-CA"/>
              </w:rPr>
              <w:t>Dominique</w:t>
            </w:r>
          </w:p>
        </w:tc>
        <w:tc>
          <w:tcPr>
            <w:tcW w:w="851" w:type="dxa"/>
            <w:tcBorders>
              <w:top w:val="nil"/>
              <w:left w:val="nil"/>
              <w:bottom w:val="single" w:sz="4" w:space="0" w:color="auto"/>
              <w:right w:val="single" w:sz="4" w:space="0" w:color="auto"/>
            </w:tcBorders>
            <w:shd w:val="clear" w:color="auto" w:fill="auto"/>
            <w:noWrap/>
            <w:hideMark/>
          </w:tcPr>
          <w:p w14:paraId="18A1E714" w14:textId="1948CD73"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62AB86B"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7FF1A5A7" w14:textId="513A1136" w:rsidR="00691ABD" w:rsidRPr="00786273" w:rsidRDefault="00691ABD" w:rsidP="001E39EE">
            <w:pPr>
              <w:jc w:val="right"/>
              <w:rPr>
                <w:sz w:val="20"/>
                <w:szCs w:val="20"/>
                <w:lang w:val="fr-CA" w:eastAsia="en-CA"/>
              </w:rPr>
            </w:pPr>
            <w:r w:rsidRPr="00786273">
              <w:rPr>
                <w:sz w:val="20"/>
                <w:szCs w:val="20"/>
                <w:lang w:val="fr-CA" w:eastAsia="en-CA"/>
              </w:rPr>
              <w:t>96</w:t>
            </w:r>
            <w:r>
              <w:rPr>
                <w:sz w:val="20"/>
                <w:szCs w:val="20"/>
                <w:lang w:val="fr-CA" w:eastAsia="en-CA"/>
              </w:rPr>
              <w:t xml:space="preserve"> </w:t>
            </w:r>
            <w:r w:rsidRPr="00786273">
              <w:rPr>
                <w:sz w:val="20"/>
                <w:szCs w:val="20"/>
                <w:lang w:val="fr-CA" w:eastAsia="en-CA"/>
              </w:rPr>
              <w:t>875</w:t>
            </w:r>
          </w:p>
        </w:tc>
        <w:tc>
          <w:tcPr>
            <w:tcW w:w="1276" w:type="dxa"/>
            <w:tcBorders>
              <w:top w:val="nil"/>
              <w:left w:val="nil"/>
              <w:bottom w:val="single" w:sz="4" w:space="0" w:color="auto"/>
              <w:right w:val="single" w:sz="4" w:space="0" w:color="auto"/>
            </w:tcBorders>
            <w:shd w:val="clear" w:color="auto" w:fill="auto"/>
            <w:noWrap/>
            <w:hideMark/>
          </w:tcPr>
          <w:p w14:paraId="746CEE20" w14:textId="60179205" w:rsidR="00691ABD" w:rsidRPr="00786273" w:rsidRDefault="00691ABD" w:rsidP="001E39EE">
            <w:pPr>
              <w:jc w:val="right"/>
              <w:rPr>
                <w:sz w:val="20"/>
                <w:szCs w:val="20"/>
                <w:lang w:val="fr-CA" w:eastAsia="en-CA"/>
              </w:rPr>
            </w:pPr>
            <w:r w:rsidRPr="00786273">
              <w:rPr>
                <w:sz w:val="20"/>
                <w:szCs w:val="20"/>
                <w:lang w:val="fr-CA" w:eastAsia="en-CA"/>
              </w:rPr>
              <w:t>24</w:t>
            </w:r>
            <w:r>
              <w:rPr>
                <w:sz w:val="20"/>
                <w:szCs w:val="20"/>
                <w:lang w:val="fr-CA" w:eastAsia="en-CA"/>
              </w:rPr>
              <w:t xml:space="preserve"> </w:t>
            </w:r>
            <w:r w:rsidRPr="00786273">
              <w:rPr>
                <w:sz w:val="20"/>
                <w:szCs w:val="20"/>
                <w:lang w:val="fr-CA" w:eastAsia="en-CA"/>
              </w:rPr>
              <w:t>546</w:t>
            </w:r>
          </w:p>
        </w:tc>
        <w:tc>
          <w:tcPr>
            <w:tcW w:w="1384" w:type="dxa"/>
            <w:tcBorders>
              <w:top w:val="nil"/>
              <w:left w:val="nil"/>
              <w:bottom w:val="single" w:sz="4" w:space="0" w:color="auto"/>
              <w:right w:val="single" w:sz="4" w:space="0" w:color="auto"/>
            </w:tcBorders>
            <w:shd w:val="clear" w:color="auto" w:fill="auto"/>
            <w:noWrap/>
            <w:hideMark/>
          </w:tcPr>
          <w:p w14:paraId="11F84893" w14:textId="77777777" w:rsidR="00691ABD" w:rsidRPr="00786273" w:rsidRDefault="00691ABD" w:rsidP="001E39EE">
            <w:pPr>
              <w:jc w:val="right"/>
              <w:rPr>
                <w:sz w:val="20"/>
                <w:szCs w:val="20"/>
                <w:lang w:val="fr-CA" w:eastAsia="en-CA"/>
              </w:rPr>
            </w:pPr>
            <w:r w:rsidRPr="00786273">
              <w:rPr>
                <w:sz w:val="20"/>
                <w:szCs w:val="20"/>
                <w:lang w:val="fr-CA" w:eastAsia="en-CA"/>
              </w:rPr>
              <w:t>25</w:t>
            </w:r>
          </w:p>
        </w:tc>
        <w:tc>
          <w:tcPr>
            <w:tcW w:w="1149" w:type="dxa"/>
            <w:tcBorders>
              <w:top w:val="nil"/>
              <w:left w:val="nil"/>
              <w:bottom w:val="single" w:sz="4" w:space="0" w:color="auto"/>
              <w:right w:val="single" w:sz="4" w:space="0" w:color="auto"/>
            </w:tcBorders>
            <w:shd w:val="clear" w:color="auto" w:fill="auto"/>
            <w:noWrap/>
            <w:hideMark/>
          </w:tcPr>
          <w:p w14:paraId="7D04E81F" w14:textId="77777777" w:rsidR="00691ABD" w:rsidRPr="00786273" w:rsidRDefault="00691ABD" w:rsidP="001E39EE">
            <w:pPr>
              <w:jc w:val="right"/>
              <w:rPr>
                <w:sz w:val="20"/>
                <w:szCs w:val="20"/>
                <w:lang w:val="fr-CA" w:eastAsia="en-CA"/>
              </w:rPr>
            </w:pPr>
            <w:r w:rsidRPr="00786273">
              <w:rPr>
                <w:sz w:val="20"/>
                <w:szCs w:val="20"/>
                <w:lang w:val="fr-CA" w:eastAsia="en-CA"/>
              </w:rPr>
              <w:t>33</w:t>
            </w:r>
          </w:p>
        </w:tc>
      </w:tr>
      <w:tr w:rsidR="00691ABD" w:rsidRPr="00786273" w14:paraId="008823A3" w14:textId="77777777" w:rsidTr="00AD0261">
        <w:trPr>
          <w:trHeight w:val="104"/>
        </w:trPr>
        <w:tc>
          <w:tcPr>
            <w:tcW w:w="2972" w:type="dxa"/>
            <w:tcBorders>
              <w:top w:val="nil"/>
              <w:left w:val="single" w:sz="4" w:space="0" w:color="auto"/>
              <w:bottom w:val="single" w:sz="4" w:space="0" w:color="auto"/>
              <w:right w:val="single" w:sz="4" w:space="0" w:color="auto"/>
            </w:tcBorders>
            <w:shd w:val="clear" w:color="auto" w:fill="auto"/>
            <w:noWrap/>
            <w:hideMark/>
          </w:tcPr>
          <w:p w14:paraId="6C4AC0E1" w14:textId="77777777" w:rsidR="00691ABD" w:rsidRPr="00786273" w:rsidRDefault="00691ABD" w:rsidP="001E39EE">
            <w:pPr>
              <w:jc w:val="left"/>
              <w:rPr>
                <w:sz w:val="20"/>
                <w:szCs w:val="20"/>
                <w:lang w:val="fr-CA" w:eastAsia="en-CA"/>
              </w:rPr>
            </w:pPr>
            <w:r>
              <w:rPr>
                <w:sz w:val="20"/>
                <w:szCs w:val="20"/>
                <w:lang w:val="fr-CA" w:eastAsia="en-CA"/>
              </w:rPr>
              <w:t>Égypte</w:t>
            </w:r>
          </w:p>
        </w:tc>
        <w:tc>
          <w:tcPr>
            <w:tcW w:w="851" w:type="dxa"/>
            <w:tcBorders>
              <w:top w:val="nil"/>
              <w:left w:val="nil"/>
              <w:bottom w:val="single" w:sz="4" w:space="0" w:color="auto"/>
              <w:right w:val="single" w:sz="4" w:space="0" w:color="auto"/>
            </w:tcBorders>
            <w:shd w:val="clear" w:color="auto" w:fill="auto"/>
            <w:noWrap/>
            <w:hideMark/>
          </w:tcPr>
          <w:p w14:paraId="0AD66031" w14:textId="732BD4B2" w:rsidR="00691ABD" w:rsidRPr="00786273" w:rsidRDefault="00691ABD" w:rsidP="001E39EE">
            <w:pPr>
              <w:jc w:val="right"/>
              <w:rPr>
                <w:sz w:val="20"/>
                <w:szCs w:val="20"/>
                <w:lang w:val="fr-CA" w:eastAsia="en-CA"/>
              </w:rPr>
            </w:pPr>
            <w:r w:rsidRPr="00786273">
              <w:rPr>
                <w:sz w:val="20"/>
                <w:szCs w:val="20"/>
                <w:lang w:val="fr-CA" w:eastAsia="en-CA"/>
              </w:rPr>
              <w:t>23</w:t>
            </w:r>
            <w:r>
              <w:rPr>
                <w:sz w:val="20"/>
                <w:szCs w:val="20"/>
                <w:lang w:val="fr-CA" w:eastAsia="en-CA"/>
              </w:rPr>
              <w:t>,</w:t>
            </w:r>
            <w:r w:rsidRPr="00786273">
              <w:rPr>
                <w:sz w:val="20"/>
                <w:szCs w:val="20"/>
                <w:lang w:val="fr-CA" w:eastAsia="en-CA"/>
              </w:rPr>
              <w:t>1</w:t>
            </w:r>
          </w:p>
        </w:tc>
        <w:tc>
          <w:tcPr>
            <w:tcW w:w="1160" w:type="dxa"/>
            <w:tcBorders>
              <w:top w:val="nil"/>
              <w:left w:val="nil"/>
              <w:bottom w:val="single" w:sz="4" w:space="0" w:color="auto"/>
              <w:right w:val="single" w:sz="4" w:space="0" w:color="auto"/>
            </w:tcBorders>
            <w:shd w:val="clear" w:color="auto" w:fill="auto"/>
            <w:noWrap/>
            <w:hideMark/>
          </w:tcPr>
          <w:p w14:paraId="5D34F35E" w14:textId="77777777" w:rsidR="00691ABD" w:rsidRPr="00786273" w:rsidRDefault="00691ABD" w:rsidP="001E39EE">
            <w:pPr>
              <w:jc w:val="right"/>
              <w:rPr>
                <w:sz w:val="20"/>
                <w:szCs w:val="20"/>
                <w:lang w:val="fr-CA" w:eastAsia="en-CA"/>
              </w:rPr>
            </w:pPr>
            <w:r w:rsidRPr="00786273">
              <w:rPr>
                <w:sz w:val="20"/>
                <w:szCs w:val="20"/>
                <w:lang w:val="fr-CA" w:eastAsia="en-CA"/>
              </w:rPr>
              <w:t>29</w:t>
            </w:r>
          </w:p>
        </w:tc>
        <w:tc>
          <w:tcPr>
            <w:tcW w:w="1250" w:type="dxa"/>
            <w:tcBorders>
              <w:top w:val="nil"/>
              <w:left w:val="nil"/>
              <w:bottom w:val="single" w:sz="4" w:space="0" w:color="auto"/>
              <w:right w:val="single" w:sz="4" w:space="0" w:color="auto"/>
            </w:tcBorders>
            <w:shd w:val="clear" w:color="auto" w:fill="auto"/>
            <w:noWrap/>
            <w:hideMark/>
          </w:tcPr>
          <w:p w14:paraId="5369467F" w14:textId="0DF3193D" w:rsidR="00691ABD" w:rsidRPr="00786273" w:rsidRDefault="00691ABD" w:rsidP="001E39EE">
            <w:pPr>
              <w:jc w:val="right"/>
              <w:rPr>
                <w:sz w:val="20"/>
                <w:szCs w:val="20"/>
                <w:lang w:val="fr-CA" w:eastAsia="en-CA"/>
              </w:rPr>
            </w:pPr>
            <w:r w:rsidRPr="00786273">
              <w:rPr>
                <w:sz w:val="20"/>
                <w:szCs w:val="20"/>
                <w:lang w:val="fr-CA" w:eastAsia="en-CA"/>
              </w:rPr>
              <w:t>3</w:t>
            </w:r>
            <w:r>
              <w:rPr>
                <w:sz w:val="20"/>
                <w:szCs w:val="20"/>
                <w:lang w:val="fr-CA" w:eastAsia="en-CA"/>
              </w:rPr>
              <w:t xml:space="preserve"> </w:t>
            </w:r>
            <w:r w:rsidRPr="00786273">
              <w:rPr>
                <w:sz w:val="20"/>
                <w:szCs w:val="20"/>
                <w:lang w:val="fr-CA" w:eastAsia="en-CA"/>
              </w:rPr>
              <w:t>415</w:t>
            </w:r>
            <w:r>
              <w:rPr>
                <w:sz w:val="20"/>
                <w:szCs w:val="20"/>
                <w:lang w:val="fr-CA" w:eastAsia="en-CA"/>
              </w:rPr>
              <w:t xml:space="preserve"> </w:t>
            </w:r>
            <w:r w:rsidRPr="00786273">
              <w:rPr>
                <w:sz w:val="20"/>
                <w:szCs w:val="20"/>
                <w:lang w:val="fr-CA" w:eastAsia="en-CA"/>
              </w:rPr>
              <w:t>272</w:t>
            </w:r>
          </w:p>
        </w:tc>
        <w:tc>
          <w:tcPr>
            <w:tcW w:w="1276" w:type="dxa"/>
            <w:tcBorders>
              <w:top w:val="nil"/>
              <w:left w:val="nil"/>
              <w:bottom w:val="single" w:sz="4" w:space="0" w:color="auto"/>
              <w:right w:val="single" w:sz="4" w:space="0" w:color="auto"/>
            </w:tcBorders>
            <w:shd w:val="clear" w:color="auto" w:fill="auto"/>
            <w:noWrap/>
            <w:hideMark/>
          </w:tcPr>
          <w:p w14:paraId="08C25ED1" w14:textId="00D6B87C" w:rsidR="00691ABD" w:rsidRPr="00786273" w:rsidRDefault="00691ABD" w:rsidP="001E39EE">
            <w:pPr>
              <w:jc w:val="right"/>
              <w:rPr>
                <w:sz w:val="20"/>
                <w:szCs w:val="20"/>
                <w:lang w:val="fr-CA" w:eastAsia="en-CA"/>
              </w:rPr>
            </w:pPr>
            <w:r w:rsidRPr="00786273">
              <w:rPr>
                <w:sz w:val="20"/>
                <w:szCs w:val="20"/>
                <w:lang w:val="fr-CA" w:eastAsia="en-CA"/>
              </w:rPr>
              <w:t>2</w:t>
            </w:r>
            <w:r>
              <w:rPr>
                <w:sz w:val="20"/>
                <w:szCs w:val="20"/>
                <w:lang w:val="fr-CA" w:eastAsia="en-CA"/>
              </w:rPr>
              <w:t xml:space="preserve"> </w:t>
            </w:r>
            <w:r w:rsidRPr="00786273">
              <w:rPr>
                <w:sz w:val="20"/>
                <w:szCs w:val="20"/>
                <w:lang w:val="fr-CA" w:eastAsia="en-CA"/>
              </w:rPr>
              <w:t>307</w:t>
            </w:r>
            <w:r>
              <w:rPr>
                <w:sz w:val="20"/>
                <w:szCs w:val="20"/>
                <w:lang w:val="fr-CA" w:eastAsia="en-CA"/>
              </w:rPr>
              <w:t xml:space="preserve"> </w:t>
            </w:r>
            <w:r w:rsidRPr="00786273">
              <w:rPr>
                <w:sz w:val="20"/>
                <w:szCs w:val="20"/>
                <w:lang w:val="fr-CA" w:eastAsia="en-CA"/>
              </w:rPr>
              <w:t>883</w:t>
            </w:r>
          </w:p>
        </w:tc>
        <w:tc>
          <w:tcPr>
            <w:tcW w:w="1384" w:type="dxa"/>
            <w:tcBorders>
              <w:top w:val="nil"/>
              <w:left w:val="nil"/>
              <w:bottom w:val="single" w:sz="4" w:space="0" w:color="auto"/>
              <w:right w:val="single" w:sz="4" w:space="0" w:color="auto"/>
            </w:tcBorders>
            <w:shd w:val="clear" w:color="auto" w:fill="auto"/>
            <w:noWrap/>
            <w:hideMark/>
          </w:tcPr>
          <w:p w14:paraId="23BC21E3" w14:textId="77777777" w:rsidR="00691ABD" w:rsidRPr="00786273" w:rsidRDefault="00691ABD" w:rsidP="001E39EE">
            <w:pPr>
              <w:jc w:val="right"/>
              <w:rPr>
                <w:sz w:val="20"/>
                <w:szCs w:val="20"/>
                <w:lang w:val="fr-CA" w:eastAsia="en-CA"/>
              </w:rPr>
            </w:pPr>
            <w:r w:rsidRPr="00786273">
              <w:rPr>
                <w:sz w:val="20"/>
                <w:szCs w:val="20"/>
                <w:lang w:val="fr-CA" w:eastAsia="en-CA"/>
              </w:rPr>
              <w:t>68</w:t>
            </w:r>
          </w:p>
        </w:tc>
        <w:tc>
          <w:tcPr>
            <w:tcW w:w="1149" w:type="dxa"/>
            <w:tcBorders>
              <w:top w:val="nil"/>
              <w:left w:val="nil"/>
              <w:bottom w:val="single" w:sz="4" w:space="0" w:color="auto"/>
              <w:right w:val="single" w:sz="4" w:space="0" w:color="auto"/>
            </w:tcBorders>
            <w:shd w:val="clear" w:color="auto" w:fill="auto"/>
            <w:noWrap/>
            <w:hideMark/>
          </w:tcPr>
          <w:p w14:paraId="036CD085"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23F30EE8" w14:textId="77777777" w:rsidTr="00AD0261">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01CBC2DD" w14:textId="77777777" w:rsidR="00691ABD" w:rsidRPr="00786273" w:rsidRDefault="00691ABD" w:rsidP="001E39EE">
            <w:pPr>
              <w:jc w:val="left"/>
              <w:rPr>
                <w:sz w:val="20"/>
                <w:szCs w:val="20"/>
                <w:lang w:val="fr-CA" w:eastAsia="en-CA"/>
              </w:rPr>
            </w:pPr>
            <w:r w:rsidRPr="00786273">
              <w:rPr>
                <w:sz w:val="20"/>
                <w:szCs w:val="20"/>
                <w:lang w:val="fr-CA" w:eastAsia="en-CA"/>
              </w:rPr>
              <w:t>El Salvador</w:t>
            </w:r>
          </w:p>
        </w:tc>
        <w:tc>
          <w:tcPr>
            <w:tcW w:w="851" w:type="dxa"/>
            <w:tcBorders>
              <w:top w:val="nil"/>
              <w:left w:val="nil"/>
              <w:bottom w:val="single" w:sz="4" w:space="0" w:color="auto"/>
              <w:right w:val="single" w:sz="4" w:space="0" w:color="auto"/>
            </w:tcBorders>
            <w:shd w:val="clear" w:color="auto" w:fill="auto"/>
            <w:noWrap/>
            <w:hideMark/>
          </w:tcPr>
          <w:p w14:paraId="00FF56EE" w14:textId="50215100"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5EB6A1BD"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1F67C6D8" w14:textId="0F85B2E7" w:rsidR="00691ABD" w:rsidRPr="00786273" w:rsidRDefault="00691ABD" w:rsidP="001E39EE">
            <w:pPr>
              <w:jc w:val="right"/>
              <w:rPr>
                <w:sz w:val="20"/>
                <w:szCs w:val="20"/>
                <w:lang w:val="fr-CA" w:eastAsia="en-CA"/>
              </w:rPr>
            </w:pPr>
            <w:r w:rsidRPr="00786273">
              <w:rPr>
                <w:sz w:val="20"/>
                <w:szCs w:val="20"/>
                <w:lang w:val="fr-CA" w:eastAsia="en-CA"/>
              </w:rPr>
              <w:t>288</w:t>
            </w:r>
            <w:r>
              <w:rPr>
                <w:sz w:val="20"/>
                <w:szCs w:val="20"/>
                <w:lang w:val="fr-CA" w:eastAsia="en-CA"/>
              </w:rPr>
              <w:t xml:space="preserve"> </w:t>
            </w:r>
            <w:r w:rsidRPr="00786273">
              <w:rPr>
                <w:sz w:val="20"/>
                <w:szCs w:val="20"/>
                <w:lang w:val="fr-CA" w:eastAsia="en-CA"/>
              </w:rPr>
              <w:t>824</w:t>
            </w:r>
          </w:p>
        </w:tc>
        <w:tc>
          <w:tcPr>
            <w:tcW w:w="1276" w:type="dxa"/>
            <w:tcBorders>
              <w:top w:val="nil"/>
              <w:left w:val="nil"/>
              <w:bottom w:val="single" w:sz="4" w:space="0" w:color="auto"/>
              <w:right w:val="single" w:sz="4" w:space="0" w:color="auto"/>
            </w:tcBorders>
            <w:shd w:val="clear" w:color="auto" w:fill="auto"/>
            <w:noWrap/>
            <w:hideMark/>
          </w:tcPr>
          <w:p w14:paraId="6B44130D" w14:textId="3205F6C3" w:rsidR="00691ABD" w:rsidRPr="00786273" w:rsidRDefault="00691ABD" w:rsidP="001E39EE">
            <w:pPr>
              <w:jc w:val="right"/>
              <w:rPr>
                <w:sz w:val="20"/>
                <w:szCs w:val="20"/>
                <w:lang w:val="fr-CA" w:eastAsia="en-CA"/>
              </w:rPr>
            </w:pPr>
            <w:r w:rsidRPr="00786273">
              <w:rPr>
                <w:sz w:val="20"/>
                <w:szCs w:val="20"/>
                <w:lang w:val="fr-CA" w:eastAsia="en-CA"/>
              </w:rPr>
              <w:t>104</w:t>
            </w:r>
            <w:r>
              <w:rPr>
                <w:sz w:val="20"/>
                <w:szCs w:val="20"/>
                <w:lang w:val="fr-CA" w:eastAsia="en-CA"/>
              </w:rPr>
              <w:t xml:space="preserve"> </w:t>
            </w:r>
            <w:r w:rsidRPr="00786273">
              <w:rPr>
                <w:sz w:val="20"/>
                <w:szCs w:val="20"/>
                <w:lang w:val="fr-CA" w:eastAsia="en-CA"/>
              </w:rPr>
              <w:t>405</w:t>
            </w:r>
          </w:p>
        </w:tc>
        <w:tc>
          <w:tcPr>
            <w:tcW w:w="1384" w:type="dxa"/>
            <w:tcBorders>
              <w:top w:val="nil"/>
              <w:left w:val="nil"/>
              <w:bottom w:val="single" w:sz="4" w:space="0" w:color="auto"/>
              <w:right w:val="single" w:sz="4" w:space="0" w:color="auto"/>
            </w:tcBorders>
            <w:shd w:val="clear" w:color="auto" w:fill="auto"/>
            <w:noWrap/>
            <w:hideMark/>
          </w:tcPr>
          <w:p w14:paraId="2D9BB79C" w14:textId="77777777" w:rsidR="00691ABD" w:rsidRPr="00786273" w:rsidRDefault="00691ABD" w:rsidP="001E39EE">
            <w:pPr>
              <w:jc w:val="right"/>
              <w:rPr>
                <w:sz w:val="20"/>
                <w:szCs w:val="20"/>
                <w:lang w:val="fr-CA" w:eastAsia="en-CA"/>
              </w:rPr>
            </w:pPr>
            <w:r w:rsidRPr="00786273">
              <w:rPr>
                <w:sz w:val="20"/>
                <w:szCs w:val="20"/>
                <w:lang w:val="fr-CA" w:eastAsia="en-CA"/>
              </w:rPr>
              <w:t>36</w:t>
            </w:r>
          </w:p>
        </w:tc>
        <w:tc>
          <w:tcPr>
            <w:tcW w:w="1149" w:type="dxa"/>
            <w:tcBorders>
              <w:top w:val="nil"/>
              <w:left w:val="nil"/>
              <w:bottom w:val="single" w:sz="4" w:space="0" w:color="auto"/>
              <w:right w:val="single" w:sz="4" w:space="0" w:color="auto"/>
            </w:tcBorders>
            <w:shd w:val="clear" w:color="auto" w:fill="auto"/>
            <w:noWrap/>
            <w:hideMark/>
          </w:tcPr>
          <w:p w14:paraId="49DFA613"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532233B5" w14:textId="77777777" w:rsidTr="00AD0261">
        <w:trPr>
          <w:trHeight w:val="73"/>
        </w:trPr>
        <w:tc>
          <w:tcPr>
            <w:tcW w:w="2972" w:type="dxa"/>
            <w:tcBorders>
              <w:top w:val="nil"/>
              <w:left w:val="single" w:sz="4" w:space="0" w:color="auto"/>
              <w:bottom w:val="single" w:sz="4" w:space="0" w:color="auto"/>
              <w:right w:val="single" w:sz="4" w:space="0" w:color="auto"/>
            </w:tcBorders>
            <w:shd w:val="clear" w:color="auto" w:fill="auto"/>
            <w:noWrap/>
            <w:hideMark/>
          </w:tcPr>
          <w:p w14:paraId="3E8F9241" w14:textId="77777777" w:rsidR="00691ABD" w:rsidRPr="00786273" w:rsidRDefault="00691ABD" w:rsidP="001E39EE">
            <w:pPr>
              <w:jc w:val="left"/>
              <w:rPr>
                <w:sz w:val="20"/>
                <w:szCs w:val="20"/>
                <w:lang w:val="fr-CA" w:eastAsia="en-CA"/>
              </w:rPr>
            </w:pPr>
            <w:r>
              <w:rPr>
                <w:sz w:val="20"/>
                <w:szCs w:val="20"/>
                <w:lang w:val="fr-CA" w:eastAsia="en-CA"/>
              </w:rPr>
              <w:t>Équateur</w:t>
            </w:r>
          </w:p>
        </w:tc>
        <w:tc>
          <w:tcPr>
            <w:tcW w:w="851" w:type="dxa"/>
            <w:tcBorders>
              <w:top w:val="nil"/>
              <w:left w:val="nil"/>
              <w:bottom w:val="single" w:sz="4" w:space="0" w:color="auto"/>
              <w:right w:val="single" w:sz="4" w:space="0" w:color="auto"/>
            </w:tcBorders>
            <w:shd w:val="clear" w:color="auto" w:fill="auto"/>
            <w:noWrap/>
            <w:hideMark/>
          </w:tcPr>
          <w:p w14:paraId="24EA9564" w14:textId="48E6B912" w:rsidR="00691ABD" w:rsidRPr="00786273" w:rsidRDefault="00691ABD" w:rsidP="001E39EE">
            <w:pPr>
              <w:jc w:val="right"/>
              <w:rPr>
                <w:sz w:val="20"/>
                <w:szCs w:val="20"/>
                <w:lang w:val="fr-CA" w:eastAsia="en-CA"/>
              </w:rPr>
            </w:pPr>
            <w:r w:rsidRPr="00786273">
              <w:rPr>
                <w:sz w:val="20"/>
                <w:szCs w:val="20"/>
                <w:lang w:val="fr-CA" w:eastAsia="en-CA"/>
              </w:rPr>
              <w:t>7</w:t>
            </w:r>
            <w:r>
              <w:rPr>
                <w:sz w:val="20"/>
                <w:szCs w:val="20"/>
                <w:lang w:val="fr-CA" w:eastAsia="en-CA"/>
              </w:rPr>
              <w:t>,</w:t>
            </w:r>
            <w:r w:rsidRPr="00786273">
              <w:rPr>
                <w:sz w:val="20"/>
                <w:szCs w:val="20"/>
                <w:lang w:val="fr-CA" w:eastAsia="en-CA"/>
              </w:rPr>
              <w:t>7</w:t>
            </w:r>
          </w:p>
        </w:tc>
        <w:tc>
          <w:tcPr>
            <w:tcW w:w="1160" w:type="dxa"/>
            <w:tcBorders>
              <w:top w:val="nil"/>
              <w:left w:val="nil"/>
              <w:bottom w:val="single" w:sz="4" w:space="0" w:color="auto"/>
              <w:right w:val="single" w:sz="4" w:space="0" w:color="auto"/>
            </w:tcBorders>
            <w:shd w:val="clear" w:color="auto" w:fill="auto"/>
            <w:noWrap/>
            <w:hideMark/>
          </w:tcPr>
          <w:p w14:paraId="5671E5A2"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6A835C8E" w14:textId="6FFD0E28" w:rsidR="00691ABD" w:rsidRPr="00786273" w:rsidRDefault="00691ABD" w:rsidP="001E39EE">
            <w:pPr>
              <w:jc w:val="right"/>
              <w:rPr>
                <w:sz w:val="20"/>
                <w:szCs w:val="20"/>
                <w:lang w:val="fr-CA" w:eastAsia="en-CA"/>
              </w:rPr>
            </w:pPr>
            <w:r w:rsidRPr="00786273">
              <w:rPr>
                <w:sz w:val="20"/>
                <w:szCs w:val="20"/>
                <w:lang w:val="fr-CA" w:eastAsia="en-CA"/>
              </w:rPr>
              <w:t>315</w:t>
            </w:r>
            <w:r>
              <w:rPr>
                <w:sz w:val="20"/>
                <w:szCs w:val="20"/>
                <w:lang w:val="fr-CA" w:eastAsia="en-CA"/>
              </w:rPr>
              <w:t xml:space="preserve"> </w:t>
            </w:r>
            <w:r w:rsidRPr="00786273">
              <w:rPr>
                <w:sz w:val="20"/>
                <w:szCs w:val="20"/>
                <w:lang w:val="fr-CA" w:eastAsia="en-CA"/>
              </w:rPr>
              <w:t>725</w:t>
            </w:r>
          </w:p>
        </w:tc>
        <w:tc>
          <w:tcPr>
            <w:tcW w:w="1276" w:type="dxa"/>
            <w:tcBorders>
              <w:top w:val="nil"/>
              <w:left w:val="nil"/>
              <w:bottom w:val="single" w:sz="4" w:space="0" w:color="auto"/>
              <w:right w:val="single" w:sz="4" w:space="0" w:color="auto"/>
            </w:tcBorders>
            <w:shd w:val="clear" w:color="auto" w:fill="auto"/>
            <w:noWrap/>
            <w:hideMark/>
          </w:tcPr>
          <w:p w14:paraId="4C829238" w14:textId="7259A99D" w:rsidR="00691ABD" w:rsidRPr="00786273" w:rsidRDefault="00691ABD" w:rsidP="001E39EE">
            <w:pPr>
              <w:jc w:val="right"/>
              <w:rPr>
                <w:sz w:val="20"/>
                <w:szCs w:val="20"/>
                <w:lang w:val="fr-CA" w:eastAsia="en-CA"/>
              </w:rPr>
            </w:pPr>
            <w:r w:rsidRPr="00786273">
              <w:rPr>
                <w:sz w:val="20"/>
                <w:szCs w:val="20"/>
                <w:lang w:val="fr-CA" w:eastAsia="en-CA"/>
              </w:rPr>
              <w:t>216</w:t>
            </w:r>
            <w:r>
              <w:rPr>
                <w:sz w:val="20"/>
                <w:szCs w:val="20"/>
                <w:lang w:val="fr-CA" w:eastAsia="en-CA"/>
              </w:rPr>
              <w:t xml:space="preserve"> </w:t>
            </w:r>
            <w:r w:rsidRPr="00786273">
              <w:rPr>
                <w:sz w:val="20"/>
                <w:szCs w:val="20"/>
                <w:lang w:val="fr-CA" w:eastAsia="en-CA"/>
              </w:rPr>
              <w:t>835</w:t>
            </w:r>
          </w:p>
        </w:tc>
        <w:tc>
          <w:tcPr>
            <w:tcW w:w="1384" w:type="dxa"/>
            <w:tcBorders>
              <w:top w:val="nil"/>
              <w:left w:val="nil"/>
              <w:bottom w:val="single" w:sz="4" w:space="0" w:color="auto"/>
              <w:right w:val="single" w:sz="4" w:space="0" w:color="auto"/>
            </w:tcBorders>
            <w:shd w:val="clear" w:color="auto" w:fill="auto"/>
            <w:noWrap/>
            <w:hideMark/>
          </w:tcPr>
          <w:p w14:paraId="483057FE" w14:textId="77777777" w:rsidR="00691ABD" w:rsidRPr="00786273" w:rsidRDefault="00691ABD" w:rsidP="001E39EE">
            <w:pPr>
              <w:jc w:val="right"/>
              <w:rPr>
                <w:sz w:val="20"/>
                <w:szCs w:val="20"/>
                <w:lang w:val="fr-CA" w:eastAsia="en-CA"/>
              </w:rPr>
            </w:pPr>
            <w:r w:rsidRPr="00786273">
              <w:rPr>
                <w:sz w:val="20"/>
                <w:szCs w:val="20"/>
                <w:lang w:val="fr-CA" w:eastAsia="en-CA"/>
              </w:rPr>
              <w:t>69</w:t>
            </w:r>
          </w:p>
        </w:tc>
        <w:tc>
          <w:tcPr>
            <w:tcW w:w="1149" w:type="dxa"/>
            <w:tcBorders>
              <w:top w:val="nil"/>
              <w:left w:val="nil"/>
              <w:bottom w:val="single" w:sz="4" w:space="0" w:color="auto"/>
              <w:right w:val="single" w:sz="4" w:space="0" w:color="auto"/>
            </w:tcBorders>
            <w:shd w:val="clear" w:color="auto" w:fill="auto"/>
            <w:noWrap/>
            <w:hideMark/>
          </w:tcPr>
          <w:p w14:paraId="01AC8976"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2B124ED4"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226774D" w14:textId="77777777" w:rsidR="00691ABD" w:rsidRPr="00786273" w:rsidRDefault="00691ABD" w:rsidP="001E39EE">
            <w:pPr>
              <w:jc w:val="left"/>
              <w:rPr>
                <w:sz w:val="20"/>
                <w:szCs w:val="20"/>
                <w:lang w:val="fr-CA" w:eastAsia="en-CA"/>
              </w:rPr>
            </w:pPr>
            <w:r>
              <w:rPr>
                <w:sz w:val="20"/>
                <w:szCs w:val="20"/>
                <w:lang w:val="fr-CA" w:eastAsia="en-CA"/>
              </w:rPr>
              <w:t>Érythrée</w:t>
            </w:r>
          </w:p>
        </w:tc>
        <w:tc>
          <w:tcPr>
            <w:tcW w:w="851" w:type="dxa"/>
            <w:tcBorders>
              <w:top w:val="nil"/>
              <w:left w:val="nil"/>
              <w:bottom w:val="single" w:sz="4" w:space="0" w:color="auto"/>
              <w:right w:val="single" w:sz="4" w:space="0" w:color="auto"/>
            </w:tcBorders>
            <w:shd w:val="clear" w:color="auto" w:fill="auto"/>
            <w:noWrap/>
            <w:hideMark/>
          </w:tcPr>
          <w:p w14:paraId="78BBBFED" w14:textId="59A173C5"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55BEEA12"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826A1DD" w14:textId="74CC0F1D" w:rsidR="00691ABD" w:rsidRPr="00786273" w:rsidRDefault="00691ABD" w:rsidP="001E39EE">
            <w:pPr>
              <w:jc w:val="right"/>
              <w:rPr>
                <w:sz w:val="20"/>
                <w:szCs w:val="20"/>
                <w:lang w:val="fr-CA" w:eastAsia="en-CA"/>
              </w:rPr>
            </w:pPr>
            <w:r w:rsidRPr="00786273">
              <w:rPr>
                <w:sz w:val="20"/>
                <w:szCs w:val="20"/>
                <w:lang w:val="fr-CA" w:eastAsia="en-CA"/>
              </w:rPr>
              <w:t>29</w:t>
            </w:r>
            <w:r>
              <w:rPr>
                <w:sz w:val="20"/>
                <w:szCs w:val="20"/>
                <w:lang w:val="fr-CA" w:eastAsia="en-CA"/>
              </w:rPr>
              <w:t xml:space="preserve"> </w:t>
            </w:r>
            <w:r w:rsidRPr="00786273">
              <w:rPr>
                <w:sz w:val="20"/>
                <w:szCs w:val="20"/>
                <w:lang w:val="fr-CA" w:eastAsia="en-CA"/>
              </w:rPr>
              <w:t>600</w:t>
            </w:r>
          </w:p>
        </w:tc>
        <w:tc>
          <w:tcPr>
            <w:tcW w:w="1276" w:type="dxa"/>
            <w:tcBorders>
              <w:top w:val="nil"/>
              <w:left w:val="nil"/>
              <w:bottom w:val="single" w:sz="4" w:space="0" w:color="auto"/>
              <w:right w:val="single" w:sz="4" w:space="0" w:color="auto"/>
            </w:tcBorders>
            <w:shd w:val="clear" w:color="auto" w:fill="auto"/>
            <w:noWrap/>
            <w:hideMark/>
          </w:tcPr>
          <w:p w14:paraId="1D1C4F4A" w14:textId="77777777" w:rsidR="00691ABD" w:rsidRPr="00786273" w:rsidRDefault="00691ABD" w:rsidP="001E39EE">
            <w:pPr>
              <w:jc w:val="right"/>
              <w:rPr>
                <w:sz w:val="20"/>
                <w:szCs w:val="20"/>
                <w:lang w:val="fr-CA" w:eastAsia="en-CA"/>
              </w:rPr>
            </w:pPr>
            <w:r w:rsidRPr="00786273">
              <w:rPr>
                <w:sz w:val="20"/>
                <w:szCs w:val="20"/>
                <w:lang w:val="fr-CA" w:eastAsia="en-CA"/>
              </w:rPr>
              <w:t>89</w:t>
            </w:r>
          </w:p>
        </w:tc>
        <w:tc>
          <w:tcPr>
            <w:tcW w:w="1384" w:type="dxa"/>
            <w:tcBorders>
              <w:top w:val="nil"/>
              <w:left w:val="nil"/>
              <w:bottom w:val="single" w:sz="4" w:space="0" w:color="auto"/>
              <w:right w:val="single" w:sz="4" w:space="0" w:color="auto"/>
            </w:tcBorders>
            <w:shd w:val="clear" w:color="auto" w:fill="auto"/>
            <w:noWrap/>
            <w:hideMark/>
          </w:tcPr>
          <w:p w14:paraId="621A7F9B"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149" w:type="dxa"/>
            <w:tcBorders>
              <w:top w:val="nil"/>
              <w:left w:val="nil"/>
              <w:bottom w:val="single" w:sz="4" w:space="0" w:color="auto"/>
              <w:right w:val="single" w:sz="4" w:space="0" w:color="auto"/>
            </w:tcBorders>
            <w:shd w:val="clear" w:color="auto" w:fill="auto"/>
            <w:noWrap/>
            <w:hideMark/>
          </w:tcPr>
          <w:p w14:paraId="2D9E4037"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5189BAA9"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866F47A" w14:textId="77777777" w:rsidR="00691ABD" w:rsidRPr="00786273" w:rsidRDefault="00691ABD" w:rsidP="00B21D27">
            <w:pPr>
              <w:jc w:val="left"/>
              <w:rPr>
                <w:sz w:val="20"/>
                <w:szCs w:val="20"/>
                <w:lang w:val="fr-CA" w:eastAsia="en-CA"/>
              </w:rPr>
            </w:pPr>
            <w:r w:rsidRPr="00786273">
              <w:rPr>
                <w:sz w:val="20"/>
                <w:szCs w:val="20"/>
                <w:lang w:val="fr-CA" w:eastAsia="en-CA"/>
              </w:rPr>
              <w:t xml:space="preserve">Eswatini </w:t>
            </w:r>
            <w:r>
              <w:rPr>
                <w:sz w:val="20"/>
                <w:szCs w:val="20"/>
                <w:lang w:val="fr-CA" w:eastAsia="en-CA"/>
              </w:rPr>
              <w:t>(Royaume d’)</w:t>
            </w:r>
          </w:p>
        </w:tc>
        <w:tc>
          <w:tcPr>
            <w:tcW w:w="851" w:type="dxa"/>
            <w:tcBorders>
              <w:top w:val="nil"/>
              <w:left w:val="nil"/>
              <w:bottom w:val="single" w:sz="4" w:space="0" w:color="auto"/>
              <w:right w:val="single" w:sz="4" w:space="0" w:color="auto"/>
            </w:tcBorders>
            <w:shd w:val="clear" w:color="auto" w:fill="auto"/>
            <w:noWrap/>
            <w:hideMark/>
          </w:tcPr>
          <w:p w14:paraId="20BDE7E1" w14:textId="256FD0FC"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0756A72"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23816ABD" w14:textId="0E49F500" w:rsidR="00691ABD" w:rsidRPr="00786273" w:rsidRDefault="00691ABD" w:rsidP="001E39EE">
            <w:pPr>
              <w:jc w:val="right"/>
              <w:rPr>
                <w:sz w:val="20"/>
                <w:szCs w:val="20"/>
                <w:lang w:val="fr-CA" w:eastAsia="en-CA"/>
              </w:rPr>
            </w:pPr>
            <w:r w:rsidRPr="00786273">
              <w:rPr>
                <w:sz w:val="20"/>
                <w:szCs w:val="20"/>
                <w:lang w:val="fr-CA" w:eastAsia="en-CA"/>
              </w:rPr>
              <w:t>64</w:t>
            </w:r>
            <w:r>
              <w:rPr>
                <w:sz w:val="20"/>
                <w:szCs w:val="20"/>
                <w:lang w:val="fr-CA" w:eastAsia="en-CA"/>
              </w:rPr>
              <w:t xml:space="preserve"> </w:t>
            </w:r>
            <w:r w:rsidRPr="00786273">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36E8878A" w14:textId="6CFBAC9B" w:rsidR="00691ABD" w:rsidRPr="00786273" w:rsidRDefault="00691ABD" w:rsidP="001E39EE">
            <w:pPr>
              <w:jc w:val="right"/>
              <w:rPr>
                <w:sz w:val="20"/>
                <w:szCs w:val="20"/>
                <w:lang w:val="fr-CA" w:eastAsia="en-CA"/>
              </w:rPr>
            </w:pPr>
            <w:r w:rsidRPr="00786273">
              <w:rPr>
                <w:sz w:val="20"/>
                <w:szCs w:val="20"/>
                <w:lang w:val="fr-CA" w:eastAsia="en-CA"/>
              </w:rPr>
              <w:t>45</w:t>
            </w:r>
            <w:r>
              <w:rPr>
                <w:sz w:val="20"/>
                <w:szCs w:val="20"/>
                <w:lang w:val="fr-CA" w:eastAsia="en-CA"/>
              </w:rPr>
              <w:t xml:space="preserve"> </w:t>
            </w:r>
            <w:r w:rsidRPr="00786273">
              <w:rPr>
                <w:sz w:val="20"/>
                <w:szCs w:val="20"/>
                <w:lang w:val="fr-CA" w:eastAsia="en-CA"/>
              </w:rPr>
              <w:t>000</w:t>
            </w:r>
          </w:p>
        </w:tc>
        <w:tc>
          <w:tcPr>
            <w:tcW w:w="1384" w:type="dxa"/>
            <w:tcBorders>
              <w:top w:val="nil"/>
              <w:left w:val="nil"/>
              <w:bottom w:val="single" w:sz="4" w:space="0" w:color="auto"/>
              <w:right w:val="single" w:sz="4" w:space="0" w:color="auto"/>
            </w:tcBorders>
            <w:shd w:val="clear" w:color="auto" w:fill="auto"/>
            <w:noWrap/>
            <w:hideMark/>
          </w:tcPr>
          <w:p w14:paraId="11A4796D" w14:textId="77777777" w:rsidR="00691ABD" w:rsidRPr="00786273" w:rsidRDefault="00691ABD" w:rsidP="001E39EE">
            <w:pPr>
              <w:jc w:val="right"/>
              <w:rPr>
                <w:sz w:val="20"/>
                <w:szCs w:val="20"/>
                <w:lang w:val="fr-CA" w:eastAsia="en-CA"/>
              </w:rPr>
            </w:pPr>
            <w:r w:rsidRPr="00786273">
              <w:rPr>
                <w:sz w:val="20"/>
                <w:szCs w:val="20"/>
                <w:lang w:val="fr-CA" w:eastAsia="en-CA"/>
              </w:rPr>
              <w:t>70</w:t>
            </w:r>
          </w:p>
        </w:tc>
        <w:tc>
          <w:tcPr>
            <w:tcW w:w="1149" w:type="dxa"/>
            <w:tcBorders>
              <w:top w:val="nil"/>
              <w:left w:val="nil"/>
              <w:bottom w:val="single" w:sz="4" w:space="0" w:color="auto"/>
              <w:right w:val="single" w:sz="4" w:space="0" w:color="auto"/>
            </w:tcBorders>
            <w:shd w:val="clear" w:color="auto" w:fill="auto"/>
            <w:noWrap/>
            <w:hideMark/>
          </w:tcPr>
          <w:p w14:paraId="6DD2F83A"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4A61A8A2" w14:textId="77777777" w:rsidTr="00AD0261">
        <w:trPr>
          <w:trHeight w:val="80"/>
        </w:trPr>
        <w:tc>
          <w:tcPr>
            <w:tcW w:w="2972" w:type="dxa"/>
            <w:tcBorders>
              <w:top w:val="nil"/>
              <w:left w:val="single" w:sz="4" w:space="0" w:color="auto"/>
              <w:bottom w:val="single" w:sz="4" w:space="0" w:color="auto"/>
              <w:right w:val="single" w:sz="4" w:space="0" w:color="auto"/>
            </w:tcBorders>
            <w:shd w:val="clear" w:color="auto" w:fill="auto"/>
            <w:noWrap/>
            <w:hideMark/>
          </w:tcPr>
          <w:p w14:paraId="2BCACD52" w14:textId="77777777" w:rsidR="00691ABD" w:rsidRPr="00786273" w:rsidRDefault="00691ABD" w:rsidP="001E39EE">
            <w:pPr>
              <w:jc w:val="left"/>
              <w:rPr>
                <w:sz w:val="20"/>
                <w:szCs w:val="20"/>
                <w:lang w:val="fr-CA" w:eastAsia="en-CA"/>
              </w:rPr>
            </w:pPr>
            <w:r>
              <w:rPr>
                <w:sz w:val="20"/>
                <w:szCs w:val="20"/>
                <w:lang w:val="fr-CA" w:eastAsia="en-CA"/>
              </w:rPr>
              <w:t>Éthiopie</w:t>
            </w:r>
          </w:p>
        </w:tc>
        <w:tc>
          <w:tcPr>
            <w:tcW w:w="851" w:type="dxa"/>
            <w:tcBorders>
              <w:top w:val="nil"/>
              <w:left w:val="nil"/>
              <w:bottom w:val="single" w:sz="4" w:space="0" w:color="auto"/>
              <w:right w:val="single" w:sz="4" w:space="0" w:color="auto"/>
            </w:tcBorders>
            <w:shd w:val="clear" w:color="auto" w:fill="auto"/>
            <w:noWrap/>
            <w:hideMark/>
          </w:tcPr>
          <w:p w14:paraId="1E339A28" w14:textId="1F6694D0"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CADC26E"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7108BDE4" w14:textId="0676AB13" w:rsidR="00691ABD" w:rsidRPr="00786273" w:rsidRDefault="00691ABD" w:rsidP="001E39EE">
            <w:pPr>
              <w:jc w:val="right"/>
              <w:rPr>
                <w:sz w:val="20"/>
                <w:szCs w:val="20"/>
                <w:lang w:val="fr-CA" w:eastAsia="en-CA"/>
              </w:rPr>
            </w:pPr>
            <w:r w:rsidRPr="00786273">
              <w:rPr>
                <w:sz w:val="20"/>
                <w:szCs w:val="20"/>
                <w:lang w:val="fr-CA" w:eastAsia="en-CA"/>
              </w:rPr>
              <w:t>119</w:t>
            </w:r>
            <w:r>
              <w:rPr>
                <w:sz w:val="20"/>
                <w:szCs w:val="20"/>
                <w:lang w:val="fr-CA" w:eastAsia="en-CA"/>
              </w:rPr>
              <w:t xml:space="preserve"> </w:t>
            </w:r>
            <w:r w:rsidRPr="00786273">
              <w:rPr>
                <w:sz w:val="20"/>
                <w:szCs w:val="20"/>
                <w:lang w:val="fr-CA" w:eastAsia="en-CA"/>
              </w:rPr>
              <w:t>545</w:t>
            </w:r>
          </w:p>
        </w:tc>
        <w:tc>
          <w:tcPr>
            <w:tcW w:w="1276" w:type="dxa"/>
            <w:tcBorders>
              <w:top w:val="nil"/>
              <w:left w:val="nil"/>
              <w:bottom w:val="single" w:sz="4" w:space="0" w:color="auto"/>
              <w:right w:val="single" w:sz="4" w:space="0" w:color="auto"/>
            </w:tcBorders>
            <w:shd w:val="clear" w:color="auto" w:fill="auto"/>
            <w:noWrap/>
            <w:hideMark/>
          </w:tcPr>
          <w:p w14:paraId="7769BC0D" w14:textId="02FD1987" w:rsidR="00691ABD" w:rsidRPr="00786273" w:rsidRDefault="00691ABD" w:rsidP="001E39EE">
            <w:pPr>
              <w:jc w:val="right"/>
              <w:rPr>
                <w:sz w:val="20"/>
                <w:szCs w:val="20"/>
                <w:lang w:val="fr-CA" w:eastAsia="en-CA"/>
              </w:rPr>
            </w:pPr>
            <w:r w:rsidRPr="00786273">
              <w:rPr>
                <w:sz w:val="20"/>
                <w:szCs w:val="20"/>
                <w:lang w:val="fr-CA" w:eastAsia="en-CA"/>
              </w:rPr>
              <w:t>50</w:t>
            </w:r>
            <w:r>
              <w:rPr>
                <w:sz w:val="20"/>
                <w:szCs w:val="20"/>
                <w:lang w:val="fr-CA" w:eastAsia="en-CA"/>
              </w:rPr>
              <w:t xml:space="preserve"> </w:t>
            </w:r>
            <w:r w:rsidRPr="00786273">
              <w:rPr>
                <w:sz w:val="20"/>
                <w:szCs w:val="20"/>
                <w:lang w:val="fr-CA" w:eastAsia="en-CA"/>
              </w:rPr>
              <w:t>000</w:t>
            </w:r>
          </w:p>
        </w:tc>
        <w:tc>
          <w:tcPr>
            <w:tcW w:w="1384" w:type="dxa"/>
            <w:tcBorders>
              <w:top w:val="nil"/>
              <w:left w:val="nil"/>
              <w:bottom w:val="single" w:sz="4" w:space="0" w:color="auto"/>
              <w:right w:val="single" w:sz="4" w:space="0" w:color="auto"/>
            </w:tcBorders>
            <w:shd w:val="clear" w:color="auto" w:fill="auto"/>
            <w:noWrap/>
            <w:hideMark/>
          </w:tcPr>
          <w:p w14:paraId="2E60320A" w14:textId="77777777" w:rsidR="00691ABD" w:rsidRPr="00786273" w:rsidRDefault="00691ABD" w:rsidP="001E39EE">
            <w:pPr>
              <w:jc w:val="right"/>
              <w:rPr>
                <w:sz w:val="20"/>
                <w:szCs w:val="20"/>
                <w:lang w:val="fr-CA" w:eastAsia="en-CA"/>
              </w:rPr>
            </w:pPr>
            <w:r w:rsidRPr="00786273">
              <w:rPr>
                <w:sz w:val="20"/>
                <w:szCs w:val="20"/>
                <w:lang w:val="fr-CA" w:eastAsia="en-CA"/>
              </w:rPr>
              <w:t>42</w:t>
            </w:r>
          </w:p>
        </w:tc>
        <w:tc>
          <w:tcPr>
            <w:tcW w:w="1149" w:type="dxa"/>
            <w:tcBorders>
              <w:top w:val="nil"/>
              <w:left w:val="nil"/>
              <w:bottom w:val="single" w:sz="4" w:space="0" w:color="auto"/>
              <w:right w:val="single" w:sz="4" w:space="0" w:color="auto"/>
            </w:tcBorders>
            <w:shd w:val="clear" w:color="auto" w:fill="auto"/>
            <w:noWrap/>
            <w:hideMark/>
          </w:tcPr>
          <w:p w14:paraId="3B6C7217"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52EC1076"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F8F253F" w14:textId="77777777" w:rsidR="00691ABD" w:rsidRPr="00786273" w:rsidRDefault="00691ABD" w:rsidP="001E39EE">
            <w:pPr>
              <w:jc w:val="left"/>
              <w:rPr>
                <w:sz w:val="20"/>
                <w:szCs w:val="20"/>
                <w:lang w:val="fr-CA" w:eastAsia="en-CA"/>
              </w:rPr>
            </w:pPr>
            <w:r w:rsidRPr="00786273">
              <w:rPr>
                <w:sz w:val="20"/>
                <w:szCs w:val="20"/>
                <w:lang w:val="fr-CA" w:eastAsia="en-CA"/>
              </w:rPr>
              <w:t>Fi</w:t>
            </w:r>
            <w:r>
              <w:rPr>
                <w:sz w:val="20"/>
                <w:szCs w:val="20"/>
                <w:lang w:val="fr-CA" w:eastAsia="en-CA"/>
              </w:rPr>
              <w:t>d</w:t>
            </w:r>
            <w:r w:rsidRPr="00786273">
              <w:rPr>
                <w:sz w:val="20"/>
                <w:szCs w:val="20"/>
                <w:lang w:val="fr-CA" w:eastAsia="en-CA"/>
              </w:rPr>
              <w:t>ji</w:t>
            </w:r>
          </w:p>
        </w:tc>
        <w:tc>
          <w:tcPr>
            <w:tcW w:w="851" w:type="dxa"/>
            <w:tcBorders>
              <w:top w:val="nil"/>
              <w:left w:val="nil"/>
              <w:bottom w:val="single" w:sz="4" w:space="0" w:color="auto"/>
              <w:right w:val="single" w:sz="4" w:space="0" w:color="auto"/>
            </w:tcBorders>
            <w:shd w:val="clear" w:color="auto" w:fill="auto"/>
            <w:noWrap/>
            <w:hideMark/>
          </w:tcPr>
          <w:p w14:paraId="5194A5EC" w14:textId="503096E7"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EAE25E0"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09EFE5BC" w14:textId="32AD4D1B" w:rsidR="00691ABD" w:rsidRPr="00786273" w:rsidRDefault="00691ABD" w:rsidP="001E39EE">
            <w:pPr>
              <w:jc w:val="right"/>
              <w:rPr>
                <w:sz w:val="20"/>
                <w:szCs w:val="20"/>
                <w:lang w:val="fr-CA" w:eastAsia="en-CA"/>
              </w:rPr>
            </w:pPr>
            <w:r w:rsidRPr="00786273">
              <w:rPr>
                <w:sz w:val="20"/>
                <w:szCs w:val="20"/>
                <w:lang w:val="fr-CA" w:eastAsia="en-CA"/>
              </w:rPr>
              <w:t>77</w:t>
            </w:r>
            <w:r>
              <w:rPr>
                <w:sz w:val="20"/>
                <w:szCs w:val="20"/>
                <w:lang w:val="fr-CA" w:eastAsia="en-CA"/>
              </w:rPr>
              <w:t xml:space="preserve"> </w:t>
            </w:r>
            <w:r w:rsidRPr="00786273">
              <w:rPr>
                <w:sz w:val="20"/>
                <w:szCs w:val="20"/>
                <w:lang w:val="fr-CA" w:eastAsia="en-CA"/>
              </w:rPr>
              <w:t>896</w:t>
            </w:r>
          </w:p>
        </w:tc>
        <w:tc>
          <w:tcPr>
            <w:tcW w:w="1276" w:type="dxa"/>
            <w:tcBorders>
              <w:top w:val="nil"/>
              <w:left w:val="nil"/>
              <w:bottom w:val="single" w:sz="4" w:space="0" w:color="auto"/>
              <w:right w:val="single" w:sz="4" w:space="0" w:color="auto"/>
            </w:tcBorders>
            <w:shd w:val="clear" w:color="auto" w:fill="auto"/>
            <w:noWrap/>
            <w:hideMark/>
          </w:tcPr>
          <w:p w14:paraId="534D0B3A" w14:textId="20F21AD3" w:rsidR="00691ABD" w:rsidRPr="00786273" w:rsidRDefault="00691ABD" w:rsidP="001E39EE">
            <w:pPr>
              <w:jc w:val="right"/>
              <w:rPr>
                <w:sz w:val="20"/>
                <w:szCs w:val="20"/>
                <w:lang w:val="fr-CA" w:eastAsia="en-CA"/>
              </w:rPr>
            </w:pPr>
            <w:r w:rsidRPr="00786273">
              <w:rPr>
                <w:sz w:val="20"/>
                <w:szCs w:val="20"/>
                <w:lang w:val="fr-CA" w:eastAsia="en-CA"/>
              </w:rPr>
              <w:t>75</w:t>
            </w:r>
            <w:r>
              <w:rPr>
                <w:sz w:val="20"/>
                <w:szCs w:val="20"/>
                <w:lang w:val="fr-CA" w:eastAsia="en-CA"/>
              </w:rPr>
              <w:t xml:space="preserve"> </w:t>
            </w:r>
            <w:r w:rsidRPr="00786273">
              <w:rPr>
                <w:sz w:val="20"/>
                <w:szCs w:val="20"/>
                <w:lang w:val="fr-CA" w:eastAsia="en-CA"/>
              </w:rPr>
              <w:t>280</w:t>
            </w:r>
          </w:p>
        </w:tc>
        <w:tc>
          <w:tcPr>
            <w:tcW w:w="1384" w:type="dxa"/>
            <w:tcBorders>
              <w:top w:val="nil"/>
              <w:left w:val="nil"/>
              <w:bottom w:val="single" w:sz="4" w:space="0" w:color="auto"/>
              <w:right w:val="single" w:sz="4" w:space="0" w:color="auto"/>
            </w:tcBorders>
            <w:shd w:val="clear" w:color="auto" w:fill="auto"/>
            <w:noWrap/>
            <w:hideMark/>
          </w:tcPr>
          <w:p w14:paraId="4DB4972C" w14:textId="77777777" w:rsidR="00691ABD" w:rsidRPr="00786273" w:rsidRDefault="00691ABD" w:rsidP="001E39EE">
            <w:pPr>
              <w:jc w:val="right"/>
              <w:rPr>
                <w:sz w:val="20"/>
                <w:szCs w:val="20"/>
                <w:lang w:val="fr-CA" w:eastAsia="en-CA"/>
              </w:rPr>
            </w:pPr>
            <w:r w:rsidRPr="00786273">
              <w:rPr>
                <w:sz w:val="20"/>
                <w:szCs w:val="20"/>
                <w:lang w:val="fr-CA" w:eastAsia="en-CA"/>
              </w:rPr>
              <w:t>97</w:t>
            </w:r>
          </w:p>
        </w:tc>
        <w:tc>
          <w:tcPr>
            <w:tcW w:w="1149" w:type="dxa"/>
            <w:tcBorders>
              <w:top w:val="nil"/>
              <w:left w:val="nil"/>
              <w:bottom w:val="single" w:sz="4" w:space="0" w:color="auto"/>
              <w:right w:val="single" w:sz="4" w:space="0" w:color="auto"/>
            </w:tcBorders>
            <w:shd w:val="clear" w:color="auto" w:fill="auto"/>
            <w:noWrap/>
            <w:hideMark/>
          </w:tcPr>
          <w:p w14:paraId="24184A6D" w14:textId="77777777" w:rsidR="00691ABD" w:rsidRPr="00786273" w:rsidRDefault="00691ABD" w:rsidP="001E39EE">
            <w:pPr>
              <w:jc w:val="right"/>
              <w:rPr>
                <w:sz w:val="20"/>
                <w:szCs w:val="20"/>
                <w:lang w:val="fr-CA" w:eastAsia="en-CA"/>
              </w:rPr>
            </w:pPr>
            <w:r w:rsidRPr="00786273">
              <w:rPr>
                <w:sz w:val="20"/>
                <w:szCs w:val="20"/>
                <w:lang w:val="fr-CA" w:eastAsia="en-CA"/>
              </w:rPr>
              <w:t>67</w:t>
            </w:r>
          </w:p>
        </w:tc>
      </w:tr>
      <w:tr w:rsidR="00691ABD" w:rsidRPr="00786273" w14:paraId="2670907E"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540690A" w14:textId="77777777" w:rsidR="00691ABD" w:rsidRPr="00786273" w:rsidRDefault="00691ABD" w:rsidP="001E39EE">
            <w:pPr>
              <w:jc w:val="left"/>
              <w:rPr>
                <w:sz w:val="20"/>
                <w:szCs w:val="20"/>
                <w:lang w:val="fr-CA" w:eastAsia="en-CA"/>
              </w:rPr>
            </w:pPr>
            <w:r w:rsidRPr="00786273">
              <w:rPr>
                <w:sz w:val="20"/>
                <w:szCs w:val="20"/>
                <w:lang w:val="fr-CA" w:eastAsia="en-CA"/>
              </w:rPr>
              <w:t>Gabon</w:t>
            </w:r>
          </w:p>
        </w:tc>
        <w:tc>
          <w:tcPr>
            <w:tcW w:w="851" w:type="dxa"/>
            <w:tcBorders>
              <w:top w:val="nil"/>
              <w:left w:val="nil"/>
              <w:bottom w:val="single" w:sz="4" w:space="0" w:color="auto"/>
              <w:right w:val="single" w:sz="4" w:space="0" w:color="auto"/>
            </w:tcBorders>
            <w:shd w:val="clear" w:color="auto" w:fill="auto"/>
            <w:noWrap/>
            <w:hideMark/>
          </w:tcPr>
          <w:p w14:paraId="530A8D3B" w14:textId="45B0E841"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56D90027" w14:textId="77777777" w:rsidR="00691ABD" w:rsidRPr="00786273" w:rsidRDefault="00691ABD" w:rsidP="001E39EE">
            <w:pPr>
              <w:jc w:val="left"/>
              <w:rPr>
                <w:sz w:val="20"/>
                <w:szCs w:val="20"/>
                <w:lang w:val="fr-CA" w:eastAsia="en-CA"/>
              </w:rPr>
            </w:pPr>
          </w:p>
        </w:tc>
        <w:tc>
          <w:tcPr>
            <w:tcW w:w="1250" w:type="dxa"/>
            <w:tcBorders>
              <w:top w:val="nil"/>
              <w:left w:val="nil"/>
              <w:bottom w:val="single" w:sz="4" w:space="0" w:color="auto"/>
              <w:right w:val="single" w:sz="4" w:space="0" w:color="auto"/>
            </w:tcBorders>
            <w:shd w:val="clear" w:color="auto" w:fill="auto"/>
            <w:noWrap/>
            <w:hideMark/>
          </w:tcPr>
          <w:p w14:paraId="5DE7AB56" w14:textId="11A56062" w:rsidR="00691ABD" w:rsidRPr="00786273" w:rsidRDefault="00691ABD" w:rsidP="001E39EE">
            <w:pPr>
              <w:jc w:val="right"/>
              <w:rPr>
                <w:sz w:val="20"/>
                <w:szCs w:val="20"/>
                <w:lang w:val="fr-CA" w:eastAsia="en-CA"/>
              </w:rPr>
            </w:pPr>
            <w:r w:rsidRPr="00786273">
              <w:rPr>
                <w:sz w:val="20"/>
                <w:szCs w:val="20"/>
                <w:lang w:val="fr-CA" w:eastAsia="en-CA"/>
              </w:rPr>
              <w:t>127</w:t>
            </w:r>
            <w:r>
              <w:rPr>
                <w:sz w:val="20"/>
                <w:szCs w:val="20"/>
                <w:lang w:val="fr-CA" w:eastAsia="en-CA"/>
              </w:rPr>
              <w:t xml:space="preserve"> </w:t>
            </w:r>
            <w:r w:rsidRPr="00786273">
              <w:rPr>
                <w:sz w:val="20"/>
                <w:szCs w:val="20"/>
                <w:lang w:val="fr-CA" w:eastAsia="en-CA"/>
              </w:rPr>
              <w:t>004</w:t>
            </w:r>
          </w:p>
        </w:tc>
        <w:tc>
          <w:tcPr>
            <w:tcW w:w="1276" w:type="dxa"/>
            <w:tcBorders>
              <w:top w:val="nil"/>
              <w:left w:val="nil"/>
              <w:bottom w:val="single" w:sz="4" w:space="0" w:color="auto"/>
              <w:right w:val="single" w:sz="4" w:space="0" w:color="auto"/>
            </w:tcBorders>
            <w:shd w:val="clear" w:color="auto" w:fill="auto"/>
            <w:noWrap/>
            <w:hideMark/>
          </w:tcPr>
          <w:p w14:paraId="1BA4F3E9" w14:textId="1B2D53C0" w:rsidR="00691ABD" w:rsidRPr="00786273" w:rsidRDefault="00691ABD" w:rsidP="001E39EE">
            <w:pPr>
              <w:jc w:val="right"/>
              <w:rPr>
                <w:sz w:val="20"/>
                <w:szCs w:val="20"/>
                <w:lang w:val="fr-CA" w:eastAsia="en-CA"/>
              </w:rPr>
            </w:pPr>
            <w:r w:rsidRPr="00786273">
              <w:rPr>
                <w:sz w:val="20"/>
                <w:szCs w:val="20"/>
                <w:lang w:val="fr-CA" w:eastAsia="en-CA"/>
              </w:rPr>
              <w:t>152</w:t>
            </w:r>
            <w:r>
              <w:rPr>
                <w:sz w:val="20"/>
                <w:szCs w:val="20"/>
                <w:lang w:val="fr-CA" w:eastAsia="en-CA"/>
              </w:rPr>
              <w:t xml:space="preserve"> </w:t>
            </w:r>
            <w:r w:rsidRPr="00786273">
              <w:rPr>
                <w:sz w:val="20"/>
                <w:szCs w:val="20"/>
                <w:lang w:val="fr-CA" w:eastAsia="en-CA"/>
              </w:rPr>
              <w:t>124</w:t>
            </w:r>
          </w:p>
        </w:tc>
        <w:tc>
          <w:tcPr>
            <w:tcW w:w="1384" w:type="dxa"/>
            <w:tcBorders>
              <w:top w:val="nil"/>
              <w:left w:val="nil"/>
              <w:bottom w:val="single" w:sz="4" w:space="0" w:color="auto"/>
              <w:right w:val="single" w:sz="4" w:space="0" w:color="auto"/>
            </w:tcBorders>
            <w:shd w:val="clear" w:color="auto" w:fill="auto"/>
            <w:noWrap/>
            <w:hideMark/>
          </w:tcPr>
          <w:p w14:paraId="222DFA2D" w14:textId="77777777" w:rsidR="00691ABD" w:rsidRPr="00786273" w:rsidRDefault="00691ABD" w:rsidP="001E39EE">
            <w:pPr>
              <w:jc w:val="right"/>
              <w:rPr>
                <w:sz w:val="20"/>
                <w:szCs w:val="20"/>
                <w:lang w:val="fr-CA" w:eastAsia="en-CA"/>
              </w:rPr>
            </w:pPr>
            <w:r w:rsidRPr="00786273">
              <w:rPr>
                <w:sz w:val="20"/>
                <w:szCs w:val="20"/>
                <w:lang w:val="fr-CA" w:eastAsia="en-CA"/>
              </w:rPr>
              <w:t>120</w:t>
            </w:r>
          </w:p>
        </w:tc>
        <w:tc>
          <w:tcPr>
            <w:tcW w:w="1149" w:type="dxa"/>
            <w:tcBorders>
              <w:top w:val="nil"/>
              <w:left w:val="nil"/>
              <w:bottom w:val="single" w:sz="4" w:space="0" w:color="auto"/>
              <w:right w:val="single" w:sz="4" w:space="0" w:color="auto"/>
            </w:tcBorders>
            <w:shd w:val="clear" w:color="auto" w:fill="auto"/>
            <w:noWrap/>
            <w:hideMark/>
          </w:tcPr>
          <w:p w14:paraId="58E36397"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2CB76447" w14:textId="77777777" w:rsidTr="00AD0261">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4763F62F" w14:textId="77777777" w:rsidR="00691ABD" w:rsidRPr="00786273" w:rsidRDefault="00691ABD" w:rsidP="00B21D27">
            <w:pPr>
              <w:jc w:val="left"/>
              <w:rPr>
                <w:sz w:val="20"/>
                <w:szCs w:val="20"/>
                <w:lang w:val="fr-CA" w:eastAsia="en-CA"/>
              </w:rPr>
            </w:pPr>
            <w:r w:rsidRPr="00786273">
              <w:rPr>
                <w:sz w:val="20"/>
                <w:szCs w:val="20"/>
                <w:lang w:val="fr-CA" w:eastAsia="en-CA"/>
              </w:rPr>
              <w:lastRenderedPageBreak/>
              <w:t>Gambi</w:t>
            </w:r>
            <w:r>
              <w:rPr>
                <w:sz w:val="20"/>
                <w:szCs w:val="20"/>
                <w:lang w:val="fr-CA" w:eastAsia="en-CA"/>
              </w:rPr>
              <w:t>e</w:t>
            </w:r>
          </w:p>
        </w:tc>
        <w:tc>
          <w:tcPr>
            <w:tcW w:w="851" w:type="dxa"/>
            <w:tcBorders>
              <w:top w:val="nil"/>
              <w:left w:val="nil"/>
              <w:bottom w:val="single" w:sz="4" w:space="0" w:color="auto"/>
              <w:right w:val="single" w:sz="4" w:space="0" w:color="auto"/>
            </w:tcBorders>
            <w:shd w:val="clear" w:color="auto" w:fill="auto"/>
            <w:noWrap/>
            <w:hideMark/>
          </w:tcPr>
          <w:p w14:paraId="60E83CB1" w14:textId="3572D344"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86D476A"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235983AD" w14:textId="5A3ECB26" w:rsidR="00691ABD" w:rsidRPr="00786273" w:rsidRDefault="00691ABD" w:rsidP="001E39EE">
            <w:pPr>
              <w:jc w:val="right"/>
              <w:rPr>
                <w:sz w:val="20"/>
                <w:szCs w:val="20"/>
                <w:lang w:val="fr-CA" w:eastAsia="en-CA"/>
              </w:rPr>
            </w:pPr>
            <w:r w:rsidRPr="00786273">
              <w:rPr>
                <w:sz w:val="20"/>
                <w:szCs w:val="20"/>
                <w:lang w:val="fr-CA" w:eastAsia="en-CA"/>
              </w:rPr>
              <w:t>52</w:t>
            </w:r>
            <w:r>
              <w:rPr>
                <w:sz w:val="20"/>
                <w:szCs w:val="20"/>
                <w:lang w:val="fr-CA" w:eastAsia="en-CA"/>
              </w:rPr>
              <w:t xml:space="preserve"> </w:t>
            </w:r>
            <w:r w:rsidRPr="00786273">
              <w:rPr>
                <w:sz w:val="20"/>
                <w:szCs w:val="20"/>
                <w:lang w:val="fr-CA" w:eastAsia="en-CA"/>
              </w:rPr>
              <w:t>585</w:t>
            </w:r>
          </w:p>
        </w:tc>
        <w:tc>
          <w:tcPr>
            <w:tcW w:w="1276" w:type="dxa"/>
            <w:tcBorders>
              <w:top w:val="nil"/>
              <w:left w:val="nil"/>
              <w:bottom w:val="single" w:sz="4" w:space="0" w:color="auto"/>
              <w:right w:val="single" w:sz="4" w:space="0" w:color="auto"/>
            </w:tcBorders>
            <w:shd w:val="clear" w:color="auto" w:fill="auto"/>
            <w:noWrap/>
            <w:hideMark/>
          </w:tcPr>
          <w:p w14:paraId="3C1D5957" w14:textId="5D854F8D" w:rsidR="00691ABD" w:rsidRPr="00786273" w:rsidRDefault="00691ABD" w:rsidP="001E39EE">
            <w:pPr>
              <w:jc w:val="right"/>
              <w:rPr>
                <w:sz w:val="20"/>
                <w:szCs w:val="20"/>
                <w:lang w:val="fr-CA" w:eastAsia="en-CA"/>
              </w:rPr>
            </w:pPr>
            <w:r w:rsidRPr="00786273">
              <w:rPr>
                <w:sz w:val="20"/>
                <w:szCs w:val="20"/>
                <w:lang w:val="fr-CA" w:eastAsia="en-CA"/>
              </w:rPr>
              <w:t>29</w:t>
            </w:r>
            <w:r>
              <w:rPr>
                <w:sz w:val="20"/>
                <w:szCs w:val="20"/>
                <w:lang w:val="fr-CA" w:eastAsia="en-CA"/>
              </w:rPr>
              <w:t xml:space="preserve"> </w:t>
            </w:r>
            <w:r w:rsidRPr="00786273">
              <w:rPr>
                <w:sz w:val="20"/>
                <w:szCs w:val="20"/>
                <w:lang w:val="fr-CA" w:eastAsia="en-CA"/>
              </w:rPr>
              <w:t>693</w:t>
            </w:r>
          </w:p>
        </w:tc>
        <w:tc>
          <w:tcPr>
            <w:tcW w:w="1384" w:type="dxa"/>
            <w:tcBorders>
              <w:top w:val="nil"/>
              <w:left w:val="nil"/>
              <w:bottom w:val="single" w:sz="4" w:space="0" w:color="auto"/>
              <w:right w:val="single" w:sz="4" w:space="0" w:color="auto"/>
            </w:tcBorders>
            <w:shd w:val="clear" w:color="auto" w:fill="auto"/>
            <w:noWrap/>
            <w:hideMark/>
          </w:tcPr>
          <w:p w14:paraId="4CF9421C" w14:textId="77777777" w:rsidR="00691ABD" w:rsidRPr="00786273" w:rsidRDefault="00691ABD" w:rsidP="001E39EE">
            <w:pPr>
              <w:jc w:val="right"/>
              <w:rPr>
                <w:sz w:val="20"/>
                <w:szCs w:val="20"/>
                <w:lang w:val="fr-CA" w:eastAsia="en-CA"/>
              </w:rPr>
            </w:pPr>
            <w:r w:rsidRPr="00786273">
              <w:rPr>
                <w:sz w:val="20"/>
                <w:szCs w:val="20"/>
                <w:lang w:val="fr-CA" w:eastAsia="en-CA"/>
              </w:rPr>
              <w:t>56</w:t>
            </w:r>
          </w:p>
        </w:tc>
        <w:tc>
          <w:tcPr>
            <w:tcW w:w="1149" w:type="dxa"/>
            <w:tcBorders>
              <w:top w:val="nil"/>
              <w:left w:val="nil"/>
              <w:bottom w:val="single" w:sz="4" w:space="0" w:color="auto"/>
              <w:right w:val="single" w:sz="4" w:space="0" w:color="auto"/>
            </w:tcBorders>
            <w:shd w:val="clear" w:color="auto" w:fill="auto"/>
            <w:noWrap/>
            <w:hideMark/>
          </w:tcPr>
          <w:p w14:paraId="116A0E68" w14:textId="77777777" w:rsidR="00691ABD" w:rsidRPr="00786273" w:rsidRDefault="00691ABD" w:rsidP="001E39EE">
            <w:pPr>
              <w:jc w:val="right"/>
              <w:rPr>
                <w:sz w:val="20"/>
                <w:szCs w:val="20"/>
                <w:lang w:val="fr-CA" w:eastAsia="en-CA"/>
              </w:rPr>
            </w:pPr>
            <w:r w:rsidRPr="00786273">
              <w:rPr>
                <w:sz w:val="20"/>
                <w:szCs w:val="20"/>
                <w:lang w:val="fr-CA" w:eastAsia="en-CA"/>
              </w:rPr>
              <w:t>75</w:t>
            </w:r>
          </w:p>
        </w:tc>
      </w:tr>
      <w:tr w:rsidR="00691ABD" w:rsidRPr="00786273" w14:paraId="489821CB"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28ECFFD" w14:textId="77777777" w:rsidR="00691ABD" w:rsidRPr="00786273" w:rsidRDefault="00691ABD" w:rsidP="001E39EE">
            <w:pPr>
              <w:jc w:val="left"/>
              <w:rPr>
                <w:sz w:val="20"/>
                <w:szCs w:val="20"/>
                <w:lang w:val="fr-CA" w:eastAsia="en-CA"/>
              </w:rPr>
            </w:pPr>
            <w:r>
              <w:rPr>
                <w:sz w:val="20"/>
                <w:szCs w:val="20"/>
                <w:lang w:val="fr-CA" w:eastAsia="en-CA"/>
              </w:rPr>
              <w:t>Géorgie</w:t>
            </w:r>
          </w:p>
        </w:tc>
        <w:tc>
          <w:tcPr>
            <w:tcW w:w="851" w:type="dxa"/>
            <w:tcBorders>
              <w:top w:val="nil"/>
              <w:left w:val="nil"/>
              <w:bottom w:val="single" w:sz="4" w:space="0" w:color="auto"/>
              <w:right w:val="single" w:sz="4" w:space="0" w:color="auto"/>
            </w:tcBorders>
            <w:shd w:val="clear" w:color="auto" w:fill="auto"/>
            <w:noWrap/>
            <w:hideMark/>
          </w:tcPr>
          <w:p w14:paraId="0BCDC85F" w14:textId="05BD4C43"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7</w:t>
            </w:r>
          </w:p>
        </w:tc>
        <w:tc>
          <w:tcPr>
            <w:tcW w:w="1160" w:type="dxa"/>
            <w:tcBorders>
              <w:top w:val="nil"/>
              <w:left w:val="nil"/>
              <w:bottom w:val="single" w:sz="4" w:space="0" w:color="auto"/>
              <w:right w:val="single" w:sz="4" w:space="0" w:color="auto"/>
            </w:tcBorders>
            <w:shd w:val="clear" w:color="auto" w:fill="auto"/>
            <w:noWrap/>
            <w:hideMark/>
          </w:tcPr>
          <w:p w14:paraId="708CA579"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5EB4FF4D" w14:textId="4F19E5C8" w:rsidR="00691ABD" w:rsidRPr="00786273" w:rsidRDefault="00691ABD" w:rsidP="001E39EE">
            <w:pPr>
              <w:jc w:val="right"/>
              <w:rPr>
                <w:sz w:val="20"/>
                <w:szCs w:val="20"/>
                <w:lang w:val="fr-CA" w:eastAsia="en-CA"/>
              </w:rPr>
            </w:pPr>
            <w:r w:rsidRPr="00786273">
              <w:rPr>
                <w:sz w:val="20"/>
                <w:szCs w:val="20"/>
                <w:lang w:val="fr-CA" w:eastAsia="en-CA"/>
              </w:rPr>
              <w:t>72</w:t>
            </w:r>
            <w:r>
              <w:rPr>
                <w:sz w:val="20"/>
                <w:szCs w:val="20"/>
                <w:lang w:val="fr-CA" w:eastAsia="en-CA"/>
              </w:rPr>
              <w:t xml:space="preserve"> </w:t>
            </w:r>
            <w:r w:rsidRPr="00786273">
              <w:rPr>
                <w:sz w:val="20"/>
                <w:szCs w:val="20"/>
                <w:lang w:val="fr-CA" w:eastAsia="en-CA"/>
              </w:rPr>
              <w:t>547</w:t>
            </w:r>
          </w:p>
        </w:tc>
        <w:tc>
          <w:tcPr>
            <w:tcW w:w="1276" w:type="dxa"/>
            <w:tcBorders>
              <w:top w:val="nil"/>
              <w:left w:val="nil"/>
              <w:bottom w:val="single" w:sz="4" w:space="0" w:color="auto"/>
              <w:right w:val="single" w:sz="4" w:space="0" w:color="auto"/>
            </w:tcBorders>
            <w:shd w:val="clear" w:color="auto" w:fill="auto"/>
            <w:noWrap/>
            <w:hideMark/>
          </w:tcPr>
          <w:p w14:paraId="60B31FFC" w14:textId="694E5029" w:rsidR="00691ABD" w:rsidRPr="00786273" w:rsidRDefault="00691ABD" w:rsidP="001E39EE">
            <w:pPr>
              <w:jc w:val="right"/>
              <w:rPr>
                <w:sz w:val="20"/>
                <w:szCs w:val="20"/>
                <w:lang w:val="fr-CA" w:eastAsia="en-CA"/>
              </w:rPr>
            </w:pPr>
            <w:r w:rsidRPr="00786273">
              <w:rPr>
                <w:sz w:val="20"/>
                <w:szCs w:val="20"/>
                <w:lang w:val="fr-CA" w:eastAsia="en-CA"/>
              </w:rPr>
              <w:t>30</w:t>
            </w:r>
            <w:r>
              <w:rPr>
                <w:sz w:val="20"/>
                <w:szCs w:val="20"/>
                <w:lang w:val="fr-CA" w:eastAsia="en-CA"/>
              </w:rPr>
              <w:t xml:space="preserve"> </w:t>
            </w:r>
            <w:r w:rsidRPr="00786273">
              <w:rPr>
                <w:sz w:val="20"/>
                <w:szCs w:val="20"/>
                <w:lang w:val="fr-CA" w:eastAsia="en-CA"/>
              </w:rPr>
              <w:t>189</w:t>
            </w:r>
          </w:p>
        </w:tc>
        <w:tc>
          <w:tcPr>
            <w:tcW w:w="1384" w:type="dxa"/>
            <w:tcBorders>
              <w:top w:val="nil"/>
              <w:left w:val="nil"/>
              <w:bottom w:val="single" w:sz="4" w:space="0" w:color="auto"/>
              <w:right w:val="single" w:sz="4" w:space="0" w:color="auto"/>
            </w:tcBorders>
            <w:shd w:val="clear" w:color="auto" w:fill="auto"/>
            <w:noWrap/>
            <w:hideMark/>
          </w:tcPr>
          <w:p w14:paraId="52DEFFC8" w14:textId="77777777" w:rsidR="00691ABD" w:rsidRPr="00786273" w:rsidRDefault="00691ABD" w:rsidP="001E39EE">
            <w:pPr>
              <w:jc w:val="right"/>
              <w:rPr>
                <w:sz w:val="20"/>
                <w:szCs w:val="20"/>
                <w:lang w:val="fr-CA" w:eastAsia="en-CA"/>
              </w:rPr>
            </w:pPr>
            <w:r w:rsidRPr="00786273">
              <w:rPr>
                <w:sz w:val="20"/>
                <w:szCs w:val="20"/>
                <w:lang w:val="fr-CA" w:eastAsia="en-CA"/>
              </w:rPr>
              <w:t>42</w:t>
            </w:r>
          </w:p>
        </w:tc>
        <w:tc>
          <w:tcPr>
            <w:tcW w:w="1149" w:type="dxa"/>
            <w:tcBorders>
              <w:top w:val="nil"/>
              <w:left w:val="nil"/>
              <w:bottom w:val="single" w:sz="4" w:space="0" w:color="auto"/>
              <w:right w:val="single" w:sz="4" w:space="0" w:color="auto"/>
            </w:tcBorders>
            <w:shd w:val="clear" w:color="auto" w:fill="auto"/>
            <w:noWrap/>
            <w:hideMark/>
          </w:tcPr>
          <w:p w14:paraId="50077173"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11DDFA18" w14:textId="77777777" w:rsidTr="00AD0261">
        <w:trPr>
          <w:trHeight w:val="154"/>
        </w:trPr>
        <w:tc>
          <w:tcPr>
            <w:tcW w:w="2972" w:type="dxa"/>
            <w:tcBorders>
              <w:top w:val="nil"/>
              <w:left w:val="single" w:sz="4" w:space="0" w:color="auto"/>
              <w:bottom w:val="single" w:sz="4" w:space="0" w:color="auto"/>
              <w:right w:val="single" w:sz="4" w:space="0" w:color="auto"/>
            </w:tcBorders>
            <w:shd w:val="clear" w:color="auto" w:fill="auto"/>
            <w:noWrap/>
            <w:hideMark/>
          </w:tcPr>
          <w:p w14:paraId="0F553A7F" w14:textId="77777777" w:rsidR="00691ABD" w:rsidRPr="00786273" w:rsidRDefault="00691ABD" w:rsidP="001E39EE">
            <w:pPr>
              <w:jc w:val="left"/>
              <w:rPr>
                <w:sz w:val="20"/>
                <w:szCs w:val="20"/>
                <w:lang w:val="fr-CA" w:eastAsia="en-CA"/>
              </w:rPr>
            </w:pPr>
            <w:r w:rsidRPr="00786273">
              <w:rPr>
                <w:sz w:val="20"/>
                <w:szCs w:val="20"/>
                <w:lang w:val="fr-CA" w:eastAsia="en-CA"/>
              </w:rPr>
              <w:t>Ghana</w:t>
            </w:r>
          </w:p>
        </w:tc>
        <w:tc>
          <w:tcPr>
            <w:tcW w:w="851" w:type="dxa"/>
            <w:tcBorders>
              <w:top w:val="nil"/>
              <w:left w:val="nil"/>
              <w:bottom w:val="single" w:sz="4" w:space="0" w:color="auto"/>
              <w:right w:val="single" w:sz="4" w:space="0" w:color="auto"/>
            </w:tcBorders>
            <w:shd w:val="clear" w:color="auto" w:fill="auto"/>
            <w:noWrap/>
            <w:hideMark/>
          </w:tcPr>
          <w:p w14:paraId="53B1D421" w14:textId="483C83FA" w:rsidR="00691ABD" w:rsidRPr="00786273" w:rsidRDefault="00691ABD" w:rsidP="001E39EE">
            <w:pPr>
              <w:jc w:val="right"/>
              <w:rPr>
                <w:sz w:val="20"/>
                <w:szCs w:val="20"/>
                <w:lang w:val="fr-CA" w:eastAsia="en-CA"/>
              </w:rPr>
            </w:pPr>
            <w:r w:rsidRPr="00786273">
              <w:rPr>
                <w:sz w:val="20"/>
                <w:szCs w:val="20"/>
                <w:lang w:val="fr-CA" w:eastAsia="en-CA"/>
              </w:rPr>
              <w:t>8</w:t>
            </w:r>
            <w:r>
              <w:rPr>
                <w:sz w:val="20"/>
                <w:szCs w:val="20"/>
                <w:lang w:val="fr-CA" w:eastAsia="en-CA"/>
              </w:rPr>
              <w:t>,</w:t>
            </w:r>
            <w:r w:rsidRPr="00786273">
              <w:rPr>
                <w:sz w:val="20"/>
                <w:szCs w:val="20"/>
                <w:lang w:val="fr-CA" w:eastAsia="en-CA"/>
              </w:rPr>
              <w:t>5</w:t>
            </w:r>
          </w:p>
        </w:tc>
        <w:tc>
          <w:tcPr>
            <w:tcW w:w="1160" w:type="dxa"/>
            <w:tcBorders>
              <w:top w:val="nil"/>
              <w:left w:val="nil"/>
              <w:bottom w:val="single" w:sz="4" w:space="0" w:color="auto"/>
              <w:right w:val="single" w:sz="4" w:space="0" w:color="auto"/>
            </w:tcBorders>
            <w:shd w:val="clear" w:color="auto" w:fill="auto"/>
            <w:noWrap/>
            <w:hideMark/>
          </w:tcPr>
          <w:p w14:paraId="6823E674" w14:textId="77777777" w:rsidR="00691ABD" w:rsidRPr="00786273" w:rsidRDefault="00691ABD" w:rsidP="001E39EE">
            <w:pPr>
              <w:jc w:val="right"/>
              <w:rPr>
                <w:sz w:val="20"/>
                <w:szCs w:val="20"/>
                <w:lang w:val="fr-CA" w:eastAsia="en-CA"/>
              </w:rPr>
            </w:pPr>
            <w:r w:rsidRPr="00786273">
              <w:rPr>
                <w:sz w:val="20"/>
                <w:szCs w:val="20"/>
                <w:lang w:val="fr-CA" w:eastAsia="en-CA"/>
              </w:rPr>
              <w:t>61</w:t>
            </w:r>
          </w:p>
        </w:tc>
        <w:tc>
          <w:tcPr>
            <w:tcW w:w="1250" w:type="dxa"/>
            <w:tcBorders>
              <w:top w:val="nil"/>
              <w:left w:val="nil"/>
              <w:bottom w:val="single" w:sz="4" w:space="0" w:color="auto"/>
              <w:right w:val="single" w:sz="4" w:space="0" w:color="auto"/>
            </w:tcBorders>
            <w:shd w:val="clear" w:color="auto" w:fill="auto"/>
            <w:noWrap/>
            <w:hideMark/>
          </w:tcPr>
          <w:p w14:paraId="444CE2A2" w14:textId="74E81617" w:rsidR="00691ABD" w:rsidRPr="00786273" w:rsidRDefault="00691ABD" w:rsidP="001E39EE">
            <w:pPr>
              <w:jc w:val="right"/>
              <w:rPr>
                <w:sz w:val="20"/>
                <w:szCs w:val="20"/>
                <w:lang w:val="fr-CA" w:eastAsia="en-CA"/>
              </w:rPr>
            </w:pPr>
            <w:r w:rsidRPr="00786273">
              <w:rPr>
                <w:sz w:val="20"/>
                <w:szCs w:val="20"/>
                <w:lang w:val="fr-CA" w:eastAsia="en-CA"/>
              </w:rPr>
              <w:t>172</w:t>
            </w:r>
            <w:r>
              <w:rPr>
                <w:sz w:val="20"/>
                <w:szCs w:val="20"/>
                <w:lang w:val="fr-CA" w:eastAsia="en-CA"/>
              </w:rPr>
              <w:t xml:space="preserve"> </w:t>
            </w:r>
            <w:r w:rsidRPr="00786273">
              <w:rPr>
                <w:sz w:val="20"/>
                <w:szCs w:val="20"/>
                <w:lang w:val="fr-CA" w:eastAsia="en-CA"/>
              </w:rPr>
              <w:t>597</w:t>
            </w:r>
          </w:p>
        </w:tc>
        <w:tc>
          <w:tcPr>
            <w:tcW w:w="1276" w:type="dxa"/>
            <w:tcBorders>
              <w:top w:val="nil"/>
              <w:left w:val="nil"/>
              <w:bottom w:val="single" w:sz="4" w:space="0" w:color="auto"/>
              <w:right w:val="single" w:sz="4" w:space="0" w:color="auto"/>
            </w:tcBorders>
            <w:shd w:val="clear" w:color="auto" w:fill="auto"/>
            <w:noWrap/>
            <w:hideMark/>
          </w:tcPr>
          <w:p w14:paraId="549F294E" w14:textId="6E81A40E" w:rsidR="00691ABD" w:rsidRPr="00786273" w:rsidRDefault="00691ABD" w:rsidP="001E39EE">
            <w:pPr>
              <w:jc w:val="right"/>
              <w:rPr>
                <w:sz w:val="20"/>
                <w:szCs w:val="20"/>
                <w:lang w:val="fr-CA" w:eastAsia="en-CA"/>
              </w:rPr>
            </w:pPr>
            <w:r w:rsidRPr="00786273">
              <w:rPr>
                <w:sz w:val="20"/>
                <w:szCs w:val="20"/>
                <w:lang w:val="fr-CA" w:eastAsia="en-CA"/>
              </w:rPr>
              <w:t>180</w:t>
            </w:r>
            <w:r>
              <w:rPr>
                <w:sz w:val="20"/>
                <w:szCs w:val="20"/>
                <w:lang w:val="fr-CA" w:eastAsia="en-CA"/>
              </w:rPr>
              <w:t xml:space="preserve"> </w:t>
            </w:r>
            <w:r w:rsidRPr="00786273">
              <w:rPr>
                <w:sz w:val="20"/>
                <w:szCs w:val="20"/>
                <w:lang w:val="fr-CA" w:eastAsia="en-CA"/>
              </w:rPr>
              <w:t>932</w:t>
            </w:r>
          </w:p>
        </w:tc>
        <w:tc>
          <w:tcPr>
            <w:tcW w:w="1384" w:type="dxa"/>
            <w:tcBorders>
              <w:top w:val="nil"/>
              <w:left w:val="nil"/>
              <w:bottom w:val="single" w:sz="4" w:space="0" w:color="auto"/>
              <w:right w:val="single" w:sz="4" w:space="0" w:color="auto"/>
            </w:tcBorders>
            <w:shd w:val="clear" w:color="auto" w:fill="auto"/>
            <w:noWrap/>
            <w:hideMark/>
          </w:tcPr>
          <w:p w14:paraId="790087F9" w14:textId="77777777" w:rsidR="00691ABD" w:rsidRPr="00786273" w:rsidRDefault="00691ABD" w:rsidP="001E39EE">
            <w:pPr>
              <w:jc w:val="right"/>
              <w:rPr>
                <w:sz w:val="20"/>
                <w:szCs w:val="20"/>
                <w:lang w:val="fr-CA" w:eastAsia="en-CA"/>
              </w:rPr>
            </w:pPr>
            <w:r w:rsidRPr="00786273">
              <w:rPr>
                <w:sz w:val="20"/>
                <w:szCs w:val="20"/>
                <w:lang w:val="fr-CA" w:eastAsia="en-CA"/>
              </w:rPr>
              <w:t>105</w:t>
            </w:r>
          </w:p>
        </w:tc>
        <w:tc>
          <w:tcPr>
            <w:tcW w:w="1149" w:type="dxa"/>
            <w:tcBorders>
              <w:top w:val="nil"/>
              <w:left w:val="nil"/>
              <w:bottom w:val="single" w:sz="4" w:space="0" w:color="auto"/>
              <w:right w:val="single" w:sz="4" w:space="0" w:color="auto"/>
            </w:tcBorders>
            <w:shd w:val="clear" w:color="auto" w:fill="auto"/>
            <w:noWrap/>
            <w:hideMark/>
          </w:tcPr>
          <w:p w14:paraId="246D5837" w14:textId="77777777" w:rsidR="00691ABD" w:rsidRPr="00786273" w:rsidRDefault="00691ABD" w:rsidP="001E39EE">
            <w:pPr>
              <w:jc w:val="right"/>
              <w:rPr>
                <w:sz w:val="20"/>
                <w:szCs w:val="20"/>
                <w:lang w:val="fr-CA" w:eastAsia="en-CA"/>
              </w:rPr>
            </w:pPr>
            <w:r w:rsidRPr="00786273">
              <w:rPr>
                <w:sz w:val="20"/>
                <w:szCs w:val="20"/>
                <w:lang w:val="fr-CA" w:eastAsia="en-CA"/>
              </w:rPr>
              <w:t>75</w:t>
            </w:r>
          </w:p>
        </w:tc>
      </w:tr>
      <w:tr w:rsidR="00691ABD" w:rsidRPr="00786273" w14:paraId="5CD19646" w14:textId="77777777" w:rsidTr="00AD0261">
        <w:trPr>
          <w:trHeight w:val="59"/>
        </w:trPr>
        <w:tc>
          <w:tcPr>
            <w:tcW w:w="2972" w:type="dxa"/>
            <w:tcBorders>
              <w:top w:val="nil"/>
              <w:left w:val="single" w:sz="4" w:space="0" w:color="auto"/>
              <w:bottom w:val="single" w:sz="4" w:space="0" w:color="auto"/>
              <w:right w:val="single" w:sz="4" w:space="0" w:color="auto"/>
            </w:tcBorders>
            <w:shd w:val="clear" w:color="auto" w:fill="auto"/>
            <w:noWrap/>
            <w:hideMark/>
          </w:tcPr>
          <w:p w14:paraId="0BD02278" w14:textId="77777777" w:rsidR="00691ABD" w:rsidRPr="00786273" w:rsidRDefault="00691ABD" w:rsidP="001E39EE">
            <w:pPr>
              <w:jc w:val="left"/>
              <w:rPr>
                <w:sz w:val="20"/>
                <w:szCs w:val="20"/>
                <w:lang w:val="fr-CA" w:eastAsia="en-CA"/>
              </w:rPr>
            </w:pPr>
            <w:r>
              <w:rPr>
                <w:sz w:val="20"/>
                <w:szCs w:val="20"/>
                <w:lang w:val="fr-CA" w:eastAsia="en-CA"/>
              </w:rPr>
              <w:t>Grenade</w:t>
            </w:r>
          </w:p>
        </w:tc>
        <w:tc>
          <w:tcPr>
            <w:tcW w:w="851" w:type="dxa"/>
            <w:tcBorders>
              <w:top w:val="nil"/>
              <w:left w:val="nil"/>
              <w:bottom w:val="single" w:sz="4" w:space="0" w:color="auto"/>
              <w:right w:val="single" w:sz="4" w:space="0" w:color="auto"/>
            </w:tcBorders>
            <w:shd w:val="clear" w:color="auto" w:fill="auto"/>
            <w:noWrap/>
            <w:hideMark/>
          </w:tcPr>
          <w:p w14:paraId="4AC70E77" w14:textId="1810B2D7"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5182BFE6"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2008BE23" w14:textId="004AC289" w:rsidR="00691ABD" w:rsidRPr="00786273" w:rsidRDefault="00691ABD" w:rsidP="001E39EE">
            <w:pPr>
              <w:jc w:val="right"/>
              <w:rPr>
                <w:sz w:val="20"/>
                <w:szCs w:val="20"/>
                <w:lang w:val="fr-CA" w:eastAsia="en-CA"/>
              </w:rPr>
            </w:pPr>
            <w:r w:rsidRPr="00786273">
              <w:rPr>
                <w:sz w:val="20"/>
                <w:szCs w:val="20"/>
                <w:lang w:val="fr-CA" w:eastAsia="en-CA"/>
              </w:rPr>
              <w:t>48</w:t>
            </w:r>
            <w:r>
              <w:rPr>
                <w:sz w:val="20"/>
                <w:szCs w:val="20"/>
                <w:lang w:val="fr-CA" w:eastAsia="en-CA"/>
              </w:rPr>
              <w:t xml:space="preserve"> </w:t>
            </w:r>
            <w:r w:rsidRPr="00786273">
              <w:rPr>
                <w:sz w:val="20"/>
                <w:szCs w:val="20"/>
                <w:lang w:val="fr-CA" w:eastAsia="en-CA"/>
              </w:rPr>
              <w:t>559</w:t>
            </w:r>
          </w:p>
        </w:tc>
        <w:tc>
          <w:tcPr>
            <w:tcW w:w="1276" w:type="dxa"/>
            <w:tcBorders>
              <w:top w:val="nil"/>
              <w:left w:val="nil"/>
              <w:bottom w:val="single" w:sz="4" w:space="0" w:color="auto"/>
              <w:right w:val="single" w:sz="4" w:space="0" w:color="auto"/>
            </w:tcBorders>
            <w:shd w:val="clear" w:color="auto" w:fill="auto"/>
            <w:noWrap/>
            <w:hideMark/>
          </w:tcPr>
          <w:p w14:paraId="0A73078E" w14:textId="110A6A37"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 xml:space="preserve"> </w:t>
            </w:r>
            <w:r w:rsidRPr="00786273">
              <w:rPr>
                <w:sz w:val="20"/>
                <w:szCs w:val="20"/>
                <w:lang w:val="fr-CA" w:eastAsia="en-CA"/>
              </w:rPr>
              <w:t>919</w:t>
            </w:r>
          </w:p>
        </w:tc>
        <w:tc>
          <w:tcPr>
            <w:tcW w:w="1384" w:type="dxa"/>
            <w:tcBorders>
              <w:top w:val="nil"/>
              <w:left w:val="nil"/>
              <w:bottom w:val="single" w:sz="4" w:space="0" w:color="auto"/>
              <w:right w:val="single" w:sz="4" w:space="0" w:color="auto"/>
            </w:tcBorders>
            <w:shd w:val="clear" w:color="auto" w:fill="auto"/>
            <w:noWrap/>
            <w:hideMark/>
          </w:tcPr>
          <w:p w14:paraId="79F586F5" w14:textId="77777777" w:rsidR="00691ABD" w:rsidRPr="00786273" w:rsidRDefault="00691ABD" w:rsidP="001E39EE">
            <w:pPr>
              <w:jc w:val="right"/>
              <w:rPr>
                <w:sz w:val="20"/>
                <w:szCs w:val="20"/>
                <w:lang w:val="fr-CA" w:eastAsia="en-CA"/>
              </w:rPr>
            </w:pPr>
            <w:r w:rsidRPr="00786273">
              <w:rPr>
                <w:sz w:val="20"/>
                <w:szCs w:val="20"/>
                <w:lang w:val="fr-CA" w:eastAsia="en-CA"/>
              </w:rPr>
              <w:t>4</w:t>
            </w:r>
          </w:p>
        </w:tc>
        <w:tc>
          <w:tcPr>
            <w:tcW w:w="1149" w:type="dxa"/>
            <w:tcBorders>
              <w:top w:val="nil"/>
              <w:left w:val="nil"/>
              <w:bottom w:val="single" w:sz="4" w:space="0" w:color="auto"/>
              <w:right w:val="single" w:sz="4" w:space="0" w:color="auto"/>
            </w:tcBorders>
            <w:shd w:val="clear" w:color="auto" w:fill="auto"/>
            <w:noWrap/>
            <w:hideMark/>
          </w:tcPr>
          <w:p w14:paraId="5B4763EE" w14:textId="77777777" w:rsidR="00691ABD" w:rsidRPr="00786273" w:rsidRDefault="00691ABD" w:rsidP="001E39EE">
            <w:pPr>
              <w:jc w:val="right"/>
              <w:rPr>
                <w:sz w:val="20"/>
                <w:szCs w:val="20"/>
                <w:lang w:val="fr-CA" w:eastAsia="en-CA"/>
              </w:rPr>
            </w:pPr>
            <w:r w:rsidRPr="00786273">
              <w:rPr>
                <w:sz w:val="20"/>
                <w:szCs w:val="20"/>
                <w:lang w:val="fr-CA" w:eastAsia="en-CA"/>
              </w:rPr>
              <w:t>33</w:t>
            </w:r>
          </w:p>
        </w:tc>
      </w:tr>
      <w:tr w:rsidR="00691ABD" w:rsidRPr="00786273" w14:paraId="50418958" w14:textId="77777777" w:rsidTr="00AD0261">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6F7EDC16" w14:textId="77777777" w:rsidR="00691ABD" w:rsidRPr="00786273" w:rsidRDefault="00691ABD" w:rsidP="001E39EE">
            <w:pPr>
              <w:jc w:val="left"/>
              <w:rPr>
                <w:sz w:val="20"/>
                <w:szCs w:val="20"/>
                <w:lang w:val="fr-CA" w:eastAsia="en-CA"/>
              </w:rPr>
            </w:pPr>
            <w:r w:rsidRPr="00786273">
              <w:rPr>
                <w:sz w:val="20"/>
                <w:szCs w:val="20"/>
                <w:lang w:val="fr-CA" w:eastAsia="en-CA"/>
              </w:rPr>
              <w:t>Guatemala</w:t>
            </w:r>
          </w:p>
        </w:tc>
        <w:tc>
          <w:tcPr>
            <w:tcW w:w="851" w:type="dxa"/>
            <w:tcBorders>
              <w:top w:val="nil"/>
              <w:left w:val="nil"/>
              <w:bottom w:val="single" w:sz="4" w:space="0" w:color="auto"/>
              <w:right w:val="single" w:sz="4" w:space="0" w:color="auto"/>
            </w:tcBorders>
            <w:shd w:val="clear" w:color="auto" w:fill="auto"/>
            <w:noWrap/>
            <w:hideMark/>
          </w:tcPr>
          <w:p w14:paraId="70CE1DF8" w14:textId="2FF297BA"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8</w:t>
            </w:r>
          </w:p>
        </w:tc>
        <w:tc>
          <w:tcPr>
            <w:tcW w:w="1160" w:type="dxa"/>
            <w:tcBorders>
              <w:top w:val="nil"/>
              <w:left w:val="nil"/>
              <w:bottom w:val="single" w:sz="4" w:space="0" w:color="auto"/>
              <w:right w:val="single" w:sz="4" w:space="0" w:color="auto"/>
            </w:tcBorders>
            <w:shd w:val="clear" w:color="auto" w:fill="auto"/>
            <w:noWrap/>
            <w:hideMark/>
          </w:tcPr>
          <w:p w14:paraId="2E60952D"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4A47B058" w14:textId="36B54CBE" w:rsidR="00691ABD" w:rsidRPr="00786273" w:rsidRDefault="00691ABD" w:rsidP="001E39EE">
            <w:pPr>
              <w:jc w:val="right"/>
              <w:rPr>
                <w:sz w:val="20"/>
                <w:szCs w:val="20"/>
                <w:lang w:val="fr-CA" w:eastAsia="en-CA"/>
              </w:rPr>
            </w:pPr>
            <w:r w:rsidRPr="00786273">
              <w:rPr>
                <w:sz w:val="20"/>
                <w:szCs w:val="20"/>
                <w:lang w:val="fr-CA" w:eastAsia="en-CA"/>
              </w:rPr>
              <w:t>100</w:t>
            </w:r>
            <w:r>
              <w:rPr>
                <w:sz w:val="20"/>
                <w:szCs w:val="20"/>
                <w:lang w:val="fr-CA" w:eastAsia="en-CA"/>
              </w:rPr>
              <w:t xml:space="preserve"> </w:t>
            </w:r>
            <w:r w:rsidRPr="00786273">
              <w:rPr>
                <w:sz w:val="20"/>
                <w:szCs w:val="20"/>
                <w:lang w:val="fr-CA" w:eastAsia="en-CA"/>
              </w:rPr>
              <w:t>047</w:t>
            </w:r>
          </w:p>
        </w:tc>
        <w:tc>
          <w:tcPr>
            <w:tcW w:w="1276" w:type="dxa"/>
            <w:tcBorders>
              <w:top w:val="nil"/>
              <w:left w:val="nil"/>
              <w:bottom w:val="single" w:sz="4" w:space="0" w:color="auto"/>
              <w:right w:val="single" w:sz="4" w:space="0" w:color="auto"/>
            </w:tcBorders>
            <w:shd w:val="clear" w:color="auto" w:fill="auto"/>
            <w:noWrap/>
            <w:hideMark/>
          </w:tcPr>
          <w:p w14:paraId="3B45075F" w14:textId="1CE864ED" w:rsidR="00691ABD" w:rsidRPr="00786273" w:rsidRDefault="00691ABD" w:rsidP="001E39EE">
            <w:pPr>
              <w:jc w:val="right"/>
              <w:rPr>
                <w:sz w:val="20"/>
                <w:szCs w:val="20"/>
                <w:lang w:val="fr-CA" w:eastAsia="en-CA"/>
              </w:rPr>
            </w:pPr>
            <w:r w:rsidRPr="00786273">
              <w:rPr>
                <w:sz w:val="20"/>
                <w:szCs w:val="20"/>
                <w:lang w:val="fr-CA" w:eastAsia="en-CA"/>
              </w:rPr>
              <w:t>136</w:t>
            </w:r>
            <w:r>
              <w:rPr>
                <w:sz w:val="20"/>
                <w:szCs w:val="20"/>
                <w:lang w:val="fr-CA" w:eastAsia="en-CA"/>
              </w:rPr>
              <w:t xml:space="preserve"> </w:t>
            </w:r>
            <w:r w:rsidRPr="00786273">
              <w:rPr>
                <w:sz w:val="20"/>
                <w:szCs w:val="20"/>
                <w:lang w:val="fr-CA" w:eastAsia="en-CA"/>
              </w:rPr>
              <w:t>679</w:t>
            </w:r>
          </w:p>
        </w:tc>
        <w:tc>
          <w:tcPr>
            <w:tcW w:w="1384" w:type="dxa"/>
            <w:tcBorders>
              <w:top w:val="nil"/>
              <w:left w:val="nil"/>
              <w:bottom w:val="single" w:sz="4" w:space="0" w:color="auto"/>
              <w:right w:val="single" w:sz="4" w:space="0" w:color="auto"/>
            </w:tcBorders>
            <w:shd w:val="clear" w:color="auto" w:fill="auto"/>
            <w:noWrap/>
            <w:hideMark/>
          </w:tcPr>
          <w:p w14:paraId="62389476" w14:textId="77777777" w:rsidR="00691ABD" w:rsidRPr="00786273" w:rsidRDefault="00691ABD" w:rsidP="001E39EE">
            <w:pPr>
              <w:jc w:val="right"/>
              <w:rPr>
                <w:sz w:val="20"/>
                <w:szCs w:val="20"/>
                <w:lang w:val="fr-CA" w:eastAsia="en-CA"/>
              </w:rPr>
            </w:pPr>
            <w:r w:rsidRPr="00786273">
              <w:rPr>
                <w:sz w:val="20"/>
                <w:szCs w:val="20"/>
                <w:lang w:val="fr-CA" w:eastAsia="en-CA"/>
              </w:rPr>
              <w:t>137</w:t>
            </w:r>
          </w:p>
        </w:tc>
        <w:tc>
          <w:tcPr>
            <w:tcW w:w="1149" w:type="dxa"/>
            <w:tcBorders>
              <w:top w:val="nil"/>
              <w:left w:val="nil"/>
              <w:bottom w:val="single" w:sz="4" w:space="0" w:color="auto"/>
              <w:right w:val="single" w:sz="4" w:space="0" w:color="auto"/>
            </w:tcBorders>
            <w:shd w:val="clear" w:color="auto" w:fill="auto"/>
            <w:noWrap/>
            <w:hideMark/>
          </w:tcPr>
          <w:p w14:paraId="2FA4619D"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030013D8"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D3ECF7B" w14:textId="77777777" w:rsidR="00691ABD" w:rsidRPr="00786273" w:rsidRDefault="00691ABD" w:rsidP="001E39EE">
            <w:pPr>
              <w:jc w:val="left"/>
              <w:rPr>
                <w:sz w:val="20"/>
                <w:szCs w:val="20"/>
                <w:lang w:val="fr-CA" w:eastAsia="en-CA"/>
              </w:rPr>
            </w:pPr>
            <w:r>
              <w:rPr>
                <w:sz w:val="20"/>
                <w:szCs w:val="20"/>
                <w:lang w:val="fr-CA" w:eastAsia="en-CA"/>
              </w:rPr>
              <w:t>Guinée</w:t>
            </w:r>
          </w:p>
        </w:tc>
        <w:tc>
          <w:tcPr>
            <w:tcW w:w="851" w:type="dxa"/>
            <w:tcBorders>
              <w:top w:val="nil"/>
              <w:left w:val="nil"/>
              <w:bottom w:val="single" w:sz="4" w:space="0" w:color="auto"/>
              <w:right w:val="single" w:sz="4" w:space="0" w:color="auto"/>
            </w:tcBorders>
            <w:shd w:val="clear" w:color="auto" w:fill="auto"/>
            <w:noWrap/>
            <w:hideMark/>
          </w:tcPr>
          <w:p w14:paraId="6DAA8BB4" w14:textId="6BAA9951"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2BE797E"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2047AF6A" w14:textId="04D90F8B" w:rsidR="00691ABD" w:rsidRPr="00786273" w:rsidRDefault="00691ABD" w:rsidP="001E39EE">
            <w:pPr>
              <w:jc w:val="right"/>
              <w:rPr>
                <w:sz w:val="20"/>
                <w:szCs w:val="20"/>
                <w:lang w:val="fr-CA" w:eastAsia="en-CA"/>
              </w:rPr>
            </w:pPr>
            <w:r w:rsidRPr="00786273">
              <w:rPr>
                <w:sz w:val="20"/>
                <w:szCs w:val="20"/>
                <w:lang w:val="fr-CA" w:eastAsia="en-CA"/>
              </w:rPr>
              <w:t>33</w:t>
            </w:r>
            <w:r>
              <w:rPr>
                <w:sz w:val="20"/>
                <w:szCs w:val="20"/>
                <w:lang w:val="fr-CA" w:eastAsia="en-CA"/>
              </w:rPr>
              <w:t xml:space="preserve"> </w:t>
            </w:r>
            <w:r w:rsidRPr="00786273">
              <w:rPr>
                <w:sz w:val="20"/>
                <w:szCs w:val="20"/>
                <w:lang w:val="fr-CA" w:eastAsia="en-CA"/>
              </w:rPr>
              <w:t>698</w:t>
            </w:r>
          </w:p>
        </w:tc>
        <w:tc>
          <w:tcPr>
            <w:tcW w:w="1276" w:type="dxa"/>
            <w:tcBorders>
              <w:top w:val="nil"/>
              <w:left w:val="nil"/>
              <w:bottom w:val="single" w:sz="4" w:space="0" w:color="auto"/>
              <w:right w:val="single" w:sz="4" w:space="0" w:color="auto"/>
            </w:tcBorders>
            <w:shd w:val="clear" w:color="auto" w:fill="auto"/>
            <w:noWrap/>
            <w:hideMark/>
          </w:tcPr>
          <w:p w14:paraId="79214AC6" w14:textId="2F547ADB" w:rsidR="00691ABD" w:rsidRPr="00786273" w:rsidRDefault="00691ABD" w:rsidP="001E39EE">
            <w:pPr>
              <w:jc w:val="right"/>
              <w:rPr>
                <w:sz w:val="20"/>
                <w:szCs w:val="20"/>
                <w:lang w:val="fr-CA" w:eastAsia="en-CA"/>
              </w:rPr>
            </w:pPr>
            <w:r w:rsidRPr="00786273">
              <w:rPr>
                <w:sz w:val="20"/>
                <w:szCs w:val="20"/>
                <w:lang w:val="fr-CA" w:eastAsia="en-CA"/>
              </w:rPr>
              <w:t>94</w:t>
            </w:r>
            <w:r>
              <w:rPr>
                <w:sz w:val="20"/>
                <w:szCs w:val="20"/>
                <w:lang w:val="fr-CA" w:eastAsia="en-CA"/>
              </w:rPr>
              <w:t xml:space="preserve"> </w:t>
            </w:r>
            <w:r w:rsidRPr="00786273">
              <w:rPr>
                <w:sz w:val="20"/>
                <w:szCs w:val="20"/>
                <w:lang w:val="fr-CA" w:eastAsia="en-CA"/>
              </w:rPr>
              <w:t>930</w:t>
            </w:r>
          </w:p>
        </w:tc>
        <w:tc>
          <w:tcPr>
            <w:tcW w:w="1384" w:type="dxa"/>
            <w:tcBorders>
              <w:top w:val="nil"/>
              <w:left w:val="nil"/>
              <w:bottom w:val="single" w:sz="4" w:space="0" w:color="auto"/>
              <w:right w:val="single" w:sz="4" w:space="0" w:color="auto"/>
            </w:tcBorders>
            <w:shd w:val="clear" w:color="auto" w:fill="auto"/>
            <w:noWrap/>
            <w:hideMark/>
          </w:tcPr>
          <w:p w14:paraId="0D3E82E5" w14:textId="77777777" w:rsidR="00691ABD" w:rsidRPr="00786273" w:rsidRDefault="00691ABD" w:rsidP="001E39EE">
            <w:pPr>
              <w:jc w:val="right"/>
              <w:rPr>
                <w:sz w:val="20"/>
                <w:szCs w:val="20"/>
                <w:lang w:val="fr-CA" w:eastAsia="en-CA"/>
              </w:rPr>
            </w:pPr>
            <w:r w:rsidRPr="00786273">
              <w:rPr>
                <w:sz w:val="20"/>
                <w:szCs w:val="20"/>
                <w:lang w:val="fr-CA" w:eastAsia="en-CA"/>
              </w:rPr>
              <w:t>282</w:t>
            </w:r>
          </w:p>
        </w:tc>
        <w:tc>
          <w:tcPr>
            <w:tcW w:w="1149" w:type="dxa"/>
            <w:tcBorders>
              <w:top w:val="nil"/>
              <w:left w:val="nil"/>
              <w:bottom w:val="single" w:sz="4" w:space="0" w:color="auto"/>
              <w:right w:val="single" w:sz="4" w:space="0" w:color="auto"/>
            </w:tcBorders>
            <w:shd w:val="clear" w:color="auto" w:fill="auto"/>
            <w:noWrap/>
            <w:hideMark/>
          </w:tcPr>
          <w:p w14:paraId="32305380"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5CD09E7C" w14:textId="77777777" w:rsidTr="00AD0261">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3505FDBE" w14:textId="77777777" w:rsidR="00691ABD" w:rsidRPr="00786273" w:rsidRDefault="00691ABD" w:rsidP="001E39EE">
            <w:pPr>
              <w:jc w:val="left"/>
              <w:rPr>
                <w:sz w:val="20"/>
                <w:szCs w:val="20"/>
                <w:lang w:val="fr-CA" w:eastAsia="en-CA"/>
              </w:rPr>
            </w:pPr>
            <w:r>
              <w:rPr>
                <w:sz w:val="20"/>
                <w:szCs w:val="20"/>
                <w:lang w:val="fr-CA" w:eastAsia="en-CA"/>
              </w:rPr>
              <w:t>Guinée équatoriale</w:t>
            </w:r>
          </w:p>
        </w:tc>
        <w:tc>
          <w:tcPr>
            <w:tcW w:w="851" w:type="dxa"/>
            <w:tcBorders>
              <w:top w:val="nil"/>
              <w:left w:val="nil"/>
              <w:bottom w:val="single" w:sz="4" w:space="0" w:color="auto"/>
              <w:right w:val="single" w:sz="4" w:space="0" w:color="auto"/>
            </w:tcBorders>
            <w:shd w:val="clear" w:color="auto" w:fill="auto"/>
            <w:noWrap/>
            <w:hideMark/>
          </w:tcPr>
          <w:p w14:paraId="41E42550" w14:textId="4CE1FDF7"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8783CE3"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67C4AD99" w14:textId="4D085FEB" w:rsidR="00691ABD" w:rsidRPr="00786273" w:rsidRDefault="00691ABD" w:rsidP="001E39EE">
            <w:pPr>
              <w:jc w:val="right"/>
              <w:rPr>
                <w:sz w:val="20"/>
                <w:szCs w:val="20"/>
                <w:lang w:val="fr-CA" w:eastAsia="en-CA"/>
              </w:rPr>
            </w:pPr>
            <w:r w:rsidRPr="00786273">
              <w:rPr>
                <w:sz w:val="20"/>
                <w:szCs w:val="20"/>
                <w:lang w:val="fr-CA" w:eastAsia="en-CA"/>
              </w:rPr>
              <w:t>92</w:t>
            </w:r>
            <w:r>
              <w:rPr>
                <w:sz w:val="20"/>
                <w:szCs w:val="20"/>
                <w:lang w:val="fr-CA" w:eastAsia="en-CA"/>
              </w:rPr>
              <w:t xml:space="preserve"> </w:t>
            </w:r>
            <w:r w:rsidRPr="00786273">
              <w:rPr>
                <w:sz w:val="20"/>
                <w:szCs w:val="20"/>
                <w:lang w:val="fr-CA" w:eastAsia="en-CA"/>
              </w:rPr>
              <w:t>655</w:t>
            </w:r>
          </w:p>
        </w:tc>
        <w:tc>
          <w:tcPr>
            <w:tcW w:w="1276" w:type="dxa"/>
            <w:tcBorders>
              <w:top w:val="nil"/>
              <w:left w:val="nil"/>
              <w:bottom w:val="single" w:sz="4" w:space="0" w:color="auto"/>
              <w:right w:val="single" w:sz="4" w:space="0" w:color="auto"/>
            </w:tcBorders>
            <w:shd w:val="clear" w:color="auto" w:fill="auto"/>
            <w:noWrap/>
            <w:hideMark/>
          </w:tcPr>
          <w:p w14:paraId="7F44BE50" w14:textId="2B1C9264" w:rsidR="00691ABD" w:rsidRPr="00786273" w:rsidRDefault="00691ABD" w:rsidP="001E39EE">
            <w:pPr>
              <w:jc w:val="right"/>
              <w:rPr>
                <w:sz w:val="20"/>
                <w:szCs w:val="20"/>
                <w:lang w:val="fr-CA" w:eastAsia="en-CA"/>
              </w:rPr>
            </w:pPr>
            <w:r w:rsidRPr="00786273">
              <w:rPr>
                <w:sz w:val="20"/>
                <w:szCs w:val="20"/>
                <w:lang w:val="fr-CA" w:eastAsia="en-CA"/>
              </w:rPr>
              <w:t>146</w:t>
            </w:r>
            <w:r>
              <w:rPr>
                <w:sz w:val="20"/>
                <w:szCs w:val="20"/>
                <w:lang w:val="fr-CA" w:eastAsia="en-CA"/>
              </w:rPr>
              <w:t xml:space="preserve"> </w:t>
            </w:r>
            <w:r w:rsidRPr="00786273">
              <w:rPr>
                <w:sz w:val="20"/>
                <w:szCs w:val="20"/>
                <w:lang w:val="fr-CA" w:eastAsia="en-CA"/>
              </w:rPr>
              <w:t>301</w:t>
            </w:r>
          </w:p>
        </w:tc>
        <w:tc>
          <w:tcPr>
            <w:tcW w:w="1384" w:type="dxa"/>
            <w:tcBorders>
              <w:top w:val="nil"/>
              <w:left w:val="nil"/>
              <w:bottom w:val="single" w:sz="4" w:space="0" w:color="auto"/>
              <w:right w:val="single" w:sz="4" w:space="0" w:color="auto"/>
            </w:tcBorders>
            <w:shd w:val="clear" w:color="auto" w:fill="auto"/>
            <w:noWrap/>
            <w:hideMark/>
          </w:tcPr>
          <w:p w14:paraId="0B460D4F" w14:textId="77777777" w:rsidR="00691ABD" w:rsidRPr="00786273" w:rsidRDefault="00691ABD" w:rsidP="001E39EE">
            <w:pPr>
              <w:jc w:val="right"/>
              <w:rPr>
                <w:sz w:val="20"/>
                <w:szCs w:val="20"/>
                <w:lang w:val="fr-CA" w:eastAsia="en-CA"/>
              </w:rPr>
            </w:pPr>
            <w:r w:rsidRPr="00786273">
              <w:rPr>
                <w:sz w:val="20"/>
                <w:szCs w:val="20"/>
                <w:lang w:val="fr-CA" w:eastAsia="en-CA"/>
              </w:rPr>
              <w:t>158</w:t>
            </w:r>
          </w:p>
        </w:tc>
        <w:tc>
          <w:tcPr>
            <w:tcW w:w="1149" w:type="dxa"/>
            <w:tcBorders>
              <w:top w:val="nil"/>
              <w:left w:val="nil"/>
              <w:bottom w:val="single" w:sz="4" w:space="0" w:color="auto"/>
              <w:right w:val="single" w:sz="4" w:space="0" w:color="auto"/>
            </w:tcBorders>
            <w:shd w:val="clear" w:color="auto" w:fill="auto"/>
            <w:noWrap/>
            <w:hideMark/>
          </w:tcPr>
          <w:p w14:paraId="1979481F"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26909108"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A5CD0FD" w14:textId="77777777" w:rsidR="00691ABD" w:rsidRPr="00786273" w:rsidRDefault="00691ABD" w:rsidP="001E39EE">
            <w:pPr>
              <w:jc w:val="left"/>
              <w:rPr>
                <w:sz w:val="20"/>
                <w:szCs w:val="20"/>
                <w:lang w:val="fr-CA" w:eastAsia="en-CA"/>
              </w:rPr>
            </w:pPr>
            <w:r>
              <w:rPr>
                <w:sz w:val="20"/>
                <w:szCs w:val="20"/>
                <w:lang w:val="fr-CA" w:eastAsia="en-CA"/>
              </w:rPr>
              <w:t>Guinée</w:t>
            </w:r>
            <w:r w:rsidRPr="00786273">
              <w:rPr>
                <w:sz w:val="20"/>
                <w:szCs w:val="20"/>
                <w:lang w:val="fr-CA" w:eastAsia="en-CA"/>
              </w:rPr>
              <w:t>-Bissau</w:t>
            </w:r>
          </w:p>
        </w:tc>
        <w:tc>
          <w:tcPr>
            <w:tcW w:w="851" w:type="dxa"/>
            <w:tcBorders>
              <w:top w:val="nil"/>
              <w:left w:val="nil"/>
              <w:bottom w:val="single" w:sz="4" w:space="0" w:color="auto"/>
              <w:right w:val="single" w:sz="4" w:space="0" w:color="auto"/>
            </w:tcBorders>
            <w:shd w:val="clear" w:color="auto" w:fill="auto"/>
            <w:noWrap/>
            <w:hideMark/>
          </w:tcPr>
          <w:p w14:paraId="65CA60DC" w14:textId="5C12B787"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FF2C7CB"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3FE7717D" w14:textId="73217AD4" w:rsidR="00691ABD" w:rsidRPr="00786273" w:rsidRDefault="00691ABD" w:rsidP="001E39EE">
            <w:pPr>
              <w:jc w:val="right"/>
              <w:rPr>
                <w:sz w:val="20"/>
                <w:szCs w:val="20"/>
                <w:lang w:val="fr-CA" w:eastAsia="en-CA"/>
              </w:rPr>
            </w:pPr>
            <w:r w:rsidRPr="00786273">
              <w:rPr>
                <w:sz w:val="20"/>
                <w:szCs w:val="20"/>
                <w:lang w:val="fr-CA" w:eastAsia="en-CA"/>
              </w:rPr>
              <w:t>76</w:t>
            </w:r>
            <w:r>
              <w:rPr>
                <w:sz w:val="20"/>
                <w:szCs w:val="20"/>
                <w:lang w:val="fr-CA" w:eastAsia="en-CA"/>
              </w:rPr>
              <w:t xml:space="preserve"> </w:t>
            </w:r>
            <w:r w:rsidRPr="00786273">
              <w:rPr>
                <w:sz w:val="20"/>
                <w:szCs w:val="20"/>
                <w:lang w:val="fr-CA" w:eastAsia="en-CA"/>
              </w:rPr>
              <w:t>982</w:t>
            </w:r>
          </w:p>
        </w:tc>
        <w:tc>
          <w:tcPr>
            <w:tcW w:w="1276" w:type="dxa"/>
            <w:tcBorders>
              <w:top w:val="nil"/>
              <w:left w:val="nil"/>
              <w:bottom w:val="single" w:sz="4" w:space="0" w:color="auto"/>
              <w:right w:val="single" w:sz="4" w:space="0" w:color="auto"/>
            </w:tcBorders>
            <w:shd w:val="clear" w:color="auto" w:fill="auto"/>
            <w:noWrap/>
            <w:hideMark/>
          </w:tcPr>
          <w:p w14:paraId="2CF9B1D6" w14:textId="3F4B468A" w:rsidR="00691ABD" w:rsidRPr="00786273" w:rsidRDefault="00691ABD" w:rsidP="001E39EE">
            <w:pPr>
              <w:jc w:val="right"/>
              <w:rPr>
                <w:sz w:val="20"/>
                <w:szCs w:val="20"/>
                <w:lang w:val="fr-CA" w:eastAsia="en-CA"/>
              </w:rPr>
            </w:pPr>
            <w:r w:rsidRPr="00786273">
              <w:rPr>
                <w:sz w:val="20"/>
                <w:szCs w:val="20"/>
                <w:lang w:val="fr-CA" w:eastAsia="en-CA"/>
              </w:rPr>
              <w:t>42</w:t>
            </w:r>
            <w:r>
              <w:rPr>
                <w:sz w:val="20"/>
                <w:szCs w:val="20"/>
                <w:lang w:val="fr-CA" w:eastAsia="en-CA"/>
              </w:rPr>
              <w:t xml:space="preserve"> </w:t>
            </w:r>
            <w:r w:rsidRPr="00786273">
              <w:rPr>
                <w:sz w:val="20"/>
                <w:szCs w:val="20"/>
                <w:lang w:val="fr-CA" w:eastAsia="en-CA"/>
              </w:rPr>
              <w:t>549</w:t>
            </w:r>
          </w:p>
        </w:tc>
        <w:tc>
          <w:tcPr>
            <w:tcW w:w="1384" w:type="dxa"/>
            <w:tcBorders>
              <w:top w:val="nil"/>
              <w:left w:val="nil"/>
              <w:bottom w:val="single" w:sz="4" w:space="0" w:color="auto"/>
              <w:right w:val="single" w:sz="4" w:space="0" w:color="auto"/>
            </w:tcBorders>
            <w:shd w:val="clear" w:color="auto" w:fill="auto"/>
            <w:noWrap/>
            <w:hideMark/>
          </w:tcPr>
          <w:p w14:paraId="02282807" w14:textId="77777777" w:rsidR="00691ABD" w:rsidRPr="00786273" w:rsidRDefault="00691ABD" w:rsidP="001E39EE">
            <w:pPr>
              <w:jc w:val="right"/>
              <w:rPr>
                <w:sz w:val="20"/>
                <w:szCs w:val="20"/>
                <w:lang w:val="fr-CA" w:eastAsia="en-CA"/>
              </w:rPr>
            </w:pPr>
            <w:r w:rsidRPr="00786273">
              <w:rPr>
                <w:sz w:val="20"/>
                <w:szCs w:val="20"/>
                <w:lang w:val="fr-CA" w:eastAsia="en-CA"/>
              </w:rPr>
              <w:t>55</w:t>
            </w:r>
          </w:p>
        </w:tc>
        <w:tc>
          <w:tcPr>
            <w:tcW w:w="1149" w:type="dxa"/>
            <w:tcBorders>
              <w:top w:val="nil"/>
              <w:left w:val="nil"/>
              <w:bottom w:val="single" w:sz="4" w:space="0" w:color="auto"/>
              <w:right w:val="single" w:sz="4" w:space="0" w:color="auto"/>
            </w:tcBorders>
            <w:shd w:val="clear" w:color="auto" w:fill="auto"/>
            <w:noWrap/>
            <w:hideMark/>
          </w:tcPr>
          <w:p w14:paraId="59943A61" w14:textId="77777777" w:rsidR="00691ABD" w:rsidRPr="00786273" w:rsidRDefault="00691ABD" w:rsidP="001E39EE">
            <w:pPr>
              <w:jc w:val="right"/>
              <w:rPr>
                <w:sz w:val="20"/>
                <w:szCs w:val="20"/>
                <w:lang w:val="fr-CA" w:eastAsia="en-CA"/>
              </w:rPr>
            </w:pPr>
            <w:r w:rsidRPr="00786273">
              <w:rPr>
                <w:sz w:val="20"/>
                <w:szCs w:val="20"/>
                <w:lang w:val="fr-CA" w:eastAsia="en-CA"/>
              </w:rPr>
              <w:t>67</w:t>
            </w:r>
          </w:p>
        </w:tc>
      </w:tr>
      <w:tr w:rsidR="00691ABD" w:rsidRPr="00786273" w14:paraId="3814C830" w14:textId="77777777" w:rsidTr="00AD0261">
        <w:trPr>
          <w:trHeight w:val="87"/>
        </w:trPr>
        <w:tc>
          <w:tcPr>
            <w:tcW w:w="2972" w:type="dxa"/>
            <w:tcBorders>
              <w:top w:val="nil"/>
              <w:left w:val="single" w:sz="4" w:space="0" w:color="auto"/>
              <w:bottom w:val="single" w:sz="4" w:space="0" w:color="auto"/>
              <w:right w:val="single" w:sz="4" w:space="0" w:color="auto"/>
            </w:tcBorders>
            <w:shd w:val="clear" w:color="auto" w:fill="auto"/>
            <w:noWrap/>
            <w:hideMark/>
          </w:tcPr>
          <w:p w14:paraId="131898B4" w14:textId="77777777" w:rsidR="00691ABD" w:rsidRPr="00786273" w:rsidRDefault="00691ABD" w:rsidP="001E39EE">
            <w:pPr>
              <w:jc w:val="left"/>
              <w:rPr>
                <w:sz w:val="20"/>
                <w:szCs w:val="20"/>
                <w:lang w:val="fr-CA" w:eastAsia="en-CA"/>
              </w:rPr>
            </w:pPr>
            <w:r w:rsidRPr="00786273">
              <w:rPr>
                <w:sz w:val="20"/>
                <w:szCs w:val="20"/>
                <w:lang w:val="fr-CA" w:eastAsia="en-CA"/>
              </w:rPr>
              <w:t>Guyana</w:t>
            </w:r>
          </w:p>
        </w:tc>
        <w:tc>
          <w:tcPr>
            <w:tcW w:w="851" w:type="dxa"/>
            <w:tcBorders>
              <w:top w:val="nil"/>
              <w:left w:val="nil"/>
              <w:bottom w:val="single" w:sz="4" w:space="0" w:color="auto"/>
              <w:right w:val="single" w:sz="4" w:space="0" w:color="auto"/>
            </w:tcBorders>
            <w:shd w:val="clear" w:color="auto" w:fill="auto"/>
            <w:noWrap/>
            <w:hideMark/>
          </w:tcPr>
          <w:p w14:paraId="31A6FF18" w14:textId="060B6ADA"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E94FD0E"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64BCEAE9" w14:textId="6FCA7C46" w:rsidR="00691ABD" w:rsidRPr="00786273" w:rsidRDefault="00691ABD" w:rsidP="001E39EE">
            <w:pPr>
              <w:jc w:val="right"/>
              <w:rPr>
                <w:sz w:val="20"/>
                <w:szCs w:val="20"/>
                <w:lang w:val="fr-CA" w:eastAsia="en-CA"/>
              </w:rPr>
            </w:pPr>
            <w:r w:rsidRPr="00786273">
              <w:rPr>
                <w:sz w:val="20"/>
                <w:szCs w:val="20"/>
                <w:lang w:val="fr-CA" w:eastAsia="en-CA"/>
              </w:rPr>
              <w:t>140</w:t>
            </w:r>
            <w:r>
              <w:rPr>
                <w:sz w:val="20"/>
                <w:szCs w:val="20"/>
                <w:lang w:val="fr-CA" w:eastAsia="en-CA"/>
              </w:rPr>
              <w:t xml:space="preserve"> </w:t>
            </w:r>
            <w:r w:rsidRPr="00786273">
              <w:rPr>
                <w:sz w:val="20"/>
                <w:szCs w:val="20"/>
                <w:lang w:val="fr-CA" w:eastAsia="en-CA"/>
              </w:rPr>
              <w:t>679</w:t>
            </w:r>
          </w:p>
        </w:tc>
        <w:tc>
          <w:tcPr>
            <w:tcW w:w="1276" w:type="dxa"/>
            <w:tcBorders>
              <w:top w:val="nil"/>
              <w:left w:val="nil"/>
              <w:bottom w:val="single" w:sz="4" w:space="0" w:color="auto"/>
              <w:right w:val="single" w:sz="4" w:space="0" w:color="auto"/>
            </w:tcBorders>
            <w:shd w:val="clear" w:color="auto" w:fill="auto"/>
            <w:noWrap/>
            <w:hideMark/>
          </w:tcPr>
          <w:p w14:paraId="3E8CCAFB"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384" w:type="dxa"/>
            <w:tcBorders>
              <w:top w:val="nil"/>
              <w:left w:val="nil"/>
              <w:bottom w:val="single" w:sz="4" w:space="0" w:color="auto"/>
              <w:right w:val="single" w:sz="4" w:space="0" w:color="auto"/>
            </w:tcBorders>
            <w:shd w:val="clear" w:color="auto" w:fill="auto"/>
            <w:noWrap/>
            <w:hideMark/>
          </w:tcPr>
          <w:p w14:paraId="3A53CCF6"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149" w:type="dxa"/>
            <w:tcBorders>
              <w:top w:val="nil"/>
              <w:left w:val="nil"/>
              <w:bottom w:val="single" w:sz="4" w:space="0" w:color="auto"/>
              <w:right w:val="single" w:sz="4" w:space="0" w:color="auto"/>
            </w:tcBorders>
            <w:shd w:val="clear" w:color="auto" w:fill="auto"/>
            <w:noWrap/>
            <w:hideMark/>
          </w:tcPr>
          <w:p w14:paraId="3BEAC1AC"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5E4D064F" w14:textId="77777777" w:rsidTr="00AD0261">
        <w:trPr>
          <w:trHeight w:val="133"/>
        </w:trPr>
        <w:tc>
          <w:tcPr>
            <w:tcW w:w="2972" w:type="dxa"/>
            <w:tcBorders>
              <w:top w:val="nil"/>
              <w:left w:val="single" w:sz="4" w:space="0" w:color="auto"/>
              <w:bottom w:val="single" w:sz="4" w:space="0" w:color="auto"/>
              <w:right w:val="single" w:sz="4" w:space="0" w:color="auto"/>
            </w:tcBorders>
            <w:shd w:val="clear" w:color="auto" w:fill="auto"/>
            <w:noWrap/>
            <w:hideMark/>
          </w:tcPr>
          <w:p w14:paraId="1050B813" w14:textId="77777777" w:rsidR="00691ABD" w:rsidRPr="00786273" w:rsidRDefault="00691ABD" w:rsidP="00B21D27">
            <w:pPr>
              <w:jc w:val="left"/>
              <w:rPr>
                <w:sz w:val="20"/>
                <w:szCs w:val="20"/>
                <w:lang w:val="fr-CA" w:eastAsia="en-CA"/>
              </w:rPr>
            </w:pPr>
            <w:r w:rsidRPr="00786273">
              <w:rPr>
                <w:sz w:val="20"/>
                <w:szCs w:val="20"/>
                <w:lang w:val="fr-CA" w:eastAsia="en-CA"/>
              </w:rPr>
              <w:t>Ha</w:t>
            </w:r>
            <w:r>
              <w:rPr>
                <w:sz w:val="20"/>
                <w:szCs w:val="20"/>
                <w:lang w:val="fr-CA" w:eastAsia="en-CA"/>
              </w:rPr>
              <w:t>ï</w:t>
            </w:r>
            <w:r w:rsidRPr="00786273">
              <w:rPr>
                <w:sz w:val="20"/>
                <w:szCs w:val="20"/>
                <w:lang w:val="fr-CA" w:eastAsia="en-CA"/>
              </w:rPr>
              <w:t>ti</w:t>
            </w:r>
          </w:p>
        </w:tc>
        <w:tc>
          <w:tcPr>
            <w:tcW w:w="851" w:type="dxa"/>
            <w:tcBorders>
              <w:top w:val="nil"/>
              <w:left w:val="nil"/>
              <w:bottom w:val="single" w:sz="4" w:space="0" w:color="auto"/>
              <w:right w:val="single" w:sz="4" w:space="0" w:color="auto"/>
            </w:tcBorders>
            <w:shd w:val="clear" w:color="auto" w:fill="auto"/>
            <w:noWrap/>
            <w:hideMark/>
          </w:tcPr>
          <w:p w14:paraId="03B27431" w14:textId="79779086"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2</w:t>
            </w:r>
          </w:p>
        </w:tc>
        <w:tc>
          <w:tcPr>
            <w:tcW w:w="1160" w:type="dxa"/>
            <w:tcBorders>
              <w:top w:val="nil"/>
              <w:left w:val="nil"/>
              <w:bottom w:val="single" w:sz="4" w:space="0" w:color="auto"/>
              <w:right w:val="single" w:sz="4" w:space="0" w:color="auto"/>
            </w:tcBorders>
            <w:shd w:val="clear" w:color="auto" w:fill="auto"/>
            <w:noWrap/>
            <w:hideMark/>
          </w:tcPr>
          <w:p w14:paraId="7020339F"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E6940F7" w14:textId="32B52C5C" w:rsidR="00691ABD" w:rsidRPr="00786273" w:rsidRDefault="00691ABD" w:rsidP="001E39EE">
            <w:pPr>
              <w:jc w:val="right"/>
              <w:rPr>
                <w:sz w:val="20"/>
                <w:szCs w:val="20"/>
                <w:lang w:val="fr-CA" w:eastAsia="en-CA"/>
              </w:rPr>
            </w:pPr>
            <w:r w:rsidRPr="00786273">
              <w:rPr>
                <w:sz w:val="20"/>
                <w:szCs w:val="20"/>
                <w:lang w:val="fr-CA" w:eastAsia="en-CA"/>
              </w:rPr>
              <w:t>117</w:t>
            </w:r>
            <w:r>
              <w:rPr>
                <w:sz w:val="20"/>
                <w:szCs w:val="20"/>
                <w:lang w:val="fr-CA" w:eastAsia="en-CA"/>
              </w:rPr>
              <w:t xml:space="preserve"> </w:t>
            </w:r>
            <w:r w:rsidRPr="00786273">
              <w:rPr>
                <w:sz w:val="20"/>
                <w:szCs w:val="20"/>
                <w:lang w:val="fr-CA" w:eastAsia="en-CA"/>
              </w:rPr>
              <w:t>329</w:t>
            </w:r>
          </w:p>
        </w:tc>
        <w:tc>
          <w:tcPr>
            <w:tcW w:w="1276" w:type="dxa"/>
            <w:tcBorders>
              <w:top w:val="nil"/>
              <w:left w:val="nil"/>
              <w:bottom w:val="single" w:sz="4" w:space="0" w:color="auto"/>
              <w:right w:val="single" w:sz="4" w:space="0" w:color="auto"/>
            </w:tcBorders>
            <w:shd w:val="clear" w:color="auto" w:fill="auto"/>
            <w:noWrap/>
            <w:hideMark/>
          </w:tcPr>
          <w:p w14:paraId="46EE1447" w14:textId="4E723659" w:rsidR="00691ABD" w:rsidRPr="00786273" w:rsidRDefault="00691ABD" w:rsidP="001E39EE">
            <w:pPr>
              <w:jc w:val="right"/>
              <w:rPr>
                <w:sz w:val="20"/>
                <w:szCs w:val="20"/>
                <w:lang w:val="fr-CA" w:eastAsia="en-CA"/>
              </w:rPr>
            </w:pPr>
            <w:r w:rsidRPr="00786273">
              <w:rPr>
                <w:sz w:val="20"/>
                <w:szCs w:val="20"/>
                <w:lang w:val="fr-CA" w:eastAsia="en-CA"/>
              </w:rPr>
              <w:t>97</w:t>
            </w:r>
            <w:r>
              <w:rPr>
                <w:sz w:val="20"/>
                <w:szCs w:val="20"/>
                <w:lang w:val="fr-CA" w:eastAsia="en-CA"/>
              </w:rPr>
              <w:t xml:space="preserve"> </w:t>
            </w:r>
            <w:r w:rsidRPr="00786273">
              <w:rPr>
                <w:sz w:val="20"/>
                <w:szCs w:val="20"/>
                <w:lang w:val="fr-CA" w:eastAsia="en-CA"/>
              </w:rPr>
              <w:t>061</w:t>
            </w:r>
          </w:p>
        </w:tc>
        <w:tc>
          <w:tcPr>
            <w:tcW w:w="1384" w:type="dxa"/>
            <w:tcBorders>
              <w:top w:val="nil"/>
              <w:left w:val="nil"/>
              <w:bottom w:val="single" w:sz="4" w:space="0" w:color="auto"/>
              <w:right w:val="single" w:sz="4" w:space="0" w:color="auto"/>
            </w:tcBorders>
            <w:shd w:val="clear" w:color="auto" w:fill="auto"/>
            <w:noWrap/>
            <w:hideMark/>
          </w:tcPr>
          <w:p w14:paraId="368CCBC0" w14:textId="77777777" w:rsidR="00691ABD" w:rsidRPr="00786273" w:rsidRDefault="00691ABD" w:rsidP="001E39EE">
            <w:pPr>
              <w:jc w:val="right"/>
              <w:rPr>
                <w:sz w:val="20"/>
                <w:szCs w:val="20"/>
                <w:lang w:val="fr-CA" w:eastAsia="en-CA"/>
              </w:rPr>
            </w:pPr>
            <w:r w:rsidRPr="00786273">
              <w:rPr>
                <w:sz w:val="20"/>
                <w:szCs w:val="20"/>
                <w:lang w:val="fr-CA" w:eastAsia="en-CA"/>
              </w:rPr>
              <w:t>83</w:t>
            </w:r>
          </w:p>
        </w:tc>
        <w:tc>
          <w:tcPr>
            <w:tcW w:w="1149" w:type="dxa"/>
            <w:tcBorders>
              <w:top w:val="nil"/>
              <w:left w:val="nil"/>
              <w:bottom w:val="single" w:sz="4" w:space="0" w:color="auto"/>
              <w:right w:val="single" w:sz="4" w:space="0" w:color="auto"/>
            </w:tcBorders>
            <w:shd w:val="clear" w:color="auto" w:fill="auto"/>
            <w:noWrap/>
            <w:hideMark/>
          </w:tcPr>
          <w:p w14:paraId="52714410"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5110437B"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BF7DF23" w14:textId="77777777" w:rsidR="00691ABD" w:rsidRPr="00786273" w:rsidRDefault="00691ABD" w:rsidP="001E39EE">
            <w:pPr>
              <w:jc w:val="left"/>
              <w:rPr>
                <w:sz w:val="20"/>
                <w:szCs w:val="20"/>
                <w:lang w:val="fr-CA" w:eastAsia="en-CA"/>
              </w:rPr>
            </w:pPr>
            <w:r w:rsidRPr="00786273">
              <w:rPr>
                <w:sz w:val="20"/>
                <w:szCs w:val="20"/>
                <w:lang w:val="fr-CA" w:eastAsia="en-CA"/>
              </w:rPr>
              <w:t>Honduras</w:t>
            </w:r>
          </w:p>
        </w:tc>
        <w:tc>
          <w:tcPr>
            <w:tcW w:w="851" w:type="dxa"/>
            <w:tcBorders>
              <w:top w:val="nil"/>
              <w:left w:val="nil"/>
              <w:bottom w:val="single" w:sz="4" w:space="0" w:color="auto"/>
              <w:right w:val="single" w:sz="4" w:space="0" w:color="auto"/>
            </w:tcBorders>
            <w:shd w:val="clear" w:color="auto" w:fill="auto"/>
            <w:noWrap/>
            <w:hideMark/>
          </w:tcPr>
          <w:p w14:paraId="7F3824C4" w14:textId="715B5ADE"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7E7785A"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7600E5FD" w14:textId="09108D5E" w:rsidR="00691ABD" w:rsidRPr="00786273" w:rsidRDefault="00691ABD" w:rsidP="001E39EE">
            <w:pPr>
              <w:jc w:val="right"/>
              <w:rPr>
                <w:sz w:val="20"/>
                <w:szCs w:val="20"/>
                <w:lang w:val="fr-CA" w:eastAsia="en-CA"/>
              </w:rPr>
            </w:pPr>
            <w:r w:rsidRPr="00786273">
              <w:rPr>
                <w:sz w:val="20"/>
                <w:szCs w:val="20"/>
                <w:lang w:val="fr-CA" w:eastAsia="en-CA"/>
              </w:rPr>
              <w:t>208</w:t>
            </w:r>
            <w:r>
              <w:rPr>
                <w:sz w:val="20"/>
                <w:szCs w:val="20"/>
                <w:lang w:val="fr-CA" w:eastAsia="en-CA"/>
              </w:rPr>
              <w:t xml:space="preserve"> </w:t>
            </w:r>
            <w:r w:rsidRPr="00786273">
              <w:rPr>
                <w:sz w:val="20"/>
                <w:szCs w:val="20"/>
                <w:lang w:val="fr-CA" w:eastAsia="en-CA"/>
              </w:rPr>
              <w:t>399</w:t>
            </w:r>
          </w:p>
        </w:tc>
        <w:tc>
          <w:tcPr>
            <w:tcW w:w="1276" w:type="dxa"/>
            <w:tcBorders>
              <w:top w:val="nil"/>
              <w:left w:val="nil"/>
              <w:bottom w:val="single" w:sz="4" w:space="0" w:color="auto"/>
              <w:right w:val="single" w:sz="4" w:space="0" w:color="auto"/>
            </w:tcBorders>
            <w:shd w:val="clear" w:color="auto" w:fill="auto"/>
            <w:noWrap/>
            <w:hideMark/>
          </w:tcPr>
          <w:p w14:paraId="1B841E30" w14:textId="78F56CF7" w:rsidR="00691ABD" w:rsidRPr="00786273" w:rsidRDefault="00691ABD" w:rsidP="001E39EE">
            <w:pPr>
              <w:jc w:val="right"/>
              <w:rPr>
                <w:sz w:val="20"/>
                <w:szCs w:val="20"/>
                <w:lang w:val="fr-CA" w:eastAsia="en-CA"/>
              </w:rPr>
            </w:pPr>
            <w:r w:rsidRPr="00786273">
              <w:rPr>
                <w:sz w:val="20"/>
                <w:szCs w:val="20"/>
                <w:lang w:val="fr-CA" w:eastAsia="en-CA"/>
              </w:rPr>
              <w:t>137</w:t>
            </w:r>
            <w:r>
              <w:rPr>
                <w:sz w:val="20"/>
                <w:szCs w:val="20"/>
                <w:lang w:val="fr-CA" w:eastAsia="en-CA"/>
              </w:rPr>
              <w:t xml:space="preserve"> </w:t>
            </w:r>
            <w:r w:rsidRPr="00786273">
              <w:rPr>
                <w:sz w:val="20"/>
                <w:szCs w:val="20"/>
                <w:lang w:val="fr-CA" w:eastAsia="en-CA"/>
              </w:rPr>
              <w:t>145</w:t>
            </w:r>
          </w:p>
        </w:tc>
        <w:tc>
          <w:tcPr>
            <w:tcW w:w="1384" w:type="dxa"/>
            <w:tcBorders>
              <w:top w:val="nil"/>
              <w:left w:val="nil"/>
              <w:bottom w:val="single" w:sz="4" w:space="0" w:color="auto"/>
              <w:right w:val="single" w:sz="4" w:space="0" w:color="auto"/>
            </w:tcBorders>
            <w:shd w:val="clear" w:color="auto" w:fill="auto"/>
            <w:noWrap/>
            <w:hideMark/>
          </w:tcPr>
          <w:p w14:paraId="3686D3E8" w14:textId="77777777" w:rsidR="00691ABD" w:rsidRPr="00786273" w:rsidRDefault="00691ABD" w:rsidP="001E39EE">
            <w:pPr>
              <w:jc w:val="right"/>
              <w:rPr>
                <w:sz w:val="20"/>
                <w:szCs w:val="20"/>
                <w:lang w:val="fr-CA" w:eastAsia="en-CA"/>
              </w:rPr>
            </w:pPr>
            <w:r w:rsidRPr="00786273">
              <w:rPr>
                <w:sz w:val="20"/>
                <w:szCs w:val="20"/>
                <w:lang w:val="fr-CA" w:eastAsia="en-CA"/>
              </w:rPr>
              <w:t>66</w:t>
            </w:r>
          </w:p>
        </w:tc>
        <w:tc>
          <w:tcPr>
            <w:tcW w:w="1149" w:type="dxa"/>
            <w:tcBorders>
              <w:top w:val="nil"/>
              <w:left w:val="nil"/>
              <w:bottom w:val="single" w:sz="4" w:space="0" w:color="auto"/>
              <w:right w:val="single" w:sz="4" w:space="0" w:color="auto"/>
            </w:tcBorders>
            <w:shd w:val="clear" w:color="auto" w:fill="auto"/>
            <w:noWrap/>
            <w:hideMark/>
          </w:tcPr>
          <w:p w14:paraId="6D7C3528" w14:textId="77777777" w:rsidR="00691ABD" w:rsidRPr="00786273" w:rsidRDefault="00691ABD" w:rsidP="001E39EE">
            <w:pPr>
              <w:jc w:val="right"/>
              <w:rPr>
                <w:sz w:val="20"/>
                <w:szCs w:val="20"/>
                <w:lang w:val="fr-CA" w:eastAsia="en-CA"/>
              </w:rPr>
            </w:pPr>
            <w:r w:rsidRPr="00786273">
              <w:rPr>
                <w:sz w:val="20"/>
                <w:szCs w:val="20"/>
                <w:lang w:val="fr-CA" w:eastAsia="en-CA"/>
              </w:rPr>
              <w:t>80</w:t>
            </w:r>
          </w:p>
        </w:tc>
      </w:tr>
      <w:tr w:rsidR="00691ABD" w:rsidRPr="00786273" w14:paraId="189A087A"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7F99A93" w14:textId="77777777" w:rsidR="00691ABD" w:rsidRPr="00786273" w:rsidRDefault="00691ABD" w:rsidP="001E39EE">
            <w:pPr>
              <w:jc w:val="left"/>
              <w:rPr>
                <w:sz w:val="20"/>
                <w:szCs w:val="20"/>
                <w:lang w:val="fr-CA" w:eastAsia="en-CA"/>
              </w:rPr>
            </w:pPr>
            <w:r>
              <w:rPr>
                <w:sz w:val="20"/>
                <w:szCs w:val="20"/>
                <w:lang w:val="fr-CA" w:eastAsia="en-CA"/>
              </w:rPr>
              <w:t>Îles Cook</w:t>
            </w:r>
          </w:p>
        </w:tc>
        <w:tc>
          <w:tcPr>
            <w:tcW w:w="851" w:type="dxa"/>
            <w:tcBorders>
              <w:top w:val="nil"/>
              <w:left w:val="nil"/>
              <w:bottom w:val="single" w:sz="4" w:space="0" w:color="auto"/>
              <w:right w:val="single" w:sz="4" w:space="0" w:color="auto"/>
            </w:tcBorders>
            <w:shd w:val="clear" w:color="auto" w:fill="auto"/>
            <w:noWrap/>
            <w:hideMark/>
          </w:tcPr>
          <w:p w14:paraId="3DABF1E3" w14:textId="6D2F49C1"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086B6E4E"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C735BD6" w14:textId="22926FBC" w:rsidR="00691ABD" w:rsidRPr="00786273" w:rsidRDefault="00691ABD" w:rsidP="001E39EE">
            <w:pPr>
              <w:jc w:val="right"/>
              <w:rPr>
                <w:sz w:val="20"/>
                <w:szCs w:val="20"/>
                <w:lang w:val="fr-CA" w:eastAsia="en-CA"/>
              </w:rPr>
            </w:pPr>
            <w:r w:rsidRPr="00786273">
              <w:rPr>
                <w:sz w:val="20"/>
                <w:szCs w:val="20"/>
                <w:lang w:val="fr-CA" w:eastAsia="en-CA"/>
              </w:rPr>
              <w:t>51</w:t>
            </w:r>
            <w:r>
              <w:rPr>
                <w:sz w:val="20"/>
                <w:szCs w:val="20"/>
                <w:lang w:val="fr-CA" w:eastAsia="en-CA"/>
              </w:rPr>
              <w:t xml:space="preserve"> </w:t>
            </w:r>
            <w:r w:rsidRPr="00786273">
              <w:rPr>
                <w:sz w:val="20"/>
                <w:szCs w:val="20"/>
                <w:lang w:val="fr-CA" w:eastAsia="en-CA"/>
              </w:rPr>
              <w:t>038</w:t>
            </w:r>
          </w:p>
        </w:tc>
        <w:tc>
          <w:tcPr>
            <w:tcW w:w="1276" w:type="dxa"/>
            <w:tcBorders>
              <w:top w:val="nil"/>
              <w:left w:val="nil"/>
              <w:bottom w:val="single" w:sz="4" w:space="0" w:color="auto"/>
              <w:right w:val="single" w:sz="4" w:space="0" w:color="auto"/>
            </w:tcBorders>
            <w:shd w:val="clear" w:color="auto" w:fill="auto"/>
            <w:noWrap/>
            <w:hideMark/>
          </w:tcPr>
          <w:p w14:paraId="1096EEBF" w14:textId="1D235AEE" w:rsidR="00691ABD" w:rsidRPr="00786273" w:rsidRDefault="00691ABD" w:rsidP="001E39EE">
            <w:pPr>
              <w:jc w:val="right"/>
              <w:rPr>
                <w:sz w:val="20"/>
                <w:szCs w:val="20"/>
                <w:lang w:val="fr-CA" w:eastAsia="en-CA"/>
              </w:rPr>
            </w:pPr>
            <w:r w:rsidRPr="00786273">
              <w:rPr>
                <w:sz w:val="20"/>
                <w:szCs w:val="20"/>
                <w:lang w:val="fr-CA" w:eastAsia="en-CA"/>
              </w:rPr>
              <w:t>79</w:t>
            </w:r>
            <w:r>
              <w:rPr>
                <w:sz w:val="20"/>
                <w:szCs w:val="20"/>
                <w:lang w:val="fr-CA" w:eastAsia="en-CA"/>
              </w:rPr>
              <w:t xml:space="preserve"> </w:t>
            </w:r>
            <w:r w:rsidRPr="00786273">
              <w:rPr>
                <w:sz w:val="20"/>
                <w:szCs w:val="20"/>
                <w:lang w:val="fr-CA" w:eastAsia="en-CA"/>
              </w:rPr>
              <w:t>492</w:t>
            </w:r>
          </w:p>
        </w:tc>
        <w:tc>
          <w:tcPr>
            <w:tcW w:w="1384" w:type="dxa"/>
            <w:tcBorders>
              <w:top w:val="nil"/>
              <w:left w:val="nil"/>
              <w:bottom w:val="single" w:sz="4" w:space="0" w:color="auto"/>
              <w:right w:val="single" w:sz="4" w:space="0" w:color="auto"/>
            </w:tcBorders>
            <w:shd w:val="clear" w:color="auto" w:fill="auto"/>
            <w:noWrap/>
            <w:hideMark/>
          </w:tcPr>
          <w:p w14:paraId="0951CC3D" w14:textId="77777777" w:rsidR="00691ABD" w:rsidRPr="00786273" w:rsidRDefault="00691ABD" w:rsidP="001E39EE">
            <w:pPr>
              <w:jc w:val="right"/>
              <w:rPr>
                <w:sz w:val="20"/>
                <w:szCs w:val="20"/>
                <w:lang w:val="fr-CA" w:eastAsia="en-CA"/>
              </w:rPr>
            </w:pPr>
            <w:r w:rsidRPr="00786273">
              <w:rPr>
                <w:sz w:val="20"/>
                <w:szCs w:val="20"/>
                <w:lang w:val="fr-CA" w:eastAsia="en-CA"/>
              </w:rPr>
              <w:t>156</w:t>
            </w:r>
          </w:p>
        </w:tc>
        <w:tc>
          <w:tcPr>
            <w:tcW w:w="1149" w:type="dxa"/>
            <w:tcBorders>
              <w:top w:val="nil"/>
              <w:left w:val="nil"/>
              <w:bottom w:val="single" w:sz="4" w:space="0" w:color="auto"/>
              <w:right w:val="single" w:sz="4" w:space="0" w:color="auto"/>
            </w:tcBorders>
            <w:shd w:val="clear" w:color="auto" w:fill="auto"/>
            <w:noWrap/>
            <w:hideMark/>
          </w:tcPr>
          <w:p w14:paraId="2214F224"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79AFBA29" w14:textId="77777777" w:rsidTr="00AD0261">
        <w:trPr>
          <w:trHeight w:val="113"/>
        </w:trPr>
        <w:tc>
          <w:tcPr>
            <w:tcW w:w="2972" w:type="dxa"/>
            <w:tcBorders>
              <w:top w:val="nil"/>
              <w:left w:val="single" w:sz="4" w:space="0" w:color="auto"/>
              <w:bottom w:val="single" w:sz="4" w:space="0" w:color="auto"/>
              <w:right w:val="single" w:sz="4" w:space="0" w:color="auto"/>
            </w:tcBorders>
            <w:shd w:val="clear" w:color="auto" w:fill="auto"/>
            <w:noWrap/>
            <w:hideMark/>
          </w:tcPr>
          <w:p w14:paraId="6843E90A" w14:textId="77777777" w:rsidR="00691ABD" w:rsidRPr="00786273" w:rsidRDefault="00691ABD" w:rsidP="001E39EE">
            <w:pPr>
              <w:jc w:val="left"/>
              <w:rPr>
                <w:sz w:val="20"/>
                <w:szCs w:val="20"/>
                <w:lang w:val="fr-CA" w:eastAsia="en-CA"/>
              </w:rPr>
            </w:pPr>
            <w:r>
              <w:rPr>
                <w:sz w:val="20"/>
                <w:szCs w:val="20"/>
                <w:lang w:val="fr-CA" w:eastAsia="en-CA"/>
              </w:rPr>
              <w:t>Îles Marshall</w:t>
            </w:r>
          </w:p>
        </w:tc>
        <w:tc>
          <w:tcPr>
            <w:tcW w:w="851" w:type="dxa"/>
            <w:tcBorders>
              <w:top w:val="nil"/>
              <w:left w:val="nil"/>
              <w:bottom w:val="single" w:sz="4" w:space="0" w:color="auto"/>
              <w:right w:val="single" w:sz="4" w:space="0" w:color="auto"/>
            </w:tcBorders>
            <w:shd w:val="clear" w:color="auto" w:fill="auto"/>
            <w:noWrap/>
            <w:hideMark/>
          </w:tcPr>
          <w:p w14:paraId="105011BB" w14:textId="4CB45E59"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AC4F864"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2179FCC8" w14:textId="4C6A9D57" w:rsidR="00691ABD" w:rsidRPr="00786273" w:rsidRDefault="00691ABD" w:rsidP="001E39EE">
            <w:pPr>
              <w:jc w:val="right"/>
              <w:rPr>
                <w:sz w:val="20"/>
                <w:szCs w:val="20"/>
                <w:lang w:val="fr-CA" w:eastAsia="en-CA"/>
              </w:rPr>
            </w:pPr>
            <w:r w:rsidRPr="00786273">
              <w:rPr>
                <w:sz w:val="20"/>
                <w:szCs w:val="20"/>
                <w:lang w:val="fr-CA" w:eastAsia="en-CA"/>
              </w:rPr>
              <w:t>92</w:t>
            </w:r>
            <w:r>
              <w:rPr>
                <w:sz w:val="20"/>
                <w:szCs w:val="20"/>
                <w:lang w:val="fr-CA" w:eastAsia="en-CA"/>
              </w:rPr>
              <w:t xml:space="preserve"> </w:t>
            </w:r>
            <w:r w:rsidRPr="00786273">
              <w:rPr>
                <w:sz w:val="20"/>
                <w:szCs w:val="20"/>
                <w:lang w:val="fr-CA" w:eastAsia="en-CA"/>
              </w:rPr>
              <w:t>885</w:t>
            </w:r>
          </w:p>
        </w:tc>
        <w:tc>
          <w:tcPr>
            <w:tcW w:w="1276" w:type="dxa"/>
            <w:tcBorders>
              <w:top w:val="nil"/>
              <w:left w:val="nil"/>
              <w:bottom w:val="single" w:sz="4" w:space="0" w:color="auto"/>
              <w:right w:val="single" w:sz="4" w:space="0" w:color="auto"/>
            </w:tcBorders>
            <w:shd w:val="clear" w:color="auto" w:fill="auto"/>
            <w:noWrap/>
            <w:hideMark/>
          </w:tcPr>
          <w:p w14:paraId="5FE34039" w14:textId="21C4BAE2" w:rsidR="00691ABD" w:rsidRPr="00786273" w:rsidRDefault="00691ABD" w:rsidP="001E39EE">
            <w:pPr>
              <w:jc w:val="right"/>
              <w:rPr>
                <w:sz w:val="20"/>
                <w:szCs w:val="20"/>
                <w:lang w:val="fr-CA" w:eastAsia="en-CA"/>
              </w:rPr>
            </w:pPr>
            <w:r w:rsidRPr="00786273">
              <w:rPr>
                <w:sz w:val="20"/>
                <w:szCs w:val="20"/>
                <w:lang w:val="fr-CA" w:eastAsia="en-CA"/>
              </w:rPr>
              <w:t>42</w:t>
            </w:r>
            <w:r>
              <w:rPr>
                <w:sz w:val="20"/>
                <w:szCs w:val="20"/>
                <w:lang w:val="fr-CA" w:eastAsia="en-CA"/>
              </w:rPr>
              <w:t xml:space="preserve"> </w:t>
            </w:r>
            <w:r w:rsidRPr="00786273">
              <w:rPr>
                <w:sz w:val="20"/>
                <w:szCs w:val="20"/>
                <w:lang w:val="fr-CA" w:eastAsia="en-CA"/>
              </w:rPr>
              <w:t>120</w:t>
            </w:r>
          </w:p>
        </w:tc>
        <w:tc>
          <w:tcPr>
            <w:tcW w:w="1384" w:type="dxa"/>
            <w:tcBorders>
              <w:top w:val="nil"/>
              <w:left w:val="nil"/>
              <w:bottom w:val="single" w:sz="4" w:space="0" w:color="auto"/>
              <w:right w:val="single" w:sz="4" w:space="0" w:color="auto"/>
            </w:tcBorders>
            <w:shd w:val="clear" w:color="auto" w:fill="auto"/>
            <w:noWrap/>
            <w:hideMark/>
          </w:tcPr>
          <w:p w14:paraId="2C23B40F" w14:textId="77777777" w:rsidR="00691ABD" w:rsidRPr="00786273" w:rsidRDefault="00691ABD" w:rsidP="001E39EE">
            <w:pPr>
              <w:jc w:val="right"/>
              <w:rPr>
                <w:sz w:val="20"/>
                <w:szCs w:val="20"/>
                <w:lang w:val="fr-CA" w:eastAsia="en-CA"/>
              </w:rPr>
            </w:pPr>
            <w:r w:rsidRPr="00786273">
              <w:rPr>
                <w:sz w:val="20"/>
                <w:szCs w:val="20"/>
                <w:lang w:val="fr-CA" w:eastAsia="en-CA"/>
              </w:rPr>
              <w:t>45</w:t>
            </w:r>
          </w:p>
        </w:tc>
        <w:tc>
          <w:tcPr>
            <w:tcW w:w="1149" w:type="dxa"/>
            <w:tcBorders>
              <w:top w:val="nil"/>
              <w:left w:val="nil"/>
              <w:bottom w:val="single" w:sz="4" w:space="0" w:color="auto"/>
              <w:right w:val="single" w:sz="4" w:space="0" w:color="auto"/>
            </w:tcBorders>
            <w:shd w:val="clear" w:color="auto" w:fill="auto"/>
            <w:noWrap/>
            <w:hideMark/>
          </w:tcPr>
          <w:p w14:paraId="70BF65C2"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412C64AF"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585AC4E" w14:textId="77777777" w:rsidR="00691ABD" w:rsidRPr="00786273" w:rsidRDefault="00691ABD" w:rsidP="001E39EE">
            <w:pPr>
              <w:jc w:val="left"/>
              <w:rPr>
                <w:sz w:val="20"/>
                <w:szCs w:val="20"/>
                <w:lang w:val="fr-CA" w:eastAsia="en-CA"/>
              </w:rPr>
            </w:pPr>
            <w:r>
              <w:rPr>
                <w:sz w:val="20"/>
                <w:szCs w:val="20"/>
                <w:lang w:val="fr-CA" w:eastAsia="en-CA"/>
              </w:rPr>
              <w:t>Îles Salomon</w:t>
            </w:r>
          </w:p>
        </w:tc>
        <w:tc>
          <w:tcPr>
            <w:tcW w:w="851" w:type="dxa"/>
            <w:tcBorders>
              <w:top w:val="nil"/>
              <w:left w:val="nil"/>
              <w:bottom w:val="single" w:sz="4" w:space="0" w:color="auto"/>
              <w:right w:val="single" w:sz="4" w:space="0" w:color="auto"/>
            </w:tcBorders>
            <w:shd w:val="clear" w:color="auto" w:fill="auto"/>
            <w:noWrap/>
            <w:hideMark/>
          </w:tcPr>
          <w:p w14:paraId="54301E73" w14:textId="5AFFD010"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550D141E"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71C9A3C7" w14:textId="6FB14484" w:rsidR="00691ABD" w:rsidRPr="00786273" w:rsidRDefault="00691ABD" w:rsidP="001E39EE">
            <w:pPr>
              <w:jc w:val="right"/>
              <w:rPr>
                <w:sz w:val="20"/>
                <w:szCs w:val="20"/>
                <w:lang w:val="fr-CA" w:eastAsia="en-CA"/>
              </w:rPr>
            </w:pPr>
            <w:r w:rsidRPr="00786273">
              <w:rPr>
                <w:sz w:val="20"/>
                <w:szCs w:val="20"/>
                <w:lang w:val="fr-CA" w:eastAsia="en-CA"/>
              </w:rPr>
              <w:t>81</w:t>
            </w:r>
            <w:r>
              <w:rPr>
                <w:sz w:val="20"/>
                <w:szCs w:val="20"/>
                <w:lang w:val="fr-CA" w:eastAsia="en-CA"/>
              </w:rPr>
              <w:t xml:space="preserve"> </w:t>
            </w:r>
            <w:r w:rsidRPr="00786273">
              <w:rPr>
                <w:sz w:val="20"/>
                <w:szCs w:val="20"/>
                <w:lang w:val="fr-CA" w:eastAsia="en-CA"/>
              </w:rPr>
              <w:t>189</w:t>
            </w:r>
          </w:p>
        </w:tc>
        <w:tc>
          <w:tcPr>
            <w:tcW w:w="1276" w:type="dxa"/>
            <w:tcBorders>
              <w:top w:val="nil"/>
              <w:left w:val="nil"/>
              <w:bottom w:val="single" w:sz="4" w:space="0" w:color="auto"/>
              <w:right w:val="single" w:sz="4" w:space="0" w:color="auto"/>
            </w:tcBorders>
            <w:shd w:val="clear" w:color="auto" w:fill="auto"/>
            <w:noWrap/>
            <w:hideMark/>
          </w:tcPr>
          <w:p w14:paraId="5F9D042C" w14:textId="1E507BD6" w:rsidR="00691ABD" w:rsidRPr="00786273" w:rsidRDefault="00691ABD" w:rsidP="001E39EE">
            <w:pPr>
              <w:jc w:val="right"/>
              <w:rPr>
                <w:sz w:val="20"/>
                <w:szCs w:val="20"/>
                <w:lang w:val="fr-CA" w:eastAsia="en-CA"/>
              </w:rPr>
            </w:pPr>
            <w:r w:rsidRPr="00786273">
              <w:rPr>
                <w:sz w:val="20"/>
                <w:szCs w:val="20"/>
                <w:lang w:val="fr-CA" w:eastAsia="en-CA"/>
              </w:rPr>
              <w:t>39</w:t>
            </w:r>
            <w:r>
              <w:rPr>
                <w:sz w:val="20"/>
                <w:szCs w:val="20"/>
                <w:lang w:val="fr-CA" w:eastAsia="en-CA"/>
              </w:rPr>
              <w:t xml:space="preserve"> </w:t>
            </w:r>
            <w:r w:rsidRPr="00786273">
              <w:rPr>
                <w:sz w:val="20"/>
                <w:szCs w:val="20"/>
                <w:lang w:val="fr-CA" w:eastAsia="en-CA"/>
              </w:rPr>
              <w:t>676</w:t>
            </w:r>
          </w:p>
        </w:tc>
        <w:tc>
          <w:tcPr>
            <w:tcW w:w="1384" w:type="dxa"/>
            <w:tcBorders>
              <w:top w:val="nil"/>
              <w:left w:val="nil"/>
              <w:bottom w:val="single" w:sz="4" w:space="0" w:color="auto"/>
              <w:right w:val="single" w:sz="4" w:space="0" w:color="auto"/>
            </w:tcBorders>
            <w:shd w:val="clear" w:color="auto" w:fill="auto"/>
            <w:noWrap/>
            <w:hideMark/>
          </w:tcPr>
          <w:p w14:paraId="25B607FE" w14:textId="77777777" w:rsidR="00691ABD" w:rsidRPr="00786273" w:rsidRDefault="00691ABD" w:rsidP="001E39EE">
            <w:pPr>
              <w:jc w:val="right"/>
              <w:rPr>
                <w:sz w:val="20"/>
                <w:szCs w:val="20"/>
                <w:lang w:val="fr-CA" w:eastAsia="en-CA"/>
              </w:rPr>
            </w:pPr>
            <w:r w:rsidRPr="00786273">
              <w:rPr>
                <w:sz w:val="20"/>
                <w:szCs w:val="20"/>
                <w:lang w:val="fr-CA" w:eastAsia="en-CA"/>
              </w:rPr>
              <w:t>49</w:t>
            </w:r>
          </w:p>
        </w:tc>
        <w:tc>
          <w:tcPr>
            <w:tcW w:w="1149" w:type="dxa"/>
            <w:tcBorders>
              <w:top w:val="nil"/>
              <w:left w:val="nil"/>
              <w:bottom w:val="single" w:sz="4" w:space="0" w:color="auto"/>
              <w:right w:val="single" w:sz="4" w:space="0" w:color="auto"/>
            </w:tcBorders>
            <w:shd w:val="clear" w:color="auto" w:fill="auto"/>
            <w:noWrap/>
            <w:hideMark/>
          </w:tcPr>
          <w:p w14:paraId="535D665A"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1B274221" w14:textId="77777777" w:rsidTr="00AD0261">
        <w:trPr>
          <w:trHeight w:val="69"/>
        </w:trPr>
        <w:tc>
          <w:tcPr>
            <w:tcW w:w="2972" w:type="dxa"/>
            <w:tcBorders>
              <w:top w:val="nil"/>
              <w:left w:val="single" w:sz="4" w:space="0" w:color="auto"/>
              <w:bottom w:val="single" w:sz="4" w:space="0" w:color="auto"/>
              <w:right w:val="single" w:sz="4" w:space="0" w:color="auto"/>
            </w:tcBorders>
            <w:shd w:val="clear" w:color="auto" w:fill="auto"/>
            <w:noWrap/>
            <w:hideMark/>
          </w:tcPr>
          <w:p w14:paraId="5F1F6D2E" w14:textId="77777777" w:rsidR="00691ABD" w:rsidRPr="00786273" w:rsidRDefault="00691ABD" w:rsidP="001E39EE">
            <w:pPr>
              <w:jc w:val="left"/>
              <w:rPr>
                <w:sz w:val="20"/>
                <w:szCs w:val="20"/>
                <w:lang w:val="fr-CA" w:eastAsia="en-CA"/>
              </w:rPr>
            </w:pPr>
            <w:r>
              <w:rPr>
                <w:sz w:val="20"/>
                <w:szCs w:val="20"/>
                <w:lang w:val="fr-CA" w:eastAsia="en-CA"/>
              </w:rPr>
              <w:t>Inde</w:t>
            </w:r>
          </w:p>
        </w:tc>
        <w:tc>
          <w:tcPr>
            <w:tcW w:w="851" w:type="dxa"/>
            <w:tcBorders>
              <w:top w:val="nil"/>
              <w:left w:val="nil"/>
              <w:bottom w:val="single" w:sz="4" w:space="0" w:color="auto"/>
              <w:right w:val="single" w:sz="4" w:space="0" w:color="auto"/>
            </w:tcBorders>
            <w:shd w:val="clear" w:color="auto" w:fill="auto"/>
            <w:noWrap/>
            <w:hideMark/>
          </w:tcPr>
          <w:p w14:paraId="53AC7538" w14:textId="3248ED48" w:rsidR="00691ABD" w:rsidRPr="00786273" w:rsidRDefault="00691ABD" w:rsidP="001E39EE">
            <w:pPr>
              <w:jc w:val="right"/>
              <w:rPr>
                <w:sz w:val="20"/>
                <w:szCs w:val="20"/>
                <w:lang w:val="fr-CA" w:eastAsia="en-CA"/>
              </w:rPr>
            </w:pPr>
            <w:r w:rsidRPr="00786273">
              <w:rPr>
                <w:sz w:val="20"/>
                <w:szCs w:val="20"/>
                <w:lang w:val="fr-CA" w:eastAsia="en-CA"/>
              </w:rPr>
              <w:t>103</w:t>
            </w:r>
            <w:r>
              <w:rPr>
                <w:sz w:val="20"/>
                <w:szCs w:val="20"/>
                <w:lang w:val="fr-CA" w:eastAsia="en-CA"/>
              </w:rPr>
              <w:t>,</w:t>
            </w:r>
            <w:r w:rsidRPr="00786273">
              <w:rPr>
                <w:sz w:val="20"/>
                <w:szCs w:val="20"/>
                <w:lang w:val="fr-CA" w:eastAsia="en-CA"/>
              </w:rPr>
              <w:t>8</w:t>
            </w:r>
          </w:p>
        </w:tc>
        <w:tc>
          <w:tcPr>
            <w:tcW w:w="1160" w:type="dxa"/>
            <w:tcBorders>
              <w:top w:val="nil"/>
              <w:left w:val="nil"/>
              <w:bottom w:val="single" w:sz="4" w:space="0" w:color="auto"/>
              <w:right w:val="single" w:sz="4" w:space="0" w:color="auto"/>
            </w:tcBorders>
            <w:shd w:val="clear" w:color="auto" w:fill="auto"/>
            <w:noWrap/>
            <w:hideMark/>
          </w:tcPr>
          <w:p w14:paraId="1A19DAAF" w14:textId="77777777" w:rsidR="00691ABD" w:rsidRPr="00786273" w:rsidRDefault="00691ABD" w:rsidP="001E39EE">
            <w:pPr>
              <w:jc w:val="right"/>
              <w:rPr>
                <w:sz w:val="20"/>
                <w:szCs w:val="20"/>
                <w:lang w:val="fr-CA" w:eastAsia="en-CA"/>
              </w:rPr>
            </w:pPr>
            <w:r w:rsidRPr="00786273">
              <w:rPr>
                <w:sz w:val="20"/>
                <w:szCs w:val="20"/>
                <w:lang w:val="fr-CA" w:eastAsia="en-CA"/>
              </w:rPr>
              <w:t>100</w:t>
            </w:r>
          </w:p>
        </w:tc>
        <w:tc>
          <w:tcPr>
            <w:tcW w:w="1250" w:type="dxa"/>
            <w:tcBorders>
              <w:top w:val="nil"/>
              <w:left w:val="nil"/>
              <w:bottom w:val="single" w:sz="4" w:space="0" w:color="auto"/>
              <w:right w:val="single" w:sz="4" w:space="0" w:color="auto"/>
            </w:tcBorders>
            <w:shd w:val="clear" w:color="auto" w:fill="auto"/>
            <w:noWrap/>
            <w:hideMark/>
          </w:tcPr>
          <w:p w14:paraId="6CE73048" w14:textId="0CE7A871" w:rsidR="00691ABD" w:rsidRPr="00786273" w:rsidRDefault="00691ABD" w:rsidP="001E39EE">
            <w:pPr>
              <w:jc w:val="right"/>
              <w:rPr>
                <w:sz w:val="20"/>
                <w:szCs w:val="20"/>
                <w:lang w:val="fr-CA" w:eastAsia="en-CA"/>
              </w:rPr>
            </w:pPr>
            <w:r w:rsidRPr="00786273">
              <w:rPr>
                <w:sz w:val="20"/>
                <w:szCs w:val="20"/>
                <w:lang w:val="fr-CA" w:eastAsia="en-CA"/>
              </w:rPr>
              <w:t>7</w:t>
            </w:r>
            <w:r>
              <w:rPr>
                <w:sz w:val="20"/>
                <w:szCs w:val="20"/>
                <w:lang w:val="fr-CA" w:eastAsia="en-CA"/>
              </w:rPr>
              <w:t xml:space="preserve"> </w:t>
            </w:r>
            <w:r w:rsidRPr="00786273">
              <w:rPr>
                <w:sz w:val="20"/>
                <w:szCs w:val="20"/>
                <w:lang w:val="fr-CA" w:eastAsia="en-CA"/>
              </w:rPr>
              <w:t>163</w:t>
            </w:r>
            <w:r>
              <w:rPr>
                <w:sz w:val="20"/>
                <w:szCs w:val="20"/>
                <w:lang w:val="fr-CA" w:eastAsia="en-CA"/>
              </w:rPr>
              <w:t xml:space="preserve"> </w:t>
            </w:r>
            <w:r w:rsidRPr="00786273">
              <w:rPr>
                <w:sz w:val="20"/>
                <w:szCs w:val="20"/>
                <w:lang w:val="fr-CA" w:eastAsia="en-CA"/>
              </w:rPr>
              <w:t>568</w:t>
            </w:r>
          </w:p>
        </w:tc>
        <w:tc>
          <w:tcPr>
            <w:tcW w:w="1276" w:type="dxa"/>
            <w:tcBorders>
              <w:top w:val="nil"/>
              <w:left w:val="nil"/>
              <w:bottom w:val="single" w:sz="4" w:space="0" w:color="auto"/>
              <w:right w:val="single" w:sz="4" w:space="0" w:color="auto"/>
            </w:tcBorders>
            <w:shd w:val="clear" w:color="auto" w:fill="auto"/>
            <w:noWrap/>
            <w:hideMark/>
          </w:tcPr>
          <w:p w14:paraId="7C3429A5" w14:textId="2CDE62EE" w:rsidR="00691ABD" w:rsidRPr="00786273" w:rsidRDefault="00691ABD" w:rsidP="001E39EE">
            <w:pPr>
              <w:jc w:val="right"/>
              <w:rPr>
                <w:sz w:val="20"/>
                <w:szCs w:val="20"/>
                <w:lang w:val="fr-CA" w:eastAsia="en-CA"/>
              </w:rPr>
            </w:pPr>
            <w:r w:rsidRPr="00786273">
              <w:rPr>
                <w:sz w:val="20"/>
                <w:szCs w:val="20"/>
                <w:lang w:val="fr-CA" w:eastAsia="en-CA"/>
              </w:rPr>
              <w:t>5</w:t>
            </w:r>
            <w:r>
              <w:rPr>
                <w:sz w:val="20"/>
                <w:szCs w:val="20"/>
                <w:lang w:val="fr-CA" w:eastAsia="en-CA"/>
              </w:rPr>
              <w:t xml:space="preserve"> </w:t>
            </w:r>
            <w:r w:rsidRPr="00786273">
              <w:rPr>
                <w:sz w:val="20"/>
                <w:szCs w:val="20"/>
                <w:lang w:val="fr-CA" w:eastAsia="en-CA"/>
              </w:rPr>
              <w:t>858</w:t>
            </w:r>
            <w:r>
              <w:rPr>
                <w:sz w:val="20"/>
                <w:szCs w:val="20"/>
                <w:lang w:val="fr-CA" w:eastAsia="en-CA"/>
              </w:rPr>
              <w:t xml:space="preserve"> </w:t>
            </w:r>
            <w:r w:rsidRPr="00786273">
              <w:rPr>
                <w:sz w:val="20"/>
                <w:szCs w:val="20"/>
                <w:lang w:val="fr-CA" w:eastAsia="en-CA"/>
              </w:rPr>
              <w:t>631</w:t>
            </w:r>
          </w:p>
        </w:tc>
        <w:tc>
          <w:tcPr>
            <w:tcW w:w="1384" w:type="dxa"/>
            <w:tcBorders>
              <w:top w:val="nil"/>
              <w:left w:val="nil"/>
              <w:bottom w:val="single" w:sz="4" w:space="0" w:color="auto"/>
              <w:right w:val="single" w:sz="4" w:space="0" w:color="auto"/>
            </w:tcBorders>
            <w:shd w:val="clear" w:color="auto" w:fill="auto"/>
            <w:noWrap/>
            <w:hideMark/>
          </w:tcPr>
          <w:p w14:paraId="782EA9EE" w14:textId="77777777" w:rsidR="00691ABD" w:rsidRPr="00786273" w:rsidRDefault="00691ABD" w:rsidP="001E39EE">
            <w:pPr>
              <w:jc w:val="right"/>
              <w:rPr>
                <w:sz w:val="20"/>
                <w:szCs w:val="20"/>
                <w:lang w:val="fr-CA" w:eastAsia="en-CA"/>
              </w:rPr>
            </w:pPr>
            <w:r w:rsidRPr="00786273">
              <w:rPr>
                <w:sz w:val="20"/>
                <w:szCs w:val="20"/>
                <w:lang w:val="fr-CA" w:eastAsia="en-CA"/>
              </w:rPr>
              <w:t>82</w:t>
            </w:r>
          </w:p>
        </w:tc>
        <w:tc>
          <w:tcPr>
            <w:tcW w:w="1149" w:type="dxa"/>
            <w:tcBorders>
              <w:top w:val="nil"/>
              <w:left w:val="nil"/>
              <w:bottom w:val="single" w:sz="4" w:space="0" w:color="auto"/>
              <w:right w:val="single" w:sz="4" w:space="0" w:color="auto"/>
            </w:tcBorders>
            <w:shd w:val="clear" w:color="auto" w:fill="auto"/>
            <w:noWrap/>
            <w:hideMark/>
          </w:tcPr>
          <w:p w14:paraId="313A0D91" w14:textId="77777777" w:rsidR="00691ABD" w:rsidRPr="00786273" w:rsidRDefault="00691ABD" w:rsidP="001E39EE">
            <w:pPr>
              <w:jc w:val="right"/>
              <w:rPr>
                <w:sz w:val="20"/>
                <w:szCs w:val="20"/>
                <w:lang w:val="fr-CA" w:eastAsia="en-CA"/>
              </w:rPr>
            </w:pPr>
            <w:r w:rsidRPr="00786273">
              <w:rPr>
                <w:sz w:val="20"/>
                <w:szCs w:val="20"/>
                <w:lang w:val="fr-CA" w:eastAsia="en-CA"/>
              </w:rPr>
              <w:t>67</w:t>
            </w:r>
          </w:p>
        </w:tc>
      </w:tr>
      <w:tr w:rsidR="00691ABD" w:rsidRPr="00786273" w14:paraId="7F7246F3"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C20A648" w14:textId="77777777" w:rsidR="00691ABD" w:rsidRPr="00786273" w:rsidRDefault="00691ABD" w:rsidP="001E39EE">
            <w:pPr>
              <w:jc w:val="left"/>
              <w:rPr>
                <w:sz w:val="20"/>
                <w:szCs w:val="20"/>
                <w:lang w:val="fr-CA" w:eastAsia="en-CA"/>
              </w:rPr>
            </w:pPr>
            <w:r>
              <w:rPr>
                <w:sz w:val="20"/>
                <w:szCs w:val="20"/>
                <w:lang w:val="fr-CA" w:eastAsia="en-CA"/>
              </w:rPr>
              <w:t>Indonésie</w:t>
            </w:r>
          </w:p>
        </w:tc>
        <w:tc>
          <w:tcPr>
            <w:tcW w:w="851" w:type="dxa"/>
            <w:tcBorders>
              <w:top w:val="nil"/>
              <w:left w:val="nil"/>
              <w:bottom w:val="single" w:sz="4" w:space="0" w:color="auto"/>
              <w:right w:val="single" w:sz="4" w:space="0" w:color="auto"/>
            </w:tcBorders>
            <w:shd w:val="clear" w:color="auto" w:fill="auto"/>
            <w:noWrap/>
            <w:hideMark/>
          </w:tcPr>
          <w:p w14:paraId="1B97FE23" w14:textId="17E90ED3"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0FD405C"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7E9AD35F" w14:textId="233289A2"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 xml:space="preserve"> </w:t>
            </w:r>
            <w:r w:rsidRPr="00786273">
              <w:rPr>
                <w:sz w:val="20"/>
                <w:szCs w:val="20"/>
                <w:lang w:val="fr-CA" w:eastAsia="en-CA"/>
              </w:rPr>
              <w:t>581</w:t>
            </w:r>
            <w:r>
              <w:rPr>
                <w:sz w:val="20"/>
                <w:szCs w:val="20"/>
                <w:lang w:val="fr-CA" w:eastAsia="en-CA"/>
              </w:rPr>
              <w:t xml:space="preserve"> </w:t>
            </w:r>
            <w:r w:rsidRPr="00786273">
              <w:rPr>
                <w:sz w:val="20"/>
                <w:szCs w:val="20"/>
                <w:lang w:val="fr-CA" w:eastAsia="en-CA"/>
              </w:rPr>
              <w:t>315</w:t>
            </w:r>
          </w:p>
        </w:tc>
        <w:tc>
          <w:tcPr>
            <w:tcW w:w="1276" w:type="dxa"/>
            <w:tcBorders>
              <w:top w:val="nil"/>
              <w:left w:val="nil"/>
              <w:bottom w:val="single" w:sz="4" w:space="0" w:color="auto"/>
              <w:right w:val="single" w:sz="4" w:space="0" w:color="auto"/>
            </w:tcBorders>
            <w:shd w:val="clear" w:color="auto" w:fill="auto"/>
            <w:noWrap/>
            <w:hideMark/>
          </w:tcPr>
          <w:p w14:paraId="14ABEE6F" w14:textId="1DA4C91F" w:rsidR="00691ABD" w:rsidRPr="00786273" w:rsidRDefault="00691ABD" w:rsidP="001E39EE">
            <w:pPr>
              <w:jc w:val="right"/>
              <w:rPr>
                <w:sz w:val="20"/>
                <w:szCs w:val="20"/>
                <w:lang w:val="fr-CA" w:eastAsia="en-CA"/>
              </w:rPr>
            </w:pPr>
            <w:r w:rsidRPr="00786273">
              <w:rPr>
                <w:sz w:val="20"/>
                <w:szCs w:val="20"/>
                <w:lang w:val="fr-CA" w:eastAsia="en-CA"/>
              </w:rPr>
              <w:t>819</w:t>
            </w:r>
            <w:r>
              <w:rPr>
                <w:sz w:val="20"/>
                <w:szCs w:val="20"/>
                <w:lang w:val="fr-CA" w:eastAsia="en-CA"/>
              </w:rPr>
              <w:t xml:space="preserve"> </w:t>
            </w:r>
            <w:r w:rsidRPr="00786273">
              <w:rPr>
                <w:sz w:val="20"/>
                <w:szCs w:val="20"/>
                <w:lang w:val="fr-CA" w:eastAsia="en-CA"/>
              </w:rPr>
              <w:t>584</w:t>
            </w:r>
          </w:p>
        </w:tc>
        <w:tc>
          <w:tcPr>
            <w:tcW w:w="1384" w:type="dxa"/>
            <w:tcBorders>
              <w:top w:val="nil"/>
              <w:left w:val="nil"/>
              <w:bottom w:val="single" w:sz="4" w:space="0" w:color="auto"/>
              <w:right w:val="single" w:sz="4" w:space="0" w:color="auto"/>
            </w:tcBorders>
            <w:shd w:val="clear" w:color="auto" w:fill="auto"/>
            <w:noWrap/>
            <w:hideMark/>
          </w:tcPr>
          <w:p w14:paraId="22E6C2D0" w14:textId="77777777" w:rsidR="00691ABD" w:rsidRPr="00786273" w:rsidRDefault="00691ABD" w:rsidP="001E39EE">
            <w:pPr>
              <w:jc w:val="right"/>
              <w:rPr>
                <w:sz w:val="20"/>
                <w:szCs w:val="20"/>
                <w:lang w:val="fr-CA" w:eastAsia="en-CA"/>
              </w:rPr>
            </w:pPr>
            <w:r w:rsidRPr="00786273">
              <w:rPr>
                <w:sz w:val="20"/>
                <w:szCs w:val="20"/>
                <w:lang w:val="fr-CA" w:eastAsia="en-CA"/>
              </w:rPr>
              <w:t>52</w:t>
            </w:r>
          </w:p>
        </w:tc>
        <w:tc>
          <w:tcPr>
            <w:tcW w:w="1149" w:type="dxa"/>
            <w:tcBorders>
              <w:top w:val="nil"/>
              <w:left w:val="nil"/>
              <w:bottom w:val="single" w:sz="4" w:space="0" w:color="auto"/>
              <w:right w:val="single" w:sz="4" w:space="0" w:color="auto"/>
            </w:tcBorders>
            <w:shd w:val="clear" w:color="auto" w:fill="auto"/>
            <w:noWrap/>
            <w:hideMark/>
          </w:tcPr>
          <w:p w14:paraId="09CC58AB" w14:textId="77777777" w:rsidR="00691ABD" w:rsidRPr="00786273" w:rsidRDefault="00691ABD" w:rsidP="001E39EE">
            <w:pPr>
              <w:jc w:val="right"/>
              <w:rPr>
                <w:sz w:val="20"/>
                <w:szCs w:val="20"/>
                <w:lang w:val="fr-CA" w:eastAsia="en-CA"/>
              </w:rPr>
            </w:pPr>
            <w:r w:rsidRPr="00786273">
              <w:rPr>
                <w:sz w:val="20"/>
                <w:szCs w:val="20"/>
                <w:lang w:val="fr-CA" w:eastAsia="en-CA"/>
              </w:rPr>
              <w:t>60</w:t>
            </w:r>
          </w:p>
        </w:tc>
      </w:tr>
      <w:tr w:rsidR="00691ABD" w:rsidRPr="00786273" w14:paraId="7AAB4EC9"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E18C645" w14:textId="77777777" w:rsidR="00691ABD" w:rsidRPr="00786273" w:rsidRDefault="00691ABD" w:rsidP="00B21D27">
            <w:pPr>
              <w:jc w:val="left"/>
              <w:rPr>
                <w:sz w:val="20"/>
                <w:szCs w:val="20"/>
                <w:lang w:val="fr-CA" w:eastAsia="en-CA"/>
              </w:rPr>
            </w:pPr>
            <w:r w:rsidRPr="00786273">
              <w:rPr>
                <w:sz w:val="20"/>
                <w:szCs w:val="20"/>
                <w:lang w:val="fr-CA" w:eastAsia="en-CA"/>
              </w:rPr>
              <w:t>Iran (</w:t>
            </w:r>
            <w:r>
              <w:rPr>
                <w:sz w:val="20"/>
                <w:szCs w:val="20"/>
                <w:lang w:val="fr-CA" w:eastAsia="en-CA"/>
              </w:rPr>
              <w:t>République islamique d’</w:t>
            </w:r>
            <w:r w:rsidRPr="00786273">
              <w:rPr>
                <w:sz w:val="20"/>
                <w:szCs w:val="20"/>
                <w:lang w:val="fr-CA" w:eastAsia="en-CA"/>
              </w:rPr>
              <w:t>)</w:t>
            </w:r>
          </w:p>
        </w:tc>
        <w:tc>
          <w:tcPr>
            <w:tcW w:w="851" w:type="dxa"/>
            <w:tcBorders>
              <w:top w:val="nil"/>
              <w:left w:val="nil"/>
              <w:bottom w:val="single" w:sz="4" w:space="0" w:color="auto"/>
              <w:right w:val="single" w:sz="4" w:space="0" w:color="auto"/>
            </w:tcBorders>
            <w:shd w:val="clear" w:color="auto" w:fill="auto"/>
            <w:noWrap/>
            <w:hideMark/>
          </w:tcPr>
          <w:p w14:paraId="777B37C7" w14:textId="55B7EB03" w:rsidR="00691ABD" w:rsidRPr="00786273" w:rsidRDefault="00691ABD" w:rsidP="001E39EE">
            <w:pPr>
              <w:jc w:val="right"/>
              <w:rPr>
                <w:sz w:val="20"/>
                <w:szCs w:val="20"/>
                <w:lang w:val="fr-CA" w:eastAsia="en-CA"/>
              </w:rPr>
            </w:pPr>
            <w:r w:rsidRPr="00786273">
              <w:rPr>
                <w:sz w:val="20"/>
                <w:szCs w:val="20"/>
                <w:lang w:val="fr-CA" w:eastAsia="en-CA"/>
              </w:rPr>
              <w:t>17</w:t>
            </w:r>
            <w:r>
              <w:rPr>
                <w:sz w:val="20"/>
                <w:szCs w:val="20"/>
                <w:lang w:val="fr-CA" w:eastAsia="en-CA"/>
              </w:rPr>
              <w:t>,</w:t>
            </w:r>
            <w:r w:rsidRPr="00786273">
              <w:rPr>
                <w:sz w:val="20"/>
                <w:szCs w:val="20"/>
                <w:lang w:val="fr-CA" w:eastAsia="en-CA"/>
              </w:rPr>
              <w:t>3</w:t>
            </w:r>
          </w:p>
        </w:tc>
        <w:tc>
          <w:tcPr>
            <w:tcW w:w="1160" w:type="dxa"/>
            <w:tcBorders>
              <w:top w:val="nil"/>
              <w:left w:val="nil"/>
              <w:bottom w:val="single" w:sz="4" w:space="0" w:color="auto"/>
              <w:right w:val="single" w:sz="4" w:space="0" w:color="auto"/>
            </w:tcBorders>
            <w:shd w:val="clear" w:color="auto" w:fill="auto"/>
            <w:noWrap/>
            <w:hideMark/>
          </w:tcPr>
          <w:p w14:paraId="4D17D104"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25BA6CE2" w14:textId="5228F459" w:rsidR="00691ABD" w:rsidRPr="00786273" w:rsidRDefault="00691ABD" w:rsidP="001E39EE">
            <w:pPr>
              <w:jc w:val="right"/>
              <w:rPr>
                <w:sz w:val="20"/>
                <w:szCs w:val="20"/>
                <w:lang w:val="fr-CA" w:eastAsia="en-CA"/>
              </w:rPr>
            </w:pPr>
            <w:r w:rsidRPr="00786273">
              <w:rPr>
                <w:sz w:val="20"/>
                <w:szCs w:val="20"/>
                <w:lang w:val="fr-CA" w:eastAsia="en-CA"/>
              </w:rPr>
              <w:t>2</w:t>
            </w:r>
            <w:r>
              <w:rPr>
                <w:sz w:val="20"/>
                <w:szCs w:val="20"/>
                <w:lang w:val="fr-CA" w:eastAsia="en-CA"/>
              </w:rPr>
              <w:t xml:space="preserve"> </w:t>
            </w:r>
            <w:r w:rsidRPr="00786273">
              <w:rPr>
                <w:sz w:val="20"/>
                <w:szCs w:val="20"/>
                <w:lang w:val="fr-CA" w:eastAsia="en-CA"/>
              </w:rPr>
              <w:t>129</w:t>
            </w:r>
            <w:r>
              <w:rPr>
                <w:sz w:val="20"/>
                <w:szCs w:val="20"/>
                <w:lang w:val="fr-CA" w:eastAsia="en-CA"/>
              </w:rPr>
              <w:t xml:space="preserve"> </w:t>
            </w:r>
            <w:r w:rsidRPr="00786273">
              <w:rPr>
                <w:sz w:val="20"/>
                <w:szCs w:val="20"/>
                <w:lang w:val="fr-CA" w:eastAsia="en-CA"/>
              </w:rPr>
              <w:t>546</w:t>
            </w:r>
          </w:p>
        </w:tc>
        <w:tc>
          <w:tcPr>
            <w:tcW w:w="1276" w:type="dxa"/>
            <w:tcBorders>
              <w:top w:val="nil"/>
              <w:left w:val="nil"/>
              <w:bottom w:val="single" w:sz="4" w:space="0" w:color="auto"/>
              <w:right w:val="single" w:sz="4" w:space="0" w:color="auto"/>
            </w:tcBorders>
            <w:shd w:val="clear" w:color="auto" w:fill="auto"/>
            <w:noWrap/>
            <w:hideMark/>
          </w:tcPr>
          <w:p w14:paraId="7BEFD930" w14:textId="1C8D3FAB"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 xml:space="preserve"> </w:t>
            </w:r>
            <w:r w:rsidRPr="00786273">
              <w:rPr>
                <w:sz w:val="20"/>
                <w:szCs w:val="20"/>
                <w:lang w:val="fr-CA" w:eastAsia="en-CA"/>
              </w:rPr>
              <w:t>410</w:t>
            </w:r>
            <w:r>
              <w:rPr>
                <w:sz w:val="20"/>
                <w:szCs w:val="20"/>
                <w:lang w:val="fr-CA" w:eastAsia="en-CA"/>
              </w:rPr>
              <w:t xml:space="preserve"> </w:t>
            </w:r>
            <w:r w:rsidRPr="00786273">
              <w:rPr>
                <w:sz w:val="20"/>
                <w:szCs w:val="20"/>
                <w:lang w:val="fr-CA" w:eastAsia="en-CA"/>
              </w:rPr>
              <w:t>533</w:t>
            </w:r>
          </w:p>
        </w:tc>
        <w:tc>
          <w:tcPr>
            <w:tcW w:w="1384" w:type="dxa"/>
            <w:tcBorders>
              <w:top w:val="nil"/>
              <w:left w:val="nil"/>
              <w:bottom w:val="single" w:sz="4" w:space="0" w:color="auto"/>
              <w:right w:val="single" w:sz="4" w:space="0" w:color="auto"/>
            </w:tcBorders>
            <w:shd w:val="clear" w:color="auto" w:fill="auto"/>
            <w:noWrap/>
            <w:hideMark/>
          </w:tcPr>
          <w:p w14:paraId="3B6C0464" w14:textId="77777777" w:rsidR="00691ABD" w:rsidRPr="00786273" w:rsidRDefault="00691ABD" w:rsidP="001E39EE">
            <w:pPr>
              <w:jc w:val="right"/>
              <w:rPr>
                <w:sz w:val="20"/>
                <w:szCs w:val="20"/>
                <w:lang w:val="fr-CA" w:eastAsia="en-CA"/>
              </w:rPr>
            </w:pPr>
            <w:r w:rsidRPr="00786273">
              <w:rPr>
                <w:sz w:val="20"/>
                <w:szCs w:val="20"/>
                <w:lang w:val="fr-CA" w:eastAsia="en-CA"/>
              </w:rPr>
              <w:t>66</w:t>
            </w:r>
          </w:p>
        </w:tc>
        <w:tc>
          <w:tcPr>
            <w:tcW w:w="1149" w:type="dxa"/>
            <w:tcBorders>
              <w:top w:val="nil"/>
              <w:left w:val="nil"/>
              <w:bottom w:val="single" w:sz="4" w:space="0" w:color="auto"/>
              <w:right w:val="single" w:sz="4" w:space="0" w:color="auto"/>
            </w:tcBorders>
            <w:shd w:val="clear" w:color="auto" w:fill="auto"/>
            <w:noWrap/>
            <w:hideMark/>
          </w:tcPr>
          <w:p w14:paraId="39F15735"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7A8BCE8B" w14:textId="77777777" w:rsidTr="00AD0261">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18FA809D" w14:textId="77777777" w:rsidR="00691ABD" w:rsidRPr="00786273" w:rsidRDefault="00691ABD" w:rsidP="001E39EE">
            <w:pPr>
              <w:jc w:val="left"/>
              <w:rPr>
                <w:sz w:val="20"/>
                <w:szCs w:val="20"/>
                <w:lang w:val="fr-CA" w:eastAsia="en-CA"/>
              </w:rPr>
            </w:pPr>
            <w:r w:rsidRPr="00786273">
              <w:rPr>
                <w:sz w:val="20"/>
                <w:szCs w:val="20"/>
                <w:lang w:val="fr-CA" w:eastAsia="en-CA"/>
              </w:rPr>
              <w:t>Iraq</w:t>
            </w:r>
          </w:p>
        </w:tc>
        <w:tc>
          <w:tcPr>
            <w:tcW w:w="851" w:type="dxa"/>
            <w:tcBorders>
              <w:top w:val="nil"/>
              <w:left w:val="nil"/>
              <w:bottom w:val="single" w:sz="4" w:space="0" w:color="auto"/>
              <w:right w:val="single" w:sz="4" w:space="0" w:color="auto"/>
            </w:tcBorders>
            <w:shd w:val="clear" w:color="auto" w:fill="auto"/>
            <w:noWrap/>
            <w:hideMark/>
          </w:tcPr>
          <w:p w14:paraId="5D24C9CB" w14:textId="55CB9D42"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75E6AE1"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2C37166D" w14:textId="552FB21E"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 xml:space="preserve"> </w:t>
            </w:r>
            <w:r w:rsidRPr="00786273">
              <w:rPr>
                <w:sz w:val="20"/>
                <w:szCs w:val="20"/>
                <w:lang w:val="fr-CA" w:eastAsia="en-CA"/>
              </w:rPr>
              <w:t>039</w:t>
            </w:r>
            <w:r>
              <w:rPr>
                <w:sz w:val="20"/>
                <w:szCs w:val="20"/>
                <w:lang w:val="fr-CA" w:eastAsia="en-CA"/>
              </w:rPr>
              <w:t xml:space="preserve"> </w:t>
            </w:r>
            <w:r w:rsidRPr="00786273">
              <w:rPr>
                <w:sz w:val="20"/>
                <w:szCs w:val="20"/>
                <w:lang w:val="fr-CA" w:eastAsia="en-CA"/>
              </w:rPr>
              <w:t>828</w:t>
            </w:r>
          </w:p>
        </w:tc>
        <w:tc>
          <w:tcPr>
            <w:tcW w:w="1276" w:type="dxa"/>
            <w:tcBorders>
              <w:top w:val="nil"/>
              <w:left w:val="nil"/>
              <w:bottom w:val="single" w:sz="4" w:space="0" w:color="auto"/>
              <w:right w:val="single" w:sz="4" w:space="0" w:color="auto"/>
            </w:tcBorders>
            <w:shd w:val="clear" w:color="auto" w:fill="auto"/>
            <w:noWrap/>
            <w:hideMark/>
          </w:tcPr>
          <w:p w14:paraId="58642186" w14:textId="6C7F4604" w:rsidR="00691ABD" w:rsidRPr="00786273" w:rsidRDefault="00691ABD" w:rsidP="001E39EE">
            <w:pPr>
              <w:jc w:val="right"/>
              <w:rPr>
                <w:sz w:val="20"/>
                <w:szCs w:val="20"/>
                <w:lang w:val="fr-CA" w:eastAsia="en-CA"/>
              </w:rPr>
            </w:pPr>
            <w:r w:rsidRPr="00786273">
              <w:rPr>
                <w:sz w:val="20"/>
                <w:szCs w:val="20"/>
                <w:lang w:val="fr-CA" w:eastAsia="en-CA"/>
              </w:rPr>
              <w:t>206</w:t>
            </w:r>
            <w:r>
              <w:rPr>
                <w:sz w:val="20"/>
                <w:szCs w:val="20"/>
                <w:lang w:val="fr-CA" w:eastAsia="en-CA"/>
              </w:rPr>
              <w:t xml:space="preserve"> </w:t>
            </w:r>
            <w:r w:rsidRPr="00786273">
              <w:rPr>
                <w:sz w:val="20"/>
                <w:szCs w:val="20"/>
                <w:lang w:val="fr-CA" w:eastAsia="en-CA"/>
              </w:rPr>
              <w:t>524</w:t>
            </w:r>
          </w:p>
        </w:tc>
        <w:tc>
          <w:tcPr>
            <w:tcW w:w="1384" w:type="dxa"/>
            <w:tcBorders>
              <w:top w:val="nil"/>
              <w:left w:val="nil"/>
              <w:bottom w:val="single" w:sz="4" w:space="0" w:color="auto"/>
              <w:right w:val="single" w:sz="4" w:space="0" w:color="auto"/>
            </w:tcBorders>
            <w:shd w:val="clear" w:color="auto" w:fill="auto"/>
            <w:noWrap/>
            <w:hideMark/>
          </w:tcPr>
          <w:p w14:paraId="1466E7ED" w14:textId="77777777" w:rsidR="00691ABD" w:rsidRPr="00786273" w:rsidRDefault="00691ABD" w:rsidP="001E39EE">
            <w:pPr>
              <w:jc w:val="right"/>
              <w:rPr>
                <w:sz w:val="20"/>
                <w:szCs w:val="20"/>
                <w:lang w:val="fr-CA" w:eastAsia="en-CA"/>
              </w:rPr>
            </w:pPr>
            <w:r w:rsidRPr="00786273">
              <w:rPr>
                <w:sz w:val="20"/>
                <w:szCs w:val="20"/>
                <w:lang w:val="fr-CA" w:eastAsia="en-CA"/>
              </w:rPr>
              <w:t>20</w:t>
            </w:r>
          </w:p>
        </w:tc>
        <w:tc>
          <w:tcPr>
            <w:tcW w:w="1149" w:type="dxa"/>
            <w:tcBorders>
              <w:top w:val="nil"/>
              <w:left w:val="nil"/>
              <w:bottom w:val="single" w:sz="4" w:space="0" w:color="auto"/>
              <w:right w:val="single" w:sz="4" w:space="0" w:color="auto"/>
            </w:tcBorders>
            <w:shd w:val="clear" w:color="auto" w:fill="auto"/>
            <w:noWrap/>
            <w:hideMark/>
          </w:tcPr>
          <w:p w14:paraId="4ADC2532" w14:textId="77777777" w:rsidR="00691ABD" w:rsidRPr="00786273" w:rsidRDefault="00691ABD" w:rsidP="001E39EE">
            <w:pPr>
              <w:jc w:val="right"/>
              <w:rPr>
                <w:sz w:val="20"/>
                <w:szCs w:val="20"/>
                <w:lang w:val="fr-CA" w:eastAsia="en-CA"/>
              </w:rPr>
            </w:pPr>
            <w:r w:rsidRPr="00786273">
              <w:rPr>
                <w:sz w:val="20"/>
                <w:szCs w:val="20"/>
                <w:lang w:val="fr-CA" w:eastAsia="en-CA"/>
              </w:rPr>
              <w:t>14</w:t>
            </w:r>
          </w:p>
        </w:tc>
      </w:tr>
      <w:tr w:rsidR="00691ABD" w:rsidRPr="00786273" w14:paraId="7CC07317" w14:textId="77777777" w:rsidTr="00AD0261">
        <w:trPr>
          <w:trHeight w:val="69"/>
        </w:trPr>
        <w:tc>
          <w:tcPr>
            <w:tcW w:w="2972" w:type="dxa"/>
            <w:tcBorders>
              <w:top w:val="nil"/>
              <w:left w:val="single" w:sz="4" w:space="0" w:color="auto"/>
              <w:bottom w:val="single" w:sz="4" w:space="0" w:color="auto"/>
              <w:right w:val="single" w:sz="4" w:space="0" w:color="auto"/>
            </w:tcBorders>
            <w:shd w:val="clear" w:color="auto" w:fill="auto"/>
            <w:noWrap/>
            <w:hideMark/>
          </w:tcPr>
          <w:p w14:paraId="607FB377" w14:textId="77777777" w:rsidR="00691ABD" w:rsidRPr="00786273" w:rsidRDefault="00691ABD" w:rsidP="001E39EE">
            <w:pPr>
              <w:jc w:val="left"/>
              <w:rPr>
                <w:sz w:val="20"/>
                <w:szCs w:val="20"/>
                <w:lang w:val="fr-CA" w:eastAsia="en-CA"/>
              </w:rPr>
            </w:pPr>
            <w:r>
              <w:rPr>
                <w:sz w:val="20"/>
                <w:szCs w:val="20"/>
                <w:lang w:val="fr-CA" w:eastAsia="en-CA"/>
              </w:rPr>
              <w:t>Jamaïque</w:t>
            </w:r>
          </w:p>
        </w:tc>
        <w:tc>
          <w:tcPr>
            <w:tcW w:w="851" w:type="dxa"/>
            <w:tcBorders>
              <w:top w:val="nil"/>
              <w:left w:val="nil"/>
              <w:bottom w:val="single" w:sz="4" w:space="0" w:color="auto"/>
              <w:right w:val="single" w:sz="4" w:space="0" w:color="auto"/>
            </w:tcBorders>
            <w:shd w:val="clear" w:color="auto" w:fill="auto"/>
            <w:noWrap/>
            <w:hideMark/>
          </w:tcPr>
          <w:p w14:paraId="1E14B792" w14:textId="2643E617"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BD31FA0"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0D7110D3" w14:textId="5337D77C" w:rsidR="00691ABD" w:rsidRPr="00786273" w:rsidRDefault="00691ABD" w:rsidP="001E39EE">
            <w:pPr>
              <w:jc w:val="right"/>
              <w:rPr>
                <w:sz w:val="20"/>
                <w:szCs w:val="20"/>
                <w:lang w:val="fr-CA" w:eastAsia="en-CA"/>
              </w:rPr>
            </w:pPr>
            <w:r w:rsidRPr="00786273">
              <w:rPr>
                <w:sz w:val="20"/>
                <w:szCs w:val="20"/>
                <w:lang w:val="fr-CA" w:eastAsia="en-CA"/>
              </w:rPr>
              <w:t>145</w:t>
            </w:r>
            <w:r>
              <w:rPr>
                <w:sz w:val="20"/>
                <w:szCs w:val="20"/>
                <w:lang w:val="fr-CA" w:eastAsia="en-CA"/>
              </w:rPr>
              <w:t xml:space="preserve"> </w:t>
            </w:r>
            <w:r w:rsidRPr="00786273">
              <w:rPr>
                <w:sz w:val="20"/>
                <w:szCs w:val="20"/>
                <w:lang w:val="fr-CA" w:eastAsia="en-CA"/>
              </w:rPr>
              <w:t>079</w:t>
            </w:r>
          </w:p>
        </w:tc>
        <w:tc>
          <w:tcPr>
            <w:tcW w:w="1276" w:type="dxa"/>
            <w:tcBorders>
              <w:top w:val="nil"/>
              <w:left w:val="nil"/>
              <w:bottom w:val="single" w:sz="4" w:space="0" w:color="auto"/>
              <w:right w:val="single" w:sz="4" w:space="0" w:color="auto"/>
            </w:tcBorders>
            <w:shd w:val="clear" w:color="auto" w:fill="auto"/>
            <w:noWrap/>
            <w:hideMark/>
          </w:tcPr>
          <w:p w14:paraId="459F1E02" w14:textId="1CB3D648" w:rsidR="00691ABD" w:rsidRPr="00786273" w:rsidRDefault="00691ABD" w:rsidP="001E39EE">
            <w:pPr>
              <w:jc w:val="right"/>
              <w:rPr>
                <w:sz w:val="20"/>
                <w:szCs w:val="20"/>
                <w:lang w:val="fr-CA" w:eastAsia="en-CA"/>
              </w:rPr>
            </w:pPr>
            <w:r w:rsidRPr="00786273">
              <w:rPr>
                <w:sz w:val="20"/>
                <w:szCs w:val="20"/>
                <w:lang w:val="fr-CA" w:eastAsia="en-CA"/>
              </w:rPr>
              <w:t>65</w:t>
            </w:r>
            <w:r>
              <w:rPr>
                <w:sz w:val="20"/>
                <w:szCs w:val="20"/>
                <w:lang w:val="fr-CA" w:eastAsia="en-CA"/>
              </w:rPr>
              <w:t xml:space="preserve"> </w:t>
            </w:r>
            <w:r w:rsidRPr="00786273">
              <w:rPr>
                <w:sz w:val="20"/>
                <w:szCs w:val="20"/>
                <w:lang w:val="fr-CA" w:eastAsia="en-CA"/>
              </w:rPr>
              <w:t>089</w:t>
            </w:r>
          </w:p>
        </w:tc>
        <w:tc>
          <w:tcPr>
            <w:tcW w:w="1384" w:type="dxa"/>
            <w:tcBorders>
              <w:top w:val="nil"/>
              <w:left w:val="nil"/>
              <w:bottom w:val="single" w:sz="4" w:space="0" w:color="auto"/>
              <w:right w:val="single" w:sz="4" w:space="0" w:color="auto"/>
            </w:tcBorders>
            <w:shd w:val="clear" w:color="auto" w:fill="auto"/>
            <w:noWrap/>
            <w:hideMark/>
          </w:tcPr>
          <w:p w14:paraId="044F04C7" w14:textId="77777777" w:rsidR="00691ABD" w:rsidRPr="00786273" w:rsidRDefault="00691ABD" w:rsidP="001E39EE">
            <w:pPr>
              <w:jc w:val="right"/>
              <w:rPr>
                <w:sz w:val="20"/>
                <w:szCs w:val="20"/>
                <w:lang w:val="fr-CA" w:eastAsia="en-CA"/>
              </w:rPr>
            </w:pPr>
            <w:r w:rsidRPr="00786273">
              <w:rPr>
                <w:sz w:val="20"/>
                <w:szCs w:val="20"/>
                <w:lang w:val="fr-CA" w:eastAsia="en-CA"/>
              </w:rPr>
              <w:t>45</w:t>
            </w:r>
          </w:p>
        </w:tc>
        <w:tc>
          <w:tcPr>
            <w:tcW w:w="1149" w:type="dxa"/>
            <w:tcBorders>
              <w:top w:val="nil"/>
              <w:left w:val="nil"/>
              <w:bottom w:val="single" w:sz="4" w:space="0" w:color="auto"/>
              <w:right w:val="single" w:sz="4" w:space="0" w:color="auto"/>
            </w:tcBorders>
            <w:shd w:val="clear" w:color="auto" w:fill="auto"/>
            <w:noWrap/>
            <w:hideMark/>
          </w:tcPr>
          <w:p w14:paraId="6676F5CC" w14:textId="77777777" w:rsidR="00691ABD" w:rsidRPr="00786273" w:rsidRDefault="00691ABD" w:rsidP="001E39EE">
            <w:pPr>
              <w:jc w:val="right"/>
              <w:rPr>
                <w:sz w:val="20"/>
                <w:szCs w:val="20"/>
                <w:lang w:val="fr-CA" w:eastAsia="en-CA"/>
              </w:rPr>
            </w:pPr>
            <w:r w:rsidRPr="00786273">
              <w:rPr>
                <w:sz w:val="20"/>
                <w:szCs w:val="20"/>
                <w:lang w:val="fr-CA" w:eastAsia="en-CA"/>
              </w:rPr>
              <w:t>67</w:t>
            </w:r>
          </w:p>
        </w:tc>
      </w:tr>
      <w:tr w:rsidR="00691ABD" w:rsidRPr="00786273" w14:paraId="229F2F94" w14:textId="77777777" w:rsidTr="00AD0261">
        <w:trPr>
          <w:trHeight w:val="115"/>
        </w:trPr>
        <w:tc>
          <w:tcPr>
            <w:tcW w:w="2972" w:type="dxa"/>
            <w:tcBorders>
              <w:top w:val="nil"/>
              <w:left w:val="single" w:sz="4" w:space="0" w:color="auto"/>
              <w:bottom w:val="single" w:sz="4" w:space="0" w:color="auto"/>
              <w:right w:val="single" w:sz="4" w:space="0" w:color="auto"/>
            </w:tcBorders>
            <w:shd w:val="clear" w:color="auto" w:fill="auto"/>
            <w:noWrap/>
            <w:hideMark/>
          </w:tcPr>
          <w:p w14:paraId="7E0C2D57" w14:textId="77777777" w:rsidR="00691ABD" w:rsidRPr="00786273" w:rsidRDefault="00691ABD" w:rsidP="001E39EE">
            <w:pPr>
              <w:jc w:val="left"/>
              <w:rPr>
                <w:sz w:val="20"/>
                <w:szCs w:val="20"/>
                <w:lang w:val="fr-CA" w:eastAsia="en-CA"/>
              </w:rPr>
            </w:pPr>
            <w:r w:rsidRPr="00786273">
              <w:rPr>
                <w:sz w:val="20"/>
                <w:szCs w:val="20"/>
                <w:lang w:val="fr-CA" w:eastAsia="en-CA"/>
              </w:rPr>
              <w:t>Jordan</w:t>
            </w:r>
            <w:r>
              <w:rPr>
                <w:sz w:val="20"/>
                <w:szCs w:val="20"/>
                <w:lang w:val="fr-CA" w:eastAsia="en-CA"/>
              </w:rPr>
              <w:t>ie</w:t>
            </w:r>
          </w:p>
        </w:tc>
        <w:tc>
          <w:tcPr>
            <w:tcW w:w="851" w:type="dxa"/>
            <w:tcBorders>
              <w:top w:val="nil"/>
              <w:left w:val="nil"/>
              <w:bottom w:val="single" w:sz="4" w:space="0" w:color="auto"/>
              <w:right w:val="single" w:sz="4" w:space="0" w:color="auto"/>
            </w:tcBorders>
            <w:shd w:val="clear" w:color="auto" w:fill="auto"/>
            <w:noWrap/>
            <w:hideMark/>
          </w:tcPr>
          <w:p w14:paraId="343469B4" w14:textId="1E1E279A" w:rsidR="00691ABD" w:rsidRPr="00786273" w:rsidRDefault="00691ABD" w:rsidP="001E39EE">
            <w:pPr>
              <w:jc w:val="right"/>
              <w:rPr>
                <w:sz w:val="20"/>
                <w:szCs w:val="20"/>
                <w:lang w:val="fr-CA" w:eastAsia="en-CA"/>
              </w:rPr>
            </w:pPr>
            <w:r w:rsidRPr="00786273">
              <w:rPr>
                <w:sz w:val="20"/>
                <w:szCs w:val="20"/>
                <w:lang w:val="fr-CA" w:eastAsia="en-CA"/>
              </w:rPr>
              <w:t>118</w:t>
            </w:r>
            <w:r>
              <w:rPr>
                <w:sz w:val="20"/>
                <w:szCs w:val="20"/>
                <w:lang w:val="fr-CA" w:eastAsia="en-CA"/>
              </w:rPr>
              <w:t>,</w:t>
            </w:r>
            <w:r w:rsidRPr="00786273">
              <w:rPr>
                <w:sz w:val="20"/>
                <w:szCs w:val="20"/>
                <w:lang w:val="fr-CA" w:eastAsia="en-CA"/>
              </w:rPr>
              <w:t>7</w:t>
            </w:r>
          </w:p>
        </w:tc>
        <w:tc>
          <w:tcPr>
            <w:tcW w:w="1160" w:type="dxa"/>
            <w:tcBorders>
              <w:top w:val="nil"/>
              <w:left w:val="nil"/>
              <w:bottom w:val="single" w:sz="4" w:space="0" w:color="auto"/>
              <w:right w:val="single" w:sz="4" w:space="0" w:color="auto"/>
            </w:tcBorders>
            <w:shd w:val="clear" w:color="auto" w:fill="auto"/>
            <w:noWrap/>
            <w:hideMark/>
          </w:tcPr>
          <w:p w14:paraId="59C7E50C"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64AAE236" w14:textId="5C2ACC7E"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 xml:space="preserve"> </w:t>
            </w:r>
            <w:r w:rsidRPr="00786273">
              <w:rPr>
                <w:sz w:val="20"/>
                <w:szCs w:val="20"/>
                <w:lang w:val="fr-CA" w:eastAsia="en-CA"/>
              </w:rPr>
              <w:t>384</w:t>
            </w:r>
            <w:r>
              <w:rPr>
                <w:sz w:val="20"/>
                <w:szCs w:val="20"/>
                <w:lang w:val="fr-CA" w:eastAsia="en-CA"/>
              </w:rPr>
              <w:t xml:space="preserve"> </w:t>
            </w:r>
            <w:r w:rsidRPr="00786273">
              <w:rPr>
                <w:sz w:val="20"/>
                <w:szCs w:val="20"/>
                <w:lang w:val="fr-CA" w:eastAsia="en-CA"/>
              </w:rPr>
              <w:t>134</w:t>
            </w:r>
          </w:p>
        </w:tc>
        <w:tc>
          <w:tcPr>
            <w:tcW w:w="1276" w:type="dxa"/>
            <w:tcBorders>
              <w:top w:val="nil"/>
              <w:left w:val="nil"/>
              <w:bottom w:val="single" w:sz="4" w:space="0" w:color="auto"/>
              <w:right w:val="single" w:sz="4" w:space="0" w:color="auto"/>
            </w:tcBorders>
            <w:shd w:val="clear" w:color="auto" w:fill="auto"/>
            <w:noWrap/>
            <w:hideMark/>
          </w:tcPr>
          <w:p w14:paraId="0AB51E31" w14:textId="4600F3E1"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 xml:space="preserve"> </w:t>
            </w:r>
            <w:r w:rsidRPr="00786273">
              <w:rPr>
                <w:sz w:val="20"/>
                <w:szCs w:val="20"/>
                <w:lang w:val="fr-CA" w:eastAsia="en-CA"/>
              </w:rPr>
              <w:t>486</w:t>
            </w:r>
            <w:r>
              <w:rPr>
                <w:sz w:val="20"/>
                <w:szCs w:val="20"/>
                <w:lang w:val="fr-CA" w:eastAsia="en-CA"/>
              </w:rPr>
              <w:t xml:space="preserve"> </w:t>
            </w:r>
            <w:r w:rsidRPr="00786273">
              <w:rPr>
                <w:sz w:val="20"/>
                <w:szCs w:val="20"/>
                <w:lang w:val="fr-CA" w:eastAsia="en-CA"/>
              </w:rPr>
              <w:t>516</w:t>
            </w:r>
          </w:p>
        </w:tc>
        <w:tc>
          <w:tcPr>
            <w:tcW w:w="1384" w:type="dxa"/>
            <w:tcBorders>
              <w:top w:val="nil"/>
              <w:left w:val="nil"/>
              <w:bottom w:val="single" w:sz="4" w:space="0" w:color="auto"/>
              <w:right w:val="single" w:sz="4" w:space="0" w:color="auto"/>
            </w:tcBorders>
            <w:shd w:val="clear" w:color="auto" w:fill="auto"/>
            <w:noWrap/>
            <w:hideMark/>
          </w:tcPr>
          <w:p w14:paraId="6153F8D8" w14:textId="77777777" w:rsidR="00691ABD" w:rsidRPr="00786273" w:rsidRDefault="00691ABD" w:rsidP="001E39EE">
            <w:pPr>
              <w:jc w:val="right"/>
              <w:rPr>
                <w:sz w:val="20"/>
                <w:szCs w:val="20"/>
                <w:lang w:val="fr-CA" w:eastAsia="en-CA"/>
              </w:rPr>
            </w:pPr>
            <w:r w:rsidRPr="00786273">
              <w:rPr>
                <w:sz w:val="20"/>
                <w:szCs w:val="20"/>
                <w:lang w:val="fr-CA" w:eastAsia="en-CA"/>
              </w:rPr>
              <w:t>107</w:t>
            </w:r>
          </w:p>
        </w:tc>
        <w:tc>
          <w:tcPr>
            <w:tcW w:w="1149" w:type="dxa"/>
            <w:tcBorders>
              <w:top w:val="nil"/>
              <w:left w:val="nil"/>
              <w:bottom w:val="single" w:sz="4" w:space="0" w:color="auto"/>
              <w:right w:val="single" w:sz="4" w:space="0" w:color="auto"/>
            </w:tcBorders>
            <w:shd w:val="clear" w:color="auto" w:fill="auto"/>
            <w:noWrap/>
            <w:hideMark/>
          </w:tcPr>
          <w:p w14:paraId="6D7E5567"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0D41F4C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FF10E9E" w14:textId="77777777" w:rsidR="00691ABD" w:rsidRPr="00786273" w:rsidRDefault="00691ABD" w:rsidP="001E39EE">
            <w:pPr>
              <w:jc w:val="left"/>
              <w:rPr>
                <w:sz w:val="20"/>
                <w:szCs w:val="20"/>
                <w:lang w:val="fr-CA" w:eastAsia="en-CA"/>
              </w:rPr>
            </w:pPr>
            <w:r w:rsidRPr="00786273">
              <w:rPr>
                <w:sz w:val="20"/>
                <w:szCs w:val="20"/>
                <w:lang w:val="fr-CA" w:eastAsia="en-CA"/>
              </w:rPr>
              <w:t>Kenya</w:t>
            </w:r>
          </w:p>
        </w:tc>
        <w:tc>
          <w:tcPr>
            <w:tcW w:w="851" w:type="dxa"/>
            <w:tcBorders>
              <w:top w:val="nil"/>
              <w:left w:val="nil"/>
              <w:bottom w:val="single" w:sz="4" w:space="0" w:color="auto"/>
              <w:right w:val="single" w:sz="4" w:space="0" w:color="auto"/>
            </w:tcBorders>
            <w:shd w:val="clear" w:color="auto" w:fill="auto"/>
            <w:noWrap/>
            <w:hideMark/>
          </w:tcPr>
          <w:p w14:paraId="6DCA92AC" w14:textId="4A29135E"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0F69B112"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64BAB842" w14:textId="5AD381C8" w:rsidR="00691ABD" w:rsidRPr="00786273" w:rsidRDefault="00691ABD" w:rsidP="001E39EE">
            <w:pPr>
              <w:jc w:val="right"/>
              <w:rPr>
                <w:sz w:val="20"/>
                <w:szCs w:val="20"/>
                <w:lang w:val="fr-CA" w:eastAsia="en-CA"/>
              </w:rPr>
            </w:pPr>
            <w:r w:rsidRPr="00786273">
              <w:rPr>
                <w:sz w:val="20"/>
                <w:szCs w:val="20"/>
                <w:lang w:val="fr-CA" w:eastAsia="en-CA"/>
              </w:rPr>
              <w:t>277</w:t>
            </w:r>
            <w:r>
              <w:rPr>
                <w:sz w:val="20"/>
                <w:szCs w:val="20"/>
                <w:lang w:val="fr-CA" w:eastAsia="en-CA"/>
              </w:rPr>
              <w:t xml:space="preserve"> </w:t>
            </w:r>
            <w:r w:rsidRPr="00786273">
              <w:rPr>
                <w:sz w:val="20"/>
                <w:szCs w:val="20"/>
                <w:lang w:val="fr-CA" w:eastAsia="en-CA"/>
              </w:rPr>
              <w:t>152</w:t>
            </w:r>
          </w:p>
        </w:tc>
        <w:tc>
          <w:tcPr>
            <w:tcW w:w="1276" w:type="dxa"/>
            <w:tcBorders>
              <w:top w:val="nil"/>
              <w:left w:val="nil"/>
              <w:bottom w:val="single" w:sz="4" w:space="0" w:color="auto"/>
              <w:right w:val="single" w:sz="4" w:space="0" w:color="auto"/>
            </w:tcBorders>
            <w:shd w:val="clear" w:color="auto" w:fill="auto"/>
            <w:noWrap/>
            <w:hideMark/>
          </w:tcPr>
          <w:p w14:paraId="6A3BA912" w14:textId="0D800646" w:rsidR="00691ABD" w:rsidRPr="00786273" w:rsidRDefault="00691ABD" w:rsidP="001E39EE">
            <w:pPr>
              <w:jc w:val="right"/>
              <w:rPr>
                <w:sz w:val="20"/>
                <w:szCs w:val="20"/>
                <w:lang w:val="fr-CA" w:eastAsia="en-CA"/>
              </w:rPr>
            </w:pPr>
            <w:r w:rsidRPr="00786273">
              <w:rPr>
                <w:sz w:val="20"/>
                <w:szCs w:val="20"/>
                <w:lang w:val="fr-CA" w:eastAsia="en-CA"/>
              </w:rPr>
              <w:t>189</w:t>
            </w:r>
            <w:r>
              <w:rPr>
                <w:sz w:val="20"/>
                <w:szCs w:val="20"/>
                <w:lang w:val="fr-CA" w:eastAsia="en-CA"/>
              </w:rPr>
              <w:t xml:space="preserve"> </w:t>
            </w:r>
            <w:r w:rsidRPr="00786273">
              <w:rPr>
                <w:sz w:val="20"/>
                <w:szCs w:val="20"/>
                <w:lang w:val="fr-CA" w:eastAsia="en-CA"/>
              </w:rPr>
              <w:t>179</w:t>
            </w:r>
          </w:p>
        </w:tc>
        <w:tc>
          <w:tcPr>
            <w:tcW w:w="1384" w:type="dxa"/>
            <w:tcBorders>
              <w:top w:val="nil"/>
              <w:left w:val="nil"/>
              <w:bottom w:val="single" w:sz="4" w:space="0" w:color="auto"/>
              <w:right w:val="single" w:sz="4" w:space="0" w:color="auto"/>
            </w:tcBorders>
            <w:shd w:val="clear" w:color="auto" w:fill="auto"/>
            <w:noWrap/>
            <w:hideMark/>
          </w:tcPr>
          <w:p w14:paraId="0DD2035D" w14:textId="77777777" w:rsidR="00691ABD" w:rsidRPr="00786273" w:rsidRDefault="00691ABD" w:rsidP="001E39EE">
            <w:pPr>
              <w:jc w:val="right"/>
              <w:rPr>
                <w:sz w:val="20"/>
                <w:szCs w:val="20"/>
                <w:lang w:val="fr-CA" w:eastAsia="en-CA"/>
              </w:rPr>
            </w:pPr>
            <w:r w:rsidRPr="00786273">
              <w:rPr>
                <w:sz w:val="20"/>
                <w:szCs w:val="20"/>
                <w:lang w:val="fr-CA" w:eastAsia="en-CA"/>
              </w:rPr>
              <w:t>68</w:t>
            </w:r>
          </w:p>
        </w:tc>
        <w:tc>
          <w:tcPr>
            <w:tcW w:w="1149" w:type="dxa"/>
            <w:tcBorders>
              <w:top w:val="nil"/>
              <w:left w:val="nil"/>
              <w:bottom w:val="single" w:sz="4" w:space="0" w:color="auto"/>
              <w:right w:val="single" w:sz="4" w:space="0" w:color="auto"/>
            </w:tcBorders>
            <w:shd w:val="clear" w:color="auto" w:fill="auto"/>
            <w:noWrap/>
            <w:hideMark/>
          </w:tcPr>
          <w:p w14:paraId="4CD7C8DF"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3899D019"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658EB29" w14:textId="77777777" w:rsidR="00691ABD" w:rsidRPr="00786273" w:rsidRDefault="00691ABD" w:rsidP="001E39EE">
            <w:pPr>
              <w:jc w:val="left"/>
              <w:rPr>
                <w:sz w:val="20"/>
                <w:szCs w:val="20"/>
                <w:lang w:val="fr-CA" w:eastAsia="en-CA"/>
              </w:rPr>
            </w:pPr>
            <w:r>
              <w:rPr>
                <w:sz w:val="20"/>
                <w:szCs w:val="20"/>
                <w:lang w:val="fr-CA" w:eastAsia="en-CA"/>
              </w:rPr>
              <w:t>Kirghizistan</w:t>
            </w:r>
          </w:p>
        </w:tc>
        <w:tc>
          <w:tcPr>
            <w:tcW w:w="851" w:type="dxa"/>
            <w:tcBorders>
              <w:top w:val="nil"/>
              <w:left w:val="nil"/>
              <w:bottom w:val="single" w:sz="4" w:space="0" w:color="auto"/>
              <w:right w:val="single" w:sz="4" w:space="0" w:color="auto"/>
            </w:tcBorders>
            <w:shd w:val="clear" w:color="auto" w:fill="auto"/>
            <w:noWrap/>
            <w:hideMark/>
          </w:tcPr>
          <w:p w14:paraId="0C424E74" w14:textId="30405C9D"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5</w:t>
            </w:r>
          </w:p>
        </w:tc>
        <w:tc>
          <w:tcPr>
            <w:tcW w:w="1160" w:type="dxa"/>
            <w:tcBorders>
              <w:top w:val="nil"/>
              <w:left w:val="nil"/>
              <w:bottom w:val="single" w:sz="4" w:space="0" w:color="auto"/>
              <w:right w:val="single" w:sz="4" w:space="0" w:color="auto"/>
            </w:tcBorders>
            <w:shd w:val="clear" w:color="auto" w:fill="auto"/>
            <w:noWrap/>
            <w:hideMark/>
          </w:tcPr>
          <w:p w14:paraId="66C86159" w14:textId="77777777" w:rsidR="00691ABD" w:rsidRPr="00786273" w:rsidRDefault="00691ABD" w:rsidP="001E39EE">
            <w:pPr>
              <w:jc w:val="right"/>
              <w:rPr>
                <w:sz w:val="20"/>
                <w:szCs w:val="20"/>
                <w:lang w:val="fr-CA" w:eastAsia="en-CA"/>
              </w:rPr>
            </w:pPr>
            <w:r w:rsidRPr="00786273">
              <w:rPr>
                <w:sz w:val="20"/>
                <w:szCs w:val="20"/>
                <w:lang w:val="fr-CA" w:eastAsia="en-CA"/>
              </w:rPr>
              <w:t>71</w:t>
            </w:r>
          </w:p>
        </w:tc>
        <w:tc>
          <w:tcPr>
            <w:tcW w:w="1250" w:type="dxa"/>
            <w:tcBorders>
              <w:top w:val="nil"/>
              <w:left w:val="nil"/>
              <w:bottom w:val="single" w:sz="4" w:space="0" w:color="auto"/>
              <w:right w:val="single" w:sz="4" w:space="0" w:color="auto"/>
            </w:tcBorders>
            <w:shd w:val="clear" w:color="auto" w:fill="auto"/>
            <w:noWrap/>
            <w:hideMark/>
          </w:tcPr>
          <w:p w14:paraId="304B8FCA" w14:textId="7B8C3D80" w:rsidR="00691ABD" w:rsidRPr="00786273" w:rsidRDefault="00691ABD" w:rsidP="001E39EE">
            <w:pPr>
              <w:jc w:val="right"/>
              <w:rPr>
                <w:sz w:val="20"/>
                <w:szCs w:val="20"/>
                <w:lang w:val="fr-CA" w:eastAsia="en-CA"/>
              </w:rPr>
            </w:pPr>
            <w:r w:rsidRPr="00786273">
              <w:rPr>
                <w:sz w:val="20"/>
                <w:szCs w:val="20"/>
                <w:lang w:val="fr-CA" w:eastAsia="en-CA"/>
              </w:rPr>
              <w:t>143</w:t>
            </w:r>
            <w:r>
              <w:rPr>
                <w:sz w:val="20"/>
                <w:szCs w:val="20"/>
                <w:lang w:val="fr-CA" w:eastAsia="en-CA"/>
              </w:rPr>
              <w:t xml:space="preserve"> </w:t>
            </w:r>
            <w:r w:rsidRPr="00786273">
              <w:rPr>
                <w:sz w:val="20"/>
                <w:szCs w:val="20"/>
                <w:lang w:val="fr-CA" w:eastAsia="en-CA"/>
              </w:rPr>
              <w:t>942</w:t>
            </w:r>
          </w:p>
        </w:tc>
        <w:tc>
          <w:tcPr>
            <w:tcW w:w="1276" w:type="dxa"/>
            <w:tcBorders>
              <w:top w:val="nil"/>
              <w:left w:val="nil"/>
              <w:bottom w:val="single" w:sz="4" w:space="0" w:color="auto"/>
              <w:right w:val="single" w:sz="4" w:space="0" w:color="auto"/>
            </w:tcBorders>
            <w:shd w:val="clear" w:color="auto" w:fill="auto"/>
            <w:noWrap/>
            <w:hideMark/>
          </w:tcPr>
          <w:p w14:paraId="5DD806E8" w14:textId="4B6993C6" w:rsidR="00691ABD" w:rsidRPr="00786273" w:rsidRDefault="00691ABD" w:rsidP="001E39EE">
            <w:pPr>
              <w:jc w:val="right"/>
              <w:rPr>
                <w:sz w:val="20"/>
                <w:szCs w:val="20"/>
                <w:lang w:val="fr-CA" w:eastAsia="en-CA"/>
              </w:rPr>
            </w:pPr>
            <w:r w:rsidRPr="00786273">
              <w:rPr>
                <w:sz w:val="20"/>
                <w:szCs w:val="20"/>
                <w:lang w:val="fr-CA" w:eastAsia="en-CA"/>
              </w:rPr>
              <w:t>117</w:t>
            </w:r>
            <w:r>
              <w:rPr>
                <w:sz w:val="20"/>
                <w:szCs w:val="20"/>
                <w:lang w:val="fr-CA" w:eastAsia="en-CA"/>
              </w:rPr>
              <w:t xml:space="preserve"> </w:t>
            </w:r>
            <w:r w:rsidRPr="00786273">
              <w:rPr>
                <w:sz w:val="20"/>
                <w:szCs w:val="20"/>
                <w:lang w:val="fr-CA" w:eastAsia="en-CA"/>
              </w:rPr>
              <w:t>140</w:t>
            </w:r>
          </w:p>
        </w:tc>
        <w:tc>
          <w:tcPr>
            <w:tcW w:w="1384" w:type="dxa"/>
            <w:tcBorders>
              <w:top w:val="nil"/>
              <w:left w:val="nil"/>
              <w:bottom w:val="single" w:sz="4" w:space="0" w:color="auto"/>
              <w:right w:val="single" w:sz="4" w:space="0" w:color="auto"/>
            </w:tcBorders>
            <w:shd w:val="clear" w:color="auto" w:fill="auto"/>
            <w:noWrap/>
            <w:hideMark/>
          </w:tcPr>
          <w:p w14:paraId="438DD9E8" w14:textId="77777777" w:rsidR="00691ABD" w:rsidRPr="00786273" w:rsidRDefault="00691ABD" w:rsidP="001E39EE">
            <w:pPr>
              <w:jc w:val="right"/>
              <w:rPr>
                <w:sz w:val="20"/>
                <w:szCs w:val="20"/>
                <w:lang w:val="fr-CA" w:eastAsia="en-CA"/>
              </w:rPr>
            </w:pPr>
            <w:r w:rsidRPr="00786273">
              <w:rPr>
                <w:sz w:val="20"/>
                <w:szCs w:val="20"/>
                <w:lang w:val="fr-CA" w:eastAsia="en-CA"/>
              </w:rPr>
              <w:t>81</w:t>
            </w:r>
          </w:p>
        </w:tc>
        <w:tc>
          <w:tcPr>
            <w:tcW w:w="1149" w:type="dxa"/>
            <w:tcBorders>
              <w:top w:val="nil"/>
              <w:left w:val="nil"/>
              <w:bottom w:val="single" w:sz="4" w:space="0" w:color="auto"/>
              <w:right w:val="single" w:sz="4" w:space="0" w:color="auto"/>
            </w:tcBorders>
            <w:shd w:val="clear" w:color="auto" w:fill="auto"/>
            <w:noWrap/>
            <w:hideMark/>
          </w:tcPr>
          <w:p w14:paraId="33ED7B23" w14:textId="77777777" w:rsidR="00691ABD" w:rsidRPr="00786273" w:rsidRDefault="00691ABD" w:rsidP="001E39EE">
            <w:pPr>
              <w:jc w:val="right"/>
              <w:rPr>
                <w:sz w:val="20"/>
                <w:szCs w:val="20"/>
                <w:lang w:val="fr-CA" w:eastAsia="en-CA"/>
              </w:rPr>
            </w:pPr>
            <w:r w:rsidRPr="00786273">
              <w:rPr>
                <w:sz w:val="20"/>
                <w:szCs w:val="20"/>
                <w:lang w:val="fr-CA" w:eastAsia="en-CA"/>
              </w:rPr>
              <w:t>67</w:t>
            </w:r>
          </w:p>
        </w:tc>
      </w:tr>
      <w:tr w:rsidR="00691ABD" w:rsidRPr="00786273" w14:paraId="7B43AC96" w14:textId="77777777" w:rsidTr="00AD0261">
        <w:trPr>
          <w:trHeight w:val="65"/>
        </w:trPr>
        <w:tc>
          <w:tcPr>
            <w:tcW w:w="2972" w:type="dxa"/>
            <w:tcBorders>
              <w:top w:val="nil"/>
              <w:left w:val="single" w:sz="4" w:space="0" w:color="auto"/>
              <w:bottom w:val="single" w:sz="4" w:space="0" w:color="auto"/>
              <w:right w:val="single" w:sz="4" w:space="0" w:color="auto"/>
            </w:tcBorders>
            <w:shd w:val="clear" w:color="auto" w:fill="auto"/>
            <w:noWrap/>
            <w:hideMark/>
          </w:tcPr>
          <w:p w14:paraId="7FD11583" w14:textId="77777777" w:rsidR="00691ABD" w:rsidRPr="00786273" w:rsidRDefault="00691ABD" w:rsidP="001E39EE">
            <w:pPr>
              <w:jc w:val="left"/>
              <w:rPr>
                <w:sz w:val="20"/>
                <w:szCs w:val="20"/>
                <w:lang w:val="fr-CA" w:eastAsia="en-CA"/>
              </w:rPr>
            </w:pPr>
            <w:r w:rsidRPr="00786273">
              <w:rPr>
                <w:sz w:val="20"/>
                <w:szCs w:val="20"/>
                <w:lang w:val="fr-CA" w:eastAsia="en-CA"/>
              </w:rPr>
              <w:t>Kiribati</w:t>
            </w:r>
          </w:p>
        </w:tc>
        <w:tc>
          <w:tcPr>
            <w:tcW w:w="851" w:type="dxa"/>
            <w:tcBorders>
              <w:top w:val="nil"/>
              <w:left w:val="nil"/>
              <w:bottom w:val="single" w:sz="4" w:space="0" w:color="auto"/>
              <w:right w:val="single" w:sz="4" w:space="0" w:color="auto"/>
            </w:tcBorders>
            <w:shd w:val="clear" w:color="auto" w:fill="auto"/>
            <w:noWrap/>
            <w:hideMark/>
          </w:tcPr>
          <w:p w14:paraId="133338E8" w14:textId="67AC43F6"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F1AC891"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318D2391" w14:textId="1D4A78CD" w:rsidR="00691ABD" w:rsidRPr="00786273" w:rsidRDefault="00691ABD" w:rsidP="001E39EE">
            <w:pPr>
              <w:jc w:val="right"/>
              <w:rPr>
                <w:sz w:val="20"/>
                <w:szCs w:val="20"/>
                <w:lang w:val="fr-CA" w:eastAsia="en-CA"/>
              </w:rPr>
            </w:pPr>
            <w:r w:rsidRPr="00786273">
              <w:rPr>
                <w:sz w:val="20"/>
                <w:szCs w:val="20"/>
                <w:lang w:val="fr-CA" w:eastAsia="en-CA"/>
              </w:rPr>
              <w:t>67</w:t>
            </w:r>
            <w:r>
              <w:rPr>
                <w:sz w:val="20"/>
                <w:szCs w:val="20"/>
                <w:lang w:val="fr-CA" w:eastAsia="en-CA"/>
              </w:rPr>
              <w:t xml:space="preserve"> </w:t>
            </w:r>
            <w:r w:rsidRPr="00786273">
              <w:rPr>
                <w:sz w:val="20"/>
                <w:szCs w:val="20"/>
                <w:lang w:val="fr-CA" w:eastAsia="en-CA"/>
              </w:rPr>
              <w:t>519</w:t>
            </w:r>
          </w:p>
        </w:tc>
        <w:tc>
          <w:tcPr>
            <w:tcW w:w="1276" w:type="dxa"/>
            <w:tcBorders>
              <w:top w:val="nil"/>
              <w:left w:val="nil"/>
              <w:bottom w:val="single" w:sz="4" w:space="0" w:color="auto"/>
              <w:right w:val="single" w:sz="4" w:space="0" w:color="auto"/>
            </w:tcBorders>
            <w:shd w:val="clear" w:color="auto" w:fill="auto"/>
            <w:noWrap/>
            <w:hideMark/>
          </w:tcPr>
          <w:p w14:paraId="0E9A30B2" w14:textId="71674ABA" w:rsidR="00691ABD" w:rsidRPr="00786273" w:rsidRDefault="00691ABD" w:rsidP="001E39EE">
            <w:pPr>
              <w:jc w:val="right"/>
              <w:rPr>
                <w:sz w:val="20"/>
                <w:szCs w:val="20"/>
                <w:lang w:val="fr-CA" w:eastAsia="en-CA"/>
              </w:rPr>
            </w:pPr>
            <w:r w:rsidRPr="00786273">
              <w:rPr>
                <w:sz w:val="20"/>
                <w:szCs w:val="20"/>
                <w:lang w:val="fr-CA" w:eastAsia="en-CA"/>
              </w:rPr>
              <w:t>22</w:t>
            </w:r>
            <w:r>
              <w:rPr>
                <w:sz w:val="20"/>
                <w:szCs w:val="20"/>
                <w:lang w:val="fr-CA" w:eastAsia="en-CA"/>
              </w:rPr>
              <w:t xml:space="preserve"> </w:t>
            </w:r>
            <w:r w:rsidRPr="00786273">
              <w:rPr>
                <w:sz w:val="20"/>
                <w:szCs w:val="20"/>
                <w:lang w:val="fr-CA" w:eastAsia="en-CA"/>
              </w:rPr>
              <w:t>429</w:t>
            </w:r>
          </w:p>
        </w:tc>
        <w:tc>
          <w:tcPr>
            <w:tcW w:w="1384" w:type="dxa"/>
            <w:tcBorders>
              <w:top w:val="nil"/>
              <w:left w:val="nil"/>
              <w:bottom w:val="single" w:sz="4" w:space="0" w:color="auto"/>
              <w:right w:val="single" w:sz="4" w:space="0" w:color="auto"/>
            </w:tcBorders>
            <w:shd w:val="clear" w:color="auto" w:fill="auto"/>
            <w:noWrap/>
            <w:hideMark/>
          </w:tcPr>
          <w:p w14:paraId="4C4AC6EC" w14:textId="77777777" w:rsidR="00691ABD" w:rsidRPr="00786273" w:rsidRDefault="00691ABD" w:rsidP="001E39EE">
            <w:pPr>
              <w:jc w:val="right"/>
              <w:rPr>
                <w:sz w:val="20"/>
                <w:szCs w:val="20"/>
                <w:lang w:val="fr-CA" w:eastAsia="en-CA"/>
              </w:rPr>
            </w:pPr>
            <w:r w:rsidRPr="00786273">
              <w:rPr>
                <w:sz w:val="20"/>
                <w:szCs w:val="20"/>
                <w:lang w:val="fr-CA" w:eastAsia="en-CA"/>
              </w:rPr>
              <w:t>33</w:t>
            </w:r>
          </w:p>
        </w:tc>
        <w:tc>
          <w:tcPr>
            <w:tcW w:w="1149" w:type="dxa"/>
            <w:tcBorders>
              <w:top w:val="nil"/>
              <w:left w:val="nil"/>
              <w:bottom w:val="single" w:sz="4" w:space="0" w:color="auto"/>
              <w:right w:val="single" w:sz="4" w:space="0" w:color="auto"/>
            </w:tcBorders>
            <w:shd w:val="clear" w:color="auto" w:fill="auto"/>
            <w:noWrap/>
            <w:hideMark/>
          </w:tcPr>
          <w:p w14:paraId="6BBE36A8"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00336EC2"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E40E383" w14:textId="77777777" w:rsidR="00691ABD" w:rsidRPr="00786273" w:rsidRDefault="00691ABD" w:rsidP="001E39EE">
            <w:pPr>
              <w:jc w:val="left"/>
              <w:rPr>
                <w:sz w:val="20"/>
                <w:szCs w:val="20"/>
                <w:lang w:val="fr-CA" w:eastAsia="en-CA"/>
              </w:rPr>
            </w:pPr>
            <w:r>
              <w:rPr>
                <w:sz w:val="20"/>
                <w:szCs w:val="20"/>
                <w:lang w:val="fr-CA" w:eastAsia="en-CA"/>
              </w:rPr>
              <w:t>Koweït</w:t>
            </w:r>
          </w:p>
        </w:tc>
        <w:tc>
          <w:tcPr>
            <w:tcW w:w="851" w:type="dxa"/>
            <w:tcBorders>
              <w:top w:val="nil"/>
              <w:left w:val="nil"/>
              <w:bottom w:val="single" w:sz="4" w:space="0" w:color="auto"/>
              <w:right w:val="single" w:sz="4" w:space="0" w:color="auto"/>
            </w:tcBorders>
            <w:shd w:val="clear" w:color="auto" w:fill="auto"/>
            <w:noWrap/>
            <w:hideMark/>
          </w:tcPr>
          <w:p w14:paraId="4A64FD85" w14:textId="6E6D5444"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F5EA492"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0CDC32EF" w14:textId="240058E0" w:rsidR="00691ABD" w:rsidRPr="00786273" w:rsidRDefault="00691ABD" w:rsidP="001E39EE">
            <w:pPr>
              <w:jc w:val="right"/>
              <w:rPr>
                <w:sz w:val="20"/>
                <w:szCs w:val="20"/>
                <w:lang w:val="fr-CA" w:eastAsia="en-CA"/>
              </w:rPr>
            </w:pPr>
            <w:r w:rsidRPr="00786273">
              <w:rPr>
                <w:sz w:val="20"/>
                <w:szCs w:val="20"/>
                <w:lang w:val="fr-CA" w:eastAsia="en-CA"/>
              </w:rPr>
              <w:t>3</w:t>
            </w:r>
            <w:r>
              <w:rPr>
                <w:sz w:val="20"/>
                <w:szCs w:val="20"/>
                <w:lang w:val="fr-CA" w:eastAsia="en-CA"/>
              </w:rPr>
              <w:t xml:space="preserve"> </w:t>
            </w:r>
            <w:r w:rsidRPr="00786273">
              <w:rPr>
                <w:sz w:val="20"/>
                <w:szCs w:val="20"/>
                <w:lang w:val="fr-CA" w:eastAsia="en-CA"/>
              </w:rPr>
              <w:t>774</w:t>
            </w:r>
            <w:r>
              <w:rPr>
                <w:sz w:val="20"/>
                <w:szCs w:val="20"/>
                <w:lang w:val="fr-CA" w:eastAsia="en-CA"/>
              </w:rPr>
              <w:t xml:space="preserve"> </w:t>
            </w:r>
            <w:r w:rsidRPr="00786273">
              <w:rPr>
                <w:sz w:val="20"/>
                <w:szCs w:val="20"/>
                <w:lang w:val="fr-CA" w:eastAsia="en-CA"/>
              </w:rPr>
              <w:t>091</w:t>
            </w:r>
          </w:p>
        </w:tc>
        <w:tc>
          <w:tcPr>
            <w:tcW w:w="1276" w:type="dxa"/>
            <w:tcBorders>
              <w:top w:val="nil"/>
              <w:left w:val="nil"/>
              <w:bottom w:val="single" w:sz="4" w:space="0" w:color="auto"/>
              <w:right w:val="single" w:sz="4" w:space="0" w:color="auto"/>
            </w:tcBorders>
            <w:shd w:val="clear" w:color="auto" w:fill="auto"/>
            <w:noWrap/>
            <w:hideMark/>
          </w:tcPr>
          <w:p w14:paraId="769AAFA5" w14:textId="75E04261" w:rsidR="00691ABD" w:rsidRPr="00786273" w:rsidRDefault="00691ABD" w:rsidP="001E39EE">
            <w:pPr>
              <w:jc w:val="right"/>
              <w:rPr>
                <w:sz w:val="20"/>
                <w:szCs w:val="20"/>
                <w:lang w:val="fr-CA" w:eastAsia="en-CA"/>
              </w:rPr>
            </w:pPr>
            <w:r w:rsidRPr="00786273">
              <w:rPr>
                <w:sz w:val="20"/>
                <w:szCs w:val="20"/>
                <w:lang w:val="fr-CA" w:eastAsia="en-CA"/>
              </w:rPr>
              <w:t>3</w:t>
            </w:r>
            <w:r>
              <w:rPr>
                <w:sz w:val="20"/>
                <w:szCs w:val="20"/>
                <w:lang w:val="fr-CA" w:eastAsia="en-CA"/>
              </w:rPr>
              <w:t xml:space="preserve"> </w:t>
            </w:r>
            <w:r w:rsidRPr="00786273">
              <w:rPr>
                <w:sz w:val="20"/>
                <w:szCs w:val="20"/>
                <w:lang w:val="fr-CA" w:eastAsia="en-CA"/>
              </w:rPr>
              <w:t>094</w:t>
            </w:r>
            <w:r>
              <w:rPr>
                <w:sz w:val="20"/>
                <w:szCs w:val="20"/>
                <w:lang w:val="fr-CA" w:eastAsia="en-CA"/>
              </w:rPr>
              <w:t xml:space="preserve"> </w:t>
            </w:r>
            <w:r w:rsidRPr="00786273">
              <w:rPr>
                <w:sz w:val="20"/>
                <w:szCs w:val="20"/>
                <w:lang w:val="fr-CA" w:eastAsia="en-CA"/>
              </w:rPr>
              <w:t>632</w:t>
            </w:r>
          </w:p>
        </w:tc>
        <w:tc>
          <w:tcPr>
            <w:tcW w:w="1384" w:type="dxa"/>
            <w:tcBorders>
              <w:top w:val="nil"/>
              <w:left w:val="nil"/>
              <w:bottom w:val="single" w:sz="4" w:space="0" w:color="auto"/>
              <w:right w:val="single" w:sz="4" w:space="0" w:color="auto"/>
            </w:tcBorders>
            <w:shd w:val="clear" w:color="auto" w:fill="auto"/>
            <w:noWrap/>
            <w:hideMark/>
          </w:tcPr>
          <w:p w14:paraId="27514F52" w14:textId="77777777" w:rsidR="00691ABD" w:rsidRPr="00786273" w:rsidRDefault="00691ABD" w:rsidP="001E39EE">
            <w:pPr>
              <w:jc w:val="right"/>
              <w:rPr>
                <w:sz w:val="20"/>
                <w:szCs w:val="20"/>
                <w:lang w:val="fr-CA" w:eastAsia="en-CA"/>
              </w:rPr>
            </w:pPr>
            <w:r w:rsidRPr="00786273">
              <w:rPr>
                <w:sz w:val="20"/>
                <w:szCs w:val="20"/>
                <w:lang w:val="fr-CA" w:eastAsia="en-CA"/>
              </w:rPr>
              <w:t>82</w:t>
            </w:r>
          </w:p>
        </w:tc>
        <w:tc>
          <w:tcPr>
            <w:tcW w:w="1149" w:type="dxa"/>
            <w:tcBorders>
              <w:top w:val="nil"/>
              <w:left w:val="nil"/>
              <w:bottom w:val="single" w:sz="4" w:space="0" w:color="auto"/>
              <w:right w:val="single" w:sz="4" w:space="0" w:color="auto"/>
            </w:tcBorders>
            <w:shd w:val="clear" w:color="auto" w:fill="auto"/>
            <w:noWrap/>
            <w:hideMark/>
          </w:tcPr>
          <w:p w14:paraId="755CB25C"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3DD66AD1"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02CBB5A" w14:textId="77777777" w:rsidR="00691ABD" w:rsidRPr="00786273" w:rsidRDefault="00691ABD" w:rsidP="001E39EE">
            <w:pPr>
              <w:jc w:val="left"/>
              <w:rPr>
                <w:sz w:val="20"/>
                <w:szCs w:val="20"/>
                <w:lang w:val="fr-CA" w:eastAsia="en-CA"/>
              </w:rPr>
            </w:pPr>
            <w:r w:rsidRPr="00786273">
              <w:rPr>
                <w:sz w:val="20"/>
                <w:szCs w:val="20"/>
                <w:lang w:val="fr-CA" w:eastAsia="en-CA"/>
              </w:rPr>
              <w:t>Lesotho</w:t>
            </w:r>
          </w:p>
        </w:tc>
        <w:tc>
          <w:tcPr>
            <w:tcW w:w="851" w:type="dxa"/>
            <w:tcBorders>
              <w:top w:val="nil"/>
              <w:left w:val="nil"/>
              <w:bottom w:val="single" w:sz="4" w:space="0" w:color="auto"/>
              <w:right w:val="single" w:sz="4" w:space="0" w:color="auto"/>
            </w:tcBorders>
            <w:shd w:val="clear" w:color="auto" w:fill="auto"/>
            <w:noWrap/>
            <w:hideMark/>
          </w:tcPr>
          <w:p w14:paraId="5F1C5259" w14:textId="7B493202"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5C9002B6"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BC4ECEA" w14:textId="675C0B1F" w:rsidR="00691ABD" w:rsidRPr="00786273" w:rsidRDefault="00691ABD" w:rsidP="001E39EE">
            <w:pPr>
              <w:jc w:val="right"/>
              <w:rPr>
                <w:sz w:val="20"/>
                <w:szCs w:val="20"/>
                <w:lang w:val="fr-CA" w:eastAsia="en-CA"/>
              </w:rPr>
            </w:pPr>
            <w:r w:rsidRPr="00786273">
              <w:rPr>
                <w:sz w:val="20"/>
                <w:szCs w:val="20"/>
                <w:lang w:val="fr-CA" w:eastAsia="en-CA"/>
              </w:rPr>
              <w:t>81</w:t>
            </w:r>
            <w:r>
              <w:rPr>
                <w:sz w:val="20"/>
                <w:szCs w:val="20"/>
                <w:lang w:val="fr-CA" w:eastAsia="en-CA"/>
              </w:rPr>
              <w:t xml:space="preserve"> </w:t>
            </w:r>
            <w:r w:rsidRPr="00786273">
              <w:rPr>
                <w:sz w:val="20"/>
                <w:szCs w:val="20"/>
                <w:lang w:val="fr-CA" w:eastAsia="en-CA"/>
              </w:rPr>
              <w:t>400</w:t>
            </w:r>
          </w:p>
        </w:tc>
        <w:tc>
          <w:tcPr>
            <w:tcW w:w="1276" w:type="dxa"/>
            <w:tcBorders>
              <w:top w:val="nil"/>
              <w:left w:val="nil"/>
              <w:bottom w:val="single" w:sz="4" w:space="0" w:color="auto"/>
              <w:right w:val="single" w:sz="4" w:space="0" w:color="auto"/>
            </w:tcBorders>
            <w:shd w:val="clear" w:color="auto" w:fill="auto"/>
            <w:noWrap/>
            <w:hideMark/>
          </w:tcPr>
          <w:p w14:paraId="6CC19CF4" w14:textId="5D5B3291" w:rsidR="00691ABD" w:rsidRPr="00786273" w:rsidRDefault="00691ABD" w:rsidP="001E39EE">
            <w:pPr>
              <w:jc w:val="right"/>
              <w:rPr>
                <w:sz w:val="20"/>
                <w:szCs w:val="20"/>
                <w:lang w:val="fr-CA" w:eastAsia="en-CA"/>
              </w:rPr>
            </w:pPr>
            <w:r w:rsidRPr="00786273">
              <w:rPr>
                <w:sz w:val="20"/>
                <w:szCs w:val="20"/>
                <w:lang w:val="fr-CA" w:eastAsia="en-CA"/>
              </w:rPr>
              <w:t>74</w:t>
            </w:r>
            <w:r>
              <w:rPr>
                <w:sz w:val="20"/>
                <w:szCs w:val="20"/>
                <w:lang w:val="fr-CA" w:eastAsia="en-CA"/>
              </w:rPr>
              <w:t xml:space="preserve"> </w:t>
            </w:r>
            <w:r w:rsidRPr="00786273">
              <w:rPr>
                <w:sz w:val="20"/>
                <w:szCs w:val="20"/>
                <w:lang w:val="fr-CA" w:eastAsia="en-CA"/>
              </w:rPr>
              <w:t>366</w:t>
            </w:r>
          </w:p>
        </w:tc>
        <w:tc>
          <w:tcPr>
            <w:tcW w:w="1384" w:type="dxa"/>
            <w:tcBorders>
              <w:top w:val="nil"/>
              <w:left w:val="nil"/>
              <w:bottom w:val="single" w:sz="4" w:space="0" w:color="auto"/>
              <w:right w:val="single" w:sz="4" w:space="0" w:color="auto"/>
            </w:tcBorders>
            <w:shd w:val="clear" w:color="auto" w:fill="auto"/>
            <w:noWrap/>
            <w:hideMark/>
          </w:tcPr>
          <w:p w14:paraId="5AAF3593" w14:textId="77777777" w:rsidR="00691ABD" w:rsidRPr="00786273" w:rsidRDefault="00691ABD" w:rsidP="001E39EE">
            <w:pPr>
              <w:jc w:val="right"/>
              <w:rPr>
                <w:sz w:val="20"/>
                <w:szCs w:val="20"/>
                <w:lang w:val="fr-CA" w:eastAsia="en-CA"/>
              </w:rPr>
            </w:pPr>
            <w:r w:rsidRPr="00786273">
              <w:rPr>
                <w:sz w:val="20"/>
                <w:szCs w:val="20"/>
                <w:lang w:val="fr-CA" w:eastAsia="en-CA"/>
              </w:rPr>
              <w:t>91</w:t>
            </w:r>
          </w:p>
        </w:tc>
        <w:tc>
          <w:tcPr>
            <w:tcW w:w="1149" w:type="dxa"/>
            <w:tcBorders>
              <w:top w:val="nil"/>
              <w:left w:val="nil"/>
              <w:bottom w:val="single" w:sz="4" w:space="0" w:color="auto"/>
              <w:right w:val="single" w:sz="4" w:space="0" w:color="auto"/>
            </w:tcBorders>
            <w:shd w:val="clear" w:color="auto" w:fill="auto"/>
            <w:noWrap/>
            <w:hideMark/>
          </w:tcPr>
          <w:p w14:paraId="0EA728D7"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6167FE2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5CC9BEE" w14:textId="77777777" w:rsidR="00691ABD" w:rsidRPr="00786273" w:rsidRDefault="00691ABD" w:rsidP="001E39EE">
            <w:pPr>
              <w:jc w:val="left"/>
              <w:rPr>
                <w:sz w:val="20"/>
                <w:szCs w:val="20"/>
                <w:lang w:val="fr-CA" w:eastAsia="en-CA"/>
              </w:rPr>
            </w:pPr>
            <w:r>
              <w:rPr>
                <w:sz w:val="20"/>
                <w:szCs w:val="20"/>
                <w:lang w:val="fr-CA" w:eastAsia="en-CA"/>
              </w:rPr>
              <w:t>Liban</w:t>
            </w:r>
          </w:p>
        </w:tc>
        <w:tc>
          <w:tcPr>
            <w:tcW w:w="851" w:type="dxa"/>
            <w:tcBorders>
              <w:top w:val="nil"/>
              <w:left w:val="nil"/>
              <w:bottom w:val="single" w:sz="4" w:space="0" w:color="auto"/>
              <w:right w:val="single" w:sz="4" w:space="0" w:color="auto"/>
            </w:tcBorders>
            <w:shd w:val="clear" w:color="auto" w:fill="auto"/>
            <w:noWrap/>
            <w:hideMark/>
          </w:tcPr>
          <w:p w14:paraId="7586E8A7" w14:textId="09E0BA8B" w:rsidR="00691ABD" w:rsidRPr="00786273" w:rsidRDefault="00691ABD" w:rsidP="001E39EE">
            <w:pPr>
              <w:jc w:val="right"/>
              <w:rPr>
                <w:sz w:val="20"/>
                <w:szCs w:val="20"/>
                <w:lang w:val="fr-CA" w:eastAsia="en-CA"/>
              </w:rPr>
            </w:pPr>
            <w:r w:rsidRPr="00786273">
              <w:rPr>
                <w:sz w:val="20"/>
                <w:szCs w:val="20"/>
                <w:lang w:val="fr-CA" w:eastAsia="en-CA"/>
              </w:rPr>
              <w:t>6</w:t>
            </w:r>
            <w:r>
              <w:rPr>
                <w:sz w:val="20"/>
                <w:szCs w:val="20"/>
                <w:lang w:val="fr-CA" w:eastAsia="en-CA"/>
              </w:rPr>
              <w:t>,</w:t>
            </w:r>
            <w:r w:rsidRPr="00786273">
              <w:rPr>
                <w:sz w:val="20"/>
                <w:szCs w:val="20"/>
                <w:lang w:val="fr-CA" w:eastAsia="en-CA"/>
              </w:rPr>
              <w:t>3</w:t>
            </w:r>
          </w:p>
        </w:tc>
        <w:tc>
          <w:tcPr>
            <w:tcW w:w="1160" w:type="dxa"/>
            <w:tcBorders>
              <w:top w:val="nil"/>
              <w:left w:val="nil"/>
              <w:bottom w:val="single" w:sz="4" w:space="0" w:color="auto"/>
              <w:right w:val="single" w:sz="4" w:space="0" w:color="auto"/>
            </w:tcBorders>
            <w:shd w:val="clear" w:color="auto" w:fill="auto"/>
            <w:noWrap/>
            <w:hideMark/>
          </w:tcPr>
          <w:p w14:paraId="53983DC9"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287303F" w14:textId="0AE414D2" w:rsidR="00691ABD" w:rsidRPr="00786273" w:rsidRDefault="00691ABD" w:rsidP="001E39EE">
            <w:pPr>
              <w:jc w:val="right"/>
              <w:rPr>
                <w:sz w:val="20"/>
                <w:szCs w:val="20"/>
                <w:lang w:val="fr-CA" w:eastAsia="en-CA"/>
              </w:rPr>
            </w:pPr>
            <w:r w:rsidRPr="00786273">
              <w:rPr>
                <w:sz w:val="20"/>
                <w:szCs w:val="20"/>
                <w:lang w:val="fr-CA" w:eastAsia="en-CA"/>
              </w:rPr>
              <w:t>249</w:t>
            </w:r>
            <w:r>
              <w:rPr>
                <w:sz w:val="20"/>
                <w:szCs w:val="20"/>
                <w:lang w:val="fr-CA" w:eastAsia="en-CA"/>
              </w:rPr>
              <w:t xml:space="preserve"> </w:t>
            </w:r>
            <w:r w:rsidRPr="00786273">
              <w:rPr>
                <w:sz w:val="20"/>
                <w:szCs w:val="20"/>
                <w:lang w:val="fr-CA" w:eastAsia="en-CA"/>
              </w:rPr>
              <w:t>574</w:t>
            </w:r>
          </w:p>
        </w:tc>
        <w:tc>
          <w:tcPr>
            <w:tcW w:w="1276" w:type="dxa"/>
            <w:tcBorders>
              <w:top w:val="nil"/>
              <w:left w:val="nil"/>
              <w:bottom w:val="single" w:sz="4" w:space="0" w:color="auto"/>
              <w:right w:val="single" w:sz="4" w:space="0" w:color="auto"/>
            </w:tcBorders>
            <w:shd w:val="clear" w:color="auto" w:fill="auto"/>
            <w:noWrap/>
            <w:hideMark/>
          </w:tcPr>
          <w:p w14:paraId="6752ADC3" w14:textId="66EAC74B" w:rsidR="00691ABD" w:rsidRPr="00786273" w:rsidRDefault="00691ABD" w:rsidP="001E39EE">
            <w:pPr>
              <w:jc w:val="right"/>
              <w:rPr>
                <w:sz w:val="20"/>
                <w:szCs w:val="20"/>
                <w:lang w:val="fr-CA" w:eastAsia="en-CA"/>
              </w:rPr>
            </w:pPr>
            <w:r w:rsidRPr="00786273">
              <w:rPr>
                <w:sz w:val="20"/>
                <w:szCs w:val="20"/>
                <w:lang w:val="fr-CA" w:eastAsia="en-CA"/>
              </w:rPr>
              <w:t>420</w:t>
            </w:r>
            <w:r>
              <w:rPr>
                <w:sz w:val="20"/>
                <w:szCs w:val="20"/>
                <w:lang w:val="fr-CA" w:eastAsia="en-CA"/>
              </w:rPr>
              <w:t xml:space="preserve"> </w:t>
            </w:r>
            <w:r w:rsidRPr="00786273">
              <w:rPr>
                <w:sz w:val="20"/>
                <w:szCs w:val="20"/>
                <w:lang w:val="fr-CA" w:eastAsia="en-CA"/>
              </w:rPr>
              <w:t>099</w:t>
            </w:r>
          </w:p>
        </w:tc>
        <w:tc>
          <w:tcPr>
            <w:tcW w:w="1384" w:type="dxa"/>
            <w:tcBorders>
              <w:top w:val="nil"/>
              <w:left w:val="nil"/>
              <w:bottom w:val="single" w:sz="4" w:space="0" w:color="auto"/>
              <w:right w:val="single" w:sz="4" w:space="0" w:color="auto"/>
            </w:tcBorders>
            <w:shd w:val="clear" w:color="auto" w:fill="auto"/>
            <w:noWrap/>
            <w:hideMark/>
          </w:tcPr>
          <w:p w14:paraId="69E0F99D" w14:textId="77777777" w:rsidR="00691ABD" w:rsidRPr="00786273" w:rsidRDefault="00691ABD" w:rsidP="001E39EE">
            <w:pPr>
              <w:jc w:val="right"/>
              <w:rPr>
                <w:sz w:val="20"/>
                <w:szCs w:val="20"/>
                <w:lang w:val="fr-CA" w:eastAsia="en-CA"/>
              </w:rPr>
            </w:pPr>
            <w:r w:rsidRPr="00786273">
              <w:rPr>
                <w:sz w:val="20"/>
                <w:szCs w:val="20"/>
                <w:lang w:val="fr-CA" w:eastAsia="en-CA"/>
              </w:rPr>
              <w:t>168</w:t>
            </w:r>
          </w:p>
        </w:tc>
        <w:tc>
          <w:tcPr>
            <w:tcW w:w="1149" w:type="dxa"/>
            <w:tcBorders>
              <w:top w:val="nil"/>
              <w:left w:val="nil"/>
              <w:bottom w:val="single" w:sz="4" w:space="0" w:color="auto"/>
              <w:right w:val="single" w:sz="4" w:space="0" w:color="auto"/>
            </w:tcBorders>
            <w:shd w:val="clear" w:color="auto" w:fill="auto"/>
            <w:noWrap/>
            <w:hideMark/>
          </w:tcPr>
          <w:p w14:paraId="76D4EBD3"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7C0224A7" w14:textId="77777777" w:rsidTr="00AD0261">
        <w:trPr>
          <w:trHeight w:val="89"/>
        </w:trPr>
        <w:tc>
          <w:tcPr>
            <w:tcW w:w="2972" w:type="dxa"/>
            <w:tcBorders>
              <w:top w:val="nil"/>
              <w:left w:val="single" w:sz="4" w:space="0" w:color="auto"/>
              <w:bottom w:val="single" w:sz="4" w:space="0" w:color="auto"/>
              <w:right w:val="single" w:sz="4" w:space="0" w:color="auto"/>
            </w:tcBorders>
            <w:shd w:val="clear" w:color="auto" w:fill="auto"/>
            <w:noWrap/>
            <w:hideMark/>
          </w:tcPr>
          <w:p w14:paraId="6D8E0BC9" w14:textId="77777777" w:rsidR="00691ABD" w:rsidRPr="00786273" w:rsidRDefault="00691ABD" w:rsidP="001E39EE">
            <w:pPr>
              <w:jc w:val="left"/>
              <w:rPr>
                <w:sz w:val="20"/>
                <w:szCs w:val="20"/>
                <w:lang w:val="fr-CA" w:eastAsia="en-CA"/>
              </w:rPr>
            </w:pPr>
            <w:r>
              <w:rPr>
                <w:sz w:val="20"/>
                <w:szCs w:val="20"/>
                <w:lang w:val="fr-CA" w:eastAsia="en-CA"/>
              </w:rPr>
              <w:t>Libé</w:t>
            </w:r>
            <w:r w:rsidRPr="00786273">
              <w:rPr>
                <w:sz w:val="20"/>
                <w:szCs w:val="20"/>
                <w:lang w:val="fr-CA" w:eastAsia="en-CA"/>
              </w:rPr>
              <w:t>ria</w:t>
            </w:r>
          </w:p>
        </w:tc>
        <w:tc>
          <w:tcPr>
            <w:tcW w:w="851" w:type="dxa"/>
            <w:tcBorders>
              <w:top w:val="nil"/>
              <w:left w:val="nil"/>
              <w:bottom w:val="single" w:sz="4" w:space="0" w:color="auto"/>
              <w:right w:val="single" w:sz="4" w:space="0" w:color="auto"/>
            </w:tcBorders>
            <w:shd w:val="clear" w:color="auto" w:fill="auto"/>
            <w:noWrap/>
            <w:hideMark/>
          </w:tcPr>
          <w:p w14:paraId="7D671441" w14:textId="61539572"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680F3BA"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4C1318FC" w14:textId="23EBA71D" w:rsidR="00691ABD" w:rsidRPr="00786273" w:rsidRDefault="00691ABD" w:rsidP="001E39EE">
            <w:pPr>
              <w:jc w:val="right"/>
              <w:rPr>
                <w:sz w:val="20"/>
                <w:szCs w:val="20"/>
                <w:lang w:val="fr-CA" w:eastAsia="en-CA"/>
              </w:rPr>
            </w:pPr>
            <w:r w:rsidRPr="00786273">
              <w:rPr>
                <w:sz w:val="20"/>
                <w:szCs w:val="20"/>
                <w:lang w:val="fr-CA" w:eastAsia="en-CA"/>
              </w:rPr>
              <w:t>74</w:t>
            </w:r>
            <w:r>
              <w:rPr>
                <w:sz w:val="20"/>
                <w:szCs w:val="20"/>
                <w:lang w:val="fr-CA" w:eastAsia="en-CA"/>
              </w:rPr>
              <w:t xml:space="preserve"> </w:t>
            </w:r>
            <w:r w:rsidRPr="00786273">
              <w:rPr>
                <w:sz w:val="20"/>
                <w:szCs w:val="20"/>
                <w:lang w:val="fr-CA" w:eastAsia="en-CA"/>
              </w:rPr>
              <w:t>629</w:t>
            </w:r>
          </w:p>
        </w:tc>
        <w:tc>
          <w:tcPr>
            <w:tcW w:w="1276" w:type="dxa"/>
            <w:tcBorders>
              <w:top w:val="nil"/>
              <w:left w:val="nil"/>
              <w:bottom w:val="single" w:sz="4" w:space="0" w:color="auto"/>
              <w:right w:val="single" w:sz="4" w:space="0" w:color="auto"/>
            </w:tcBorders>
            <w:shd w:val="clear" w:color="auto" w:fill="auto"/>
            <w:noWrap/>
            <w:hideMark/>
          </w:tcPr>
          <w:p w14:paraId="13B2637A" w14:textId="40B66FFC" w:rsidR="00691ABD" w:rsidRPr="00786273" w:rsidRDefault="00691ABD" w:rsidP="001E39EE">
            <w:pPr>
              <w:jc w:val="right"/>
              <w:rPr>
                <w:sz w:val="20"/>
                <w:szCs w:val="20"/>
                <w:lang w:val="fr-CA" w:eastAsia="en-CA"/>
              </w:rPr>
            </w:pPr>
            <w:r w:rsidRPr="00786273">
              <w:rPr>
                <w:sz w:val="20"/>
                <w:szCs w:val="20"/>
                <w:lang w:val="fr-CA" w:eastAsia="en-CA"/>
              </w:rPr>
              <w:t>108</w:t>
            </w:r>
            <w:r>
              <w:rPr>
                <w:sz w:val="20"/>
                <w:szCs w:val="20"/>
                <w:lang w:val="fr-CA" w:eastAsia="en-CA"/>
              </w:rPr>
              <w:t xml:space="preserve"> </w:t>
            </w:r>
            <w:r w:rsidRPr="00786273">
              <w:rPr>
                <w:sz w:val="20"/>
                <w:szCs w:val="20"/>
                <w:lang w:val="fr-CA" w:eastAsia="en-CA"/>
              </w:rPr>
              <w:t>527</w:t>
            </w:r>
          </w:p>
        </w:tc>
        <w:tc>
          <w:tcPr>
            <w:tcW w:w="1384" w:type="dxa"/>
            <w:tcBorders>
              <w:top w:val="nil"/>
              <w:left w:val="nil"/>
              <w:bottom w:val="single" w:sz="4" w:space="0" w:color="auto"/>
              <w:right w:val="single" w:sz="4" w:space="0" w:color="auto"/>
            </w:tcBorders>
            <w:shd w:val="clear" w:color="auto" w:fill="auto"/>
            <w:noWrap/>
            <w:hideMark/>
          </w:tcPr>
          <w:p w14:paraId="3D9EF053" w14:textId="77777777" w:rsidR="00691ABD" w:rsidRPr="00786273" w:rsidRDefault="00691ABD" w:rsidP="001E39EE">
            <w:pPr>
              <w:jc w:val="right"/>
              <w:rPr>
                <w:sz w:val="20"/>
                <w:szCs w:val="20"/>
                <w:lang w:val="fr-CA" w:eastAsia="en-CA"/>
              </w:rPr>
            </w:pPr>
            <w:r w:rsidRPr="00786273">
              <w:rPr>
                <w:sz w:val="20"/>
                <w:szCs w:val="20"/>
                <w:lang w:val="fr-CA" w:eastAsia="en-CA"/>
              </w:rPr>
              <w:t>145</w:t>
            </w:r>
          </w:p>
        </w:tc>
        <w:tc>
          <w:tcPr>
            <w:tcW w:w="1149" w:type="dxa"/>
            <w:tcBorders>
              <w:top w:val="nil"/>
              <w:left w:val="nil"/>
              <w:bottom w:val="single" w:sz="4" w:space="0" w:color="auto"/>
              <w:right w:val="single" w:sz="4" w:space="0" w:color="auto"/>
            </w:tcBorders>
            <w:shd w:val="clear" w:color="auto" w:fill="auto"/>
            <w:noWrap/>
            <w:hideMark/>
          </w:tcPr>
          <w:p w14:paraId="1576720D"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36490E5E"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94502E4" w14:textId="77777777" w:rsidR="00691ABD" w:rsidRPr="00786273" w:rsidRDefault="00691ABD" w:rsidP="00B21D27">
            <w:pPr>
              <w:jc w:val="left"/>
              <w:rPr>
                <w:sz w:val="20"/>
                <w:szCs w:val="20"/>
                <w:lang w:val="fr-CA" w:eastAsia="en-CA"/>
              </w:rPr>
            </w:pPr>
            <w:r w:rsidRPr="00786273">
              <w:rPr>
                <w:sz w:val="20"/>
                <w:szCs w:val="20"/>
                <w:lang w:val="fr-CA" w:eastAsia="en-CA"/>
              </w:rPr>
              <w:t>Liby</w:t>
            </w:r>
            <w:r>
              <w:rPr>
                <w:sz w:val="20"/>
                <w:szCs w:val="20"/>
                <w:lang w:val="fr-CA" w:eastAsia="en-CA"/>
              </w:rPr>
              <w:t>e</w:t>
            </w:r>
          </w:p>
        </w:tc>
        <w:tc>
          <w:tcPr>
            <w:tcW w:w="851" w:type="dxa"/>
            <w:tcBorders>
              <w:top w:val="nil"/>
              <w:left w:val="nil"/>
              <w:bottom w:val="single" w:sz="4" w:space="0" w:color="auto"/>
              <w:right w:val="single" w:sz="4" w:space="0" w:color="auto"/>
            </w:tcBorders>
            <w:shd w:val="clear" w:color="auto" w:fill="auto"/>
            <w:noWrap/>
            <w:hideMark/>
          </w:tcPr>
          <w:p w14:paraId="678CD824" w14:textId="3478581A"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14CCBE6"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A3702D6" w14:textId="4F505F65" w:rsidR="00691ABD" w:rsidRPr="00786273" w:rsidRDefault="00691ABD" w:rsidP="001E39EE">
            <w:pPr>
              <w:jc w:val="right"/>
              <w:rPr>
                <w:sz w:val="20"/>
                <w:szCs w:val="20"/>
                <w:lang w:val="fr-CA" w:eastAsia="en-CA"/>
              </w:rPr>
            </w:pPr>
            <w:r w:rsidRPr="00786273">
              <w:rPr>
                <w:sz w:val="20"/>
                <w:szCs w:val="20"/>
                <w:lang w:val="fr-CA" w:eastAsia="en-CA"/>
              </w:rPr>
              <w:t>171</w:t>
            </w:r>
            <w:r>
              <w:rPr>
                <w:sz w:val="20"/>
                <w:szCs w:val="20"/>
                <w:lang w:val="fr-CA" w:eastAsia="en-CA"/>
              </w:rPr>
              <w:t xml:space="preserve"> </w:t>
            </w:r>
            <w:r w:rsidRPr="00786273">
              <w:rPr>
                <w:sz w:val="20"/>
                <w:szCs w:val="20"/>
                <w:lang w:val="fr-CA" w:eastAsia="en-CA"/>
              </w:rPr>
              <w:t>004</w:t>
            </w:r>
          </w:p>
        </w:tc>
        <w:tc>
          <w:tcPr>
            <w:tcW w:w="1276" w:type="dxa"/>
            <w:tcBorders>
              <w:top w:val="nil"/>
              <w:left w:val="nil"/>
              <w:bottom w:val="single" w:sz="4" w:space="0" w:color="auto"/>
              <w:right w:val="single" w:sz="4" w:space="0" w:color="auto"/>
            </w:tcBorders>
            <w:shd w:val="clear" w:color="auto" w:fill="auto"/>
            <w:noWrap/>
            <w:hideMark/>
          </w:tcPr>
          <w:p w14:paraId="4B747BC5" w14:textId="1B6F795F" w:rsidR="00691ABD" w:rsidRPr="00786273" w:rsidRDefault="00691ABD" w:rsidP="001E39EE">
            <w:pPr>
              <w:jc w:val="right"/>
              <w:rPr>
                <w:sz w:val="20"/>
                <w:szCs w:val="20"/>
                <w:lang w:val="fr-CA" w:eastAsia="en-CA"/>
              </w:rPr>
            </w:pPr>
            <w:r w:rsidRPr="00786273">
              <w:rPr>
                <w:sz w:val="20"/>
                <w:szCs w:val="20"/>
                <w:lang w:val="fr-CA" w:eastAsia="en-CA"/>
              </w:rPr>
              <w:t>92</w:t>
            </w:r>
            <w:r>
              <w:rPr>
                <w:sz w:val="20"/>
                <w:szCs w:val="20"/>
                <w:lang w:val="fr-CA" w:eastAsia="en-CA"/>
              </w:rPr>
              <w:t xml:space="preserve"> </w:t>
            </w:r>
            <w:r w:rsidRPr="00786273">
              <w:rPr>
                <w:sz w:val="20"/>
                <w:szCs w:val="20"/>
                <w:lang w:val="fr-CA" w:eastAsia="en-CA"/>
              </w:rPr>
              <w:t>179</w:t>
            </w:r>
          </w:p>
        </w:tc>
        <w:tc>
          <w:tcPr>
            <w:tcW w:w="1384" w:type="dxa"/>
            <w:tcBorders>
              <w:top w:val="nil"/>
              <w:left w:val="nil"/>
              <w:bottom w:val="single" w:sz="4" w:space="0" w:color="auto"/>
              <w:right w:val="single" w:sz="4" w:space="0" w:color="auto"/>
            </w:tcBorders>
            <w:shd w:val="clear" w:color="auto" w:fill="auto"/>
            <w:noWrap/>
            <w:hideMark/>
          </w:tcPr>
          <w:p w14:paraId="4EBD1EF7" w14:textId="77777777" w:rsidR="00691ABD" w:rsidRPr="00786273" w:rsidRDefault="00691ABD" w:rsidP="001E39EE">
            <w:pPr>
              <w:jc w:val="right"/>
              <w:rPr>
                <w:sz w:val="20"/>
                <w:szCs w:val="20"/>
                <w:lang w:val="fr-CA" w:eastAsia="en-CA"/>
              </w:rPr>
            </w:pPr>
            <w:r w:rsidRPr="00786273">
              <w:rPr>
                <w:sz w:val="20"/>
                <w:szCs w:val="20"/>
                <w:lang w:val="fr-CA" w:eastAsia="en-CA"/>
              </w:rPr>
              <w:t>54</w:t>
            </w:r>
          </w:p>
        </w:tc>
        <w:tc>
          <w:tcPr>
            <w:tcW w:w="1149" w:type="dxa"/>
            <w:tcBorders>
              <w:top w:val="nil"/>
              <w:left w:val="nil"/>
              <w:bottom w:val="single" w:sz="4" w:space="0" w:color="auto"/>
              <w:right w:val="single" w:sz="4" w:space="0" w:color="auto"/>
            </w:tcBorders>
            <w:shd w:val="clear" w:color="auto" w:fill="auto"/>
            <w:noWrap/>
            <w:hideMark/>
          </w:tcPr>
          <w:p w14:paraId="4859C0DF"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608F9938" w14:textId="77777777" w:rsidTr="00AD0261">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2BB90072" w14:textId="77777777" w:rsidR="00691ABD" w:rsidRPr="00786273" w:rsidRDefault="00691ABD" w:rsidP="004C1876">
            <w:pPr>
              <w:jc w:val="left"/>
              <w:rPr>
                <w:sz w:val="20"/>
                <w:szCs w:val="20"/>
                <w:lang w:val="fr-CA" w:eastAsia="en-CA"/>
              </w:rPr>
            </w:pPr>
            <w:r>
              <w:rPr>
                <w:sz w:val="20"/>
                <w:szCs w:val="20"/>
                <w:lang w:val="fr-CA" w:eastAsia="en-CA"/>
              </w:rPr>
              <w:t>Macédoine du Nord</w:t>
            </w:r>
          </w:p>
        </w:tc>
        <w:tc>
          <w:tcPr>
            <w:tcW w:w="851" w:type="dxa"/>
            <w:tcBorders>
              <w:top w:val="nil"/>
              <w:left w:val="nil"/>
              <w:bottom w:val="single" w:sz="4" w:space="0" w:color="auto"/>
              <w:right w:val="single" w:sz="4" w:space="0" w:color="auto"/>
            </w:tcBorders>
            <w:shd w:val="clear" w:color="auto" w:fill="auto"/>
            <w:noWrap/>
            <w:hideMark/>
          </w:tcPr>
          <w:p w14:paraId="7352D626" w14:textId="1CC3424F"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1</w:t>
            </w:r>
          </w:p>
        </w:tc>
        <w:tc>
          <w:tcPr>
            <w:tcW w:w="1160" w:type="dxa"/>
            <w:tcBorders>
              <w:top w:val="nil"/>
              <w:left w:val="nil"/>
              <w:bottom w:val="single" w:sz="4" w:space="0" w:color="auto"/>
              <w:right w:val="single" w:sz="4" w:space="0" w:color="auto"/>
            </w:tcBorders>
            <w:shd w:val="clear" w:color="auto" w:fill="auto"/>
            <w:noWrap/>
            <w:hideMark/>
          </w:tcPr>
          <w:p w14:paraId="4BEE6D9C"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4EFD29D" w14:textId="121F8646" w:rsidR="00691ABD" w:rsidRPr="00786273" w:rsidRDefault="00691ABD" w:rsidP="001E39EE">
            <w:pPr>
              <w:jc w:val="right"/>
              <w:rPr>
                <w:sz w:val="20"/>
                <w:szCs w:val="20"/>
                <w:lang w:val="fr-CA" w:eastAsia="en-CA"/>
              </w:rPr>
            </w:pPr>
            <w:r w:rsidRPr="00786273">
              <w:rPr>
                <w:sz w:val="20"/>
                <w:szCs w:val="20"/>
                <w:lang w:val="fr-CA" w:eastAsia="en-CA"/>
              </w:rPr>
              <w:t>75</w:t>
            </w:r>
            <w:r>
              <w:rPr>
                <w:sz w:val="20"/>
                <w:szCs w:val="20"/>
                <w:lang w:val="fr-CA" w:eastAsia="en-CA"/>
              </w:rPr>
              <w:t xml:space="preserve"> </w:t>
            </w:r>
            <w:r w:rsidRPr="00786273">
              <w:rPr>
                <w:sz w:val="20"/>
                <w:szCs w:val="20"/>
                <w:lang w:val="fr-CA" w:eastAsia="en-CA"/>
              </w:rPr>
              <w:t>001</w:t>
            </w:r>
          </w:p>
        </w:tc>
        <w:tc>
          <w:tcPr>
            <w:tcW w:w="1276" w:type="dxa"/>
            <w:tcBorders>
              <w:top w:val="nil"/>
              <w:left w:val="nil"/>
              <w:bottom w:val="single" w:sz="4" w:space="0" w:color="auto"/>
              <w:right w:val="single" w:sz="4" w:space="0" w:color="auto"/>
            </w:tcBorders>
            <w:shd w:val="clear" w:color="auto" w:fill="auto"/>
            <w:noWrap/>
            <w:hideMark/>
          </w:tcPr>
          <w:p w14:paraId="4F6F9BD0" w14:textId="5FDFEB24" w:rsidR="00691ABD" w:rsidRPr="00786273" w:rsidRDefault="00691ABD" w:rsidP="001E39EE">
            <w:pPr>
              <w:jc w:val="right"/>
              <w:rPr>
                <w:sz w:val="20"/>
                <w:szCs w:val="20"/>
                <w:lang w:val="fr-CA" w:eastAsia="en-CA"/>
              </w:rPr>
            </w:pPr>
            <w:r w:rsidRPr="00786273">
              <w:rPr>
                <w:sz w:val="20"/>
                <w:szCs w:val="20"/>
                <w:lang w:val="fr-CA" w:eastAsia="en-CA"/>
              </w:rPr>
              <w:t>115</w:t>
            </w:r>
            <w:r>
              <w:rPr>
                <w:sz w:val="20"/>
                <w:szCs w:val="20"/>
                <w:lang w:val="fr-CA" w:eastAsia="en-CA"/>
              </w:rPr>
              <w:t xml:space="preserve"> </w:t>
            </w:r>
            <w:r w:rsidRPr="00786273">
              <w:rPr>
                <w:sz w:val="20"/>
                <w:szCs w:val="20"/>
                <w:lang w:val="fr-CA" w:eastAsia="en-CA"/>
              </w:rPr>
              <w:t>312</w:t>
            </w:r>
          </w:p>
        </w:tc>
        <w:tc>
          <w:tcPr>
            <w:tcW w:w="1384" w:type="dxa"/>
            <w:tcBorders>
              <w:top w:val="nil"/>
              <w:left w:val="nil"/>
              <w:bottom w:val="single" w:sz="4" w:space="0" w:color="auto"/>
              <w:right w:val="single" w:sz="4" w:space="0" w:color="auto"/>
            </w:tcBorders>
            <w:shd w:val="clear" w:color="auto" w:fill="auto"/>
            <w:noWrap/>
            <w:hideMark/>
          </w:tcPr>
          <w:p w14:paraId="07B95F0C" w14:textId="77777777" w:rsidR="00691ABD" w:rsidRPr="00786273" w:rsidRDefault="00691ABD" w:rsidP="001E39EE">
            <w:pPr>
              <w:jc w:val="right"/>
              <w:rPr>
                <w:sz w:val="20"/>
                <w:szCs w:val="20"/>
                <w:lang w:val="fr-CA" w:eastAsia="en-CA"/>
              </w:rPr>
            </w:pPr>
            <w:r w:rsidRPr="00786273">
              <w:rPr>
                <w:sz w:val="20"/>
                <w:szCs w:val="20"/>
                <w:lang w:val="fr-CA" w:eastAsia="en-CA"/>
              </w:rPr>
              <w:t>154</w:t>
            </w:r>
          </w:p>
        </w:tc>
        <w:tc>
          <w:tcPr>
            <w:tcW w:w="1149" w:type="dxa"/>
            <w:tcBorders>
              <w:top w:val="nil"/>
              <w:left w:val="nil"/>
              <w:bottom w:val="single" w:sz="4" w:space="0" w:color="auto"/>
              <w:right w:val="single" w:sz="4" w:space="0" w:color="auto"/>
            </w:tcBorders>
            <w:shd w:val="clear" w:color="auto" w:fill="auto"/>
            <w:noWrap/>
            <w:hideMark/>
          </w:tcPr>
          <w:p w14:paraId="6D7FF2B9"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4B443FB1" w14:textId="77777777" w:rsidTr="00AD0261">
        <w:trPr>
          <w:trHeight w:val="181"/>
        </w:trPr>
        <w:tc>
          <w:tcPr>
            <w:tcW w:w="2972" w:type="dxa"/>
            <w:tcBorders>
              <w:top w:val="nil"/>
              <w:left w:val="single" w:sz="4" w:space="0" w:color="auto"/>
              <w:bottom w:val="single" w:sz="4" w:space="0" w:color="auto"/>
              <w:right w:val="single" w:sz="4" w:space="0" w:color="auto"/>
            </w:tcBorders>
            <w:shd w:val="clear" w:color="auto" w:fill="auto"/>
            <w:noWrap/>
            <w:hideMark/>
          </w:tcPr>
          <w:p w14:paraId="7FF5D67A" w14:textId="77777777" w:rsidR="00691ABD" w:rsidRPr="00786273" w:rsidRDefault="00691ABD" w:rsidP="001E39EE">
            <w:pPr>
              <w:jc w:val="left"/>
              <w:rPr>
                <w:sz w:val="20"/>
                <w:szCs w:val="20"/>
                <w:lang w:val="fr-CA" w:eastAsia="en-CA"/>
              </w:rPr>
            </w:pPr>
            <w:r w:rsidRPr="00786273">
              <w:rPr>
                <w:sz w:val="20"/>
                <w:szCs w:val="20"/>
                <w:lang w:val="fr-CA" w:eastAsia="en-CA"/>
              </w:rPr>
              <w:t>Madagascar</w:t>
            </w:r>
          </w:p>
        </w:tc>
        <w:tc>
          <w:tcPr>
            <w:tcW w:w="851" w:type="dxa"/>
            <w:tcBorders>
              <w:top w:val="nil"/>
              <w:left w:val="nil"/>
              <w:bottom w:val="single" w:sz="4" w:space="0" w:color="auto"/>
              <w:right w:val="single" w:sz="4" w:space="0" w:color="auto"/>
            </w:tcBorders>
            <w:shd w:val="clear" w:color="auto" w:fill="auto"/>
            <w:noWrap/>
            <w:hideMark/>
          </w:tcPr>
          <w:p w14:paraId="1531FE0F" w14:textId="1736EDD6"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9EC431E"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37D79C2F" w14:textId="1275907E" w:rsidR="00691ABD" w:rsidRPr="00786273" w:rsidRDefault="00691ABD" w:rsidP="001E39EE">
            <w:pPr>
              <w:jc w:val="right"/>
              <w:rPr>
                <w:sz w:val="20"/>
                <w:szCs w:val="20"/>
                <w:lang w:val="fr-CA" w:eastAsia="en-CA"/>
              </w:rPr>
            </w:pPr>
            <w:r w:rsidRPr="00786273">
              <w:rPr>
                <w:sz w:val="20"/>
                <w:szCs w:val="20"/>
                <w:lang w:val="fr-CA" w:eastAsia="en-CA"/>
              </w:rPr>
              <w:t>124</w:t>
            </w:r>
            <w:r>
              <w:rPr>
                <w:sz w:val="20"/>
                <w:szCs w:val="20"/>
                <w:lang w:val="fr-CA" w:eastAsia="en-CA"/>
              </w:rPr>
              <w:t xml:space="preserve"> </w:t>
            </w:r>
            <w:r w:rsidRPr="00786273">
              <w:rPr>
                <w:sz w:val="20"/>
                <w:szCs w:val="20"/>
                <w:lang w:val="fr-CA" w:eastAsia="en-CA"/>
              </w:rPr>
              <w:t>340</w:t>
            </w:r>
          </w:p>
        </w:tc>
        <w:tc>
          <w:tcPr>
            <w:tcW w:w="1276" w:type="dxa"/>
            <w:tcBorders>
              <w:top w:val="nil"/>
              <w:left w:val="nil"/>
              <w:bottom w:val="single" w:sz="4" w:space="0" w:color="auto"/>
              <w:right w:val="single" w:sz="4" w:space="0" w:color="auto"/>
            </w:tcBorders>
            <w:shd w:val="clear" w:color="auto" w:fill="auto"/>
            <w:noWrap/>
            <w:hideMark/>
          </w:tcPr>
          <w:p w14:paraId="658F7916" w14:textId="6350AB9F" w:rsidR="00691ABD" w:rsidRPr="00786273" w:rsidRDefault="00691ABD" w:rsidP="001E39EE">
            <w:pPr>
              <w:jc w:val="right"/>
              <w:rPr>
                <w:sz w:val="20"/>
                <w:szCs w:val="20"/>
                <w:lang w:val="fr-CA" w:eastAsia="en-CA"/>
              </w:rPr>
            </w:pPr>
            <w:r w:rsidRPr="00786273">
              <w:rPr>
                <w:sz w:val="20"/>
                <w:szCs w:val="20"/>
                <w:lang w:val="fr-CA" w:eastAsia="en-CA"/>
              </w:rPr>
              <w:t>121</w:t>
            </w:r>
            <w:r>
              <w:rPr>
                <w:sz w:val="20"/>
                <w:szCs w:val="20"/>
                <w:lang w:val="fr-CA" w:eastAsia="en-CA"/>
              </w:rPr>
              <w:t xml:space="preserve"> </w:t>
            </w:r>
            <w:r w:rsidRPr="00786273">
              <w:rPr>
                <w:sz w:val="20"/>
                <w:szCs w:val="20"/>
                <w:lang w:val="fr-CA" w:eastAsia="en-CA"/>
              </w:rPr>
              <w:t>783</w:t>
            </w:r>
          </w:p>
        </w:tc>
        <w:tc>
          <w:tcPr>
            <w:tcW w:w="1384" w:type="dxa"/>
            <w:tcBorders>
              <w:top w:val="nil"/>
              <w:left w:val="nil"/>
              <w:bottom w:val="single" w:sz="4" w:space="0" w:color="auto"/>
              <w:right w:val="single" w:sz="4" w:space="0" w:color="auto"/>
            </w:tcBorders>
            <w:shd w:val="clear" w:color="auto" w:fill="auto"/>
            <w:noWrap/>
            <w:hideMark/>
          </w:tcPr>
          <w:p w14:paraId="4C251BCE" w14:textId="77777777" w:rsidR="00691ABD" w:rsidRPr="00786273" w:rsidRDefault="00691ABD" w:rsidP="001E39EE">
            <w:pPr>
              <w:jc w:val="right"/>
              <w:rPr>
                <w:sz w:val="20"/>
                <w:szCs w:val="20"/>
                <w:lang w:val="fr-CA" w:eastAsia="en-CA"/>
              </w:rPr>
            </w:pPr>
            <w:r w:rsidRPr="00786273">
              <w:rPr>
                <w:sz w:val="20"/>
                <w:szCs w:val="20"/>
                <w:lang w:val="fr-CA" w:eastAsia="en-CA"/>
              </w:rPr>
              <w:t>98</w:t>
            </w:r>
          </w:p>
        </w:tc>
        <w:tc>
          <w:tcPr>
            <w:tcW w:w="1149" w:type="dxa"/>
            <w:tcBorders>
              <w:top w:val="nil"/>
              <w:left w:val="nil"/>
              <w:bottom w:val="single" w:sz="4" w:space="0" w:color="auto"/>
              <w:right w:val="single" w:sz="4" w:space="0" w:color="auto"/>
            </w:tcBorders>
            <w:shd w:val="clear" w:color="auto" w:fill="auto"/>
            <w:noWrap/>
            <w:hideMark/>
          </w:tcPr>
          <w:p w14:paraId="46A88D5F"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7F67005A"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44C3C66" w14:textId="77777777" w:rsidR="00691ABD" w:rsidRPr="00786273" w:rsidRDefault="00691ABD" w:rsidP="00B21D27">
            <w:pPr>
              <w:jc w:val="left"/>
              <w:rPr>
                <w:sz w:val="20"/>
                <w:szCs w:val="20"/>
                <w:lang w:val="fr-CA" w:eastAsia="en-CA"/>
              </w:rPr>
            </w:pPr>
            <w:r w:rsidRPr="00786273">
              <w:rPr>
                <w:sz w:val="20"/>
                <w:szCs w:val="20"/>
                <w:lang w:val="fr-CA" w:eastAsia="en-CA"/>
              </w:rPr>
              <w:t>Ma</w:t>
            </w:r>
            <w:r>
              <w:rPr>
                <w:sz w:val="20"/>
                <w:szCs w:val="20"/>
                <w:lang w:val="fr-CA" w:eastAsia="en-CA"/>
              </w:rPr>
              <w:t>laisie</w:t>
            </w:r>
          </w:p>
        </w:tc>
        <w:tc>
          <w:tcPr>
            <w:tcW w:w="851" w:type="dxa"/>
            <w:tcBorders>
              <w:top w:val="nil"/>
              <w:left w:val="nil"/>
              <w:bottom w:val="single" w:sz="4" w:space="0" w:color="auto"/>
              <w:right w:val="single" w:sz="4" w:space="0" w:color="auto"/>
            </w:tcBorders>
            <w:shd w:val="clear" w:color="auto" w:fill="auto"/>
            <w:noWrap/>
            <w:hideMark/>
          </w:tcPr>
          <w:p w14:paraId="4BB5D964" w14:textId="39903D70" w:rsidR="00691ABD" w:rsidRPr="00786273" w:rsidRDefault="00691ABD" w:rsidP="001E39EE">
            <w:pPr>
              <w:jc w:val="right"/>
              <w:rPr>
                <w:sz w:val="20"/>
                <w:szCs w:val="20"/>
                <w:lang w:val="fr-CA" w:eastAsia="en-CA"/>
              </w:rPr>
            </w:pPr>
            <w:r w:rsidRPr="00786273">
              <w:rPr>
                <w:sz w:val="20"/>
                <w:szCs w:val="20"/>
                <w:lang w:val="fr-CA" w:eastAsia="en-CA"/>
              </w:rPr>
              <w:t>10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A619DFB"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2DF6790E" w14:textId="09C7DE72" w:rsidR="00691ABD" w:rsidRPr="00786273" w:rsidRDefault="00691ABD" w:rsidP="001E39EE">
            <w:pPr>
              <w:jc w:val="right"/>
              <w:rPr>
                <w:sz w:val="20"/>
                <w:szCs w:val="20"/>
                <w:lang w:val="fr-CA" w:eastAsia="en-CA"/>
              </w:rPr>
            </w:pPr>
            <w:r w:rsidRPr="00786273">
              <w:rPr>
                <w:sz w:val="20"/>
                <w:szCs w:val="20"/>
                <w:lang w:val="fr-CA" w:eastAsia="en-CA"/>
              </w:rPr>
              <w:t>634</w:t>
            </w:r>
            <w:r>
              <w:rPr>
                <w:sz w:val="20"/>
                <w:szCs w:val="20"/>
                <w:lang w:val="fr-CA" w:eastAsia="en-CA"/>
              </w:rPr>
              <w:t xml:space="preserve"> </w:t>
            </w:r>
            <w:r w:rsidRPr="00786273">
              <w:rPr>
                <w:sz w:val="20"/>
                <w:szCs w:val="20"/>
                <w:lang w:val="fr-CA" w:eastAsia="en-CA"/>
              </w:rPr>
              <w:t>368</w:t>
            </w:r>
          </w:p>
        </w:tc>
        <w:tc>
          <w:tcPr>
            <w:tcW w:w="1276" w:type="dxa"/>
            <w:tcBorders>
              <w:top w:val="nil"/>
              <w:left w:val="nil"/>
              <w:bottom w:val="single" w:sz="4" w:space="0" w:color="auto"/>
              <w:right w:val="single" w:sz="4" w:space="0" w:color="auto"/>
            </w:tcBorders>
            <w:shd w:val="clear" w:color="auto" w:fill="auto"/>
            <w:noWrap/>
            <w:hideMark/>
          </w:tcPr>
          <w:p w14:paraId="638EE3E1" w14:textId="3E30C1C3" w:rsidR="00691ABD" w:rsidRPr="00786273" w:rsidRDefault="00691ABD" w:rsidP="001E39EE">
            <w:pPr>
              <w:jc w:val="right"/>
              <w:rPr>
                <w:sz w:val="20"/>
                <w:szCs w:val="20"/>
                <w:lang w:val="fr-CA" w:eastAsia="en-CA"/>
              </w:rPr>
            </w:pPr>
            <w:r w:rsidRPr="00786273">
              <w:rPr>
                <w:sz w:val="20"/>
                <w:szCs w:val="20"/>
                <w:lang w:val="fr-CA" w:eastAsia="en-CA"/>
              </w:rPr>
              <w:t>834</w:t>
            </w:r>
            <w:r>
              <w:rPr>
                <w:sz w:val="20"/>
                <w:szCs w:val="20"/>
                <w:lang w:val="fr-CA" w:eastAsia="en-CA"/>
              </w:rPr>
              <w:t xml:space="preserve"> </w:t>
            </w:r>
            <w:r w:rsidRPr="00786273">
              <w:rPr>
                <w:sz w:val="20"/>
                <w:szCs w:val="20"/>
                <w:lang w:val="fr-CA" w:eastAsia="en-CA"/>
              </w:rPr>
              <w:t>646</w:t>
            </w:r>
          </w:p>
        </w:tc>
        <w:tc>
          <w:tcPr>
            <w:tcW w:w="1384" w:type="dxa"/>
            <w:tcBorders>
              <w:top w:val="nil"/>
              <w:left w:val="nil"/>
              <w:bottom w:val="single" w:sz="4" w:space="0" w:color="auto"/>
              <w:right w:val="single" w:sz="4" w:space="0" w:color="auto"/>
            </w:tcBorders>
            <w:shd w:val="clear" w:color="auto" w:fill="auto"/>
            <w:noWrap/>
            <w:hideMark/>
          </w:tcPr>
          <w:p w14:paraId="7BC907C0" w14:textId="77777777" w:rsidR="00691ABD" w:rsidRPr="00786273" w:rsidRDefault="00691ABD" w:rsidP="001E39EE">
            <w:pPr>
              <w:jc w:val="right"/>
              <w:rPr>
                <w:sz w:val="20"/>
                <w:szCs w:val="20"/>
                <w:lang w:val="fr-CA" w:eastAsia="en-CA"/>
              </w:rPr>
            </w:pPr>
            <w:r w:rsidRPr="00786273">
              <w:rPr>
                <w:sz w:val="20"/>
                <w:szCs w:val="20"/>
                <w:lang w:val="fr-CA" w:eastAsia="en-CA"/>
              </w:rPr>
              <w:t>132</w:t>
            </w:r>
          </w:p>
        </w:tc>
        <w:tc>
          <w:tcPr>
            <w:tcW w:w="1149" w:type="dxa"/>
            <w:tcBorders>
              <w:top w:val="nil"/>
              <w:left w:val="nil"/>
              <w:bottom w:val="single" w:sz="4" w:space="0" w:color="auto"/>
              <w:right w:val="single" w:sz="4" w:space="0" w:color="auto"/>
            </w:tcBorders>
            <w:shd w:val="clear" w:color="auto" w:fill="auto"/>
            <w:noWrap/>
            <w:hideMark/>
          </w:tcPr>
          <w:p w14:paraId="6A3B48DC"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45AF8D51" w14:textId="77777777" w:rsidTr="00AD0261">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2D857422" w14:textId="77777777" w:rsidR="00691ABD" w:rsidRPr="00786273" w:rsidRDefault="00691ABD" w:rsidP="001E39EE">
            <w:pPr>
              <w:jc w:val="left"/>
              <w:rPr>
                <w:sz w:val="20"/>
                <w:szCs w:val="20"/>
                <w:lang w:val="fr-CA" w:eastAsia="en-CA"/>
              </w:rPr>
            </w:pPr>
            <w:r w:rsidRPr="00786273">
              <w:rPr>
                <w:sz w:val="20"/>
                <w:szCs w:val="20"/>
                <w:lang w:val="fr-CA" w:eastAsia="en-CA"/>
              </w:rPr>
              <w:t>Malawi</w:t>
            </w:r>
          </w:p>
        </w:tc>
        <w:tc>
          <w:tcPr>
            <w:tcW w:w="851" w:type="dxa"/>
            <w:tcBorders>
              <w:top w:val="nil"/>
              <w:left w:val="nil"/>
              <w:bottom w:val="single" w:sz="4" w:space="0" w:color="auto"/>
              <w:right w:val="single" w:sz="4" w:space="0" w:color="auto"/>
            </w:tcBorders>
            <w:shd w:val="clear" w:color="auto" w:fill="auto"/>
            <w:noWrap/>
            <w:hideMark/>
          </w:tcPr>
          <w:p w14:paraId="73C50481" w14:textId="0E33E078"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84AC5FE"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179A884D" w14:textId="07F18E21" w:rsidR="00691ABD" w:rsidRPr="00786273" w:rsidRDefault="00691ABD" w:rsidP="001E39EE">
            <w:pPr>
              <w:jc w:val="right"/>
              <w:rPr>
                <w:sz w:val="20"/>
                <w:szCs w:val="20"/>
                <w:lang w:val="fr-CA" w:eastAsia="en-CA"/>
              </w:rPr>
            </w:pPr>
            <w:r w:rsidRPr="00786273">
              <w:rPr>
                <w:sz w:val="20"/>
                <w:szCs w:val="20"/>
                <w:lang w:val="fr-CA" w:eastAsia="en-CA"/>
              </w:rPr>
              <w:t>45</w:t>
            </w:r>
            <w:r>
              <w:rPr>
                <w:sz w:val="20"/>
                <w:szCs w:val="20"/>
                <w:lang w:val="fr-CA" w:eastAsia="en-CA"/>
              </w:rPr>
              <w:t xml:space="preserve"> </w:t>
            </w:r>
            <w:r w:rsidRPr="00786273">
              <w:rPr>
                <w:sz w:val="20"/>
                <w:szCs w:val="20"/>
                <w:lang w:val="fr-CA" w:eastAsia="en-CA"/>
              </w:rPr>
              <w:t>360</w:t>
            </w:r>
          </w:p>
        </w:tc>
        <w:tc>
          <w:tcPr>
            <w:tcW w:w="1276" w:type="dxa"/>
            <w:tcBorders>
              <w:top w:val="nil"/>
              <w:left w:val="nil"/>
              <w:bottom w:val="single" w:sz="4" w:space="0" w:color="auto"/>
              <w:right w:val="single" w:sz="4" w:space="0" w:color="auto"/>
            </w:tcBorders>
            <w:shd w:val="clear" w:color="auto" w:fill="auto"/>
            <w:noWrap/>
            <w:hideMark/>
          </w:tcPr>
          <w:p w14:paraId="1E6BC273" w14:textId="1635F6DE" w:rsidR="00691ABD" w:rsidRPr="00786273" w:rsidRDefault="00691ABD" w:rsidP="001E39EE">
            <w:pPr>
              <w:jc w:val="right"/>
              <w:rPr>
                <w:sz w:val="20"/>
                <w:szCs w:val="20"/>
                <w:lang w:val="fr-CA" w:eastAsia="en-CA"/>
              </w:rPr>
            </w:pPr>
            <w:r w:rsidRPr="00786273">
              <w:rPr>
                <w:sz w:val="20"/>
                <w:szCs w:val="20"/>
                <w:lang w:val="fr-CA" w:eastAsia="en-CA"/>
              </w:rPr>
              <w:t>34</w:t>
            </w:r>
            <w:r>
              <w:rPr>
                <w:sz w:val="20"/>
                <w:szCs w:val="20"/>
                <w:lang w:val="fr-CA" w:eastAsia="en-CA"/>
              </w:rPr>
              <w:t xml:space="preserve"> </w:t>
            </w:r>
            <w:r w:rsidRPr="00786273">
              <w:rPr>
                <w:sz w:val="20"/>
                <w:szCs w:val="20"/>
                <w:lang w:val="fr-CA" w:eastAsia="en-CA"/>
              </w:rPr>
              <w:t>190</w:t>
            </w:r>
          </w:p>
        </w:tc>
        <w:tc>
          <w:tcPr>
            <w:tcW w:w="1384" w:type="dxa"/>
            <w:tcBorders>
              <w:top w:val="nil"/>
              <w:left w:val="nil"/>
              <w:bottom w:val="single" w:sz="4" w:space="0" w:color="auto"/>
              <w:right w:val="single" w:sz="4" w:space="0" w:color="auto"/>
            </w:tcBorders>
            <w:shd w:val="clear" w:color="auto" w:fill="auto"/>
            <w:noWrap/>
            <w:hideMark/>
          </w:tcPr>
          <w:p w14:paraId="270F6C67" w14:textId="77777777" w:rsidR="00691ABD" w:rsidRPr="00786273" w:rsidRDefault="00691ABD" w:rsidP="001E39EE">
            <w:pPr>
              <w:jc w:val="right"/>
              <w:rPr>
                <w:sz w:val="20"/>
                <w:szCs w:val="20"/>
                <w:lang w:val="fr-CA" w:eastAsia="en-CA"/>
              </w:rPr>
            </w:pPr>
            <w:r w:rsidRPr="00786273">
              <w:rPr>
                <w:sz w:val="20"/>
                <w:szCs w:val="20"/>
                <w:lang w:val="fr-CA" w:eastAsia="en-CA"/>
              </w:rPr>
              <w:t>75</w:t>
            </w:r>
          </w:p>
        </w:tc>
        <w:tc>
          <w:tcPr>
            <w:tcW w:w="1149" w:type="dxa"/>
            <w:tcBorders>
              <w:top w:val="nil"/>
              <w:left w:val="nil"/>
              <w:bottom w:val="single" w:sz="4" w:space="0" w:color="auto"/>
              <w:right w:val="single" w:sz="4" w:space="0" w:color="auto"/>
            </w:tcBorders>
            <w:shd w:val="clear" w:color="auto" w:fill="auto"/>
            <w:noWrap/>
            <w:hideMark/>
          </w:tcPr>
          <w:p w14:paraId="15BE6EDB"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2F4906BD"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ACD3A62" w14:textId="77777777" w:rsidR="00691ABD" w:rsidRPr="00786273" w:rsidRDefault="00691ABD" w:rsidP="001E39EE">
            <w:pPr>
              <w:jc w:val="left"/>
              <w:rPr>
                <w:sz w:val="20"/>
                <w:szCs w:val="20"/>
                <w:lang w:val="fr-CA" w:eastAsia="en-CA"/>
              </w:rPr>
            </w:pPr>
            <w:r w:rsidRPr="00786273">
              <w:rPr>
                <w:sz w:val="20"/>
                <w:szCs w:val="20"/>
                <w:lang w:val="fr-CA" w:eastAsia="en-CA"/>
              </w:rPr>
              <w:t>Maldives</w:t>
            </w:r>
          </w:p>
        </w:tc>
        <w:tc>
          <w:tcPr>
            <w:tcW w:w="851" w:type="dxa"/>
            <w:tcBorders>
              <w:top w:val="nil"/>
              <w:left w:val="nil"/>
              <w:bottom w:val="single" w:sz="4" w:space="0" w:color="auto"/>
              <w:right w:val="single" w:sz="4" w:space="0" w:color="auto"/>
            </w:tcBorders>
            <w:shd w:val="clear" w:color="auto" w:fill="auto"/>
            <w:noWrap/>
            <w:hideMark/>
          </w:tcPr>
          <w:p w14:paraId="2E45B943" w14:textId="143ECEC0"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3E11C53"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2E0885F4" w14:textId="1FC18D97" w:rsidR="00691ABD" w:rsidRPr="00786273" w:rsidRDefault="00691ABD" w:rsidP="001E39EE">
            <w:pPr>
              <w:jc w:val="right"/>
              <w:rPr>
                <w:sz w:val="20"/>
                <w:szCs w:val="20"/>
                <w:lang w:val="fr-CA" w:eastAsia="en-CA"/>
              </w:rPr>
            </w:pPr>
            <w:r w:rsidRPr="00786273">
              <w:rPr>
                <w:sz w:val="20"/>
                <w:szCs w:val="20"/>
                <w:lang w:val="fr-CA" w:eastAsia="en-CA"/>
              </w:rPr>
              <w:t>72</w:t>
            </w:r>
            <w:r>
              <w:rPr>
                <w:sz w:val="20"/>
                <w:szCs w:val="20"/>
                <w:lang w:val="fr-CA" w:eastAsia="en-CA"/>
              </w:rPr>
              <w:t xml:space="preserve"> </w:t>
            </w:r>
            <w:r w:rsidRPr="00786273">
              <w:rPr>
                <w:sz w:val="20"/>
                <w:szCs w:val="20"/>
                <w:lang w:val="fr-CA" w:eastAsia="en-CA"/>
              </w:rPr>
              <w:t>023</w:t>
            </w:r>
          </w:p>
        </w:tc>
        <w:tc>
          <w:tcPr>
            <w:tcW w:w="1276" w:type="dxa"/>
            <w:tcBorders>
              <w:top w:val="nil"/>
              <w:left w:val="nil"/>
              <w:bottom w:val="single" w:sz="4" w:space="0" w:color="auto"/>
              <w:right w:val="single" w:sz="4" w:space="0" w:color="auto"/>
            </w:tcBorders>
            <w:shd w:val="clear" w:color="auto" w:fill="auto"/>
            <w:noWrap/>
            <w:hideMark/>
          </w:tcPr>
          <w:p w14:paraId="1807A767" w14:textId="3FED1FB8" w:rsidR="00691ABD" w:rsidRPr="00786273" w:rsidRDefault="00691ABD" w:rsidP="001E39EE">
            <w:pPr>
              <w:jc w:val="right"/>
              <w:rPr>
                <w:sz w:val="20"/>
                <w:szCs w:val="20"/>
                <w:lang w:val="fr-CA" w:eastAsia="en-CA"/>
              </w:rPr>
            </w:pPr>
            <w:r w:rsidRPr="00786273">
              <w:rPr>
                <w:sz w:val="20"/>
                <w:szCs w:val="20"/>
                <w:lang w:val="fr-CA" w:eastAsia="en-CA"/>
              </w:rPr>
              <w:t>37</w:t>
            </w:r>
            <w:r>
              <w:rPr>
                <w:sz w:val="20"/>
                <w:szCs w:val="20"/>
                <w:lang w:val="fr-CA" w:eastAsia="en-CA"/>
              </w:rPr>
              <w:t xml:space="preserve"> </w:t>
            </w:r>
            <w:r w:rsidRPr="00786273">
              <w:rPr>
                <w:sz w:val="20"/>
                <w:szCs w:val="20"/>
                <w:lang w:val="fr-CA" w:eastAsia="en-CA"/>
              </w:rPr>
              <w:t>560</w:t>
            </w:r>
          </w:p>
        </w:tc>
        <w:tc>
          <w:tcPr>
            <w:tcW w:w="1384" w:type="dxa"/>
            <w:tcBorders>
              <w:top w:val="nil"/>
              <w:left w:val="nil"/>
              <w:bottom w:val="single" w:sz="4" w:space="0" w:color="auto"/>
              <w:right w:val="single" w:sz="4" w:space="0" w:color="auto"/>
            </w:tcBorders>
            <w:shd w:val="clear" w:color="auto" w:fill="auto"/>
            <w:noWrap/>
            <w:hideMark/>
          </w:tcPr>
          <w:p w14:paraId="78ADD203" w14:textId="77777777" w:rsidR="00691ABD" w:rsidRPr="00786273" w:rsidRDefault="00691ABD" w:rsidP="001E39EE">
            <w:pPr>
              <w:jc w:val="right"/>
              <w:rPr>
                <w:sz w:val="20"/>
                <w:szCs w:val="20"/>
                <w:lang w:val="fr-CA" w:eastAsia="en-CA"/>
              </w:rPr>
            </w:pPr>
            <w:r w:rsidRPr="00786273">
              <w:rPr>
                <w:sz w:val="20"/>
                <w:szCs w:val="20"/>
                <w:lang w:val="fr-CA" w:eastAsia="en-CA"/>
              </w:rPr>
              <w:t>52</w:t>
            </w:r>
          </w:p>
        </w:tc>
        <w:tc>
          <w:tcPr>
            <w:tcW w:w="1149" w:type="dxa"/>
            <w:tcBorders>
              <w:top w:val="nil"/>
              <w:left w:val="nil"/>
              <w:bottom w:val="single" w:sz="4" w:space="0" w:color="auto"/>
              <w:right w:val="single" w:sz="4" w:space="0" w:color="auto"/>
            </w:tcBorders>
            <w:shd w:val="clear" w:color="auto" w:fill="auto"/>
            <w:noWrap/>
            <w:hideMark/>
          </w:tcPr>
          <w:p w14:paraId="3F5EB4C0"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4DBD01D8" w14:textId="77777777" w:rsidTr="00AD0261">
        <w:trPr>
          <w:trHeight w:val="66"/>
        </w:trPr>
        <w:tc>
          <w:tcPr>
            <w:tcW w:w="2972" w:type="dxa"/>
            <w:tcBorders>
              <w:top w:val="nil"/>
              <w:left w:val="single" w:sz="4" w:space="0" w:color="auto"/>
              <w:bottom w:val="single" w:sz="4" w:space="0" w:color="auto"/>
              <w:right w:val="single" w:sz="4" w:space="0" w:color="auto"/>
            </w:tcBorders>
            <w:shd w:val="clear" w:color="auto" w:fill="auto"/>
            <w:noWrap/>
            <w:hideMark/>
          </w:tcPr>
          <w:p w14:paraId="1F944419" w14:textId="77777777" w:rsidR="00691ABD" w:rsidRPr="00786273" w:rsidRDefault="00691ABD" w:rsidP="001E39EE">
            <w:pPr>
              <w:jc w:val="left"/>
              <w:rPr>
                <w:sz w:val="20"/>
                <w:szCs w:val="20"/>
                <w:lang w:val="fr-CA" w:eastAsia="en-CA"/>
              </w:rPr>
            </w:pPr>
            <w:r w:rsidRPr="00786273">
              <w:rPr>
                <w:sz w:val="20"/>
                <w:szCs w:val="20"/>
                <w:lang w:val="fr-CA" w:eastAsia="en-CA"/>
              </w:rPr>
              <w:t>Mali</w:t>
            </w:r>
          </w:p>
        </w:tc>
        <w:tc>
          <w:tcPr>
            <w:tcW w:w="851" w:type="dxa"/>
            <w:tcBorders>
              <w:top w:val="nil"/>
              <w:left w:val="nil"/>
              <w:bottom w:val="single" w:sz="4" w:space="0" w:color="auto"/>
              <w:right w:val="single" w:sz="4" w:space="0" w:color="auto"/>
            </w:tcBorders>
            <w:shd w:val="clear" w:color="auto" w:fill="auto"/>
            <w:noWrap/>
            <w:hideMark/>
          </w:tcPr>
          <w:p w14:paraId="160538D8" w14:textId="199B920D"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1626E10"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825537A" w14:textId="5A5EE4B6" w:rsidR="00691ABD" w:rsidRPr="00786273" w:rsidRDefault="00691ABD" w:rsidP="001E39EE">
            <w:pPr>
              <w:jc w:val="right"/>
              <w:rPr>
                <w:sz w:val="20"/>
                <w:szCs w:val="20"/>
                <w:lang w:val="fr-CA" w:eastAsia="en-CA"/>
              </w:rPr>
            </w:pPr>
            <w:r w:rsidRPr="00786273">
              <w:rPr>
                <w:sz w:val="20"/>
                <w:szCs w:val="20"/>
                <w:lang w:val="fr-CA" w:eastAsia="en-CA"/>
              </w:rPr>
              <w:t>69</w:t>
            </w:r>
            <w:r>
              <w:rPr>
                <w:sz w:val="20"/>
                <w:szCs w:val="20"/>
                <w:lang w:val="fr-CA" w:eastAsia="en-CA"/>
              </w:rPr>
              <w:t xml:space="preserve"> </w:t>
            </w:r>
            <w:r w:rsidRPr="00786273">
              <w:rPr>
                <w:sz w:val="20"/>
                <w:szCs w:val="20"/>
                <w:lang w:val="fr-CA" w:eastAsia="en-CA"/>
              </w:rPr>
              <w:t>630</w:t>
            </w:r>
          </w:p>
        </w:tc>
        <w:tc>
          <w:tcPr>
            <w:tcW w:w="1276" w:type="dxa"/>
            <w:tcBorders>
              <w:top w:val="nil"/>
              <w:left w:val="nil"/>
              <w:bottom w:val="single" w:sz="4" w:space="0" w:color="auto"/>
              <w:right w:val="single" w:sz="4" w:space="0" w:color="auto"/>
            </w:tcBorders>
            <w:shd w:val="clear" w:color="auto" w:fill="auto"/>
            <w:noWrap/>
            <w:hideMark/>
          </w:tcPr>
          <w:p w14:paraId="6B0025DE" w14:textId="77777777" w:rsidR="00691ABD" w:rsidRPr="00786273" w:rsidRDefault="00691ABD" w:rsidP="001E39EE">
            <w:pPr>
              <w:jc w:val="right"/>
              <w:rPr>
                <w:sz w:val="20"/>
                <w:szCs w:val="20"/>
                <w:lang w:val="fr-CA" w:eastAsia="en-CA"/>
              </w:rPr>
            </w:pPr>
            <w:r w:rsidRPr="00786273">
              <w:rPr>
                <w:sz w:val="20"/>
                <w:szCs w:val="20"/>
                <w:lang w:val="fr-CA" w:eastAsia="en-CA"/>
              </w:rPr>
              <w:t>110</w:t>
            </w:r>
          </w:p>
        </w:tc>
        <w:tc>
          <w:tcPr>
            <w:tcW w:w="1384" w:type="dxa"/>
            <w:tcBorders>
              <w:top w:val="nil"/>
              <w:left w:val="nil"/>
              <w:bottom w:val="single" w:sz="4" w:space="0" w:color="auto"/>
              <w:right w:val="single" w:sz="4" w:space="0" w:color="auto"/>
            </w:tcBorders>
            <w:shd w:val="clear" w:color="auto" w:fill="auto"/>
            <w:noWrap/>
            <w:hideMark/>
          </w:tcPr>
          <w:p w14:paraId="7FB9987A"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149" w:type="dxa"/>
            <w:tcBorders>
              <w:top w:val="nil"/>
              <w:left w:val="nil"/>
              <w:bottom w:val="single" w:sz="4" w:space="0" w:color="auto"/>
              <w:right w:val="single" w:sz="4" w:space="0" w:color="auto"/>
            </w:tcBorders>
            <w:shd w:val="clear" w:color="auto" w:fill="auto"/>
            <w:noWrap/>
            <w:hideMark/>
          </w:tcPr>
          <w:p w14:paraId="0E1B70A4"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00F9655F" w14:textId="77777777" w:rsidTr="00AD0261">
        <w:trPr>
          <w:trHeight w:val="137"/>
        </w:trPr>
        <w:tc>
          <w:tcPr>
            <w:tcW w:w="2972" w:type="dxa"/>
            <w:tcBorders>
              <w:top w:val="nil"/>
              <w:left w:val="single" w:sz="4" w:space="0" w:color="auto"/>
              <w:bottom w:val="single" w:sz="4" w:space="0" w:color="auto"/>
              <w:right w:val="single" w:sz="4" w:space="0" w:color="auto"/>
            </w:tcBorders>
            <w:shd w:val="clear" w:color="auto" w:fill="auto"/>
            <w:noWrap/>
            <w:hideMark/>
          </w:tcPr>
          <w:p w14:paraId="66FC9322" w14:textId="77777777" w:rsidR="00691ABD" w:rsidRPr="00786273" w:rsidRDefault="00691ABD" w:rsidP="001E39EE">
            <w:pPr>
              <w:jc w:val="left"/>
              <w:rPr>
                <w:sz w:val="20"/>
                <w:szCs w:val="20"/>
                <w:lang w:val="fr-CA" w:eastAsia="en-CA"/>
              </w:rPr>
            </w:pPr>
            <w:r>
              <w:rPr>
                <w:sz w:val="20"/>
                <w:szCs w:val="20"/>
                <w:lang w:val="fr-CA" w:eastAsia="en-CA"/>
              </w:rPr>
              <w:t>Maroc</w:t>
            </w:r>
          </w:p>
        </w:tc>
        <w:tc>
          <w:tcPr>
            <w:tcW w:w="851" w:type="dxa"/>
            <w:tcBorders>
              <w:top w:val="nil"/>
              <w:left w:val="nil"/>
              <w:bottom w:val="single" w:sz="4" w:space="0" w:color="auto"/>
              <w:right w:val="single" w:sz="4" w:space="0" w:color="auto"/>
            </w:tcBorders>
            <w:shd w:val="clear" w:color="auto" w:fill="auto"/>
            <w:noWrap/>
            <w:hideMark/>
          </w:tcPr>
          <w:p w14:paraId="02A56D20" w14:textId="01EE8FB3"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F581C13"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239C845" w14:textId="0E44B7E2" w:rsidR="00691ABD" w:rsidRPr="00786273" w:rsidRDefault="00691ABD" w:rsidP="001E39EE">
            <w:pPr>
              <w:jc w:val="right"/>
              <w:rPr>
                <w:sz w:val="20"/>
                <w:szCs w:val="20"/>
                <w:lang w:val="fr-CA" w:eastAsia="en-CA"/>
              </w:rPr>
            </w:pPr>
            <w:r w:rsidRPr="00786273">
              <w:rPr>
                <w:sz w:val="20"/>
                <w:szCs w:val="20"/>
                <w:lang w:val="fr-CA" w:eastAsia="en-CA"/>
              </w:rPr>
              <w:t>122</w:t>
            </w:r>
            <w:r>
              <w:rPr>
                <w:sz w:val="20"/>
                <w:szCs w:val="20"/>
                <w:lang w:val="fr-CA" w:eastAsia="en-CA"/>
              </w:rPr>
              <w:t xml:space="preserve"> </w:t>
            </w:r>
            <w:r w:rsidRPr="00786273">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4DC4AE7F" w14:textId="5DEA0CB1" w:rsidR="00691ABD" w:rsidRPr="00786273" w:rsidRDefault="00691ABD" w:rsidP="001E39EE">
            <w:pPr>
              <w:jc w:val="right"/>
              <w:rPr>
                <w:sz w:val="20"/>
                <w:szCs w:val="20"/>
                <w:lang w:val="fr-CA" w:eastAsia="en-CA"/>
              </w:rPr>
            </w:pPr>
            <w:r w:rsidRPr="00786273">
              <w:rPr>
                <w:sz w:val="20"/>
                <w:szCs w:val="20"/>
                <w:lang w:val="fr-CA" w:eastAsia="en-CA"/>
              </w:rPr>
              <w:t>85</w:t>
            </w:r>
            <w:r>
              <w:rPr>
                <w:sz w:val="20"/>
                <w:szCs w:val="20"/>
                <w:lang w:val="fr-CA" w:eastAsia="en-CA"/>
              </w:rPr>
              <w:t xml:space="preserve"> </w:t>
            </w:r>
            <w:r w:rsidRPr="00786273">
              <w:rPr>
                <w:sz w:val="20"/>
                <w:szCs w:val="20"/>
                <w:lang w:val="fr-CA" w:eastAsia="en-CA"/>
              </w:rPr>
              <w:t>655</w:t>
            </w:r>
          </w:p>
        </w:tc>
        <w:tc>
          <w:tcPr>
            <w:tcW w:w="1384" w:type="dxa"/>
            <w:tcBorders>
              <w:top w:val="nil"/>
              <w:left w:val="nil"/>
              <w:bottom w:val="single" w:sz="4" w:space="0" w:color="auto"/>
              <w:right w:val="single" w:sz="4" w:space="0" w:color="auto"/>
            </w:tcBorders>
            <w:shd w:val="clear" w:color="auto" w:fill="auto"/>
            <w:noWrap/>
            <w:hideMark/>
          </w:tcPr>
          <w:p w14:paraId="0D671728" w14:textId="77777777" w:rsidR="00691ABD" w:rsidRPr="00786273" w:rsidRDefault="00691ABD" w:rsidP="001E39EE">
            <w:pPr>
              <w:jc w:val="right"/>
              <w:rPr>
                <w:sz w:val="20"/>
                <w:szCs w:val="20"/>
                <w:lang w:val="fr-CA" w:eastAsia="en-CA"/>
              </w:rPr>
            </w:pPr>
            <w:r w:rsidRPr="00786273">
              <w:rPr>
                <w:sz w:val="20"/>
                <w:szCs w:val="20"/>
                <w:lang w:val="fr-CA" w:eastAsia="en-CA"/>
              </w:rPr>
              <w:t>70</w:t>
            </w:r>
          </w:p>
        </w:tc>
        <w:tc>
          <w:tcPr>
            <w:tcW w:w="1149" w:type="dxa"/>
            <w:tcBorders>
              <w:top w:val="nil"/>
              <w:left w:val="nil"/>
              <w:bottom w:val="single" w:sz="4" w:space="0" w:color="auto"/>
              <w:right w:val="single" w:sz="4" w:space="0" w:color="auto"/>
            </w:tcBorders>
            <w:shd w:val="clear" w:color="auto" w:fill="auto"/>
            <w:noWrap/>
            <w:hideMark/>
          </w:tcPr>
          <w:p w14:paraId="46F004EA"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086DDAE7" w14:textId="77777777" w:rsidTr="00AD0261">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7AB29140" w14:textId="77777777" w:rsidR="00691ABD" w:rsidRPr="00786273" w:rsidRDefault="00691ABD" w:rsidP="001E39EE">
            <w:pPr>
              <w:jc w:val="left"/>
              <w:rPr>
                <w:sz w:val="20"/>
                <w:szCs w:val="20"/>
                <w:lang w:val="fr-CA" w:eastAsia="en-CA"/>
              </w:rPr>
            </w:pPr>
            <w:r>
              <w:rPr>
                <w:sz w:val="20"/>
                <w:szCs w:val="20"/>
                <w:lang w:val="fr-CA" w:eastAsia="en-CA"/>
              </w:rPr>
              <w:t>Maurice</w:t>
            </w:r>
          </w:p>
        </w:tc>
        <w:tc>
          <w:tcPr>
            <w:tcW w:w="851" w:type="dxa"/>
            <w:tcBorders>
              <w:top w:val="nil"/>
              <w:left w:val="nil"/>
              <w:bottom w:val="single" w:sz="4" w:space="0" w:color="auto"/>
              <w:right w:val="single" w:sz="4" w:space="0" w:color="auto"/>
            </w:tcBorders>
            <w:shd w:val="clear" w:color="auto" w:fill="auto"/>
            <w:noWrap/>
            <w:hideMark/>
          </w:tcPr>
          <w:p w14:paraId="2F7B36BE" w14:textId="2CF61641"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4EFEB05"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2317EA0C" w14:textId="5083D19B" w:rsidR="00691ABD" w:rsidRPr="00786273" w:rsidRDefault="00691ABD" w:rsidP="001E39EE">
            <w:pPr>
              <w:jc w:val="right"/>
              <w:rPr>
                <w:sz w:val="20"/>
                <w:szCs w:val="20"/>
                <w:lang w:val="fr-CA" w:eastAsia="en-CA"/>
              </w:rPr>
            </w:pPr>
            <w:r w:rsidRPr="00786273">
              <w:rPr>
                <w:sz w:val="20"/>
                <w:szCs w:val="20"/>
                <w:lang w:val="fr-CA" w:eastAsia="en-CA"/>
              </w:rPr>
              <w:t>153</w:t>
            </w:r>
            <w:r>
              <w:rPr>
                <w:sz w:val="20"/>
                <w:szCs w:val="20"/>
                <w:lang w:val="fr-CA" w:eastAsia="en-CA"/>
              </w:rPr>
              <w:t xml:space="preserve"> </w:t>
            </w:r>
            <w:r w:rsidRPr="00786273">
              <w:rPr>
                <w:sz w:val="20"/>
                <w:szCs w:val="20"/>
                <w:lang w:val="fr-CA" w:eastAsia="en-CA"/>
              </w:rPr>
              <w:t>929</w:t>
            </w:r>
          </w:p>
        </w:tc>
        <w:tc>
          <w:tcPr>
            <w:tcW w:w="1276" w:type="dxa"/>
            <w:tcBorders>
              <w:top w:val="nil"/>
              <w:left w:val="nil"/>
              <w:bottom w:val="single" w:sz="4" w:space="0" w:color="auto"/>
              <w:right w:val="single" w:sz="4" w:space="0" w:color="auto"/>
            </w:tcBorders>
            <w:shd w:val="clear" w:color="auto" w:fill="auto"/>
            <w:noWrap/>
            <w:hideMark/>
          </w:tcPr>
          <w:p w14:paraId="677A8FEB" w14:textId="4AEED518" w:rsidR="00691ABD" w:rsidRPr="00786273" w:rsidRDefault="00691ABD" w:rsidP="001E39EE">
            <w:pPr>
              <w:jc w:val="right"/>
              <w:rPr>
                <w:sz w:val="20"/>
                <w:szCs w:val="20"/>
                <w:lang w:val="fr-CA" w:eastAsia="en-CA"/>
              </w:rPr>
            </w:pPr>
            <w:r w:rsidRPr="00786273">
              <w:rPr>
                <w:sz w:val="20"/>
                <w:szCs w:val="20"/>
                <w:lang w:val="fr-CA" w:eastAsia="en-CA"/>
              </w:rPr>
              <w:t>181</w:t>
            </w:r>
            <w:r>
              <w:rPr>
                <w:sz w:val="20"/>
                <w:szCs w:val="20"/>
                <w:lang w:val="fr-CA" w:eastAsia="en-CA"/>
              </w:rPr>
              <w:t xml:space="preserve"> </w:t>
            </w:r>
            <w:r w:rsidRPr="00786273">
              <w:rPr>
                <w:sz w:val="20"/>
                <w:szCs w:val="20"/>
                <w:lang w:val="fr-CA" w:eastAsia="en-CA"/>
              </w:rPr>
              <w:t>513</w:t>
            </w:r>
          </w:p>
        </w:tc>
        <w:tc>
          <w:tcPr>
            <w:tcW w:w="1384" w:type="dxa"/>
            <w:tcBorders>
              <w:top w:val="nil"/>
              <w:left w:val="nil"/>
              <w:bottom w:val="single" w:sz="4" w:space="0" w:color="auto"/>
              <w:right w:val="single" w:sz="4" w:space="0" w:color="auto"/>
            </w:tcBorders>
            <w:shd w:val="clear" w:color="auto" w:fill="auto"/>
            <w:noWrap/>
            <w:hideMark/>
          </w:tcPr>
          <w:p w14:paraId="63F02819" w14:textId="77777777" w:rsidR="00691ABD" w:rsidRPr="00786273" w:rsidRDefault="00691ABD" w:rsidP="001E39EE">
            <w:pPr>
              <w:jc w:val="right"/>
              <w:rPr>
                <w:sz w:val="20"/>
                <w:szCs w:val="20"/>
                <w:lang w:val="fr-CA" w:eastAsia="en-CA"/>
              </w:rPr>
            </w:pPr>
            <w:r w:rsidRPr="00786273">
              <w:rPr>
                <w:sz w:val="20"/>
                <w:szCs w:val="20"/>
                <w:lang w:val="fr-CA" w:eastAsia="en-CA"/>
              </w:rPr>
              <w:t>118</w:t>
            </w:r>
          </w:p>
        </w:tc>
        <w:tc>
          <w:tcPr>
            <w:tcW w:w="1149" w:type="dxa"/>
            <w:tcBorders>
              <w:top w:val="nil"/>
              <w:left w:val="nil"/>
              <w:bottom w:val="single" w:sz="4" w:space="0" w:color="auto"/>
              <w:right w:val="single" w:sz="4" w:space="0" w:color="auto"/>
            </w:tcBorders>
            <w:shd w:val="clear" w:color="auto" w:fill="auto"/>
            <w:noWrap/>
            <w:hideMark/>
          </w:tcPr>
          <w:p w14:paraId="0F3F3F58"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204AC0A2"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97391C7" w14:textId="77777777" w:rsidR="00691ABD" w:rsidRPr="00786273" w:rsidRDefault="00691ABD" w:rsidP="001E39EE">
            <w:pPr>
              <w:jc w:val="left"/>
              <w:rPr>
                <w:sz w:val="20"/>
                <w:szCs w:val="20"/>
                <w:lang w:val="fr-CA" w:eastAsia="en-CA"/>
              </w:rPr>
            </w:pPr>
            <w:r>
              <w:rPr>
                <w:sz w:val="20"/>
                <w:szCs w:val="20"/>
                <w:lang w:val="fr-CA" w:eastAsia="en-CA"/>
              </w:rPr>
              <w:t>Mauritanie</w:t>
            </w:r>
          </w:p>
        </w:tc>
        <w:tc>
          <w:tcPr>
            <w:tcW w:w="851" w:type="dxa"/>
            <w:tcBorders>
              <w:top w:val="nil"/>
              <w:left w:val="nil"/>
              <w:bottom w:val="single" w:sz="4" w:space="0" w:color="auto"/>
              <w:right w:val="single" w:sz="4" w:space="0" w:color="auto"/>
            </w:tcBorders>
            <w:shd w:val="clear" w:color="auto" w:fill="auto"/>
            <w:noWrap/>
            <w:hideMark/>
          </w:tcPr>
          <w:p w14:paraId="61AC7288" w14:textId="2F891377"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FB2B355"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75969B3E" w14:textId="77E742ED" w:rsidR="00691ABD" w:rsidRPr="00786273" w:rsidRDefault="00691ABD" w:rsidP="001E39EE">
            <w:pPr>
              <w:jc w:val="right"/>
              <w:rPr>
                <w:sz w:val="20"/>
                <w:szCs w:val="20"/>
                <w:lang w:val="fr-CA" w:eastAsia="en-CA"/>
              </w:rPr>
            </w:pPr>
            <w:r w:rsidRPr="00786273">
              <w:rPr>
                <w:sz w:val="20"/>
                <w:szCs w:val="20"/>
                <w:lang w:val="fr-CA" w:eastAsia="en-CA"/>
              </w:rPr>
              <w:t>186</w:t>
            </w:r>
            <w:r>
              <w:rPr>
                <w:sz w:val="20"/>
                <w:szCs w:val="20"/>
                <w:lang w:val="fr-CA" w:eastAsia="en-CA"/>
              </w:rPr>
              <w:t xml:space="preserve"> </w:t>
            </w:r>
            <w:r w:rsidRPr="00786273">
              <w:rPr>
                <w:sz w:val="20"/>
                <w:szCs w:val="20"/>
                <w:lang w:val="fr-CA" w:eastAsia="en-CA"/>
              </w:rPr>
              <w:t>500</w:t>
            </w:r>
          </w:p>
        </w:tc>
        <w:tc>
          <w:tcPr>
            <w:tcW w:w="1276" w:type="dxa"/>
            <w:tcBorders>
              <w:top w:val="nil"/>
              <w:left w:val="nil"/>
              <w:bottom w:val="single" w:sz="4" w:space="0" w:color="auto"/>
              <w:right w:val="single" w:sz="4" w:space="0" w:color="auto"/>
            </w:tcBorders>
            <w:shd w:val="clear" w:color="auto" w:fill="auto"/>
            <w:noWrap/>
            <w:hideMark/>
          </w:tcPr>
          <w:p w14:paraId="2DCE91C9" w14:textId="49D18D6E" w:rsidR="00691ABD" w:rsidRPr="00786273" w:rsidRDefault="00691ABD" w:rsidP="001E39EE">
            <w:pPr>
              <w:jc w:val="right"/>
              <w:rPr>
                <w:sz w:val="20"/>
                <w:szCs w:val="20"/>
                <w:lang w:val="fr-CA" w:eastAsia="en-CA"/>
              </w:rPr>
            </w:pPr>
            <w:r w:rsidRPr="00786273">
              <w:rPr>
                <w:sz w:val="20"/>
                <w:szCs w:val="20"/>
                <w:lang w:val="fr-CA" w:eastAsia="en-CA"/>
              </w:rPr>
              <w:t>135</w:t>
            </w:r>
            <w:r>
              <w:rPr>
                <w:sz w:val="20"/>
                <w:szCs w:val="20"/>
                <w:lang w:val="fr-CA" w:eastAsia="en-CA"/>
              </w:rPr>
              <w:t xml:space="preserve"> </w:t>
            </w:r>
            <w:r w:rsidRPr="00786273">
              <w:rPr>
                <w:sz w:val="20"/>
                <w:szCs w:val="20"/>
                <w:lang w:val="fr-CA" w:eastAsia="en-CA"/>
              </w:rPr>
              <w:t>000</w:t>
            </w:r>
          </w:p>
        </w:tc>
        <w:tc>
          <w:tcPr>
            <w:tcW w:w="1384" w:type="dxa"/>
            <w:tcBorders>
              <w:top w:val="nil"/>
              <w:left w:val="nil"/>
              <w:bottom w:val="single" w:sz="4" w:space="0" w:color="auto"/>
              <w:right w:val="single" w:sz="4" w:space="0" w:color="auto"/>
            </w:tcBorders>
            <w:shd w:val="clear" w:color="auto" w:fill="auto"/>
            <w:noWrap/>
            <w:hideMark/>
          </w:tcPr>
          <w:p w14:paraId="68BB9406" w14:textId="77777777" w:rsidR="00691ABD" w:rsidRPr="00786273" w:rsidRDefault="00691ABD" w:rsidP="001E39EE">
            <w:pPr>
              <w:jc w:val="right"/>
              <w:rPr>
                <w:sz w:val="20"/>
                <w:szCs w:val="20"/>
                <w:lang w:val="fr-CA" w:eastAsia="en-CA"/>
              </w:rPr>
            </w:pPr>
            <w:r w:rsidRPr="00786273">
              <w:rPr>
                <w:sz w:val="20"/>
                <w:szCs w:val="20"/>
                <w:lang w:val="fr-CA" w:eastAsia="en-CA"/>
              </w:rPr>
              <w:t>72</w:t>
            </w:r>
          </w:p>
        </w:tc>
        <w:tc>
          <w:tcPr>
            <w:tcW w:w="1149" w:type="dxa"/>
            <w:tcBorders>
              <w:top w:val="nil"/>
              <w:left w:val="nil"/>
              <w:bottom w:val="single" w:sz="4" w:space="0" w:color="auto"/>
              <w:right w:val="single" w:sz="4" w:space="0" w:color="auto"/>
            </w:tcBorders>
            <w:shd w:val="clear" w:color="auto" w:fill="auto"/>
            <w:noWrap/>
            <w:hideMark/>
          </w:tcPr>
          <w:p w14:paraId="7F2A995F"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0710033D" w14:textId="77777777" w:rsidTr="00AD0261">
        <w:trPr>
          <w:trHeight w:val="95"/>
        </w:trPr>
        <w:tc>
          <w:tcPr>
            <w:tcW w:w="2972" w:type="dxa"/>
            <w:tcBorders>
              <w:top w:val="nil"/>
              <w:left w:val="single" w:sz="4" w:space="0" w:color="auto"/>
              <w:bottom w:val="single" w:sz="4" w:space="0" w:color="auto"/>
              <w:right w:val="single" w:sz="4" w:space="0" w:color="auto"/>
            </w:tcBorders>
            <w:shd w:val="clear" w:color="auto" w:fill="auto"/>
            <w:noWrap/>
            <w:hideMark/>
          </w:tcPr>
          <w:p w14:paraId="6ECCC8B6" w14:textId="77777777" w:rsidR="00691ABD" w:rsidRPr="00786273" w:rsidRDefault="00691ABD" w:rsidP="001E39EE">
            <w:pPr>
              <w:jc w:val="left"/>
              <w:rPr>
                <w:sz w:val="20"/>
                <w:szCs w:val="20"/>
                <w:lang w:val="fr-CA" w:eastAsia="en-CA"/>
              </w:rPr>
            </w:pPr>
            <w:r>
              <w:rPr>
                <w:sz w:val="20"/>
                <w:szCs w:val="20"/>
                <w:lang w:val="fr-CA" w:eastAsia="en-CA"/>
              </w:rPr>
              <w:t>Mexique</w:t>
            </w:r>
          </w:p>
        </w:tc>
        <w:tc>
          <w:tcPr>
            <w:tcW w:w="851" w:type="dxa"/>
            <w:tcBorders>
              <w:top w:val="nil"/>
              <w:left w:val="nil"/>
              <w:bottom w:val="single" w:sz="4" w:space="0" w:color="auto"/>
              <w:right w:val="single" w:sz="4" w:space="0" w:color="auto"/>
            </w:tcBorders>
            <w:shd w:val="clear" w:color="auto" w:fill="auto"/>
            <w:noWrap/>
            <w:hideMark/>
          </w:tcPr>
          <w:p w14:paraId="413CE15B" w14:textId="32AB66AF" w:rsidR="00691ABD" w:rsidRPr="00786273" w:rsidRDefault="00691ABD" w:rsidP="001E39EE">
            <w:pPr>
              <w:jc w:val="right"/>
              <w:rPr>
                <w:sz w:val="20"/>
                <w:szCs w:val="20"/>
                <w:lang w:val="fr-CA" w:eastAsia="en-CA"/>
              </w:rPr>
            </w:pPr>
            <w:r w:rsidRPr="00786273">
              <w:rPr>
                <w:sz w:val="20"/>
                <w:szCs w:val="20"/>
                <w:lang w:val="fr-CA" w:eastAsia="en-CA"/>
              </w:rPr>
              <w:t>84</w:t>
            </w:r>
            <w:r>
              <w:rPr>
                <w:sz w:val="20"/>
                <w:szCs w:val="20"/>
                <w:lang w:val="fr-CA" w:eastAsia="en-CA"/>
              </w:rPr>
              <w:t>,</w:t>
            </w:r>
            <w:r w:rsidRPr="00786273">
              <w:rPr>
                <w:sz w:val="20"/>
                <w:szCs w:val="20"/>
                <w:lang w:val="fr-CA" w:eastAsia="en-CA"/>
              </w:rPr>
              <w:t>8</w:t>
            </w:r>
          </w:p>
        </w:tc>
        <w:tc>
          <w:tcPr>
            <w:tcW w:w="1160" w:type="dxa"/>
            <w:tcBorders>
              <w:top w:val="nil"/>
              <w:left w:val="nil"/>
              <w:bottom w:val="single" w:sz="4" w:space="0" w:color="auto"/>
              <w:right w:val="single" w:sz="4" w:space="0" w:color="auto"/>
            </w:tcBorders>
            <w:shd w:val="clear" w:color="auto" w:fill="auto"/>
            <w:noWrap/>
            <w:hideMark/>
          </w:tcPr>
          <w:p w14:paraId="579E47FC"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6E3C65E9" w14:textId="7BE33F7B" w:rsidR="00691ABD" w:rsidRPr="00786273" w:rsidRDefault="00691ABD" w:rsidP="001E39EE">
            <w:pPr>
              <w:jc w:val="right"/>
              <w:rPr>
                <w:sz w:val="20"/>
                <w:szCs w:val="20"/>
                <w:lang w:val="fr-CA" w:eastAsia="en-CA"/>
              </w:rPr>
            </w:pPr>
            <w:r w:rsidRPr="00786273">
              <w:rPr>
                <w:sz w:val="20"/>
                <w:szCs w:val="20"/>
                <w:lang w:val="fr-CA" w:eastAsia="en-CA"/>
              </w:rPr>
              <w:t>2</w:t>
            </w:r>
            <w:r>
              <w:rPr>
                <w:sz w:val="20"/>
                <w:szCs w:val="20"/>
                <w:lang w:val="fr-CA" w:eastAsia="en-CA"/>
              </w:rPr>
              <w:t xml:space="preserve"> </w:t>
            </w:r>
            <w:r w:rsidRPr="00786273">
              <w:rPr>
                <w:sz w:val="20"/>
                <w:szCs w:val="20"/>
                <w:lang w:val="fr-CA" w:eastAsia="en-CA"/>
              </w:rPr>
              <w:t>665</w:t>
            </w:r>
            <w:r>
              <w:rPr>
                <w:sz w:val="20"/>
                <w:szCs w:val="20"/>
                <w:lang w:val="fr-CA" w:eastAsia="en-CA"/>
              </w:rPr>
              <w:t xml:space="preserve"> </w:t>
            </w:r>
            <w:r w:rsidRPr="00786273">
              <w:rPr>
                <w:sz w:val="20"/>
                <w:szCs w:val="20"/>
                <w:lang w:val="fr-CA" w:eastAsia="en-CA"/>
              </w:rPr>
              <w:t>699</w:t>
            </w:r>
          </w:p>
        </w:tc>
        <w:tc>
          <w:tcPr>
            <w:tcW w:w="1276" w:type="dxa"/>
            <w:tcBorders>
              <w:top w:val="nil"/>
              <w:left w:val="nil"/>
              <w:bottom w:val="single" w:sz="4" w:space="0" w:color="auto"/>
              <w:right w:val="single" w:sz="4" w:space="0" w:color="auto"/>
            </w:tcBorders>
            <w:shd w:val="clear" w:color="auto" w:fill="auto"/>
            <w:noWrap/>
            <w:hideMark/>
          </w:tcPr>
          <w:p w14:paraId="1E1E93E8" w14:textId="2C6ABC33"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 xml:space="preserve"> </w:t>
            </w:r>
            <w:r w:rsidRPr="00786273">
              <w:rPr>
                <w:sz w:val="20"/>
                <w:szCs w:val="20"/>
                <w:lang w:val="fr-CA" w:eastAsia="en-CA"/>
              </w:rPr>
              <w:t>176</w:t>
            </w:r>
            <w:r>
              <w:rPr>
                <w:sz w:val="20"/>
                <w:szCs w:val="20"/>
                <w:lang w:val="fr-CA" w:eastAsia="en-CA"/>
              </w:rPr>
              <w:t xml:space="preserve"> </w:t>
            </w:r>
            <w:r w:rsidRPr="00786273">
              <w:rPr>
                <w:sz w:val="20"/>
                <w:szCs w:val="20"/>
                <w:lang w:val="fr-CA" w:eastAsia="en-CA"/>
              </w:rPr>
              <w:t>965</w:t>
            </w:r>
          </w:p>
        </w:tc>
        <w:tc>
          <w:tcPr>
            <w:tcW w:w="1384" w:type="dxa"/>
            <w:tcBorders>
              <w:top w:val="nil"/>
              <w:left w:val="nil"/>
              <w:bottom w:val="single" w:sz="4" w:space="0" w:color="auto"/>
              <w:right w:val="single" w:sz="4" w:space="0" w:color="auto"/>
            </w:tcBorders>
            <w:shd w:val="clear" w:color="auto" w:fill="auto"/>
            <w:noWrap/>
            <w:hideMark/>
          </w:tcPr>
          <w:p w14:paraId="161CF34A" w14:textId="77777777" w:rsidR="00691ABD" w:rsidRPr="00786273" w:rsidRDefault="00691ABD" w:rsidP="001E39EE">
            <w:pPr>
              <w:jc w:val="right"/>
              <w:rPr>
                <w:sz w:val="20"/>
                <w:szCs w:val="20"/>
                <w:lang w:val="fr-CA" w:eastAsia="en-CA"/>
              </w:rPr>
            </w:pPr>
            <w:r w:rsidRPr="00786273">
              <w:rPr>
                <w:sz w:val="20"/>
                <w:szCs w:val="20"/>
                <w:lang w:val="fr-CA" w:eastAsia="en-CA"/>
              </w:rPr>
              <w:t>44</w:t>
            </w:r>
          </w:p>
        </w:tc>
        <w:tc>
          <w:tcPr>
            <w:tcW w:w="1149" w:type="dxa"/>
            <w:tcBorders>
              <w:top w:val="nil"/>
              <w:left w:val="nil"/>
              <w:bottom w:val="single" w:sz="4" w:space="0" w:color="auto"/>
              <w:right w:val="single" w:sz="4" w:space="0" w:color="auto"/>
            </w:tcBorders>
            <w:shd w:val="clear" w:color="auto" w:fill="auto"/>
            <w:noWrap/>
            <w:hideMark/>
          </w:tcPr>
          <w:p w14:paraId="6FAE26B6" w14:textId="77777777" w:rsidR="00691ABD" w:rsidRPr="00786273" w:rsidRDefault="00691ABD" w:rsidP="001E39EE">
            <w:pPr>
              <w:jc w:val="right"/>
              <w:rPr>
                <w:sz w:val="20"/>
                <w:szCs w:val="20"/>
                <w:lang w:val="fr-CA" w:eastAsia="en-CA"/>
              </w:rPr>
            </w:pPr>
            <w:r w:rsidRPr="00786273">
              <w:rPr>
                <w:sz w:val="20"/>
                <w:szCs w:val="20"/>
                <w:lang w:val="fr-CA" w:eastAsia="en-CA"/>
              </w:rPr>
              <w:t>33</w:t>
            </w:r>
          </w:p>
        </w:tc>
      </w:tr>
      <w:tr w:rsidR="00691ABD" w:rsidRPr="00786273" w14:paraId="0721BF1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C58FD07" w14:textId="77777777" w:rsidR="00691ABD" w:rsidRPr="00786273" w:rsidRDefault="00691ABD" w:rsidP="001E39EE">
            <w:pPr>
              <w:ind w:right="-243"/>
              <w:jc w:val="left"/>
              <w:rPr>
                <w:sz w:val="20"/>
                <w:szCs w:val="20"/>
                <w:lang w:val="fr-CA" w:eastAsia="en-CA"/>
              </w:rPr>
            </w:pPr>
            <w:r>
              <w:rPr>
                <w:sz w:val="20"/>
                <w:szCs w:val="20"/>
                <w:lang w:val="fr-CA" w:eastAsia="en-CA"/>
              </w:rPr>
              <w:t>Micronésie (États fédérés de)</w:t>
            </w:r>
          </w:p>
        </w:tc>
        <w:tc>
          <w:tcPr>
            <w:tcW w:w="851" w:type="dxa"/>
            <w:tcBorders>
              <w:top w:val="nil"/>
              <w:left w:val="nil"/>
              <w:bottom w:val="single" w:sz="4" w:space="0" w:color="auto"/>
              <w:right w:val="single" w:sz="4" w:space="0" w:color="auto"/>
            </w:tcBorders>
            <w:shd w:val="clear" w:color="auto" w:fill="auto"/>
            <w:noWrap/>
            <w:hideMark/>
          </w:tcPr>
          <w:p w14:paraId="4CEF9C0E" w14:textId="2DDFE0C6"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F42ACDD"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5BEE63B7" w14:textId="68931B17" w:rsidR="00691ABD" w:rsidRPr="00786273" w:rsidRDefault="00691ABD" w:rsidP="001E39EE">
            <w:pPr>
              <w:jc w:val="right"/>
              <w:rPr>
                <w:sz w:val="20"/>
                <w:szCs w:val="20"/>
                <w:lang w:val="fr-CA" w:eastAsia="en-CA"/>
              </w:rPr>
            </w:pPr>
            <w:r w:rsidRPr="00786273">
              <w:rPr>
                <w:sz w:val="20"/>
                <w:szCs w:val="20"/>
                <w:lang w:val="fr-CA" w:eastAsia="en-CA"/>
              </w:rPr>
              <w:t>69</w:t>
            </w:r>
            <w:r>
              <w:rPr>
                <w:sz w:val="20"/>
                <w:szCs w:val="20"/>
                <w:lang w:val="fr-CA" w:eastAsia="en-CA"/>
              </w:rPr>
              <w:t xml:space="preserve"> </w:t>
            </w:r>
            <w:r w:rsidRPr="00786273">
              <w:rPr>
                <w:sz w:val="20"/>
                <w:szCs w:val="20"/>
                <w:lang w:val="fr-CA" w:eastAsia="en-CA"/>
              </w:rPr>
              <w:t>223</w:t>
            </w:r>
          </w:p>
        </w:tc>
        <w:tc>
          <w:tcPr>
            <w:tcW w:w="1276" w:type="dxa"/>
            <w:tcBorders>
              <w:top w:val="nil"/>
              <w:left w:val="nil"/>
              <w:bottom w:val="single" w:sz="4" w:space="0" w:color="auto"/>
              <w:right w:val="single" w:sz="4" w:space="0" w:color="auto"/>
            </w:tcBorders>
            <w:shd w:val="clear" w:color="auto" w:fill="auto"/>
            <w:noWrap/>
            <w:hideMark/>
          </w:tcPr>
          <w:p w14:paraId="63743D9E" w14:textId="3BFB422F" w:rsidR="00691ABD" w:rsidRPr="00786273" w:rsidRDefault="00691ABD" w:rsidP="001E39EE">
            <w:pPr>
              <w:jc w:val="right"/>
              <w:rPr>
                <w:sz w:val="20"/>
                <w:szCs w:val="20"/>
                <w:lang w:val="fr-CA" w:eastAsia="en-CA"/>
              </w:rPr>
            </w:pPr>
            <w:r w:rsidRPr="00786273">
              <w:rPr>
                <w:sz w:val="20"/>
                <w:szCs w:val="20"/>
                <w:lang w:val="fr-CA" w:eastAsia="en-CA"/>
              </w:rPr>
              <w:t>61</w:t>
            </w:r>
            <w:r>
              <w:rPr>
                <w:sz w:val="20"/>
                <w:szCs w:val="20"/>
                <w:lang w:val="fr-CA" w:eastAsia="en-CA"/>
              </w:rPr>
              <w:t xml:space="preserve"> </w:t>
            </w:r>
            <w:r w:rsidRPr="00786273">
              <w:rPr>
                <w:sz w:val="20"/>
                <w:szCs w:val="20"/>
                <w:lang w:val="fr-CA" w:eastAsia="en-CA"/>
              </w:rPr>
              <w:t>745</w:t>
            </w:r>
          </w:p>
        </w:tc>
        <w:tc>
          <w:tcPr>
            <w:tcW w:w="1384" w:type="dxa"/>
            <w:tcBorders>
              <w:top w:val="nil"/>
              <w:left w:val="nil"/>
              <w:bottom w:val="single" w:sz="4" w:space="0" w:color="auto"/>
              <w:right w:val="single" w:sz="4" w:space="0" w:color="auto"/>
            </w:tcBorders>
            <w:shd w:val="clear" w:color="auto" w:fill="auto"/>
            <w:noWrap/>
            <w:hideMark/>
          </w:tcPr>
          <w:p w14:paraId="7D6CC3F1" w14:textId="77777777" w:rsidR="00691ABD" w:rsidRPr="00786273" w:rsidRDefault="00691ABD" w:rsidP="001E39EE">
            <w:pPr>
              <w:jc w:val="right"/>
              <w:rPr>
                <w:sz w:val="20"/>
                <w:szCs w:val="20"/>
                <w:lang w:val="fr-CA" w:eastAsia="en-CA"/>
              </w:rPr>
            </w:pPr>
            <w:r w:rsidRPr="00786273">
              <w:rPr>
                <w:sz w:val="20"/>
                <w:szCs w:val="20"/>
                <w:lang w:val="fr-CA" w:eastAsia="en-CA"/>
              </w:rPr>
              <w:t>89</w:t>
            </w:r>
          </w:p>
        </w:tc>
        <w:tc>
          <w:tcPr>
            <w:tcW w:w="1149" w:type="dxa"/>
            <w:tcBorders>
              <w:top w:val="nil"/>
              <w:left w:val="nil"/>
              <w:bottom w:val="single" w:sz="4" w:space="0" w:color="auto"/>
              <w:right w:val="single" w:sz="4" w:space="0" w:color="auto"/>
            </w:tcBorders>
            <w:shd w:val="clear" w:color="auto" w:fill="auto"/>
            <w:noWrap/>
            <w:hideMark/>
          </w:tcPr>
          <w:p w14:paraId="50A5E3D2"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1A232179"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4AC99FE" w14:textId="77777777" w:rsidR="00691ABD" w:rsidRPr="00786273" w:rsidRDefault="00691ABD" w:rsidP="001E39EE">
            <w:pPr>
              <w:jc w:val="left"/>
              <w:rPr>
                <w:sz w:val="20"/>
                <w:szCs w:val="20"/>
                <w:lang w:val="fr-CA" w:eastAsia="en-CA"/>
              </w:rPr>
            </w:pPr>
            <w:r>
              <w:rPr>
                <w:sz w:val="20"/>
                <w:szCs w:val="20"/>
                <w:lang w:val="fr-CA" w:eastAsia="en-CA"/>
              </w:rPr>
              <w:t>Mongolie</w:t>
            </w:r>
          </w:p>
        </w:tc>
        <w:tc>
          <w:tcPr>
            <w:tcW w:w="851" w:type="dxa"/>
            <w:tcBorders>
              <w:top w:val="nil"/>
              <w:left w:val="nil"/>
              <w:bottom w:val="single" w:sz="4" w:space="0" w:color="auto"/>
              <w:right w:val="single" w:sz="4" w:space="0" w:color="auto"/>
            </w:tcBorders>
            <w:shd w:val="clear" w:color="auto" w:fill="auto"/>
            <w:noWrap/>
            <w:hideMark/>
          </w:tcPr>
          <w:p w14:paraId="5C9C676F" w14:textId="33C427CB"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738F612"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5F450E31" w14:textId="3903A28C" w:rsidR="00691ABD" w:rsidRPr="00786273" w:rsidRDefault="00691ABD" w:rsidP="001E39EE">
            <w:pPr>
              <w:jc w:val="right"/>
              <w:rPr>
                <w:sz w:val="20"/>
                <w:szCs w:val="20"/>
                <w:lang w:val="fr-CA" w:eastAsia="en-CA"/>
              </w:rPr>
            </w:pPr>
            <w:r w:rsidRPr="00786273">
              <w:rPr>
                <w:sz w:val="20"/>
                <w:szCs w:val="20"/>
                <w:lang w:val="fr-CA" w:eastAsia="en-CA"/>
              </w:rPr>
              <w:t>120</w:t>
            </w:r>
            <w:r>
              <w:rPr>
                <w:sz w:val="20"/>
                <w:szCs w:val="20"/>
                <w:lang w:val="fr-CA" w:eastAsia="en-CA"/>
              </w:rPr>
              <w:t xml:space="preserve"> </w:t>
            </w:r>
            <w:r w:rsidRPr="00786273">
              <w:rPr>
                <w:sz w:val="20"/>
                <w:szCs w:val="20"/>
                <w:lang w:val="fr-CA" w:eastAsia="en-CA"/>
              </w:rPr>
              <w:t>341</w:t>
            </w:r>
          </w:p>
        </w:tc>
        <w:tc>
          <w:tcPr>
            <w:tcW w:w="1276" w:type="dxa"/>
            <w:tcBorders>
              <w:top w:val="nil"/>
              <w:left w:val="nil"/>
              <w:bottom w:val="single" w:sz="4" w:space="0" w:color="auto"/>
              <w:right w:val="single" w:sz="4" w:space="0" w:color="auto"/>
            </w:tcBorders>
            <w:shd w:val="clear" w:color="auto" w:fill="auto"/>
            <w:noWrap/>
            <w:hideMark/>
          </w:tcPr>
          <w:p w14:paraId="773E5F2A" w14:textId="4955BD9E" w:rsidR="00691ABD" w:rsidRPr="00786273" w:rsidRDefault="00691ABD" w:rsidP="001E39EE">
            <w:pPr>
              <w:jc w:val="right"/>
              <w:rPr>
                <w:sz w:val="20"/>
                <w:szCs w:val="20"/>
                <w:lang w:val="fr-CA" w:eastAsia="en-CA"/>
              </w:rPr>
            </w:pPr>
            <w:r w:rsidRPr="00786273">
              <w:rPr>
                <w:sz w:val="20"/>
                <w:szCs w:val="20"/>
                <w:lang w:val="fr-CA" w:eastAsia="en-CA"/>
              </w:rPr>
              <w:t>91</w:t>
            </w:r>
            <w:r>
              <w:rPr>
                <w:sz w:val="20"/>
                <w:szCs w:val="20"/>
                <w:lang w:val="fr-CA" w:eastAsia="en-CA"/>
              </w:rPr>
              <w:t xml:space="preserve"> </w:t>
            </w:r>
            <w:r w:rsidRPr="00786273">
              <w:rPr>
                <w:sz w:val="20"/>
                <w:szCs w:val="20"/>
                <w:lang w:val="fr-CA" w:eastAsia="en-CA"/>
              </w:rPr>
              <w:t>909</w:t>
            </w:r>
          </w:p>
        </w:tc>
        <w:tc>
          <w:tcPr>
            <w:tcW w:w="1384" w:type="dxa"/>
            <w:tcBorders>
              <w:top w:val="nil"/>
              <w:left w:val="nil"/>
              <w:bottom w:val="single" w:sz="4" w:space="0" w:color="auto"/>
              <w:right w:val="single" w:sz="4" w:space="0" w:color="auto"/>
            </w:tcBorders>
            <w:shd w:val="clear" w:color="auto" w:fill="auto"/>
            <w:noWrap/>
            <w:hideMark/>
          </w:tcPr>
          <w:p w14:paraId="2ED5C7A5" w14:textId="77777777" w:rsidR="00691ABD" w:rsidRPr="00786273" w:rsidRDefault="00691ABD" w:rsidP="001E39EE">
            <w:pPr>
              <w:jc w:val="right"/>
              <w:rPr>
                <w:sz w:val="20"/>
                <w:szCs w:val="20"/>
                <w:lang w:val="fr-CA" w:eastAsia="en-CA"/>
              </w:rPr>
            </w:pPr>
            <w:r w:rsidRPr="00786273">
              <w:rPr>
                <w:sz w:val="20"/>
                <w:szCs w:val="20"/>
                <w:lang w:val="fr-CA" w:eastAsia="en-CA"/>
              </w:rPr>
              <w:t>76</w:t>
            </w:r>
          </w:p>
        </w:tc>
        <w:tc>
          <w:tcPr>
            <w:tcW w:w="1149" w:type="dxa"/>
            <w:tcBorders>
              <w:top w:val="nil"/>
              <w:left w:val="nil"/>
              <w:bottom w:val="single" w:sz="4" w:space="0" w:color="auto"/>
              <w:right w:val="single" w:sz="4" w:space="0" w:color="auto"/>
            </w:tcBorders>
            <w:shd w:val="clear" w:color="auto" w:fill="auto"/>
            <w:noWrap/>
            <w:hideMark/>
          </w:tcPr>
          <w:p w14:paraId="5A58C24E"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07D793D4" w14:textId="77777777" w:rsidTr="00AD0261">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50C7F174" w14:textId="77777777" w:rsidR="00691ABD" w:rsidRPr="00786273" w:rsidRDefault="00691ABD" w:rsidP="001E39EE">
            <w:pPr>
              <w:jc w:val="left"/>
              <w:rPr>
                <w:sz w:val="20"/>
                <w:szCs w:val="20"/>
                <w:lang w:val="fr-CA" w:eastAsia="en-CA"/>
              </w:rPr>
            </w:pPr>
            <w:r>
              <w:rPr>
                <w:sz w:val="20"/>
                <w:szCs w:val="20"/>
                <w:lang w:val="fr-CA" w:eastAsia="en-CA"/>
              </w:rPr>
              <w:t>Monténé</w:t>
            </w:r>
            <w:r w:rsidRPr="00786273">
              <w:rPr>
                <w:sz w:val="20"/>
                <w:szCs w:val="20"/>
                <w:lang w:val="fr-CA" w:eastAsia="en-CA"/>
              </w:rPr>
              <w:t>gro</w:t>
            </w:r>
          </w:p>
        </w:tc>
        <w:tc>
          <w:tcPr>
            <w:tcW w:w="851" w:type="dxa"/>
            <w:tcBorders>
              <w:top w:val="nil"/>
              <w:left w:val="nil"/>
              <w:bottom w:val="single" w:sz="4" w:space="0" w:color="auto"/>
              <w:right w:val="single" w:sz="4" w:space="0" w:color="auto"/>
            </w:tcBorders>
            <w:shd w:val="clear" w:color="auto" w:fill="auto"/>
            <w:noWrap/>
            <w:hideMark/>
          </w:tcPr>
          <w:p w14:paraId="2186C875" w14:textId="760C3A79"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AC4F7C3"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0161C3B8" w14:textId="4733E659" w:rsidR="00691ABD" w:rsidRPr="00786273" w:rsidRDefault="00691ABD" w:rsidP="001E39EE">
            <w:pPr>
              <w:jc w:val="right"/>
              <w:rPr>
                <w:sz w:val="20"/>
                <w:szCs w:val="20"/>
                <w:lang w:val="fr-CA" w:eastAsia="en-CA"/>
              </w:rPr>
            </w:pPr>
            <w:r w:rsidRPr="00786273">
              <w:rPr>
                <w:sz w:val="20"/>
                <w:szCs w:val="20"/>
                <w:lang w:val="fr-CA" w:eastAsia="en-CA"/>
              </w:rPr>
              <w:t>30</w:t>
            </w:r>
            <w:r>
              <w:rPr>
                <w:sz w:val="20"/>
                <w:szCs w:val="20"/>
                <w:lang w:val="fr-CA" w:eastAsia="en-CA"/>
              </w:rPr>
              <w:t xml:space="preserve"> </w:t>
            </w:r>
            <w:r w:rsidRPr="00786273">
              <w:rPr>
                <w:sz w:val="20"/>
                <w:szCs w:val="20"/>
                <w:lang w:val="fr-CA" w:eastAsia="en-CA"/>
              </w:rPr>
              <w:t>001</w:t>
            </w:r>
          </w:p>
        </w:tc>
        <w:tc>
          <w:tcPr>
            <w:tcW w:w="1276" w:type="dxa"/>
            <w:tcBorders>
              <w:top w:val="nil"/>
              <w:left w:val="nil"/>
              <w:bottom w:val="single" w:sz="4" w:space="0" w:color="auto"/>
              <w:right w:val="single" w:sz="4" w:space="0" w:color="auto"/>
            </w:tcBorders>
            <w:shd w:val="clear" w:color="auto" w:fill="auto"/>
            <w:noWrap/>
            <w:hideMark/>
          </w:tcPr>
          <w:p w14:paraId="1E9E0F16" w14:textId="2BB153B9" w:rsidR="00691ABD" w:rsidRPr="00786273" w:rsidRDefault="00691ABD" w:rsidP="001E39EE">
            <w:pPr>
              <w:jc w:val="right"/>
              <w:rPr>
                <w:sz w:val="20"/>
                <w:szCs w:val="20"/>
                <w:lang w:val="fr-CA" w:eastAsia="en-CA"/>
              </w:rPr>
            </w:pPr>
            <w:r w:rsidRPr="00786273">
              <w:rPr>
                <w:sz w:val="20"/>
                <w:szCs w:val="20"/>
                <w:lang w:val="fr-CA" w:eastAsia="en-CA"/>
              </w:rPr>
              <w:t>53</w:t>
            </w:r>
            <w:r>
              <w:rPr>
                <w:sz w:val="20"/>
                <w:szCs w:val="20"/>
                <w:lang w:val="fr-CA" w:eastAsia="en-CA"/>
              </w:rPr>
              <w:t xml:space="preserve"> </w:t>
            </w:r>
            <w:r w:rsidRPr="00786273">
              <w:rPr>
                <w:sz w:val="20"/>
                <w:szCs w:val="20"/>
                <w:lang w:val="fr-CA" w:eastAsia="en-CA"/>
              </w:rPr>
              <w:t>352</w:t>
            </w:r>
          </w:p>
        </w:tc>
        <w:tc>
          <w:tcPr>
            <w:tcW w:w="1384" w:type="dxa"/>
            <w:tcBorders>
              <w:top w:val="nil"/>
              <w:left w:val="nil"/>
              <w:bottom w:val="single" w:sz="4" w:space="0" w:color="auto"/>
              <w:right w:val="single" w:sz="4" w:space="0" w:color="auto"/>
            </w:tcBorders>
            <w:shd w:val="clear" w:color="auto" w:fill="auto"/>
            <w:noWrap/>
            <w:hideMark/>
          </w:tcPr>
          <w:p w14:paraId="30B57D09" w14:textId="77777777" w:rsidR="00691ABD" w:rsidRPr="00786273" w:rsidRDefault="00691ABD" w:rsidP="001E39EE">
            <w:pPr>
              <w:jc w:val="right"/>
              <w:rPr>
                <w:sz w:val="20"/>
                <w:szCs w:val="20"/>
                <w:lang w:val="fr-CA" w:eastAsia="en-CA"/>
              </w:rPr>
            </w:pPr>
            <w:r w:rsidRPr="00786273">
              <w:rPr>
                <w:sz w:val="20"/>
                <w:szCs w:val="20"/>
                <w:lang w:val="fr-CA" w:eastAsia="en-CA"/>
              </w:rPr>
              <w:t>178</w:t>
            </w:r>
          </w:p>
        </w:tc>
        <w:tc>
          <w:tcPr>
            <w:tcW w:w="1149" w:type="dxa"/>
            <w:tcBorders>
              <w:top w:val="nil"/>
              <w:left w:val="nil"/>
              <w:bottom w:val="single" w:sz="4" w:space="0" w:color="auto"/>
              <w:right w:val="single" w:sz="4" w:space="0" w:color="auto"/>
            </w:tcBorders>
            <w:shd w:val="clear" w:color="auto" w:fill="auto"/>
            <w:noWrap/>
            <w:hideMark/>
          </w:tcPr>
          <w:p w14:paraId="3D8A9088"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0C68B358"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44EE2B6" w14:textId="77777777" w:rsidR="00691ABD" w:rsidRPr="00786273" w:rsidRDefault="00691ABD" w:rsidP="001E39EE">
            <w:pPr>
              <w:jc w:val="left"/>
              <w:rPr>
                <w:sz w:val="20"/>
                <w:szCs w:val="20"/>
                <w:lang w:val="fr-CA" w:eastAsia="en-CA"/>
              </w:rPr>
            </w:pPr>
            <w:r w:rsidRPr="00786273">
              <w:rPr>
                <w:sz w:val="20"/>
                <w:szCs w:val="20"/>
                <w:lang w:val="fr-CA" w:eastAsia="en-CA"/>
              </w:rPr>
              <w:t>Mozambique</w:t>
            </w:r>
          </w:p>
        </w:tc>
        <w:tc>
          <w:tcPr>
            <w:tcW w:w="851" w:type="dxa"/>
            <w:tcBorders>
              <w:top w:val="nil"/>
              <w:left w:val="nil"/>
              <w:bottom w:val="single" w:sz="4" w:space="0" w:color="auto"/>
              <w:right w:val="single" w:sz="4" w:space="0" w:color="auto"/>
            </w:tcBorders>
            <w:shd w:val="clear" w:color="auto" w:fill="auto"/>
            <w:noWrap/>
            <w:hideMark/>
          </w:tcPr>
          <w:p w14:paraId="115C50E3" w14:textId="0D7A118B"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D97D62E"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650061A6" w14:textId="22E2FE42" w:rsidR="00691ABD" w:rsidRPr="00786273" w:rsidRDefault="00691ABD" w:rsidP="001E39EE">
            <w:pPr>
              <w:jc w:val="right"/>
              <w:rPr>
                <w:sz w:val="20"/>
                <w:szCs w:val="20"/>
                <w:lang w:val="fr-CA" w:eastAsia="en-CA"/>
              </w:rPr>
            </w:pPr>
            <w:r w:rsidRPr="00786273">
              <w:rPr>
                <w:sz w:val="20"/>
                <w:szCs w:val="20"/>
                <w:lang w:val="fr-CA" w:eastAsia="en-CA"/>
              </w:rPr>
              <w:t>115</w:t>
            </w:r>
            <w:r>
              <w:rPr>
                <w:sz w:val="20"/>
                <w:szCs w:val="20"/>
                <w:lang w:val="fr-CA" w:eastAsia="en-CA"/>
              </w:rPr>
              <w:t xml:space="preserve"> </w:t>
            </w:r>
            <w:r w:rsidRPr="00786273">
              <w:rPr>
                <w:sz w:val="20"/>
                <w:szCs w:val="20"/>
                <w:lang w:val="fr-CA" w:eastAsia="en-CA"/>
              </w:rPr>
              <w:t>183</w:t>
            </w:r>
          </w:p>
        </w:tc>
        <w:tc>
          <w:tcPr>
            <w:tcW w:w="1276" w:type="dxa"/>
            <w:tcBorders>
              <w:top w:val="nil"/>
              <w:left w:val="nil"/>
              <w:bottom w:val="single" w:sz="4" w:space="0" w:color="auto"/>
              <w:right w:val="single" w:sz="4" w:space="0" w:color="auto"/>
            </w:tcBorders>
            <w:shd w:val="clear" w:color="auto" w:fill="auto"/>
            <w:noWrap/>
            <w:hideMark/>
          </w:tcPr>
          <w:p w14:paraId="5AAF0D52" w14:textId="4D1CC788" w:rsidR="00691ABD" w:rsidRPr="00786273" w:rsidRDefault="00691ABD" w:rsidP="001E39EE">
            <w:pPr>
              <w:jc w:val="right"/>
              <w:rPr>
                <w:sz w:val="20"/>
                <w:szCs w:val="20"/>
                <w:lang w:val="fr-CA" w:eastAsia="en-CA"/>
              </w:rPr>
            </w:pPr>
            <w:r w:rsidRPr="00786273">
              <w:rPr>
                <w:sz w:val="20"/>
                <w:szCs w:val="20"/>
                <w:lang w:val="fr-CA" w:eastAsia="en-CA"/>
              </w:rPr>
              <w:t>124</w:t>
            </w:r>
            <w:r>
              <w:rPr>
                <w:sz w:val="20"/>
                <w:szCs w:val="20"/>
                <w:lang w:val="fr-CA" w:eastAsia="en-CA"/>
              </w:rPr>
              <w:t xml:space="preserve"> </w:t>
            </w:r>
            <w:r w:rsidRPr="00786273">
              <w:rPr>
                <w:sz w:val="20"/>
                <w:szCs w:val="20"/>
                <w:lang w:val="fr-CA" w:eastAsia="en-CA"/>
              </w:rPr>
              <w:t>079</w:t>
            </w:r>
          </w:p>
        </w:tc>
        <w:tc>
          <w:tcPr>
            <w:tcW w:w="1384" w:type="dxa"/>
            <w:tcBorders>
              <w:top w:val="nil"/>
              <w:left w:val="nil"/>
              <w:bottom w:val="single" w:sz="4" w:space="0" w:color="auto"/>
              <w:right w:val="single" w:sz="4" w:space="0" w:color="auto"/>
            </w:tcBorders>
            <w:shd w:val="clear" w:color="auto" w:fill="auto"/>
            <w:noWrap/>
            <w:hideMark/>
          </w:tcPr>
          <w:p w14:paraId="089EF1D6" w14:textId="77777777" w:rsidR="00691ABD" w:rsidRPr="00786273" w:rsidRDefault="00691ABD" w:rsidP="001E39EE">
            <w:pPr>
              <w:jc w:val="right"/>
              <w:rPr>
                <w:sz w:val="20"/>
                <w:szCs w:val="20"/>
                <w:lang w:val="fr-CA" w:eastAsia="en-CA"/>
              </w:rPr>
            </w:pPr>
            <w:r w:rsidRPr="00786273">
              <w:rPr>
                <w:sz w:val="20"/>
                <w:szCs w:val="20"/>
                <w:lang w:val="fr-CA" w:eastAsia="en-CA"/>
              </w:rPr>
              <w:t>108</w:t>
            </w:r>
          </w:p>
        </w:tc>
        <w:tc>
          <w:tcPr>
            <w:tcW w:w="1149" w:type="dxa"/>
            <w:tcBorders>
              <w:top w:val="nil"/>
              <w:left w:val="nil"/>
              <w:bottom w:val="single" w:sz="4" w:space="0" w:color="auto"/>
              <w:right w:val="single" w:sz="4" w:space="0" w:color="auto"/>
            </w:tcBorders>
            <w:shd w:val="clear" w:color="auto" w:fill="auto"/>
            <w:noWrap/>
            <w:hideMark/>
          </w:tcPr>
          <w:p w14:paraId="54B0598F"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1D94009D"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7B4FC21" w14:textId="77777777" w:rsidR="00691ABD" w:rsidRPr="00786273" w:rsidRDefault="00691ABD" w:rsidP="001E39EE">
            <w:pPr>
              <w:jc w:val="left"/>
              <w:rPr>
                <w:sz w:val="20"/>
                <w:szCs w:val="20"/>
                <w:lang w:val="fr-CA" w:eastAsia="en-CA"/>
              </w:rPr>
            </w:pPr>
            <w:r w:rsidRPr="00786273">
              <w:rPr>
                <w:sz w:val="20"/>
                <w:szCs w:val="20"/>
                <w:lang w:val="fr-CA" w:eastAsia="en-CA"/>
              </w:rPr>
              <w:t>Myanmar</w:t>
            </w:r>
          </w:p>
        </w:tc>
        <w:tc>
          <w:tcPr>
            <w:tcW w:w="851" w:type="dxa"/>
            <w:tcBorders>
              <w:top w:val="nil"/>
              <w:left w:val="nil"/>
              <w:bottom w:val="single" w:sz="4" w:space="0" w:color="auto"/>
              <w:right w:val="single" w:sz="4" w:space="0" w:color="auto"/>
            </w:tcBorders>
            <w:shd w:val="clear" w:color="auto" w:fill="auto"/>
            <w:noWrap/>
            <w:hideMark/>
          </w:tcPr>
          <w:p w14:paraId="65394A90" w14:textId="55EAC24E"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1EE6894"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122ECFAF" w14:textId="26E70226" w:rsidR="00691ABD" w:rsidRPr="00786273" w:rsidRDefault="00691ABD" w:rsidP="001E39EE">
            <w:pPr>
              <w:jc w:val="right"/>
              <w:rPr>
                <w:sz w:val="20"/>
                <w:szCs w:val="20"/>
                <w:lang w:val="fr-CA" w:eastAsia="en-CA"/>
              </w:rPr>
            </w:pPr>
            <w:r w:rsidRPr="00786273">
              <w:rPr>
                <w:sz w:val="20"/>
                <w:szCs w:val="20"/>
                <w:lang w:val="fr-CA" w:eastAsia="en-CA"/>
              </w:rPr>
              <w:t>189</w:t>
            </w:r>
            <w:r>
              <w:rPr>
                <w:sz w:val="20"/>
                <w:szCs w:val="20"/>
                <w:lang w:val="fr-CA" w:eastAsia="en-CA"/>
              </w:rPr>
              <w:t xml:space="preserve"> </w:t>
            </w:r>
            <w:r w:rsidRPr="00786273">
              <w:rPr>
                <w:sz w:val="20"/>
                <w:szCs w:val="20"/>
                <w:lang w:val="fr-CA" w:eastAsia="en-CA"/>
              </w:rPr>
              <w:t>022</w:t>
            </w:r>
          </w:p>
        </w:tc>
        <w:tc>
          <w:tcPr>
            <w:tcW w:w="1276" w:type="dxa"/>
            <w:tcBorders>
              <w:top w:val="nil"/>
              <w:left w:val="nil"/>
              <w:bottom w:val="single" w:sz="4" w:space="0" w:color="auto"/>
              <w:right w:val="single" w:sz="4" w:space="0" w:color="auto"/>
            </w:tcBorders>
            <w:shd w:val="clear" w:color="auto" w:fill="auto"/>
            <w:noWrap/>
            <w:hideMark/>
          </w:tcPr>
          <w:p w14:paraId="28E21EDA" w14:textId="450E7741" w:rsidR="00691ABD" w:rsidRPr="00786273" w:rsidRDefault="00691ABD" w:rsidP="001E39EE">
            <w:pPr>
              <w:jc w:val="right"/>
              <w:rPr>
                <w:sz w:val="20"/>
                <w:szCs w:val="20"/>
                <w:lang w:val="fr-CA" w:eastAsia="en-CA"/>
              </w:rPr>
            </w:pPr>
            <w:r w:rsidRPr="00786273">
              <w:rPr>
                <w:sz w:val="20"/>
                <w:szCs w:val="20"/>
                <w:lang w:val="fr-CA" w:eastAsia="en-CA"/>
              </w:rPr>
              <w:t>46</w:t>
            </w:r>
            <w:r>
              <w:rPr>
                <w:sz w:val="20"/>
                <w:szCs w:val="20"/>
                <w:lang w:val="fr-CA" w:eastAsia="en-CA"/>
              </w:rPr>
              <w:t xml:space="preserve"> </w:t>
            </w:r>
            <w:r w:rsidRPr="00786273">
              <w:rPr>
                <w:sz w:val="20"/>
                <w:szCs w:val="20"/>
                <w:lang w:val="fr-CA" w:eastAsia="en-CA"/>
              </w:rPr>
              <w:t>069</w:t>
            </w:r>
          </w:p>
        </w:tc>
        <w:tc>
          <w:tcPr>
            <w:tcW w:w="1384" w:type="dxa"/>
            <w:tcBorders>
              <w:top w:val="nil"/>
              <w:left w:val="nil"/>
              <w:bottom w:val="single" w:sz="4" w:space="0" w:color="auto"/>
              <w:right w:val="single" w:sz="4" w:space="0" w:color="auto"/>
            </w:tcBorders>
            <w:shd w:val="clear" w:color="auto" w:fill="auto"/>
            <w:noWrap/>
            <w:hideMark/>
          </w:tcPr>
          <w:p w14:paraId="05C66678" w14:textId="77777777" w:rsidR="00691ABD" w:rsidRPr="00786273" w:rsidRDefault="00691ABD" w:rsidP="001E39EE">
            <w:pPr>
              <w:jc w:val="right"/>
              <w:rPr>
                <w:sz w:val="20"/>
                <w:szCs w:val="20"/>
                <w:lang w:val="fr-CA" w:eastAsia="en-CA"/>
              </w:rPr>
            </w:pPr>
            <w:r w:rsidRPr="00786273">
              <w:rPr>
                <w:sz w:val="20"/>
                <w:szCs w:val="20"/>
                <w:lang w:val="fr-CA" w:eastAsia="en-CA"/>
              </w:rPr>
              <w:t>24</w:t>
            </w:r>
          </w:p>
        </w:tc>
        <w:tc>
          <w:tcPr>
            <w:tcW w:w="1149" w:type="dxa"/>
            <w:tcBorders>
              <w:top w:val="nil"/>
              <w:left w:val="nil"/>
              <w:bottom w:val="single" w:sz="4" w:space="0" w:color="auto"/>
              <w:right w:val="single" w:sz="4" w:space="0" w:color="auto"/>
            </w:tcBorders>
            <w:shd w:val="clear" w:color="auto" w:fill="auto"/>
            <w:noWrap/>
            <w:hideMark/>
          </w:tcPr>
          <w:p w14:paraId="2755B1D5" w14:textId="77777777" w:rsidR="00691ABD" w:rsidRPr="00786273" w:rsidRDefault="00691ABD" w:rsidP="001E39EE">
            <w:pPr>
              <w:jc w:val="right"/>
              <w:rPr>
                <w:sz w:val="20"/>
                <w:szCs w:val="20"/>
                <w:lang w:val="fr-CA" w:eastAsia="en-CA"/>
              </w:rPr>
            </w:pPr>
            <w:r w:rsidRPr="00786273">
              <w:rPr>
                <w:sz w:val="20"/>
                <w:szCs w:val="20"/>
                <w:lang w:val="fr-CA" w:eastAsia="en-CA"/>
              </w:rPr>
              <w:t>33</w:t>
            </w:r>
          </w:p>
        </w:tc>
      </w:tr>
      <w:tr w:rsidR="00691ABD" w:rsidRPr="00786273" w14:paraId="37BA873B" w14:textId="77777777" w:rsidTr="00AD0261">
        <w:trPr>
          <w:trHeight w:val="119"/>
        </w:trPr>
        <w:tc>
          <w:tcPr>
            <w:tcW w:w="2972" w:type="dxa"/>
            <w:tcBorders>
              <w:top w:val="nil"/>
              <w:left w:val="single" w:sz="4" w:space="0" w:color="auto"/>
              <w:bottom w:val="single" w:sz="4" w:space="0" w:color="auto"/>
              <w:right w:val="single" w:sz="4" w:space="0" w:color="auto"/>
            </w:tcBorders>
            <w:shd w:val="clear" w:color="auto" w:fill="auto"/>
            <w:noWrap/>
            <w:hideMark/>
          </w:tcPr>
          <w:p w14:paraId="51E83E68" w14:textId="77777777" w:rsidR="00691ABD" w:rsidRPr="00786273" w:rsidRDefault="00691ABD" w:rsidP="004C1876">
            <w:pPr>
              <w:jc w:val="left"/>
              <w:rPr>
                <w:sz w:val="20"/>
                <w:szCs w:val="20"/>
                <w:lang w:val="fr-CA" w:eastAsia="en-CA"/>
              </w:rPr>
            </w:pPr>
            <w:r w:rsidRPr="00786273">
              <w:rPr>
                <w:sz w:val="20"/>
                <w:szCs w:val="20"/>
                <w:lang w:val="fr-CA" w:eastAsia="en-CA"/>
              </w:rPr>
              <w:t>Namibi</w:t>
            </w:r>
            <w:r>
              <w:rPr>
                <w:sz w:val="20"/>
                <w:szCs w:val="20"/>
                <w:lang w:val="fr-CA" w:eastAsia="en-CA"/>
              </w:rPr>
              <w:t>e</w:t>
            </w:r>
          </w:p>
        </w:tc>
        <w:tc>
          <w:tcPr>
            <w:tcW w:w="851" w:type="dxa"/>
            <w:tcBorders>
              <w:top w:val="nil"/>
              <w:left w:val="nil"/>
              <w:bottom w:val="single" w:sz="4" w:space="0" w:color="auto"/>
              <w:right w:val="single" w:sz="4" w:space="0" w:color="auto"/>
            </w:tcBorders>
            <w:shd w:val="clear" w:color="auto" w:fill="auto"/>
            <w:noWrap/>
            <w:hideMark/>
          </w:tcPr>
          <w:p w14:paraId="55AEFE89" w14:textId="1D5C14A2"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567B70B"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66E602B3" w14:textId="7C9FF60D" w:rsidR="00691ABD" w:rsidRPr="00786273" w:rsidRDefault="00691ABD" w:rsidP="001E39EE">
            <w:pPr>
              <w:jc w:val="right"/>
              <w:rPr>
                <w:sz w:val="20"/>
                <w:szCs w:val="20"/>
                <w:lang w:val="fr-CA" w:eastAsia="en-CA"/>
              </w:rPr>
            </w:pPr>
            <w:r w:rsidRPr="00786273">
              <w:rPr>
                <w:sz w:val="20"/>
                <w:szCs w:val="20"/>
                <w:lang w:val="fr-CA" w:eastAsia="en-CA"/>
              </w:rPr>
              <w:t>134</w:t>
            </w:r>
            <w:r>
              <w:rPr>
                <w:sz w:val="20"/>
                <w:szCs w:val="20"/>
                <w:lang w:val="fr-CA" w:eastAsia="en-CA"/>
              </w:rPr>
              <w:t xml:space="preserve"> </w:t>
            </w:r>
            <w:r w:rsidRPr="00786273">
              <w:rPr>
                <w:sz w:val="20"/>
                <w:szCs w:val="20"/>
                <w:lang w:val="fr-CA" w:eastAsia="en-CA"/>
              </w:rPr>
              <w:t>672</w:t>
            </w:r>
          </w:p>
        </w:tc>
        <w:tc>
          <w:tcPr>
            <w:tcW w:w="1276" w:type="dxa"/>
            <w:tcBorders>
              <w:top w:val="nil"/>
              <w:left w:val="nil"/>
              <w:bottom w:val="single" w:sz="4" w:space="0" w:color="auto"/>
              <w:right w:val="single" w:sz="4" w:space="0" w:color="auto"/>
            </w:tcBorders>
            <w:shd w:val="clear" w:color="auto" w:fill="auto"/>
            <w:noWrap/>
            <w:hideMark/>
          </w:tcPr>
          <w:p w14:paraId="210287D6" w14:textId="211FC41C" w:rsidR="00691ABD" w:rsidRPr="00786273" w:rsidRDefault="00691ABD" w:rsidP="001E39EE">
            <w:pPr>
              <w:jc w:val="right"/>
              <w:rPr>
                <w:sz w:val="20"/>
                <w:szCs w:val="20"/>
                <w:lang w:val="fr-CA" w:eastAsia="en-CA"/>
              </w:rPr>
            </w:pPr>
            <w:r w:rsidRPr="00786273">
              <w:rPr>
                <w:sz w:val="20"/>
                <w:szCs w:val="20"/>
                <w:lang w:val="fr-CA" w:eastAsia="en-CA"/>
              </w:rPr>
              <w:t>64</w:t>
            </w:r>
            <w:r>
              <w:rPr>
                <w:sz w:val="20"/>
                <w:szCs w:val="20"/>
                <w:lang w:val="fr-CA" w:eastAsia="en-CA"/>
              </w:rPr>
              <w:t xml:space="preserve"> </w:t>
            </w:r>
            <w:r w:rsidRPr="00786273">
              <w:rPr>
                <w:sz w:val="20"/>
                <w:szCs w:val="20"/>
                <w:lang w:val="fr-CA" w:eastAsia="en-CA"/>
              </w:rPr>
              <w:t>231</w:t>
            </w:r>
          </w:p>
        </w:tc>
        <w:tc>
          <w:tcPr>
            <w:tcW w:w="1384" w:type="dxa"/>
            <w:tcBorders>
              <w:top w:val="nil"/>
              <w:left w:val="nil"/>
              <w:bottom w:val="single" w:sz="4" w:space="0" w:color="auto"/>
              <w:right w:val="single" w:sz="4" w:space="0" w:color="auto"/>
            </w:tcBorders>
            <w:shd w:val="clear" w:color="auto" w:fill="auto"/>
            <w:noWrap/>
            <w:hideMark/>
          </w:tcPr>
          <w:p w14:paraId="7921EB6A" w14:textId="77777777" w:rsidR="00691ABD" w:rsidRPr="00786273" w:rsidRDefault="00691ABD" w:rsidP="001E39EE">
            <w:pPr>
              <w:jc w:val="right"/>
              <w:rPr>
                <w:sz w:val="20"/>
                <w:szCs w:val="20"/>
                <w:lang w:val="fr-CA" w:eastAsia="en-CA"/>
              </w:rPr>
            </w:pPr>
            <w:r w:rsidRPr="00786273">
              <w:rPr>
                <w:sz w:val="20"/>
                <w:szCs w:val="20"/>
                <w:lang w:val="fr-CA" w:eastAsia="en-CA"/>
              </w:rPr>
              <w:t>48</w:t>
            </w:r>
          </w:p>
        </w:tc>
        <w:tc>
          <w:tcPr>
            <w:tcW w:w="1149" w:type="dxa"/>
            <w:tcBorders>
              <w:top w:val="nil"/>
              <w:left w:val="nil"/>
              <w:bottom w:val="single" w:sz="4" w:space="0" w:color="auto"/>
              <w:right w:val="single" w:sz="4" w:space="0" w:color="auto"/>
            </w:tcBorders>
            <w:shd w:val="clear" w:color="auto" w:fill="auto"/>
            <w:noWrap/>
            <w:hideMark/>
          </w:tcPr>
          <w:p w14:paraId="25513712"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7B92F4D4"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9E2A62C" w14:textId="77777777" w:rsidR="00691ABD" w:rsidRPr="00786273" w:rsidRDefault="00691ABD" w:rsidP="001E39EE">
            <w:pPr>
              <w:jc w:val="left"/>
              <w:rPr>
                <w:sz w:val="20"/>
                <w:szCs w:val="20"/>
                <w:lang w:val="fr-CA" w:eastAsia="en-CA"/>
              </w:rPr>
            </w:pPr>
            <w:r w:rsidRPr="00786273">
              <w:rPr>
                <w:sz w:val="20"/>
                <w:szCs w:val="20"/>
                <w:lang w:val="fr-CA" w:eastAsia="en-CA"/>
              </w:rPr>
              <w:t>Nauru</w:t>
            </w:r>
          </w:p>
        </w:tc>
        <w:tc>
          <w:tcPr>
            <w:tcW w:w="851" w:type="dxa"/>
            <w:tcBorders>
              <w:top w:val="nil"/>
              <w:left w:val="nil"/>
              <w:bottom w:val="single" w:sz="4" w:space="0" w:color="auto"/>
              <w:right w:val="single" w:sz="4" w:space="0" w:color="auto"/>
            </w:tcBorders>
            <w:shd w:val="clear" w:color="auto" w:fill="auto"/>
            <w:noWrap/>
            <w:hideMark/>
          </w:tcPr>
          <w:p w14:paraId="570DA140" w14:textId="69E1C09B"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0F00817"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53732D26" w14:textId="25AF12AD" w:rsidR="00691ABD" w:rsidRPr="00786273" w:rsidRDefault="00691ABD" w:rsidP="001E39EE">
            <w:pPr>
              <w:jc w:val="right"/>
              <w:rPr>
                <w:sz w:val="20"/>
                <w:szCs w:val="20"/>
                <w:lang w:val="fr-CA" w:eastAsia="en-CA"/>
              </w:rPr>
            </w:pPr>
            <w:r w:rsidRPr="00786273">
              <w:rPr>
                <w:sz w:val="20"/>
                <w:szCs w:val="20"/>
                <w:lang w:val="fr-CA" w:eastAsia="en-CA"/>
              </w:rPr>
              <w:t>25</w:t>
            </w:r>
            <w:r>
              <w:rPr>
                <w:sz w:val="20"/>
                <w:szCs w:val="20"/>
                <w:lang w:val="fr-CA" w:eastAsia="en-CA"/>
              </w:rPr>
              <w:t xml:space="preserve"> </w:t>
            </w:r>
            <w:r w:rsidRPr="00786273">
              <w:rPr>
                <w:sz w:val="20"/>
                <w:szCs w:val="20"/>
                <w:lang w:val="fr-CA" w:eastAsia="en-CA"/>
              </w:rPr>
              <w:t>122</w:t>
            </w:r>
          </w:p>
        </w:tc>
        <w:tc>
          <w:tcPr>
            <w:tcW w:w="1276" w:type="dxa"/>
            <w:tcBorders>
              <w:top w:val="nil"/>
              <w:left w:val="nil"/>
              <w:bottom w:val="single" w:sz="4" w:space="0" w:color="auto"/>
              <w:right w:val="single" w:sz="4" w:space="0" w:color="auto"/>
            </w:tcBorders>
            <w:shd w:val="clear" w:color="auto" w:fill="auto"/>
            <w:noWrap/>
            <w:hideMark/>
          </w:tcPr>
          <w:p w14:paraId="0497FFFF" w14:textId="79559BAC" w:rsidR="00691ABD" w:rsidRPr="00786273" w:rsidRDefault="00691ABD" w:rsidP="001E39EE">
            <w:pPr>
              <w:jc w:val="right"/>
              <w:rPr>
                <w:sz w:val="20"/>
                <w:szCs w:val="20"/>
                <w:lang w:val="fr-CA" w:eastAsia="en-CA"/>
              </w:rPr>
            </w:pPr>
            <w:r w:rsidRPr="00786273">
              <w:rPr>
                <w:sz w:val="20"/>
                <w:szCs w:val="20"/>
                <w:lang w:val="fr-CA" w:eastAsia="en-CA"/>
              </w:rPr>
              <w:t>17</w:t>
            </w:r>
            <w:r>
              <w:rPr>
                <w:sz w:val="20"/>
                <w:szCs w:val="20"/>
                <w:lang w:val="fr-CA" w:eastAsia="en-CA"/>
              </w:rPr>
              <w:t xml:space="preserve"> </w:t>
            </w:r>
            <w:r w:rsidRPr="00786273">
              <w:rPr>
                <w:sz w:val="20"/>
                <w:szCs w:val="20"/>
                <w:lang w:val="fr-CA" w:eastAsia="en-CA"/>
              </w:rPr>
              <w:t>185</w:t>
            </w:r>
          </w:p>
        </w:tc>
        <w:tc>
          <w:tcPr>
            <w:tcW w:w="1384" w:type="dxa"/>
            <w:tcBorders>
              <w:top w:val="nil"/>
              <w:left w:val="nil"/>
              <w:bottom w:val="single" w:sz="4" w:space="0" w:color="auto"/>
              <w:right w:val="single" w:sz="4" w:space="0" w:color="auto"/>
            </w:tcBorders>
            <w:shd w:val="clear" w:color="auto" w:fill="auto"/>
            <w:noWrap/>
            <w:hideMark/>
          </w:tcPr>
          <w:p w14:paraId="56449069" w14:textId="77777777" w:rsidR="00691ABD" w:rsidRPr="00786273" w:rsidRDefault="00691ABD" w:rsidP="001E39EE">
            <w:pPr>
              <w:jc w:val="right"/>
              <w:rPr>
                <w:sz w:val="20"/>
                <w:szCs w:val="20"/>
                <w:lang w:val="fr-CA" w:eastAsia="en-CA"/>
              </w:rPr>
            </w:pPr>
            <w:r w:rsidRPr="00786273">
              <w:rPr>
                <w:sz w:val="20"/>
                <w:szCs w:val="20"/>
                <w:lang w:val="fr-CA" w:eastAsia="en-CA"/>
              </w:rPr>
              <w:t>68</w:t>
            </w:r>
          </w:p>
        </w:tc>
        <w:tc>
          <w:tcPr>
            <w:tcW w:w="1149" w:type="dxa"/>
            <w:tcBorders>
              <w:top w:val="nil"/>
              <w:left w:val="nil"/>
              <w:bottom w:val="single" w:sz="4" w:space="0" w:color="auto"/>
              <w:right w:val="single" w:sz="4" w:space="0" w:color="auto"/>
            </w:tcBorders>
            <w:shd w:val="clear" w:color="auto" w:fill="auto"/>
            <w:noWrap/>
            <w:hideMark/>
          </w:tcPr>
          <w:p w14:paraId="1F64DD85"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11BEFF01" w14:textId="77777777" w:rsidTr="00AD0261">
        <w:trPr>
          <w:trHeight w:val="84"/>
        </w:trPr>
        <w:tc>
          <w:tcPr>
            <w:tcW w:w="2972" w:type="dxa"/>
            <w:tcBorders>
              <w:top w:val="nil"/>
              <w:left w:val="single" w:sz="4" w:space="0" w:color="auto"/>
              <w:bottom w:val="single" w:sz="4" w:space="0" w:color="auto"/>
              <w:right w:val="single" w:sz="4" w:space="0" w:color="auto"/>
            </w:tcBorders>
            <w:shd w:val="clear" w:color="auto" w:fill="auto"/>
            <w:noWrap/>
            <w:hideMark/>
          </w:tcPr>
          <w:p w14:paraId="4FC76E16" w14:textId="77777777" w:rsidR="00691ABD" w:rsidRPr="00786273" w:rsidRDefault="00691ABD" w:rsidP="001E39EE">
            <w:pPr>
              <w:jc w:val="left"/>
              <w:rPr>
                <w:sz w:val="20"/>
                <w:szCs w:val="20"/>
                <w:lang w:val="fr-CA" w:eastAsia="en-CA"/>
              </w:rPr>
            </w:pPr>
            <w:r>
              <w:rPr>
                <w:sz w:val="20"/>
                <w:szCs w:val="20"/>
                <w:lang w:val="fr-CA" w:eastAsia="en-CA"/>
              </w:rPr>
              <w:t>Né</w:t>
            </w:r>
            <w:r w:rsidRPr="00786273">
              <w:rPr>
                <w:sz w:val="20"/>
                <w:szCs w:val="20"/>
                <w:lang w:val="fr-CA" w:eastAsia="en-CA"/>
              </w:rPr>
              <w:t>pal</w:t>
            </w:r>
          </w:p>
        </w:tc>
        <w:tc>
          <w:tcPr>
            <w:tcW w:w="851" w:type="dxa"/>
            <w:tcBorders>
              <w:top w:val="nil"/>
              <w:left w:val="nil"/>
              <w:bottom w:val="single" w:sz="4" w:space="0" w:color="auto"/>
              <w:right w:val="single" w:sz="4" w:space="0" w:color="auto"/>
            </w:tcBorders>
            <w:shd w:val="clear" w:color="auto" w:fill="auto"/>
            <w:noWrap/>
            <w:hideMark/>
          </w:tcPr>
          <w:p w14:paraId="30D7329C" w14:textId="633BD866"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ABD64BC"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5ECE66DF" w14:textId="578BA3FF" w:rsidR="00691ABD" w:rsidRPr="00786273" w:rsidRDefault="00691ABD" w:rsidP="001E39EE">
            <w:pPr>
              <w:jc w:val="right"/>
              <w:rPr>
                <w:sz w:val="20"/>
                <w:szCs w:val="20"/>
                <w:lang w:val="fr-CA" w:eastAsia="en-CA"/>
              </w:rPr>
            </w:pPr>
            <w:r w:rsidRPr="00786273">
              <w:rPr>
                <w:sz w:val="20"/>
                <w:szCs w:val="20"/>
                <w:lang w:val="fr-CA" w:eastAsia="en-CA"/>
              </w:rPr>
              <w:t>115</w:t>
            </w:r>
            <w:r>
              <w:rPr>
                <w:sz w:val="20"/>
                <w:szCs w:val="20"/>
                <w:lang w:val="fr-CA" w:eastAsia="en-CA"/>
              </w:rPr>
              <w:t xml:space="preserve"> </w:t>
            </w:r>
            <w:r w:rsidRPr="00786273">
              <w:rPr>
                <w:sz w:val="20"/>
                <w:szCs w:val="20"/>
                <w:lang w:val="fr-CA" w:eastAsia="en-CA"/>
              </w:rPr>
              <w:t>899</w:t>
            </w:r>
          </w:p>
        </w:tc>
        <w:tc>
          <w:tcPr>
            <w:tcW w:w="1276" w:type="dxa"/>
            <w:tcBorders>
              <w:top w:val="nil"/>
              <w:left w:val="nil"/>
              <w:bottom w:val="single" w:sz="4" w:space="0" w:color="auto"/>
              <w:right w:val="single" w:sz="4" w:space="0" w:color="auto"/>
            </w:tcBorders>
            <w:shd w:val="clear" w:color="auto" w:fill="auto"/>
            <w:noWrap/>
            <w:hideMark/>
          </w:tcPr>
          <w:p w14:paraId="2F4D6C67" w14:textId="01288EF4" w:rsidR="00691ABD" w:rsidRPr="00786273" w:rsidRDefault="00691ABD" w:rsidP="001E39EE">
            <w:pPr>
              <w:jc w:val="right"/>
              <w:rPr>
                <w:sz w:val="20"/>
                <w:szCs w:val="20"/>
                <w:lang w:val="fr-CA" w:eastAsia="en-CA"/>
              </w:rPr>
            </w:pPr>
            <w:r w:rsidRPr="00786273">
              <w:rPr>
                <w:sz w:val="20"/>
                <w:szCs w:val="20"/>
                <w:lang w:val="fr-CA" w:eastAsia="en-CA"/>
              </w:rPr>
              <w:t>128</w:t>
            </w:r>
            <w:r>
              <w:rPr>
                <w:sz w:val="20"/>
                <w:szCs w:val="20"/>
                <w:lang w:val="fr-CA" w:eastAsia="en-CA"/>
              </w:rPr>
              <w:t xml:space="preserve"> </w:t>
            </w:r>
            <w:r w:rsidRPr="00786273">
              <w:rPr>
                <w:sz w:val="20"/>
                <w:szCs w:val="20"/>
                <w:lang w:val="fr-CA" w:eastAsia="en-CA"/>
              </w:rPr>
              <w:t>247</w:t>
            </w:r>
          </w:p>
        </w:tc>
        <w:tc>
          <w:tcPr>
            <w:tcW w:w="1384" w:type="dxa"/>
            <w:tcBorders>
              <w:top w:val="nil"/>
              <w:left w:val="nil"/>
              <w:bottom w:val="single" w:sz="4" w:space="0" w:color="auto"/>
              <w:right w:val="single" w:sz="4" w:space="0" w:color="auto"/>
            </w:tcBorders>
            <w:shd w:val="clear" w:color="auto" w:fill="auto"/>
            <w:noWrap/>
            <w:hideMark/>
          </w:tcPr>
          <w:p w14:paraId="48447AC4" w14:textId="77777777" w:rsidR="00691ABD" w:rsidRPr="00786273" w:rsidRDefault="00691ABD" w:rsidP="001E39EE">
            <w:pPr>
              <w:jc w:val="right"/>
              <w:rPr>
                <w:sz w:val="20"/>
                <w:szCs w:val="20"/>
                <w:lang w:val="fr-CA" w:eastAsia="en-CA"/>
              </w:rPr>
            </w:pPr>
            <w:r w:rsidRPr="00786273">
              <w:rPr>
                <w:sz w:val="20"/>
                <w:szCs w:val="20"/>
                <w:lang w:val="fr-CA" w:eastAsia="en-CA"/>
              </w:rPr>
              <w:t>111</w:t>
            </w:r>
          </w:p>
        </w:tc>
        <w:tc>
          <w:tcPr>
            <w:tcW w:w="1149" w:type="dxa"/>
            <w:tcBorders>
              <w:top w:val="nil"/>
              <w:left w:val="nil"/>
              <w:bottom w:val="single" w:sz="4" w:space="0" w:color="auto"/>
              <w:right w:val="single" w:sz="4" w:space="0" w:color="auto"/>
            </w:tcBorders>
            <w:shd w:val="clear" w:color="auto" w:fill="auto"/>
            <w:noWrap/>
            <w:hideMark/>
          </w:tcPr>
          <w:p w14:paraId="062698C2"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6856EC0B" w14:textId="77777777" w:rsidTr="00AD0261">
        <w:trPr>
          <w:trHeight w:val="85"/>
        </w:trPr>
        <w:tc>
          <w:tcPr>
            <w:tcW w:w="2972" w:type="dxa"/>
            <w:tcBorders>
              <w:top w:val="nil"/>
              <w:left w:val="single" w:sz="4" w:space="0" w:color="auto"/>
              <w:bottom w:val="single" w:sz="4" w:space="0" w:color="auto"/>
              <w:right w:val="single" w:sz="4" w:space="0" w:color="auto"/>
            </w:tcBorders>
            <w:shd w:val="clear" w:color="auto" w:fill="auto"/>
            <w:noWrap/>
            <w:hideMark/>
          </w:tcPr>
          <w:p w14:paraId="67498980" w14:textId="77777777" w:rsidR="00691ABD" w:rsidRPr="00786273" w:rsidRDefault="00691ABD" w:rsidP="001E39EE">
            <w:pPr>
              <w:jc w:val="left"/>
              <w:rPr>
                <w:sz w:val="20"/>
                <w:szCs w:val="20"/>
                <w:lang w:val="fr-CA" w:eastAsia="en-CA"/>
              </w:rPr>
            </w:pPr>
            <w:r w:rsidRPr="00786273">
              <w:rPr>
                <w:sz w:val="20"/>
                <w:szCs w:val="20"/>
                <w:lang w:val="fr-CA" w:eastAsia="en-CA"/>
              </w:rPr>
              <w:t>Nicaragua</w:t>
            </w:r>
          </w:p>
        </w:tc>
        <w:tc>
          <w:tcPr>
            <w:tcW w:w="851" w:type="dxa"/>
            <w:tcBorders>
              <w:top w:val="nil"/>
              <w:left w:val="nil"/>
              <w:bottom w:val="single" w:sz="4" w:space="0" w:color="auto"/>
              <w:right w:val="single" w:sz="4" w:space="0" w:color="auto"/>
            </w:tcBorders>
            <w:shd w:val="clear" w:color="auto" w:fill="auto"/>
            <w:noWrap/>
            <w:hideMark/>
          </w:tcPr>
          <w:p w14:paraId="0B2CDFED" w14:textId="67011A26"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8</w:t>
            </w:r>
          </w:p>
        </w:tc>
        <w:tc>
          <w:tcPr>
            <w:tcW w:w="1160" w:type="dxa"/>
            <w:tcBorders>
              <w:top w:val="nil"/>
              <w:left w:val="nil"/>
              <w:bottom w:val="single" w:sz="4" w:space="0" w:color="auto"/>
              <w:right w:val="single" w:sz="4" w:space="0" w:color="auto"/>
            </w:tcBorders>
            <w:shd w:val="clear" w:color="auto" w:fill="auto"/>
            <w:noWrap/>
            <w:hideMark/>
          </w:tcPr>
          <w:p w14:paraId="53973434"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6ABA9611" w14:textId="193AD160" w:rsidR="00691ABD" w:rsidRPr="00786273" w:rsidRDefault="00691ABD" w:rsidP="001E39EE">
            <w:pPr>
              <w:jc w:val="right"/>
              <w:rPr>
                <w:sz w:val="20"/>
                <w:szCs w:val="20"/>
                <w:lang w:val="fr-CA" w:eastAsia="en-CA"/>
              </w:rPr>
            </w:pPr>
            <w:r w:rsidRPr="00786273">
              <w:rPr>
                <w:sz w:val="20"/>
                <w:szCs w:val="20"/>
                <w:lang w:val="fr-CA" w:eastAsia="en-CA"/>
              </w:rPr>
              <w:t>123</w:t>
            </w:r>
            <w:r>
              <w:rPr>
                <w:sz w:val="20"/>
                <w:szCs w:val="20"/>
                <w:lang w:val="fr-CA" w:eastAsia="en-CA"/>
              </w:rPr>
              <w:t xml:space="preserve"> </w:t>
            </w:r>
            <w:r w:rsidRPr="00786273">
              <w:rPr>
                <w:sz w:val="20"/>
                <w:szCs w:val="20"/>
                <w:lang w:val="fr-CA" w:eastAsia="en-CA"/>
              </w:rPr>
              <w:t>494</w:t>
            </w:r>
          </w:p>
        </w:tc>
        <w:tc>
          <w:tcPr>
            <w:tcW w:w="1276" w:type="dxa"/>
            <w:tcBorders>
              <w:top w:val="nil"/>
              <w:left w:val="nil"/>
              <w:bottom w:val="single" w:sz="4" w:space="0" w:color="auto"/>
              <w:right w:val="single" w:sz="4" w:space="0" w:color="auto"/>
            </w:tcBorders>
            <w:shd w:val="clear" w:color="auto" w:fill="auto"/>
            <w:noWrap/>
            <w:hideMark/>
          </w:tcPr>
          <w:p w14:paraId="131BE897" w14:textId="23B1D54E" w:rsidR="00691ABD" w:rsidRPr="00786273" w:rsidRDefault="00691ABD" w:rsidP="001E39EE">
            <w:pPr>
              <w:jc w:val="right"/>
              <w:rPr>
                <w:sz w:val="20"/>
                <w:szCs w:val="20"/>
                <w:lang w:val="fr-CA" w:eastAsia="en-CA"/>
              </w:rPr>
            </w:pPr>
            <w:r w:rsidRPr="00786273">
              <w:rPr>
                <w:sz w:val="20"/>
                <w:szCs w:val="20"/>
                <w:lang w:val="fr-CA" w:eastAsia="en-CA"/>
              </w:rPr>
              <w:t>117</w:t>
            </w:r>
            <w:r>
              <w:rPr>
                <w:sz w:val="20"/>
                <w:szCs w:val="20"/>
                <w:lang w:val="fr-CA" w:eastAsia="en-CA"/>
              </w:rPr>
              <w:t xml:space="preserve"> </w:t>
            </w:r>
            <w:r w:rsidRPr="00786273">
              <w:rPr>
                <w:sz w:val="20"/>
                <w:szCs w:val="20"/>
                <w:lang w:val="fr-CA" w:eastAsia="en-CA"/>
              </w:rPr>
              <w:t>532</w:t>
            </w:r>
          </w:p>
        </w:tc>
        <w:tc>
          <w:tcPr>
            <w:tcW w:w="1384" w:type="dxa"/>
            <w:tcBorders>
              <w:top w:val="nil"/>
              <w:left w:val="nil"/>
              <w:bottom w:val="single" w:sz="4" w:space="0" w:color="auto"/>
              <w:right w:val="single" w:sz="4" w:space="0" w:color="auto"/>
            </w:tcBorders>
            <w:shd w:val="clear" w:color="auto" w:fill="auto"/>
            <w:noWrap/>
            <w:hideMark/>
          </w:tcPr>
          <w:p w14:paraId="30B6973D" w14:textId="77777777" w:rsidR="00691ABD" w:rsidRPr="00786273" w:rsidRDefault="00691ABD" w:rsidP="001E39EE">
            <w:pPr>
              <w:jc w:val="right"/>
              <w:rPr>
                <w:sz w:val="20"/>
                <w:szCs w:val="20"/>
                <w:lang w:val="fr-CA" w:eastAsia="en-CA"/>
              </w:rPr>
            </w:pPr>
            <w:r w:rsidRPr="00786273">
              <w:rPr>
                <w:sz w:val="20"/>
                <w:szCs w:val="20"/>
                <w:lang w:val="fr-CA" w:eastAsia="en-CA"/>
              </w:rPr>
              <w:t>95</w:t>
            </w:r>
          </w:p>
        </w:tc>
        <w:tc>
          <w:tcPr>
            <w:tcW w:w="1149" w:type="dxa"/>
            <w:tcBorders>
              <w:top w:val="nil"/>
              <w:left w:val="nil"/>
              <w:bottom w:val="single" w:sz="4" w:space="0" w:color="auto"/>
              <w:right w:val="single" w:sz="4" w:space="0" w:color="auto"/>
            </w:tcBorders>
            <w:shd w:val="clear" w:color="auto" w:fill="auto"/>
            <w:noWrap/>
            <w:hideMark/>
          </w:tcPr>
          <w:p w14:paraId="67D4C358" w14:textId="77777777" w:rsidR="00691ABD" w:rsidRPr="00786273" w:rsidRDefault="00691ABD" w:rsidP="001E39EE">
            <w:pPr>
              <w:jc w:val="right"/>
              <w:rPr>
                <w:sz w:val="20"/>
                <w:szCs w:val="20"/>
                <w:lang w:val="fr-CA" w:eastAsia="en-CA"/>
              </w:rPr>
            </w:pPr>
            <w:r w:rsidRPr="00786273">
              <w:rPr>
                <w:sz w:val="20"/>
                <w:szCs w:val="20"/>
                <w:lang w:val="fr-CA" w:eastAsia="en-CA"/>
              </w:rPr>
              <w:t>67</w:t>
            </w:r>
          </w:p>
        </w:tc>
      </w:tr>
      <w:tr w:rsidR="00691ABD" w:rsidRPr="00786273" w14:paraId="59C27448" w14:textId="77777777" w:rsidTr="00AD0261">
        <w:trPr>
          <w:trHeight w:val="130"/>
        </w:trPr>
        <w:tc>
          <w:tcPr>
            <w:tcW w:w="2972" w:type="dxa"/>
            <w:tcBorders>
              <w:top w:val="nil"/>
              <w:left w:val="single" w:sz="4" w:space="0" w:color="auto"/>
              <w:bottom w:val="single" w:sz="4" w:space="0" w:color="auto"/>
              <w:right w:val="single" w:sz="4" w:space="0" w:color="auto"/>
            </w:tcBorders>
            <w:shd w:val="clear" w:color="auto" w:fill="auto"/>
            <w:noWrap/>
            <w:hideMark/>
          </w:tcPr>
          <w:p w14:paraId="69AA6378" w14:textId="77777777" w:rsidR="00691ABD" w:rsidRPr="00786273" w:rsidRDefault="00691ABD" w:rsidP="004C1876">
            <w:pPr>
              <w:jc w:val="left"/>
              <w:rPr>
                <w:sz w:val="20"/>
                <w:szCs w:val="20"/>
                <w:lang w:val="fr-CA" w:eastAsia="en-CA"/>
              </w:rPr>
            </w:pPr>
            <w:r w:rsidRPr="00786273">
              <w:rPr>
                <w:sz w:val="20"/>
                <w:szCs w:val="20"/>
                <w:lang w:val="fr-CA" w:eastAsia="en-CA"/>
              </w:rPr>
              <w:t xml:space="preserve">Niger </w:t>
            </w:r>
          </w:p>
        </w:tc>
        <w:tc>
          <w:tcPr>
            <w:tcW w:w="851" w:type="dxa"/>
            <w:tcBorders>
              <w:top w:val="nil"/>
              <w:left w:val="nil"/>
              <w:bottom w:val="single" w:sz="4" w:space="0" w:color="auto"/>
              <w:right w:val="single" w:sz="4" w:space="0" w:color="auto"/>
            </w:tcBorders>
            <w:shd w:val="clear" w:color="auto" w:fill="auto"/>
            <w:noWrap/>
            <w:hideMark/>
          </w:tcPr>
          <w:p w14:paraId="48B6EE00" w14:textId="48D56621"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CD5560F"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0F53520C" w14:textId="501ACFF6" w:rsidR="00691ABD" w:rsidRPr="00786273" w:rsidRDefault="00691ABD" w:rsidP="001E39EE">
            <w:pPr>
              <w:jc w:val="right"/>
              <w:rPr>
                <w:sz w:val="20"/>
                <w:szCs w:val="20"/>
                <w:lang w:val="fr-CA" w:eastAsia="en-CA"/>
              </w:rPr>
            </w:pPr>
            <w:r w:rsidRPr="00786273">
              <w:rPr>
                <w:sz w:val="20"/>
                <w:szCs w:val="20"/>
                <w:lang w:val="fr-CA" w:eastAsia="en-CA"/>
              </w:rPr>
              <w:t>129</w:t>
            </w:r>
            <w:r>
              <w:rPr>
                <w:sz w:val="20"/>
                <w:szCs w:val="20"/>
                <w:lang w:val="fr-CA" w:eastAsia="en-CA"/>
              </w:rPr>
              <w:t xml:space="preserve"> </w:t>
            </w:r>
            <w:r w:rsidRPr="00786273">
              <w:rPr>
                <w:sz w:val="20"/>
                <w:szCs w:val="20"/>
                <w:lang w:val="fr-CA" w:eastAsia="en-CA"/>
              </w:rPr>
              <w:t>500</w:t>
            </w:r>
          </w:p>
        </w:tc>
        <w:tc>
          <w:tcPr>
            <w:tcW w:w="1276" w:type="dxa"/>
            <w:tcBorders>
              <w:top w:val="nil"/>
              <w:left w:val="nil"/>
              <w:bottom w:val="single" w:sz="4" w:space="0" w:color="auto"/>
              <w:right w:val="single" w:sz="4" w:space="0" w:color="auto"/>
            </w:tcBorders>
            <w:shd w:val="clear" w:color="auto" w:fill="auto"/>
            <w:noWrap/>
            <w:hideMark/>
          </w:tcPr>
          <w:p w14:paraId="0A7F4C9C" w14:textId="7DFFC6FE" w:rsidR="00691ABD" w:rsidRPr="00786273" w:rsidRDefault="00691ABD" w:rsidP="001E39EE">
            <w:pPr>
              <w:jc w:val="right"/>
              <w:rPr>
                <w:sz w:val="20"/>
                <w:szCs w:val="20"/>
                <w:lang w:val="fr-CA" w:eastAsia="en-CA"/>
              </w:rPr>
            </w:pPr>
            <w:r w:rsidRPr="00786273">
              <w:rPr>
                <w:sz w:val="20"/>
                <w:szCs w:val="20"/>
                <w:lang w:val="fr-CA" w:eastAsia="en-CA"/>
              </w:rPr>
              <w:t>3</w:t>
            </w:r>
            <w:r>
              <w:rPr>
                <w:sz w:val="20"/>
                <w:szCs w:val="20"/>
                <w:lang w:val="fr-CA" w:eastAsia="en-CA"/>
              </w:rPr>
              <w:t xml:space="preserve"> </w:t>
            </w:r>
            <w:r w:rsidRPr="00786273">
              <w:rPr>
                <w:sz w:val="20"/>
                <w:szCs w:val="20"/>
                <w:lang w:val="fr-CA" w:eastAsia="en-CA"/>
              </w:rPr>
              <w:t>747</w:t>
            </w:r>
          </w:p>
        </w:tc>
        <w:tc>
          <w:tcPr>
            <w:tcW w:w="1384" w:type="dxa"/>
            <w:tcBorders>
              <w:top w:val="nil"/>
              <w:left w:val="nil"/>
              <w:bottom w:val="single" w:sz="4" w:space="0" w:color="auto"/>
              <w:right w:val="single" w:sz="4" w:space="0" w:color="auto"/>
            </w:tcBorders>
            <w:shd w:val="clear" w:color="auto" w:fill="auto"/>
            <w:noWrap/>
            <w:hideMark/>
          </w:tcPr>
          <w:p w14:paraId="50AAC3A1" w14:textId="77777777" w:rsidR="00691ABD" w:rsidRPr="00786273" w:rsidRDefault="00691ABD" w:rsidP="001E39EE">
            <w:pPr>
              <w:jc w:val="right"/>
              <w:rPr>
                <w:sz w:val="20"/>
                <w:szCs w:val="20"/>
                <w:lang w:val="fr-CA" w:eastAsia="en-CA"/>
              </w:rPr>
            </w:pPr>
            <w:r w:rsidRPr="00786273">
              <w:rPr>
                <w:sz w:val="20"/>
                <w:szCs w:val="20"/>
                <w:lang w:val="fr-CA" w:eastAsia="en-CA"/>
              </w:rPr>
              <w:t>3</w:t>
            </w:r>
          </w:p>
        </w:tc>
        <w:tc>
          <w:tcPr>
            <w:tcW w:w="1149" w:type="dxa"/>
            <w:tcBorders>
              <w:top w:val="nil"/>
              <w:left w:val="nil"/>
              <w:bottom w:val="single" w:sz="4" w:space="0" w:color="auto"/>
              <w:right w:val="single" w:sz="4" w:space="0" w:color="auto"/>
            </w:tcBorders>
            <w:shd w:val="clear" w:color="auto" w:fill="auto"/>
            <w:noWrap/>
            <w:hideMark/>
          </w:tcPr>
          <w:p w14:paraId="421FD1DA"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08900206"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13F3D111" w14:textId="77777777" w:rsidR="00691ABD" w:rsidRPr="00786273" w:rsidRDefault="00691ABD" w:rsidP="001E39EE">
            <w:pPr>
              <w:jc w:val="left"/>
              <w:rPr>
                <w:sz w:val="20"/>
                <w:szCs w:val="20"/>
                <w:lang w:val="fr-CA" w:eastAsia="en-CA"/>
              </w:rPr>
            </w:pPr>
            <w:r w:rsidRPr="00786273">
              <w:rPr>
                <w:sz w:val="20"/>
                <w:szCs w:val="20"/>
                <w:lang w:val="fr-CA" w:eastAsia="en-CA"/>
              </w:rPr>
              <w:t>Nigeria</w:t>
            </w:r>
          </w:p>
        </w:tc>
        <w:tc>
          <w:tcPr>
            <w:tcW w:w="851" w:type="dxa"/>
            <w:tcBorders>
              <w:top w:val="nil"/>
              <w:left w:val="nil"/>
              <w:bottom w:val="single" w:sz="4" w:space="0" w:color="auto"/>
              <w:right w:val="single" w:sz="4" w:space="0" w:color="auto"/>
            </w:tcBorders>
            <w:shd w:val="clear" w:color="auto" w:fill="auto"/>
            <w:noWrap/>
            <w:hideMark/>
          </w:tcPr>
          <w:p w14:paraId="0BA823AA" w14:textId="6A612E88" w:rsidR="00691ABD" w:rsidRPr="00786273" w:rsidRDefault="00691ABD" w:rsidP="001E39EE">
            <w:pPr>
              <w:jc w:val="right"/>
              <w:rPr>
                <w:sz w:val="20"/>
                <w:szCs w:val="20"/>
                <w:lang w:val="fr-CA" w:eastAsia="en-CA"/>
              </w:rPr>
            </w:pPr>
            <w:r w:rsidRPr="00786273">
              <w:rPr>
                <w:sz w:val="20"/>
                <w:szCs w:val="20"/>
                <w:lang w:val="fr-CA" w:eastAsia="en-CA"/>
              </w:rPr>
              <w:t>5</w:t>
            </w:r>
            <w:r>
              <w:rPr>
                <w:sz w:val="20"/>
                <w:szCs w:val="20"/>
                <w:lang w:val="fr-CA" w:eastAsia="en-CA"/>
              </w:rPr>
              <w:t>,</w:t>
            </w:r>
            <w:r w:rsidRPr="00786273">
              <w:rPr>
                <w:sz w:val="20"/>
                <w:szCs w:val="20"/>
                <w:lang w:val="fr-CA" w:eastAsia="en-CA"/>
              </w:rPr>
              <w:t>2</w:t>
            </w:r>
          </w:p>
        </w:tc>
        <w:tc>
          <w:tcPr>
            <w:tcW w:w="1160" w:type="dxa"/>
            <w:tcBorders>
              <w:top w:val="nil"/>
              <w:left w:val="nil"/>
              <w:bottom w:val="single" w:sz="4" w:space="0" w:color="auto"/>
              <w:right w:val="single" w:sz="4" w:space="0" w:color="auto"/>
            </w:tcBorders>
            <w:shd w:val="clear" w:color="auto" w:fill="auto"/>
            <w:noWrap/>
            <w:hideMark/>
          </w:tcPr>
          <w:p w14:paraId="4C6CE3DC" w14:textId="77777777" w:rsidR="00691ABD" w:rsidRPr="00786273" w:rsidRDefault="00691ABD" w:rsidP="001E39EE">
            <w:pPr>
              <w:jc w:val="right"/>
              <w:rPr>
                <w:sz w:val="20"/>
                <w:szCs w:val="20"/>
                <w:lang w:val="fr-CA" w:eastAsia="en-CA"/>
              </w:rPr>
            </w:pPr>
            <w:r w:rsidRPr="00786273">
              <w:rPr>
                <w:sz w:val="20"/>
                <w:szCs w:val="20"/>
                <w:lang w:val="fr-CA" w:eastAsia="en-CA"/>
              </w:rPr>
              <w:t>10</w:t>
            </w:r>
          </w:p>
        </w:tc>
        <w:tc>
          <w:tcPr>
            <w:tcW w:w="1250" w:type="dxa"/>
            <w:tcBorders>
              <w:top w:val="nil"/>
              <w:left w:val="nil"/>
              <w:bottom w:val="single" w:sz="4" w:space="0" w:color="auto"/>
              <w:right w:val="single" w:sz="4" w:space="0" w:color="auto"/>
            </w:tcBorders>
            <w:shd w:val="clear" w:color="auto" w:fill="auto"/>
            <w:noWrap/>
            <w:hideMark/>
          </w:tcPr>
          <w:p w14:paraId="086E441E" w14:textId="15A3EF76"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 xml:space="preserve"> </w:t>
            </w:r>
            <w:r w:rsidRPr="00786273">
              <w:rPr>
                <w:sz w:val="20"/>
                <w:szCs w:val="20"/>
                <w:lang w:val="fr-CA" w:eastAsia="en-CA"/>
              </w:rPr>
              <w:t>093</w:t>
            </w:r>
            <w:r>
              <w:rPr>
                <w:sz w:val="20"/>
                <w:szCs w:val="20"/>
                <w:lang w:val="fr-CA" w:eastAsia="en-CA"/>
              </w:rPr>
              <w:t xml:space="preserve"> </w:t>
            </w:r>
            <w:r w:rsidRPr="00786273">
              <w:rPr>
                <w:sz w:val="20"/>
                <w:szCs w:val="20"/>
                <w:lang w:val="fr-CA" w:eastAsia="en-CA"/>
              </w:rPr>
              <w:t>923</w:t>
            </w:r>
          </w:p>
        </w:tc>
        <w:tc>
          <w:tcPr>
            <w:tcW w:w="1276" w:type="dxa"/>
            <w:tcBorders>
              <w:top w:val="nil"/>
              <w:left w:val="nil"/>
              <w:bottom w:val="single" w:sz="4" w:space="0" w:color="auto"/>
              <w:right w:val="single" w:sz="4" w:space="0" w:color="auto"/>
            </w:tcBorders>
            <w:shd w:val="clear" w:color="auto" w:fill="auto"/>
            <w:noWrap/>
            <w:hideMark/>
          </w:tcPr>
          <w:p w14:paraId="0937FA89" w14:textId="503AA739" w:rsidR="00691ABD" w:rsidRPr="00786273" w:rsidRDefault="00691ABD" w:rsidP="001E39EE">
            <w:pPr>
              <w:jc w:val="right"/>
              <w:rPr>
                <w:sz w:val="20"/>
                <w:szCs w:val="20"/>
                <w:lang w:val="fr-CA" w:eastAsia="en-CA"/>
              </w:rPr>
            </w:pPr>
            <w:r w:rsidRPr="00786273">
              <w:rPr>
                <w:sz w:val="20"/>
                <w:szCs w:val="20"/>
                <w:lang w:val="fr-CA" w:eastAsia="en-CA"/>
              </w:rPr>
              <w:t>712</w:t>
            </w:r>
            <w:r>
              <w:rPr>
                <w:sz w:val="20"/>
                <w:szCs w:val="20"/>
                <w:lang w:val="fr-CA" w:eastAsia="en-CA"/>
              </w:rPr>
              <w:t xml:space="preserve"> </w:t>
            </w:r>
            <w:r w:rsidRPr="00786273">
              <w:rPr>
                <w:sz w:val="20"/>
                <w:szCs w:val="20"/>
                <w:lang w:val="fr-CA" w:eastAsia="en-CA"/>
              </w:rPr>
              <w:t>562</w:t>
            </w:r>
          </w:p>
        </w:tc>
        <w:tc>
          <w:tcPr>
            <w:tcW w:w="1384" w:type="dxa"/>
            <w:tcBorders>
              <w:top w:val="nil"/>
              <w:left w:val="nil"/>
              <w:bottom w:val="single" w:sz="4" w:space="0" w:color="auto"/>
              <w:right w:val="single" w:sz="4" w:space="0" w:color="auto"/>
            </w:tcBorders>
            <w:shd w:val="clear" w:color="auto" w:fill="auto"/>
            <w:noWrap/>
            <w:hideMark/>
          </w:tcPr>
          <w:p w14:paraId="4392FFC2" w14:textId="77777777" w:rsidR="00691ABD" w:rsidRPr="00786273" w:rsidRDefault="00691ABD" w:rsidP="001E39EE">
            <w:pPr>
              <w:jc w:val="right"/>
              <w:rPr>
                <w:sz w:val="20"/>
                <w:szCs w:val="20"/>
                <w:lang w:val="fr-CA" w:eastAsia="en-CA"/>
              </w:rPr>
            </w:pPr>
            <w:r w:rsidRPr="00786273">
              <w:rPr>
                <w:sz w:val="20"/>
                <w:szCs w:val="20"/>
                <w:lang w:val="fr-CA" w:eastAsia="en-CA"/>
              </w:rPr>
              <w:t>65</w:t>
            </w:r>
          </w:p>
        </w:tc>
        <w:tc>
          <w:tcPr>
            <w:tcW w:w="1149" w:type="dxa"/>
            <w:tcBorders>
              <w:top w:val="nil"/>
              <w:left w:val="nil"/>
              <w:bottom w:val="single" w:sz="4" w:space="0" w:color="auto"/>
              <w:right w:val="single" w:sz="4" w:space="0" w:color="auto"/>
            </w:tcBorders>
            <w:shd w:val="clear" w:color="auto" w:fill="auto"/>
            <w:noWrap/>
            <w:hideMark/>
          </w:tcPr>
          <w:p w14:paraId="796A92D6" w14:textId="77777777" w:rsidR="00691ABD" w:rsidRPr="00786273" w:rsidRDefault="00691ABD" w:rsidP="001E39EE">
            <w:pPr>
              <w:jc w:val="right"/>
              <w:rPr>
                <w:sz w:val="20"/>
                <w:szCs w:val="20"/>
                <w:lang w:val="fr-CA" w:eastAsia="en-CA"/>
              </w:rPr>
            </w:pPr>
            <w:r w:rsidRPr="00786273">
              <w:rPr>
                <w:sz w:val="20"/>
                <w:szCs w:val="20"/>
                <w:lang w:val="fr-CA" w:eastAsia="en-CA"/>
              </w:rPr>
              <w:t>17</w:t>
            </w:r>
          </w:p>
        </w:tc>
      </w:tr>
      <w:tr w:rsidR="00691ABD" w:rsidRPr="00786273" w14:paraId="54D0C611" w14:textId="77777777" w:rsidTr="00AD0261">
        <w:trPr>
          <w:trHeight w:val="80"/>
        </w:trPr>
        <w:tc>
          <w:tcPr>
            <w:tcW w:w="2972" w:type="dxa"/>
            <w:tcBorders>
              <w:top w:val="nil"/>
              <w:left w:val="single" w:sz="4" w:space="0" w:color="auto"/>
              <w:bottom w:val="single" w:sz="4" w:space="0" w:color="auto"/>
              <w:right w:val="single" w:sz="4" w:space="0" w:color="auto"/>
            </w:tcBorders>
            <w:shd w:val="clear" w:color="auto" w:fill="auto"/>
            <w:noWrap/>
            <w:hideMark/>
          </w:tcPr>
          <w:p w14:paraId="17AA5169" w14:textId="77777777" w:rsidR="00691ABD" w:rsidRPr="00786273" w:rsidRDefault="00691ABD" w:rsidP="001E39EE">
            <w:pPr>
              <w:jc w:val="left"/>
              <w:rPr>
                <w:sz w:val="20"/>
                <w:szCs w:val="20"/>
                <w:lang w:val="fr-CA" w:eastAsia="en-CA"/>
              </w:rPr>
            </w:pPr>
            <w:r>
              <w:rPr>
                <w:sz w:val="20"/>
                <w:szCs w:val="20"/>
                <w:lang w:val="fr-CA" w:eastAsia="en-CA"/>
              </w:rPr>
              <w:lastRenderedPageBreak/>
              <w:t>Nioué</w:t>
            </w:r>
          </w:p>
        </w:tc>
        <w:tc>
          <w:tcPr>
            <w:tcW w:w="851" w:type="dxa"/>
            <w:tcBorders>
              <w:top w:val="nil"/>
              <w:left w:val="nil"/>
              <w:bottom w:val="single" w:sz="4" w:space="0" w:color="auto"/>
              <w:right w:val="single" w:sz="4" w:space="0" w:color="auto"/>
            </w:tcBorders>
            <w:shd w:val="clear" w:color="auto" w:fill="auto"/>
            <w:noWrap/>
            <w:hideMark/>
          </w:tcPr>
          <w:p w14:paraId="7C01E994" w14:textId="5C384F03" w:rsidR="00691ABD" w:rsidRPr="00786273" w:rsidRDefault="00713592" w:rsidP="001E39EE">
            <w:pPr>
              <w:jc w:val="right"/>
              <w:rPr>
                <w:sz w:val="20"/>
                <w:szCs w:val="20"/>
                <w:lang w:val="fr-CA" w:eastAsia="en-CA"/>
              </w:rPr>
            </w:pPr>
            <w:r>
              <w:rPr>
                <w:sz w:val="20"/>
                <w:szCs w:val="20"/>
                <w:lang w:val="fr-CA" w:eastAsia="en-CA"/>
              </w:rPr>
              <w:t>*</w:t>
            </w:r>
            <w:r w:rsidR="00691ABD" w:rsidRPr="00786273">
              <w:rPr>
                <w:sz w:val="20"/>
                <w:szCs w:val="20"/>
                <w:lang w:val="fr-CA" w:eastAsia="en-CA"/>
              </w:rPr>
              <w:t>0</w:t>
            </w:r>
            <w:r w:rsidR="00691ABD">
              <w:rPr>
                <w:sz w:val="20"/>
                <w:szCs w:val="20"/>
                <w:lang w:val="fr-CA" w:eastAsia="en-CA"/>
              </w:rPr>
              <w:t>,</w:t>
            </w:r>
            <w:r w:rsidR="00691ABD"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06ADB0F"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4E62B7DF" w14:textId="0453714F" w:rsidR="00691ABD" w:rsidRPr="00786273" w:rsidRDefault="00691ABD" w:rsidP="001E39EE">
            <w:pPr>
              <w:jc w:val="right"/>
              <w:rPr>
                <w:sz w:val="20"/>
                <w:szCs w:val="20"/>
                <w:lang w:val="fr-CA" w:eastAsia="en-CA"/>
              </w:rPr>
            </w:pPr>
            <w:r w:rsidRPr="00786273">
              <w:rPr>
                <w:sz w:val="20"/>
                <w:szCs w:val="20"/>
                <w:lang w:val="fr-CA" w:eastAsia="en-CA"/>
              </w:rPr>
              <w:t>61</w:t>
            </w:r>
            <w:r>
              <w:rPr>
                <w:sz w:val="20"/>
                <w:szCs w:val="20"/>
                <w:lang w:val="fr-CA" w:eastAsia="en-CA"/>
              </w:rPr>
              <w:t xml:space="preserve"> </w:t>
            </w:r>
            <w:r w:rsidRPr="00786273">
              <w:rPr>
                <w:sz w:val="20"/>
                <w:szCs w:val="20"/>
                <w:lang w:val="fr-CA" w:eastAsia="en-CA"/>
              </w:rPr>
              <w:t>600</w:t>
            </w:r>
          </w:p>
        </w:tc>
        <w:tc>
          <w:tcPr>
            <w:tcW w:w="1276" w:type="dxa"/>
            <w:tcBorders>
              <w:top w:val="nil"/>
              <w:left w:val="nil"/>
              <w:bottom w:val="single" w:sz="4" w:space="0" w:color="auto"/>
              <w:right w:val="single" w:sz="4" w:space="0" w:color="auto"/>
            </w:tcBorders>
            <w:shd w:val="clear" w:color="auto" w:fill="auto"/>
            <w:noWrap/>
            <w:hideMark/>
          </w:tcPr>
          <w:p w14:paraId="3C34D5BB" w14:textId="67675FA3" w:rsidR="00691ABD" w:rsidRPr="00786273" w:rsidRDefault="00691ABD" w:rsidP="001E39EE">
            <w:pPr>
              <w:jc w:val="right"/>
              <w:rPr>
                <w:sz w:val="20"/>
                <w:szCs w:val="20"/>
                <w:lang w:val="fr-CA" w:eastAsia="en-CA"/>
              </w:rPr>
            </w:pPr>
            <w:r w:rsidRPr="00786273">
              <w:rPr>
                <w:sz w:val="20"/>
                <w:szCs w:val="20"/>
                <w:lang w:val="fr-CA" w:eastAsia="en-CA"/>
              </w:rPr>
              <w:t>31</w:t>
            </w:r>
            <w:r>
              <w:rPr>
                <w:sz w:val="20"/>
                <w:szCs w:val="20"/>
                <w:lang w:val="fr-CA" w:eastAsia="en-CA"/>
              </w:rPr>
              <w:t xml:space="preserve"> </w:t>
            </w:r>
            <w:r w:rsidRPr="00786273">
              <w:rPr>
                <w:sz w:val="20"/>
                <w:szCs w:val="20"/>
                <w:lang w:val="fr-CA" w:eastAsia="en-CA"/>
              </w:rPr>
              <w:t>035</w:t>
            </w:r>
          </w:p>
        </w:tc>
        <w:tc>
          <w:tcPr>
            <w:tcW w:w="1384" w:type="dxa"/>
            <w:tcBorders>
              <w:top w:val="nil"/>
              <w:left w:val="nil"/>
              <w:bottom w:val="single" w:sz="4" w:space="0" w:color="auto"/>
              <w:right w:val="single" w:sz="4" w:space="0" w:color="auto"/>
            </w:tcBorders>
            <w:shd w:val="clear" w:color="auto" w:fill="auto"/>
            <w:noWrap/>
            <w:hideMark/>
          </w:tcPr>
          <w:p w14:paraId="51F83A1A" w14:textId="77777777" w:rsidR="00691ABD" w:rsidRPr="00786273" w:rsidRDefault="00691ABD" w:rsidP="001E39EE">
            <w:pPr>
              <w:jc w:val="right"/>
              <w:rPr>
                <w:sz w:val="20"/>
                <w:szCs w:val="20"/>
                <w:lang w:val="fr-CA" w:eastAsia="en-CA"/>
              </w:rPr>
            </w:pPr>
            <w:r w:rsidRPr="00786273">
              <w:rPr>
                <w:sz w:val="20"/>
                <w:szCs w:val="20"/>
                <w:lang w:val="fr-CA" w:eastAsia="en-CA"/>
              </w:rPr>
              <w:t>50</w:t>
            </w:r>
          </w:p>
        </w:tc>
        <w:tc>
          <w:tcPr>
            <w:tcW w:w="1149" w:type="dxa"/>
            <w:tcBorders>
              <w:top w:val="nil"/>
              <w:left w:val="nil"/>
              <w:bottom w:val="single" w:sz="4" w:space="0" w:color="auto"/>
              <w:right w:val="single" w:sz="4" w:space="0" w:color="auto"/>
            </w:tcBorders>
            <w:shd w:val="clear" w:color="auto" w:fill="auto"/>
            <w:noWrap/>
            <w:hideMark/>
          </w:tcPr>
          <w:p w14:paraId="3AD9E91D"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7FA7DC92" w14:textId="77777777" w:rsidTr="00AD0261">
        <w:trPr>
          <w:trHeight w:val="158"/>
        </w:trPr>
        <w:tc>
          <w:tcPr>
            <w:tcW w:w="2972" w:type="dxa"/>
            <w:tcBorders>
              <w:top w:val="nil"/>
              <w:left w:val="single" w:sz="4" w:space="0" w:color="auto"/>
              <w:bottom w:val="single" w:sz="4" w:space="0" w:color="auto"/>
              <w:right w:val="single" w:sz="4" w:space="0" w:color="auto"/>
            </w:tcBorders>
            <w:shd w:val="clear" w:color="auto" w:fill="auto"/>
            <w:noWrap/>
            <w:hideMark/>
          </w:tcPr>
          <w:p w14:paraId="684B4D6B" w14:textId="77777777" w:rsidR="00691ABD" w:rsidRPr="00786273" w:rsidRDefault="00691ABD" w:rsidP="001E39EE">
            <w:pPr>
              <w:jc w:val="left"/>
              <w:rPr>
                <w:sz w:val="20"/>
                <w:szCs w:val="20"/>
                <w:lang w:val="fr-CA" w:eastAsia="en-CA"/>
              </w:rPr>
            </w:pPr>
            <w:r w:rsidRPr="00786273">
              <w:rPr>
                <w:sz w:val="20"/>
                <w:szCs w:val="20"/>
                <w:lang w:val="fr-CA" w:eastAsia="en-CA"/>
              </w:rPr>
              <w:t>Oman</w:t>
            </w:r>
          </w:p>
        </w:tc>
        <w:tc>
          <w:tcPr>
            <w:tcW w:w="851" w:type="dxa"/>
            <w:tcBorders>
              <w:top w:val="nil"/>
              <w:left w:val="nil"/>
              <w:bottom w:val="single" w:sz="4" w:space="0" w:color="auto"/>
              <w:right w:val="single" w:sz="4" w:space="0" w:color="auto"/>
            </w:tcBorders>
            <w:shd w:val="clear" w:color="auto" w:fill="auto"/>
            <w:noWrap/>
            <w:hideMark/>
          </w:tcPr>
          <w:p w14:paraId="2BE5FA82" w14:textId="218A8E68"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0C811A3"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06596DD7" w14:textId="6583E952" w:rsidR="00691ABD" w:rsidRPr="00786273" w:rsidRDefault="00691ABD" w:rsidP="001E39EE">
            <w:pPr>
              <w:jc w:val="right"/>
              <w:rPr>
                <w:sz w:val="20"/>
                <w:szCs w:val="20"/>
                <w:lang w:val="fr-CA" w:eastAsia="en-CA"/>
              </w:rPr>
            </w:pPr>
            <w:r w:rsidRPr="00786273">
              <w:rPr>
                <w:sz w:val="20"/>
                <w:szCs w:val="20"/>
                <w:lang w:val="fr-CA" w:eastAsia="en-CA"/>
              </w:rPr>
              <w:t>181</w:t>
            </w:r>
            <w:r>
              <w:rPr>
                <w:sz w:val="20"/>
                <w:szCs w:val="20"/>
                <w:lang w:val="fr-CA" w:eastAsia="en-CA"/>
              </w:rPr>
              <w:t xml:space="preserve"> </w:t>
            </w:r>
            <w:r w:rsidRPr="00786273">
              <w:rPr>
                <w:sz w:val="20"/>
                <w:szCs w:val="20"/>
                <w:lang w:val="fr-CA" w:eastAsia="en-CA"/>
              </w:rPr>
              <w:t>970</w:t>
            </w:r>
          </w:p>
        </w:tc>
        <w:tc>
          <w:tcPr>
            <w:tcW w:w="1276" w:type="dxa"/>
            <w:tcBorders>
              <w:top w:val="nil"/>
              <w:left w:val="nil"/>
              <w:bottom w:val="single" w:sz="4" w:space="0" w:color="auto"/>
              <w:right w:val="single" w:sz="4" w:space="0" w:color="auto"/>
            </w:tcBorders>
            <w:shd w:val="clear" w:color="auto" w:fill="auto"/>
            <w:noWrap/>
            <w:hideMark/>
          </w:tcPr>
          <w:p w14:paraId="2FD7797E" w14:textId="203FF56F" w:rsidR="00691ABD" w:rsidRPr="00786273" w:rsidRDefault="00691ABD" w:rsidP="001E39EE">
            <w:pPr>
              <w:jc w:val="right"/>
              <w:rPr>
                <w:sz w:val="20"/>
                <w:szCs w:val="20"/>
                <w:lang w:val="fr-CA" w:eastAsia="en-CA"/>
              </w:rPr>
            </w:pPr>
            <w:r w:rsidRPr="00786273">
              <w:rPr>
                <w:sz w:val="20"/>
                <w:szCs w:val="20"/>
                <w:lang w:val="fr-CA" w:eastAsia="en-CA"/>
              </w:rPr>
              <w:t>107</w:t>
            </w:r>
            <w:r>
              <w:rPr>
                <w:sz w:val="20"/>
                <w:szCs w:val="20"/>
                <w:lang w:val="fr-CA" w:eastAsia="en-CA"/>
              </w:rPr>
              <w:t xml:space="preserve"> </w:t>
            </w:r>
            <w:r w:rsidRPr="00786273">
              <w:rPr>
                <w:sz w:val="20"/>
                <w:szCs w:val="20"/>
                <w:lang w:val="fr-CA" w:eastAsia="en-CA"/>
              </w:rPr>
              <w:t>989</w:t>
            </w:r>
          </w:p>
        </w:tc>
        <w:tc>
          <w:tcPr>
            <w:tcW w:w="1384" w:type="dxa"/>
            <w:tcBorders>
              <w:top w:val="nil"/>
              <w:left w:val="nil"/>
              <w:bottom w:val="single" w:sz="4" w:space="0" w:color="auto"/>
              <w:right w:val="single" w:sz="4" w:space="0" w:color="auto"/>
            </w:tcBorders>
            <w:shd w:val="clear" w:color="auto" w:fill="auto"/>
            <w:noWrap/>
            <w:hideMark/>
          </w:tcPr>
          <w:p w14:paraId="785CACF0" w14:textId="77777777" w:rsidR="00691ABD" w:rsidRPr="00786273" w:rsidRDefault="00691ABD" w:rsidP="001E39EE">
            <w:pPr>
              <w:jc w:val="right"/>
              <w:rPr>
                <w:sz w:val="20"/>
                <w:szCs w:val="20"/>
                <w:lang w:val="fr-CA" w:eastAsia="en-CA"/>
              </w:rPr>
            </w:pPr>
            <w:r w:rsidRPr="00786273">
              <w:rPr>
                <w:sz w:val="20"/>
                <w:szCs w:val="20"/>
                <w:lang w:val="fr-CA" w:eastAsia="en-CA"/>
              </w:rPr>
              <w:t>59</w:t>
            </w:r>
          </w:p>
        </w:tc>
        <w:tc>
          <w:tcPr>
            <w:tcW w:w="1149" w:type="dxa"/>
            <w:tcBorders>
              <w:top w:val="nil"/>
              <w:left w:val="nil"/>
              <w:bottom w:val="single" w:sz="4" w:space="0" w:color="auto"/>
              <w:right w:val="single" w:sz="4" w:space="0" w:color="auto"/>
            </w:tcBorders>
            <w:shd w:val="clear" w:color="auto" w:fill="auto"/>
            <w:noWrap/>
            <w:hideMark/>
          </w:tcPr>
          <w:p w14:paraId="16636F0C"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769B9DBE"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5C5DC9A" w14:textId="77777777" w:rsidR="00691ABD" w:rsidRPr="00786273" w:rsidRDefault="00691ABD" w:rsidP="001E39EE">
            <w:pPr>
              <w:jc w:val="left"/>
              <w:rPr>
                <w:sz w:val="20"/>
                <w:szCs w:val="20"/>
                <w:lang w:val="fr-CA" w:eastAsia="en-CA"/>
              </w:rPr>
            </w:pPr>
            <w:r>
              <w:rPr>
                <w:sz w:val="20"/>
                <w:szCs w:val="20"/>
                <w:lang w:val="fr-CA" w:eastAsia="en-CA"/>
              </w:rPr>
              <w:t>Ou</w:t>
            </w:r>
            <w:r w:rsidRPr="00786273">
              <w:rPr>
                <w:sz w:val="20"/>
                <w:szCs w:val="20"/>
                <w:lang w:val="fr-CA" w:eastAsia="en-CA"/>
              </w:rPr>
              <w:t>ganda</w:t>
            </w:r>
          </w:p>
        </w:tc>
        <w:tc>
          <w:tcPr>
            <w:tcW w:w="851" w:type="dxa"/>
            <w:tcBorders>
              <w:top w:val="nil"/>
              <w:left w:val="nil"/>
              <w:bottom w:val="single" w:sz="4" w:space="0" w:color="auto"/>
              <w:right w:val="single" w:sz="4" w:space="0" w:color="auto"/>
            </w:tcBorders>
            <w:shd w:val="clear" w:color="auto" w:fill="auto"/>
            <w:noWrap/>
            <w:hideMark/>
          </w:tcPr>
          <w:p w14:paraId="72ACDAAE" w14:textId="3B7F0561"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C4E4423"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198E788" w14:textId="274CE855" w:rsidR="00691ABD" w:rsidRPr="00786273" w:rsidRDefault="00691ABD" w:rsidP="001E39EE">
            <w:pPr>
              <w:jc w:val="right"/>
              <w:rPr>
                <w:sz w:val="20"/>
                <w:szCs w:val="20"/>
                <w:lang w:val="fr-CA" w:eastAsia="en-CA"/>
              </w:rPr>
            </w:pPr>
            <w:r w:rsidRPr="00786273">
              <w:rPr>
                <w:sz w:val="20"/>
                <w:szCs w:val="20"/>
                <w:lang w:val="fr-CA" w:eastAsia="en-CA"/>
              </w:rPr>
              <w:t>60</w:t>
            </w:r>
            <w:r>
              <w:rPr>
                <w:sz w:val="20"/>
                <w:szCs w:val="20"/>
                <w:lang w:val="fr-CA" w:eastAsia="en-CA"/>
              </w:rPr>
              <w:t xml:space="preserve"> </w:t>
            </w:r>
            <w:r w:rsidRPr="00786273">
              <w:rPr>
                <w:sz w:val="20"/>
                <w:szCs w:val="20"/>
                <w:lang w:val="fr-CA" w:eastAsia="en-CA"/>
              </w:rPr>
              <w:t>126</w:t>
            </w:r>
          </w:p>
        </w:tc>
        <w:tc>
          <w:tcPr>
            <w:tcW w:w="1276" w:type="dxa"/>
            <w:tcBorders>
              <w:top w:val="nil"/>
              <w:left w:val="nil"/>
              <w:bottom w:val="single" w:sz="4" w:space="0" w:color="auto"/>
              <w:right w:val="single" w:sz="4" w:space="0" w:color="auto"/>
            </w:tcBorders>
            <w:shd w:val="clear" w:color="auto" w:fill="auto"/>
            <w:noWrap/>
            <w:hideMark/>
          </w:tcPr>
          <w:p w14:paraId="31F706C7" w14:textId="77DE277B" w:rsidR="00691ABD" w:rsidRPr="00786273" w:rsidRDefault="00691ABD" w:rsidP="001E39EE">
            <w:pPr>
              <w:jc w:val="right"/>
              <w:rPr>
                <w:sz w:val="20"/>
                <w:szCs w:val="20"/>
                <w:lang w:val="fr-CA" w:eastAsia="en-CA"/>
              </w:rPr>
            </w:pPr>
            <w:r w:rsidRPr="00786273">
              <w:rPr>
                <w:sz w:val="20"/>
                <w:szCs w:val="20"/>
                <w:lang w:val="fr-CA" w:eastAsia="en-CA"/>
              </w:rPr>
              <w:t>54</w:t>
            </w:r>
            <w:r>
              <w:rPr>
                <w:sz w:val="20"/>
                <w:szCs w:val="20"/>
                <w:lang w:val="fr-CA" w:eastAsia="en-CA"/>
              </w:rPr>
              <w:t xml:space="preserve"> </w:t>
            </w:r>
            <w:r w:rsidRPr="00786273">
              <w:rPr>
                <w:sz w:val="20"/>
                <w:szCs w:val="20"/>
                <w:lang w:val="fr-CA" w:eastAsia="en-CA"/>
              </w:rPr>
              <w:t>464</w:t>
            </w:r>
          </w:p>
        </w:tc>
        <w:tc>
          <w:tcPr>
            <w:tcW w:w="1384" w:type="dxa"/>
            <w:tcBorders>
              <w:top w:val="nil"/>
              <w:left w:val="nil"/>
              <w:bottom w:val="single" w:sz="4" w:space="0" w:color="auto"/>
              <w:right w:val="single" w:sz="4" w:space="0" w:color="auto"/>
            </w:tcBorders>
            <w:shd w:val="clear" w:color="auto" w:fill="auto"/>
            <w:noWrap/>
            <w:hideMark/>
          </w:tcPr>
          <w:p w14:paraId="6CCBC6DF" w14:textId="77777777" w:rsidR="00691ABD" w:rsidRPr="00786273" w:rsidRDefault="00691ABD" w:rsidP="001E39EE">
            <w:pPr>
              <w:jc w:val="right"/>
              <w:rPr>
                <w:sz w:val="20"/>
                <w:szCs w:val="20"/>
                <w:lang w:val="fr-CA" w:eastAsia="en-CA"/>
              </w:rPr>
            </w:pPr>
            <w:r w:rsidRPr="00786273">
              <w:rPr>
                <w:sz w:val="20"/>
                <w:szCs w:val="20"/>
                <w:lang w:val="fr-CA" w:eastAsia="en-CA"/>
              </w:rPr>
              <w:t>91</w:t>
            </w:r>
          </w:p>
        </w:tc>
        <w:tc>
          <w:tcPr>
            <w:tcW w:w="1149" w:type="dxa"/>
            <w:tcBorders>
              <w:top w:val="nil"/>
              <w:left w:val="nil"/>
              <w:bottom w:val="single" w:sz="4" w:space="0" w:color="auto"/>
              <w:right w:val="single" w:sz="4" w:space="0" w:color="auto"/>
            </w:tcBorders>
            <w:shd w:val="clear" w:color="auto" w:fill="auto"/>
            <w:noWrap/>
            <w:hideMark/>
          </w:tcPr>
          <w:p w14:paraId="60995D42" w14:textId="77777777" w:rsidR="00691ABD" w:rsidRPr="00786273" w:rsidRDefault="00691ABD" w:rsidP="001E39EE">
            <w:pPr>
              <w:jc w:val="right"/>
              <w:rPr>
                <w:sz w:val="20"/>
                <w:szCs w:val="20"/>
                <w:lang w:val="fr-CA" w:eastAsia="en-CA"/>
              </w:rPr>
            </w:pPr>
            <w:r w:rsidRPr="00786273">
              <w:rPr>
                <w:sz w:val="20"/>
                <w:szCs w:val="20"/>
                <w:lang w:val="fr-CA" w:eastAsia="en-CA"/>
              </w:rPr>
              <w:t>75</w:t>
            </w:r>
          </w:p>
        </w:tc>
      </w:tr>
      <w:tr w:rsidR="00691ABD" w:rsidRPr="00786273" w14:paraId="0C4E9401" w14:textId="77777777" w:rsidTr="00AD0261">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4AFF6A06" w14:textId="77777777" w:rsidR="00691ABD" w:rsidRPr="00786273" w:rsidRDefault="00691ABD" w:rsidP="001E39EE">
            <w:pPr>
              <w:jc w:val="left"/>
              <w:rPr>
                <w:sz w:val="20"/>
                <w:szCs w:val="20"/>
                <w:lang w:val="fr-CA" w:eastAsia="en-CA"/>
              </w:rPr>
            </w:pPr>
            <w:r w:rsidRPr="00786273">
              <w:rPr>
                <w:sz w:val="20"/>
                <w:szCs w:val="20"/>
                <w:lang w:val="fr-CA" w:eastAsia="en-CA"/>
              </w:rPr>
              <w:t>Pakistan</w:t>
            </w:r>
          </w:p>
        </w:tc>
        <w:tc>
          <w:tcPr>
            <w:tcW w:w="851" w:type="dxa"/>
            <w:tcBorders>
              <w:top w:val="nil"/>
              <w:left w:val="nil"/>
              <w:bottom w:val="single" w:sz="4" w:space="0" w:color="auto"/>
              <w:right w:val="single" w:sz="4" w:space="0" w:color="auto"/>
            </w:tcBorders>
            <w:shd w:val="clear" w:color="auto" w:fill="auto"/>
            <w:noWrap/>
            <w:hideMark/>
          </w:tcPr>
          <w:p w14:paraId="43934684" w14:textId="3D06D61A"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040503BC"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4F6CE53D" w14:textId="579A2432"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 xml:space="preserve"> </w:t>
            </w:r>
            <w:r w:rsidRPr="00786273">
              <w:rPr>
                <w:sz w:val="20"/>
                <w:szCs w:val="20"/>
                <w:lang w:val="fr-CA" w:eastAsia="en-CA"/>
              </w:rPr>
              <w:t>940</w:t>
            </w:r>
            <w:r>
              <w:rPr>
                <w:sz w:val="20"/>
                <w:szCs w:val="20"/>
                <w:lang w:val="fr-CA" w:eastAsia="en-CA"/>
              </w:rPr>
              <w:t xml:space="preserve"> </w:t>
            </w:r>
            <w:r w:rsidRPr="00786273">
              <w:rPr>
                <w:sz w:val="20"/>
                <w:szCs w:val="20"/>
                <w:lang w:val="fr-CA" w:eastAsia="en-CA"/>
              </w:rPr>
              <w:t>520</w:t>
            </w:r>
          </w:p>
        </w:tc>
        <w:tc>
          <w:tcPr>
            <w:tcW w:w="1276" w:type="dxa"/>
            <w:tcBorders>
              <w:top w:val="nil"/>
              <w:left w:val="nil"/>
              <w:bottom w:val="single" w:sz="4" w:space="0" w:color="auto"/>
              <w:right w:val="single" w:sz="4" w:space="0" w:color="auto"/>
            </w:tcBorders>
            <w:shd w:val="clear" w:color="auto" w:fill="auto"/>
            <w:noWrap/>
            <w:hideMark/>
          </w:tcPr>
          <w:p w14:paraId="1FA339DE" w14:textId="6893C317" w:rsidR="00691ABD" w:rsidRPr="00786273" w:rsidRDefault="00691ABD" w:rsidP="001E39EE">
            <w:pPr>
              <w:jc w:val="right"/>
              <w:rPr>
                <w:sz w:val="20"/>
                <w:szCs w:val="20"/>
                <w:lang w:val="fr-CA" w:eastAsia="en-CA"/>
              </w:rPr>
            </w:pPr>
            <w:r w:rsidRPr="00786273">
              <w:rPr>
                <w:sz w:val="20"/>
                <w:szCs w:val="20"/>
                <w:lang w:val="fr-CA" w:eastAsia="en-CA"/>
              </w:rPr>
              <w:t>408</w:t>
            </w:r>
            <w:r>
              <w:rPr>
                <w:sz w:val="20"/>
                <w:szCs w:val="20"/>
                <w:lang w:val="fr-CA" w:eastAsia="en-CA"/>
              </w:rPr>
              <w:t xml:space="preserve"> </w:t>
            </w:r>
            <w:r w:rsidRPr="00786273">
              <w:rPr>
                <w:sz w:val="20"/>
                <w:szCs w:val="20"/>
                <w:lang w:val="fr-CA" w:eastAsia="en-CA"/>
              </w:rPr>
              <w:t>396</w:t>
            </w:r>
          </w:p>
        </w:tc>
        <w:tc>
          <w:tcPr>
            <w:tcW w:w="1384" w:type="dxa"/>
            <w:tcBorders>
              <w:top w:val="nil"/>
              <w:left w:val="nil"/>
              <w:bottom w:val="single" w:sz="4" w:space="0" w:color="auto"/>
              <w:right w:val="single" w:sz="4" w:space="0" w:color="auto"/>
            </w:tcBorders>
            <w:shd w:val="clear" w:color="auto" w:fill="auto"/>
            <w:noWrap/>
            <w:hideMark/>
          </w:tcPr>
          <w:p w14:paraId="53EFB1EB" w14:textId="77777777" w:rsidR="00691ABD" w:rsidRPr="00786273" w:rsidRDefault="00691ABD" w:rsidP="001E39EE">
            <w:pPr>
              <w:jc w:val="right"/>
              <w:rPr>
                <w:sz w:val="20"/>
                <w:szCs w:val="20"/>
                <w:lang w:val="fr-CA" w:eastAsia="en-CA"/>
              </w:rPr>
            </w:pPr>
            <w:r w:rsidRPr="00786273">
              <w:rPr>
                <w:sz w:val="20"/>
                <w:szCs w:val="20"/>
                <w:lang w:val="fr-CA" w:eastAsia="en-CA"/>
              </w:rPr>
              <w:t>21</w:t>
            </w:r>
          </w:p>
        </w:tc>
        <w:tc>
          <w:tcPr>
            <w:tcW w:w="1149" w:type="dxa"/>
            <w:tcBorders>
              <w:top w:val="nil"/>
              <w:left w:val="nil"/>
              <w:bottom w:val="single" w:sz="4" w:space="0" w:color="auto"/>
              <w:right w:val="single" w:sz="4" w:space="0" w:color="auto"/>
            </w:tcBorders>
            <w:shd w:val="clear" w:color="auto" w:fill="auto"/>
            <w:noWrap/>
            <w:hideMark/>
          </w:tcPr>
          <w:p w14:paraId="2D896E05"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53AAEC5F" w14:textId="77777777" w:rsidTr="00AD0261">
        <w:trPr>
          <w:trHeight w:val="109"/>
        </w:trPr>
        <w:tc>
          <w:tcPr>
            <w:tcW w:w="2972" w:type="dxa"/>
            <w:tcBorders>
              <w:top w:val="nil"/>
              <w:left w:val="single" w:sz="4" w:space="0" w:color="auto"/>
              <w:bottom w:val="single" w:sz="4" w:space="0" w:color="auto"/>
              <w:right w:val="single" w:sz="4" w:space="0" w:color="auto"/>
            </w:tcBorders>
            <w:shd w:val="clear" w:color="auto" w:fill="auto"/>
            <w:noWrap/>
            <w:hideMark/>
          </w:tcPr>
          <w:p w14:paraId="3D90AA34" w14:textId="77777777" w:rsidR="00691ABD" w:rsidRPr="00786273" w:rsidRDefault="00691ABD" w:rsidP="001E39EE">
            <w:pPr>
              <w:jc w:val="left"/>
              <w:rPr>
                <w:sz w:val="20"/>
                <w:szCs w:val="20"/>
                <w:lang w:val="fr-CA" w:eastAsia="en-CA"/>
              </w:rPr>
            </w:pPr>
            <w:r w:rsidRPr="00786273">
              <w:rPr>
                <w:sz w:val="20"/>
                <w:szCs w:val="20"/>
                <w:lang w:val="fr-CA" w:eastAsia="en-CA"/>
              </w:rPr>
              <w:t>Palau</w:t>
            </w:r>
          </w:p>
        </w:tc>
        <w:tc>
          <w:tcPr>
            <w:tcW w:w="851" w:type="dxa"/>
            <w:tcBorders>
              <w:top w:val="nil"/>
              <w:left w:val="nil"/>
              <w:bottom w:val="single" w:sz="4" w:space="0" w:color="auto"/>
              <w:right w:val="single" w:sz="4" w:space="0" w:color="auto"/>
            </w:tcBorders>
            <w:shd w:val="clear" w:color="auto" w:fill="auto"/>
            <w:noWrap/>
            <w:hideMark/>
          </w:tcPr>
          <w:p w14:paraId="71DE5D70" w14:textId="0CA10E2B"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AB375A3"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51B4FA68" w14:textId="10872A2F" w:rsidR="00691ABD" w:rsidRPr="00786273" w:rsidRDefault="00691ABD" w:rsidP="001E39EE">
            <w:pPr>
              <w:jc w:val="right"/>
              <w:rPr>
                <w:sz w:val="20"/>
                <w:szCs w:val="20"/>
                <w:lang w:val="fr-CA" w:eastAsia="en-CA"/>
              </w:rPr>
            </w:pPr>
            <w:r w:rsidRPr="00786273">
              <w:rPr>
                <w:sz w:val="20"/>
                <w:szCs w:val="20"/>
                <w:lang w:val="fr-CA" w:eastAsia="en-CA"/>
              </w:rPr>
              <w:t>80</w:t>
            </w:r>
            <w:r>
              <w:rPr>
                <w:sz w:val="20"/>
                <w:szCs w:val="20"/>
                <w:lang w:val="fr-CA" w:eastAsia="en-CA"/>
              </w:rPr>
              <w:t xml:space="preserve"> </w:t>
            </w:r>
            <w:r w:rsidRPr="00786273">
              <w:rPr>
                <w:sz w:val="20"/>
                <w:szCs w:val="20"/>
                <w:lang w:val="fr-CA" w:eastAsia="en-CA"/>
              </w:rPr>
              <w:t>086</w:t>
            </w:r>
          </w:p>
        </w:tc>
        <w:tc>
          <w:tcPr>
            <w:tcW w:w="1276" w:type="dxa"/>
            <w:tcBorders>
              <w:top w:val="nil"/>
              <w:left w:val="nil"/>
              <w:bottom w:val="single" w:sz="4" w:space="0" w:color="auto"/>
              <w:right w:val="single" w:sz="4" w:space="0" w:color="auto"/>
            </w:tcBorders>
            <w:shd w:val="clear" w:color="auto" w:fill="auto"/>
            <w:noWrap/>
            <w:hideMark/>
          </w:tcPr>
          <w:p w14:paraId="26F73BED" w14:textId="7D21EAAC" w:rsidR="00691ABD" w:rsidRPr="00786273" w:rsidRDefault="00691ABD" w:rsidP="001E39EE">
            <w:pPr>
              <w:jc w:val="right"/>
              <w:rPr>
                <w:sz w:val="20"/>
                <w:szCs w:val="20"/>
                <w:lang w:val="fr-CA" w:eastAsia="en-CA"/>
              </w:rPr>
            </w:pPr>
            <w:r w:rsidRPr="00786273">
              <w:rPr>
                <w:sz w:val="20"/>
                <w:szCs w:val="20"/>
                <w:lang w:val="fr-CA" w:eastAsia="en-CA"/>
              </w:rPr>
              <w:t>5</w:t>
            </w:r>
            <w:r>
              <w:rPr>
                <w:sz w:val="20"/>
                <w:szCs w:val="20"/>
                <w:lang w:val="fr-CA" w:eastAsia="en-CA"/>
              </w:rPr>
              <w:t xml:space="preserve"> </w:t>
            </w:r>
            <w:r w:rsidRPr="00786273">
              <w:rPr>
                <w:sz w:val="20"/>
                <w:szCs w:val="20"/>
                <w:lang w:val="fr-CA" w:eastAsia="en-CA"/>
              </w:rPr>
              <w:t>299</w:t>
            </w:r>
          </w:p>
        </w:tc>
        <w:tc>
          <w:tcPr>
            <w:tcW w:w="1384" w:type="dxa"/>
            <w:tcBorders>
              <w:top w:val="nil"/>
              <w:left w:val="nil"/>
              <w:bottom w:val="single" w:sz="4" w:space="0" w:color="auto"/>
              <w:right w:val="single" w:sz="4" w:space="0" w:color="auto"/>
            </w:tcBorders>
            <w:shd w:val="clear" w:color="auto" w:fill="auto"/>
            <w:noWrap/>
            <w:hideMark/>
          </w:tcPr>
          <w:p w14:paraId="75C2CC42" w14:textId="77777777" w:rsidR="00691ABD" w:rsidRPr="00786273" w:rsidRDefault="00691ABD" w:rsidP="001E39EE">
            <w:pPr>
              <w:jc w:val="right"/>
              <w:rPr>
                <w:sz w:val="20"/>
                <w:szCs w:val="20"/>
                <w:lang w:val="fr-CA" w:eastAsia="en-CA"/>
              </w:rPr>
            </w:pPr>
            <w:r w:rsidRPr="00786273">
              <w:rPr>
                <w:sz w:val="20"/>
                <w:szCs w:val="20"/>
                <w:lang w:val="fr-CA" w:eastAsia="en-CA"/>
              </w:rPr>
              <w:t>7</w:t>
            </w:r>
          </w:p>
        </w:tc>
        <w:tc>
          <w:tcPr>
            <w:tcW w:w="1149" w:type="dxa"/>
            <w:tcBorders>
              <w:top w:val="nil"/>
              <w:left w:val="nil"/>
              <w:bottom w:val="single" w:sz="4" w:space="0" w:color="auto"/>
              <w:right w:val="single" w:sz="4" w:space="0" w:color="auto"/>
            </w:tcBorders>
            <w:shd w:val="clear" w:color="auto" w:fill="auto"/>
            <w:noWrap/>
            <w:hideMark/>
          </w:tcPr>
          <w:p w14:paraId="4D230606"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15619CC2"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F3ACA55" w14:textId="77777777" w:rsidR="00691ABD" w:rsidRPr="00786273" w:rsidRDefault="00691ABD" w:rsidP="001E39EE">
            <w:pPr>
              <w:jc w:val="left"/>
              <w:rPr>
                <w:sz w:val="20"/>
                <w:szCs w:val="20"/>
                <w:lang w:val="fr-CA" w:eastAsia="en-CA"/>
              </w:rPr>
            </w:pPr>
            <w:r w:rsidRPr="00786273">
              <w:rPr>
                <w:sz w:val="20"/>
                <w:szCs w:val="20"/>
                <w:lang w:val="fr-CA" w:eastAsia="en-CA"/>
              </w:rPr>
              <w:t>Panama</w:t>
            </w:r>
          </w:p>
        </w:tc>
        <w:tc>
          <w:tcPr>
            <w:tcW w:w="851" w:type="dxa"/>
            <w:tcBorders>
              <w:top w:val="nil"/>
              <w:left w:val="nil"/>
              <w:bottom w:val="single" w:sz="4" w:space="0" w:color="auto"/>
              <w:right w:val="single" w:sz="4" w:space="0" w:color="auto"/>
            </w:tcBorders>
            <w:shd w:val="clear" w:color="auto" w:fill="auto"/>
            <w:noWrap/>
            <w:hideMark/>
          </w:tcPr>
          <w:p w14:paraId="6D710634" w14:textId="0EF0815E"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w:t>
            </w:r>
            <w:r w:rsidRPr="00786273">
              <w:rPr>
                <w:sz w:val="20"/>
                <w:szCs w:val="20"/>
                <w:lang w:val="fr-CA" w:eastAsia="en-CA"/>
              </w:rPr>
              <w:t>4</w:t>
            </w:r>
          </w:p>
        </w:tc>
        <w:tc>
          <w:tcPr>
            <w:tcW w:w="1160" w:type="dxa"/>
            <w:tcBorders>
              <w:top w:val="nil"/>
              <w:left w:val="nil"/>
              <w:bottom w:val="single" w:sz="4" w:space="0" w:color="auto"/>
              <w:right w:val="single" w:sz="4" w:space="0" w:color="auto"/>
            </w:tcBorders>
            <w:shd w:val="clear" w:color="auto" w:fill="auto"/>
            <w:noWrap/>
            <w:hideMark/>
          </w:tcPr>
          <w:p w14:paraId="2407E53D" w14:textId="77777777" w:rsidR="00691ABD" w:rsidRPr="00786273" w:rsidRDefault="00691ABD" w:rsidP="001E39EE">
            <w:pPr>
              <w:jc w:val="right"/>
              <w:rPr>
                <w:sz w:val="20"/>
                <w:szCs w:val="20"/>
                <w:lang w:val="fr-CA" w:eastAsia="en-CA"/>
              </w:rPr>
            </w:pPr>
            <w:r w:rsidRPr="00786273">
              <w:rPr>
                <w:sz w:val="20"/>
                <w:szCs w:val="20"/>
                <w:lang w:val="fr-CA" w:eastAsia="en-CA"/>
              </w:rPr>
              <w:t>16</w:t>
            </w:r>
          </w:p>
        </w:tc>
        <w:tc>
          <w:tcPr>
            <w:tcW w:w="1250" w:type="dxa"/>
            <w:tcBorders>
              <w:top w:val="nil"/>
              <w:left w:val="nil"/>
              <w:bottom w:val="single" w:sz="4" w:space="0" w:color="auto"/>
              <w:right w:val="single" w:sz="4" w:space="0" w:color="auto"/>
            </w:tcBorders>
            <w:shd w:val="clear" w:color="auto" w:fill="auto"/>
            <w:noWrap/>
            <w:hideMark/>
          </w:tcPr>
          <w:p w14:paraId="5DF221CF" w14:textId="1699D56B" w:rsidR="00691ABD" w:rsidRPr="00786273" w:rsidRDefault="00691ABD" w:rsidP="001E39EE">
            <w:pPr>
              <w:jc w:val="right"/>
              <w:rPr>
                <w:sz w:val="20"/>
                <w:szCs w:val="20"/>
                <w:lang w:val="fr-CA" w:eastAsia="en-CA"/>
              </w:rPr>
            </w:pPr>
            <w:r w:rsidRPr="00786273">
              <w:rPr>
                <w:sz w:val="20"/>
                <w:szCs w:val="20"/>
                <w:lang w:val="fr-CA" w:eastAsia="en-CA"/>
              </w:rPr>
              <w:t>321</w:t>
            </w:r>
            <w:r>
              <w:rPr>
                <w:sz w:val="20"/>
                <w:szCs w:val="20"/>
                <w:lang w:val="fr-CA" w:eastAsia="en-CA"/>
              </w:rPr>
              <w:t xml:space="preserve"> </w:t>
            </w:r>
            <w:r w:rsidRPr="00786273">
              <w:rPr>
                <w:sz w:val="20"/>
                <w:szCs w:val="20"/>
                <w:lang w:val="fr-CA" w:eastAsia="en-CA"/>
              </w:rPr>
              <w:t>703</w:t>
            </w:r>
          </w:p>
        </w:tc>
        <w:tc>
          <w:tcPr>
            <w:tcW w:w="1276" w:type="dxa"/>
            <w:tcBorders>
              <w:top w:val="nil"/>
              <w:left w:val="nil"/>
              <w:bottom w:val="single" w:sz="4" w:space="0" w:color="auto"/>
              <w:right w:val="single" w:sz="4" w:space="0" w:color="auto"/>
            </w:tcBorders>
            <w:shd w:val="clear" w:color="auto" w:fill="auto"/>
            <w:noWrap/>
            <w:hideMark/>
          </w:tcPr>
          <w:p w14:paraId="2D07FB6F" w14:textId="74F74B71" w:rsidR="00691ABD" w:rsidRPr="00786273" w:rsidRDefault="00691ABD" w:rsidP="001E39EE">
            <w:pPr>
              <w:jc w:val="right"/>
              <w:rPr>
                <w:sz w:val="20"/>
                <w:szCs w:val="20"/>
                <w:lang w:val="fr-CA" w:eastAsia="en-CA"/>
              </w:rPr>
            </w:pPr>
            <w:r w:rsidRPr="00786273">
              <w:rPr>
                <w:sz w:val="20"/>
                <w:szCs w:val="20"/>
                <w:lang w:val="fr-CA" w:eastAsia="en-CA"/>
              </w:rPr>
              <w:t>263</w:t>
            </w:r>
            <w:r>
              <w:rPr>
                <w:sz w:val="20"/>
                <w:szCs w:val="20"/>
                <w:lang w:val="fr-CA" w:eastAsia="en-CA"/>
              </w:rPr>
              <w:t xml:space="preserve"> </w:t>
            </w:r>
            <w:r w:rsidRPr="00786273">
              <w:rPr>
                <w:sz w:val="20"/>
                <w:szCs w:val="20"/>
                <w:lang w:val="fr-CA" w:eastAsia="en-CA"/>
              </w:rPr>
              <w:t>364</w:t>
            </w:r>
          </w:p>
        </w:tc>
        <w:tc>
          <w:tcPr>
            <w:tcW w:w="1384" w:type="dxa"/>
            <w:tcBorders>
              <w:top w:val="nil"/>
              <w:left w:val="nil"/>
              <w:bottom w:val="single" w:sz="4" w:space="0" w:color="auto"/>
              <w:right w:val="single" w:sz="4" w:space="0" w:color="auto"/>
            </w:tcBorders>
            <w:shd w:val="clear" w:color="auto" w:fill="auto"/>
            <w:noWrap/>
            <w:hideMark/>
          </w:tcPr>
          <w:p w14:paraId="2645A71E" w14:textId="77777777" w:rsidR="00691ABD" w:rsidRPr="00786273" w:rsidRDefault="00691ABD" w:rsidP="001E39EE">
            <w:pPr>
              <w:jc w:val="right"/>
              <w:rPr>
                <w:sz w:val="20"/>
                <w:szCs w:val="20"/>
                <w:lang w:val="fr-CA" w:eastAsia="en-CA"/>
              </w:rPr>
            </w:pPr>
            <w:r w:rsidRPr="00786273">
              <w:rPr>
                <w:sz w:val="20"/>
                <w:szCs w:val="20"/>
                <w:lang w:val="fr-CA" w:eastAsia="en-CA"/>
              </w:rPr>
              <w:t>82</w:t>
            </w:r>
          </w:p>
        </w:tc>
        <w:tc>
          <w:tcPr>
            <w:tcW w:w="1149" w:type="dxa"/>
            <w:tcBorders>
              <w:top w:val="nil"/>
              <w:left w:val="nil"/>
              <w:bottom w:val="single" w:sz="4" w:space="0" w:color="auto"/>
              <w:right w:val="single" w:sz="4" w:space="0" w:color="auto"/>
            </w:tcBorders>
            <w:shd w:val="clear" w:color="auto" w:fill="auto"/>
            <w:noWrap/>
            <w:hideMark/>
          </w:tcPr>
          <w:p w14:paraId="592902E9"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6F5A4A62" w14:textId="77777777" w:rsidTr="00AD0261">
        <w:trPr>
          <w:trHeight w:val="59"/>
        </w:trPr>
        <w:tc>
          <w:tcPr>
            <w:tcW w:w="2972" w:type="dxa"/>
            <w:tcBorders>
              <w:top w:val="nil"/>
              <w:left w:val="single" w:sz="4" w:space="0" w:color="auto"/>
              <w:bottom w:val="single" w:sz="4" w:space="0" w:color="auto"/>
              <w:right w:val="single" w:sz="4" w:space="0" w:color="auto"/>
            </w:tcBorders>
            <w:shd w:val="clear" w:color="auto" w:fill="auto"/>
            <w:noWrap/>
            <w:hideMark/>
          </w:tcPr>
          <w:p w14:paraId="5CC77878" w14:textId="77777777" w:rsidR="00691ABD" w:rsidRPr="00786273" w:rsidRDefault="00691ABD" w:rsidP="001E39EE">
            <w:pPr>
              <w:jc w:val="left"/>
              <w:rPr>
                <w:sz w:val="20"/>
                <w:szCs w:val="20"/>
                <w:lang w:val="fr-CA" w:eastAsia="en-CA"/>
              </w:rPr>
            </w:pPr>
            <w:r>
              <w:rPr>
                <w:sz w:val="20"/>
                <w:szCs w:val="20"/>
                <w:lang w:val="fr-CA" w:eastAsia="en-CA"/>
              </w:rPr>
              <w:t>Papouasie-Nouvelle-Guinée</w:t>
            </w:r>
          </w:p>
        </w:tc>
        <w:tc>
          <w:tcPr>
            <w:tcW w:w="851" w:type="dxa"/>
            <w:tcBorders>
              <w:top w:val="nil"/>
              <w:left w:val="nil"/>
              <w:bottom w:val="single" w:sz="4" w:space="0" w:color="auto"/>
              <w:right w:val="single" w:sz="4" w:space="0" w:color="auto"/>
            </w:tcBorders>
            <w:shd w:val="clear" w:color="auto" w:fill="auto"/>
            <w:noWrap/>
            <w:hideMark/>
          </w:tcPr>
          <w:p w14:paraId="6B65840F" w14:textId="754F8ABC"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08825F1"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72245701" w14:textId="4058CF0F" w:rsidR="00691ABD" w:rsidRPr="00786273" w:rsidRDefault="00691ABD" w:rsidP="001E39EE">
            <w:pPr>
              <w:jc w:val="right"/>
              <w:rPr>
                <w:sz w:val="20"/>
                <w:szCs w:val="20"/>
                <w:lang w:val="fr-CA" w:eastAsia="en-CA"/>
              </w:rPr>
            </w:pPr>
            <w:r w:rsidRPr="00786273">
              <w:rPr>
                <w:sz w:val="20"/>
                <w:szCs w:val="20"/>
                <w:lang w:val="fr-CA" w:eastAsia="en-CA"/>
              </w:rPr>
              <w:t>106</w:t>
            </w:r>
            <w:r>
              <w:rPr>
                <w:sz w:val="20"/>
                <w:szCs w:val="20"/>
                <w:lang w:val="fr-CA" w:eastAsia="en-CA"/>
              </w:rPr>
              <w:t xml:space="preserve"> </w:t>
            </w:r>
            <w:r w:rsidRPr="00786273">
              <w:rPr>
                <w:sz w:val="20"/>
                <w:szCs w:val="20"/>
                <w:lang w:val="fr-CA" w:eastAsia="en-CA"/>
              </w:rPr>
              <w:t>013</w:t>
            </w:r>
          </w:p>
        </w:tc>
        <w:tc>
          <w:tcPr>
            <w:tcW w:w="1276" w:type="dxa"/>
            <w:tcBorders>
              <w:top w:val="nil"/>
              <w:left w:val="nil"/>
              <w:bottom w:val="single" w:sz="4" w:space="0" w:color="auto"/>
              <w:right w:val="single" w:sz="4" w:space="0" w:color="auto"/>
            </w:tcBorders>
            <w:shd w:val="clear" w:color="auto" w:fill="auto"/>
            <w:noWrap/>
            <w:hideMark/>
          </w:tcPr>
          <w:p w14:paraId="772AB400" w14:textId="3308B961" w:rsidR="00691ABD" w:rsidRPr="00786273" w:rsidRDefault="00691ABD" w:rsidP="001E39EE">
            <w:pPr>
              <w:jc w:val="right"/>
              <w:rPr>
                <w:sz w:val="20"/>
                <w:szCs w:val="20"/>
                <w:lang w:val="fr-CA" w:eastAsia="en-CA"/>
              </w:rPr>
            </w:pPr>
            <w:r w:rsidRPr="00786273">
              <w:rPr>
                <w:sz w:val="20"/>
                <w:szCs w:val="20"/>
                <w:lang w:val="fr-CA" w:eastAsia="en-CA"/>
              </w:rPr>
              <w:t>66</w:t>
            </w:r>
            <w:r>
              <w:rPr>
                <w:sz w:val="20"/>
                <w:szCs w:val="20"/>
                <w:lang w:val="fr-CA" w:eastAsia="en-CA"/>
              </w:rPr>
              <w:t xml:space="preserve"> </w:t>
            </w:r>
            <w:r w:rsidRPr="00786273">
              <w:rPr>
                <w:sz w:val="20"/>
                <w:szCs w:val="20"/>
                <w:lang w:val="fr-CA" w:eastAsia="en-CA"/>
              </w:rPr>
              <w:t>961</w:t>
            </w:r>
          </w:p>
        </w:tc>
        <w:tc>
          <w:tcPr>
            <w:tcW w:w="1384" w:type="dxa"/>
            <w:tcBorders>
              <w:top w:val="nil"/>
              <w:left w:val="nil"/>
              <w:bottom w:val="single" w:sz="4" w:space="0" w:color="auto"/>
              <w:right w:val="single" w:sz="4" w:space="0" w:color="auto"/>
            </w:tcBorders>
            <w:shd w:val="clear" w:color="auto" w:fill="auto"/>
            <w:noWrap/>
            <w:hideMark/>
          </w:tcPr>
          <w:p w14:paraId="3C4860E8" w14:textId="77777777" w:rsidR="00691ABD" w:rsidRPr="00786273" w:rsidRDefault="00691ABD" w:rsidP="001E39EE">
            <w:pPr>
              <w:jc w:val="right"/>
              <w:rPr>
                <w:sz w:val="20"/>
                <w:szCs w:val="20"/>
                <w:lang w:val="fr-CA" w:eastAsia="en-CA"/>
              </w:rPr>
            </w:pPr>
            <w:r w:rsidRPr="00786273">
              <w:rPr>
                <w:sz w:val="20"/>
                <w:szCs w:val="20"/>
                <w:lang w:val="fr-CA" w:eastAsia="en-CA"/>
              </w:rPr>
              <w:t>63</w:t>
            </w:r>
          </w:p>
        </w:tc>
        <w:tc>
          <w:tcPr>
            <w:tcW w:w="1149" w:type="dxa"/>
            <w:tcBorders>
              <w:top w:val="nil"/>
              <w:left w:val="nil"/>
              <w:bottom w:val="single" w:sz="4" w:space="0" w:color="auto"/>
              <w:right w:val="single" w:sz="4" w:space="0" w:color="auto"/>
            </w:tcBorders>
            <w:shd w:val="clear" w:color="auto" w:fill="auto"/>
            <w:noWrap/>
            <w:hideMark/>
          </w:tcPr>
          <w:p w14:paraId="3FBA7654"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111BAD53" w14:textId="77777777" w:rsidTr="00AD0261">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75E47195" w14:textId="77777777" w:rsidR="00691ABD" w:rsidRPr="00786273" w:rsidRDefault="00691ABD" w:rsidP="001E39EE">
            <w:pPr>
              <w:jc w:val="left"/>
              <w:rPr>
                <w:sz w:val="20"/>
                <w:szCs w:val="20"/>
                <w:lang w:val="fr-CA" w:eastAsia="en-CA"/>
              </w:rPr>
            </w:pPr>
            <w:r w:rsidRPr="00786273">
              <w:rPr>
                <w:sz w:val="20"/>
                <w:szCs w:val="20"/>
                <w:lang w:val="fr-CA" w:eastAsia="en-CA"/>
              </w:rPr>
              <w:t>Paraguay</w:t>
            </w:r>
          </w:p>
        </w:tc>
        <w:tc>
          <w:tcPr>
            <w:tcW w:w="851" w:type="dxa"/>
            <w:tcBorders>
              <w:top w:val="nil"/>
              <w:left w:val="nil"/>
              <w:bottom w:val="single" w:sz="4" w:space="0" w:color="auto"/>
              <w:right w:val="single" w:sz="4" w:space="0" w:color="auto"/>
            </w:tcBorders>
            <w:shd w:val="clear" w:color="auto" w:fill="auto"/>
            <w:noWrap/>
            <w:hideMark/>
          </w:tcPr>
          <w:p w14:paraId="57E65531" w14:textId="604B7250"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A5F2094"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6E719731" w14:textId="0A041867" w:rsidR="00691ABD" w:rsidRPr="00786273" w:rsidRDefault="00691ABD" w:rsidP="001E39EE">
            <w:pPr>
              <w:jc w:val="right"/>
              <w:rPr>
                <w:sz w:val="20"/>
                <w:szCs w:val="20"/>
                <w:lang w:val="fr-CA" w:eastAsia="en-CA"/>
              </w:rPr>
            </w:pPr>
            <w:r w:rsidRPr="00786273">
              <w:rPr>
                <w:sz w:val="20"/>
                <w:szCs w:val="20"/>
                <w:lang w:val="fr-CA" w:eastAsia="en-CA"/>
              </w:rPr>
              <w:t>152</w:t>
            </w:r>
            <w:r>
              <w:rPr>
                <w:sz w:val="20"/>
                <w:szCs w:val="20"/>
                <w:lang w:val="fr-CA" w:eastAsia="en-CA"/>
              </w:rPr>
              <w:t xml:space="preserve"> </w:t>
            </w:r>
            <w:r w:rsidRPr="00786273">
              <w:rPr>
                <w:sz w:val="20"/>
                <w:szCs w:val="20"/>
                <w:lang w:val="fr-CA" w:eastAsia="en-CA"/>
              </w:rPr>
              <w:t>433</w:t>
            </w:r>
          </w:p>
        </w:tc>
        <w:tc>
          <w:tcPr>
            <w:tcW w:w="1276" w:type="dxa"/>
            <w:tcBorders>
              <w:top w:val="nil"/>
              <w:left w:val="nil"/>
              <w:bottom w:val="single" w:sz="4" w:space="0" w:color="auto"/>
              <w:right w:val="single" w:sz="4" w:space="0" w:color="auto"/>
            </w:tcBorders>
            <w:shd w:val="clear" w:color="auto" w:fill="auto"/>
            <w:noWrap/>
            <w:hideMark/>
          </w:tcPr>
          <w:p w14:paraId="16C2334E" w14:textId="6EC3B972" w:rsidR="00691ABD" w:rsidRPr="00786273" w:rsidRDefault="00691ABD" w:rsidP="001E39EE">
            <w:pPr>
              <w:jc w:val="right"/>
              <w:rPr>
                <w:sz w:val="20"/>
                <w:szCs w:val="20"/>
                <w:lang w:val="fr-CA" w:eastAsia="en-CA"/>
              </w:rPr>
            </w:pPr>
            <w:r w:rsidRPr="00786273">
              <w:rPr>
                <w:sz w:val="20"/>
                <w:szCs w:val="20"/>
                <w:lang w:val="fr-CA" w:eastAsia="en-CA"/>
              </w:rPr>
              <w:t>98</w:t>
            </w:r>
            <w:r>
              <w:rPr>
                <w:sz w:val="20"/>
                <w:szCs w:val="20"/>
                <w:lang w:val="fr-CA" w:eastAsia="en-CA"/>
              </w:rPr>
              <w:t xml:space="preserve"> </w:t>
            </w:r>
            <w:r w:rsidRPr="00786273">
              <w:rPr>
                <w:sz w:val="20"/>
                <w:szCs w:val="20"/>
                <w:lang w:val="fr-CA" w:eastAsia="en-CA"/>
              </w:rPr>
              <w:t>448</w:t>
            </w:r>
          </w:p>
        </w:tc>
        <w:tc>
          <w:tcPr>
            <w:tcW w:w="1384" w:type="dxa"/>
            <w:tcBorders>
              <w:top w:val="nil"/>
              <w:left w:val="nil"/>
              <w:bottom w:val="single" w:sz="4" w:space="0" w:color="auto"/>
              <w:right w:val="single" w:sz="4" w:space="0" w:color="auto"/>
            </w:tcBorders>
            <w:shd w:val="clear" w:color="auto" w:fill="auto"/>
            <w:noWrap/>
            <w:hideMark/>
          </w:tcPr>
          <w:p w14:paraId="3336FE98" w14:textId="77777777" w:rsidR="00691ABD" w:rsidRPr="00786273" w:rsidRDefault="00691ABD" w:rsidP="001E39EE">
            <w:pPr>
              <w:jc w:val="right"/>
              <w:rPr>
                <w:sz w:val="20"/>
                <w:szCs w:val="20"/>
                <w:lang w:val="fr-CA" w:eastAsia="en-CA"/>
              </w:rPr>
            </w:pPr>
            <w:r w:rsidRPr="00786273">
              <w:rPr>
                <w:sz w:val="20"/>
                <w:szCs w:val="20"/>
                <w:lang w:val="fr-CA" w:eastAsia="en-CA"/>
              </w:rPr>
              <w:t>65</w:t>
            </w:r>
          </w:p>
        </w:tc>
        <w:tc>
          <w:tcPr>
            <w:tcW w:w="1149" w:type="dxa"/>
            <w:tcBorders>
              <w:top w:val="nil"/>
              <w:left w:val="nil"/>
              <w:bottom w:val="single" w:sz="4" w:space="0" w:color="auto"/>
              <w:right w:val="single" w:sz="4" w:space="0" w:color="auto"/>
            </w:tcBorders>
            <w:shd w:val="clear" w:color="auto" w:fill="auto"/>
            <w:noWrap/>
            <w:hideMark/>
          </w:tcPr>
          <w:p w14:paraId="5FD1DD17"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3E2D8091"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6DD50731" w14:textId="77777777" w:rsidR="00691ABD" w:rsidRPr="00786273" w:rsidRDefault="00691ABD" w:rsidP="001E39EE">
            <w:pPr>
              <w:jc w:val="left"/>
              <w:rPr>
                <w:sz w:val="20"/>
                <w:szCs w:val="20"/>
                <w:lang w:val="fr-CA" w:eastAsia="en-CA"/>
              </w:rPr>
            </w:pPr>
            <w:r>
              <w:rPr>
                <w:sz w:val="20"/>
                <w:szCs w:val="20"/>
                <w:lang w:val="fr-CA" w:eastAsia="en-CA"/>
              </w:rPr>
              <w:t>Pérou</w:t>
            </w:r>
          </w:p>
        </w:tc>
        <w:tc>
          <w:tcPr>
            <w:tcW w:w="851" w:type="dxa"/>
            <w:tcBorders>
              <w:top w:val="nil"/>
              <w:left w:val="nil"/>
              <w:bottom w:val="single" w:sz="4" w:space="0" w:color="auto"/>
              <w:right w:val="single" w:sz="4" w:space="0" w:color="auto"/>
            </w:tcBorders>
            <w:shd w:val="clear" w:color="auto" w:fill="auto"/>
            <w:noWrap/>
            <w:hideMark/>
          </w:tcPr>
          <w:p w14:paraId="2081CBED" w14:textId="7F7F4E2A"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E7916F2"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7671FF34" w14:textId="65EDD522" w:rsidR="00691ABD" w:rsidRPr="00786273" w:rsidRDefault="00691ABD" w:rsidP="001E39EE">
            <w:pPr>
              <w:jc w:val="right"/>
              <w:rPr>
                <w:sz w:val="20"/>
                <w:szCs w:val="20"/>
                <w:lang w:val="fr-CA" w:eastAsia="en-CA"/>
              </w:rPr>
            </w:pPr>
            <w:r w:rsidRPr="00786273">
              <w:rPr>
                <w:sz w:val="20"/>
                <w:szCs w:val="20"/>
                <w:lang w:val="fr-CA" w:eastAsia="en-CA"/>
              </w:rPr>
              <w:t>256</w:t>
            </w:r>
            <w:r>
              <w:rPr>
                <w:sz w:val="20"/>
                <w:szCs w:val="20"/>
                <w:lang w:val="fr-CA" w:eastAsia="en-CA"/>
              </w:rPr>
              <w:t xml:space="preserve"> </w:t>
            </w:r>
            <w:r w:rsidRPr="00786273">
              <w:rPr>
                <w:sz w:val="20"/>
                <w:szCs w:val="20"/>
                <w:lang w:val="fr-CA" w:eastAsia="en-CA"/>
              </w:rPr>
              <w:t>036</w:t>
            </w:r>
          </w:p>
        </w:tc>
        <w:tc>
          <w:tcPr>
            <w:tcW w:w="1276" w:type="dxa"/>
            <w:tcBorders>
              <w:top w:val="nil"/>
              <w:left w:val="nil"/>
              <w:bottom w:val="single" w:sz="4" w:space="0" w:color="auto"/>
              <w:right w:val="single" w:sz="4" w:space="0" w:color="auto"/>
            </w:tcBorders>
            <w:shd w:val="clear" w:color="auto" w:fill="auto"/>
            <w:noWrap/>
            <w:hideMark/>
          </w:tcPr>
          <w:p w14:paraId="0E585E10" w14:textId="258A9911" w:rsidR="00691ABD" w:rsidRPr="00786273" w:rsidRDefault="00691ABD" w:rsidP="001E39EE">
            <w:pPr>
              <w:jc w:val="right"/>
              <w:rPr>
                <w:sz w:val="20"/>
                <w:szCs w:val="20"/>
                <w:lang w:val="fr-CA" w:eastAsia="en-CA"/>
              </w:rPr>
            </w:pPr>
            <w:r w:rsidRPr="00786273">
              <w:rPr>
                <w:sz w:val="20"/>
                <w:szCs w:val="20"/>
                <w:lang w:val="fr-CA" w:eastAsia="en-CA"/>
              </w:rPr>
              <w:t>250</w:t>
            </w:r>
            <w:r>
              <w:rPr>
                <w:sz w:val="20"/>
                <w:szCs w:val="20"/>
                <w:lang w:val="fr-CA" w:eastAsia="en-CA"/>
              </w:rPr>
              <w:t xml:space="preserve"> </w:t>
            </w:r>
            <w:r w:rsidRPr="00786273">
              <w:rPr>
                <w:sz w:val="20"/>
                <w:szCs w:val="20"/>
                <w:lang w:val="fr-CA" w:eastAsia="en-CA"/>
              </w:rPr>
              <w:t>765</w:t>
            </w:r>
          </w:p>
        </w:tc>
        <w:tc>
          <w:tcPr>
            <w:tcW w:w="1384" w:type="dxa"/>
            <w:tcBorders>
              <w:top w:val="nil"/>
              <w:left w:val="nil"/>
              <w:bottom w:val="single" w:sz="4" w:space="0" w:color="auto"/>
              <w:right w:val="single" w:sz="4" w:space="0" w:color="auto"/>
            </w:tcBorders>
            <w:shd w:val="clear" w:color="auto" w:fill="auto"/>
            <w:noWrap/>
            <w:hideMark/>
          </w:tcPr>
          <w:p w14:paraId="6F1D3C24" w14:textId="77777777" w:rsidR="00691ABD" w:rsidRPr="00786273" w:rsidRDefault="00691ABD" w:rsidP="001E39EE">
            <w:pPr>
              <w:jc w:val="right"/>
              <w:rPr>
                <w:sz w:val="20"/>
                <w:szCs w:val="20"/>
                <w:lang w:val="fr-CA" w:eastAsia="en-CA"/>
              </w:rPr>
            </w:pPr>
            <w:r w:rsidRPr="00786273">
              <w:rPr>
                <w:sz w:val="20"/>
                <w:szCs w:val="20"/>
                <w:lang w:val="fr-CA" w:eastAsia="en-CA"/>
              </w:rPr>
              <w:t>98</w:t>
            </w:r>
          </w:p>
        </w:tc>
        <w:tc>
          <w:tcPr>
            <w:tcW w:w="1149" w:type="dxa"/>
            <w:tcBorders>
              <w:top w:val="nil"/>
              <w:left w:val="nil"/>
              <w:bottom w:val="single" w:sz="4" w:space="0" w:color="auto"/>
              <w:right w:val="single" w:sz="4" w:space="0" w:color="auto"/>
            </w:tcBorders>
            <w:shd w:val="clear" w:color="auto" w:fill="auto"/>
            <w:noWrap/>
            <w:hideMark/>
          </w:tcPr>
          <w:p w14:paraId="4F9910FC"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74E590E0"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2AA1F87" w14:textId="77777777" w:rsidR="00691ABD" w:rsidRPr="00786273" w:rsidRDefault="00691ABD" w:rsidP="004C1876">
            <w:pPr>
              <w:jc w:val="left"/>
              <w:rPr>
                <w:sz w:val="20"/>
                <w:szCs w:val="20"/>
                <w:lang w:val="fr-CA" w:eastAsia="en-CA"/>
              </w:rPr>
            </w:pPr>
            <w:r w:rsidRPr="00786273">
              <w:rPr>
                <w:sz w:val="20"/>
                <w:szCs w:val="20"/>
                <w:lang w:val="fr-CA" w:eastAsia="en-CA"/>
              </w:rPr>
              <w:t xml:space="preserve">Philippines </w:t>
            </w:r>
          </w:p>
        </w:tc>
        <w:tc>
          <w:tcPr>
            <w:tcW w:w="851" w:type="dxa"/>
            <w:tcBorders>
              <w:top w:val="nil"/>
              <w:left w:val="nil"/>
              <w:bottom w:val="single" w:sz="4" w:space="0" w:color="auto"/>
              <w:right w:val="single" w:sz="4" w:space="0" w:color="auto"/>
            </w:tcBorders>
            <w:shd w:val="clear" w:color="auto" w:fill="auto"/>
            <w:noWrap/>
            <w:hideMark/>
          </w:tcPr>
          <w:p w14:paraId="03886A9E" w14:textId="16B06A58"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36EEA85"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7127AFDA" w14:textId="29F5B821" w:rsidR="00691ABD" w:rsidRPr="00786273" w:rsidRDefault="00691ABD" w:rsidP="001E39EE">
            <w:pPr>
              <w:jc w:val="right"/>
              <w:rPr>
                <w:sz w:val="20"/>
                <w:szCs w:val="20"/>
                <w:lang w:val="fr-CA" w:eastAsia="en-CA"/>
              </w:rPr>
            </w:pPr>
            <w:r w:rsidRPr="00786273">
              <w:rPr>
                <w:sz w:val="20"/>
                <w:szCs w:val="20"/>
                <w:lang w:val="fr-CA" w:eastAsia="en-CA"/>
              </w:rPr>
              <w:t>334</w:t>
            </w:r>
            <w:r>
              <w:rPr>
                <w:sz w:val="20"/>
                <w:szCs w:val="20"/>
                <w:lang w:val="fr-CA" w:eastAsia="en-CA"/>
              </w:rPr>
              <w:t xml:space="preserve"> </w:t>
            </w:r>
            <w:r w:rsidRPr="00786273">
              <w:rPr>
                <w:sz w:val="20"/>
                <w:szCs w:val="20"/>
                <w:lang w:val="fr-CA" w:eastAsia="en-CA"/>
              </w:rPr>
              <w:t>920</w:t>
            </w:r>
          </w:p>
        </w:tc>
        <w:tc>
          <w:tcPr>
            <w:tcW w:w="1276" w:type="dxa"/>
            <w:tcBorders>
              <w:top w:val="nil"/>
              <w:left w:val="nil"/>
              <w:bottom w:val="single" w:sz="4" w:space="0" w:color="auto"/>
              <w:right w:val="single" w:sz="4" w:space="0" w:color="auto"/>
            </w:tcBorders>
            <w:shd w:val="clear" w:color="auto" w:fill="auto"/>
            <w:noWrap/>
            <w:hideMark/>
          </w:tcPr>
          <w:p w14:paraId="1A923F99" w14:textId="370693A3" w:rsidR="00691ABD" w:rsidRPr="00786273" w:rsidRDefault="00691ABD" w:rsidP="001E39EE">
            <w:pPr>
              <w:jc w:val="right"/>
              <w:rPr>
                <w:sz w:val="20"/>
                <w:szCs w:val="20"/>
                <w:lang w:val="fr-CA" w:eastAsia="en-CA"/>
              </w:rPr>
            </w:pPr>
            <w:r w:rsidRPr="00786273">
              <w:rPr>
                <w:sz w:val="20"/>
                <w:szCs w:val="20"/>
                <w:lang w:val="fr-CA" w:eastAsia="en-CA"/>
              </w:rPr>
              <w:t>344</w:t>
            </w:r>
            <w:r>
              <w:rPr>
                <w:sz w:val="20"/>
                <w:szCs w:val="20"/>
                <w:lang w:val="fr-CA" w:eastAsia="en-CA"/>
              </w:rPr>
              <w:t xml:space="preserve"> </w:t>
            </w:r>
            <w:r w:rsidRPr="00786273">
              <w:rPr>
                <w:sz w:val="20"/>
                <w:szCs w:val="20"/>
                <w:lang w:val="fr-CA" w:eastAsia="en-CA"/>
              </w:rPr>
              <w:t>917</w:t>
            </w:r>
          </w:p>
        </w:tc>
        <w:tc>
          <w:tcPr>
            <w:tcW w:w="1384" w:type="dxa"/>
            <w:tcBorders>
              <w:top w:val="nil"/>
              <w:left w:val="nil"/>
              <w:bottom w:val="single" w:sz="4" w:space="0" w:color="auto"/>
              <w:right w:val="single" w:sz="4" w:space="0" w:color="auto"/>
            </w:tcBorders>
            <w:shd w:val="clear" w:color="auto" w:fill="auto"/>
            <w:noWrap/>
            <w:hideMark/>
          </w:tcPr>
          <w:p w14:paraId="779E9EBB" w14:textId="77777777" w:rsidR="00691ABD" w:rsidRPr="00786273" w:rsidRDefault="00691ABD" w:rsidP="001E39EE">
            <w:pPr>
              <w:jc w:val="right"/>
              <w:rPr>
                <w:sz w:val="20"/>
                <w:szCs w:val="20"/>
                <w:lang w:val="fr-CA" w:eastAsia="en-CA"/>
              </w:rPr>
            </w:pPr>
            <w:r w:rsidRPr="00786273">
              <w:rPr>
                <w:sz w:val="20"/>
                <w:szCs w:val="20"/>
                <w:lang w:val="fr-CA" w:eastAsia="en-CA"/>
              </w:rPr>
              <w:t>103</w:t>
            </w:r>
          </w:p>
        </w:tc>
        <w:tc>
          <w:tcPr>
            <w:tcW w:w="1149" w:type="dxa"/>
            <w:tcBorders>
              <w:top w:val="nil"/>
              <w:left w:val="nil"/>
              <w:bottom w:val="single" w:sz="4" w:space="0" w:color="auto"/>
              <w:right w:val="single" w:sz="4" w:space="0" w:color="auto"/>
            </w:tcBorders>
            <w:shd w:val="clear" w:color="auto" w:fill="auto"/>
            <w:noWrap/>
            <w:hideMark/>
          </w:tcPr>
          <w:p w14:paraId="1B3C5715"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3037A3F4" w14:textId="77777777" w:rsidTr="00AD0261">
        <w:trPr>
          <w:trHeight w:val="87"/>
        </w:trPr>
        <w:tc>
          <w:tcPr>
            <w:tcW w:w="2972" w:type="dxa"/>
            <w:tcBorders>
              <w:top w:val="nil"/>
              <w:left w:val="single" w:sz="4" w:space="0" w:color="auto"/>
              <w:bottom w:val="single" w:sz="4" w:space="0" w:color="auto"/>
              <w:right w:val="single" w:sz="4" w:space="0" w:color="auto"/>
            </w:tcBorders>
            <w:shd w:val="clear" w:color="auto" w:fill="auto"/>
            <w:noWrap/>
            <w:hideMark/>
          </w:tcPr>
          <w:p w14:paraId="25F3CFD2" w14:textId="77777777" w:rsidR="00691ABD" w:rsidRPr="00786273" w:rsidRDefault="00691ABD" w:rsidP="001E39EE">
            <w:pPr>
              <w:jc w:val="left"/>
              <w:rPr>
                <w:sz w:val="20"/>
                <w:szCs w:val="20"/>
                <w:lang w:val="fr-CA" w:eastAsia="en-CA"/>
              </w:rPr>
            </w:pPr>
            <w:r w:rsidRPr="00786273">
              <w:rPr>
                <w:sz w:val="20"/>
                <w:szCs w:val="20"/>
                <w:lang w:val="fr-CA" w:eastAsia="en-CA"/>
              </w:rPr>
              <w:t>Qatar</w:t>
            </w:r>
          </w:p>
        </w:tc>
        <w:tc>
          <w:tcPr>
            <w:tcW w:w="851" w:type="dxa"/>
            <w:tcBorders>
              <w:top w:val="nil"/>
              <w:left w:val="nil"/>
              <w:bottom w:val="single" w:sz="4" w:space="0" w:color="auto"/>
              <w:right w:val="single" w:sz="4" w:space="0" w:color="auto"/>
            </w:tcBorders>
            <w:shd w:val="clear" w:color="auto" w:fill="auto"/>
            <w:noWrap/>
            <w:hideMark/>
          </w:tcPr>
          <w:p w14:paraId="15787B3E" w14:textId="73918ED4"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w:t>
            </w:r>
            <w:r w:rsidRPr="00786273">
              <w:rPr>
                <w:sz w:val="20"/>
                <w:szCs w:val="20"/>
                <w:lang w:val="fr-CA" w:eastAsia="en-CA"/>
              </w:rPr>
              <w:t>6</w:t>
            </w:r>
          </w:p>
        </w:tc>
        <w:tc>
          <w:tcPr>
            <w:tcW w:w="1160" w:type="dxa"/>
            <w:tcBorders>
              <w:top w:val="nil"/>
              <w:left w:val="nil"/>
              <w:bottom w:val="single" w:sz="4" w:space="0" w:color="auto"/>
              <w:right w:val="single" w:sz="4" w:space="0" w:color="auto"/>
            </w:tcBorders>
            <w:shd w:val="clear" w:color="auto" w:fill="auto"/>
            <w:noWrap/>
            <w:hideMark/>
          </w:tcPr>
          <w:p w14:paraId="4A1CA5BB" w14:textId="77777777" w:rsidR="00691ABD" w:rsidRPr="00786273" w:rsidRDefault="00691ABD" w:rsidP="001E39EE">
            <w:pPr>
              <w:jc w:val="right"/>
              <w:rPr>
                <w:sz w:val="20"/>
                <w:szCs w:val="20"/>
                <w:lang w:val="fr-CA" w:eastAsia="en-CA"/>
              </w:rPr>
            </w:pPr>
            <w:r w:rsidRPr="00786273">
              <w:rPr>
                <w:sz w:val="20"/>
                <w:szCs w:val="20"/>
                <w:lang w:val="fr-CA" w:eastAsia="en-CA"/>
              </w:rPr>
              <w:t>55</w:t>
            </w:r>
          </w:p>
        </w:tc>
        <w:tc>
          <w:tcPr>
            <w:tcW w:w="1250" w:type="dxa"/>
            <w:tcBorders>
              <w:top w:val="nil"/>
              <w:left w:val="nil"/>
              <w:bottom w:val="single" w:sz="4" w:space="0" w:color="auto"/>
              <w:right w:val="single" w:sz="4" w:space="0" w:color="auto"/>
            </w:tcBorders>
            <w:shd w:val="clear" w:color="auto" w:fill="auto"/>
            <w:noWrap/>
            <w:hideMark/>
          </w:tcPr>
          <w:p w14:paraId="480ED737" w14:textId="3B6CA56A" w:rsidR="00691ABD" w:rsidRPr="00786273" w:rsidRDefault="00691ABD" w:rsidP="001E39EE">
            <w:pPr>
              <w:jc w:val="right"/>
              <w:rPr>
                <w:sz w:val="20"/>
                <w:szCs w:val="20"/>
                <w:lang w:val="fr-CA" w:eastAsia="en-CA"/>
              </w:rPr>
            </w:pPr>
            <w:r w:rsidRPr="00786273">
              <w:rPr>
                <w:sz w:val="20"/>
                <w:szCs w:val="20"/>
                <w:lang w:val="fr-CA" w:eastAsia="en-CA"/>
              </w:rPr>
              <w:t>66</w:t>
            </w:r>
            <w:r>
              <w:rPr>
                <w:sz w:val="20"/>
                <w:szCs w:val="20"/>
                <w:lang w:val="fr-CA" w:eastAsia="en-CA"/>
              </w:rPr>
              <w:t xml:space="preserve"> </w:t>
            </w:r>
            <w:r w:rsidRPr="00786273">
              <w:rPr>
                <w:sz w:val="20"/>
                <w:szCs w:val="20"/>
                <w:lang w:val="fr-CA" w:eastAsia="en-CA"/>
              </w:rPr>
              <w:t>816</w:t>
            </w:r>
          </w:p>
        </w:tc>
        <w:tc>
          <w:tcPr>
            <w:tcW w:w="1276" w:type="dxa"/>
            <w:tcBorders>
              <w:top w:val="nil"/>
              <w:left w:val="nil"/>
              <w:bottom w:val="single" w:sz="4" w:space="0" w:color="auto"/>
              <w:right w:val="single" w:sz="4" w:space="0" w:color="auto"/>
            </w:tcBorders>
            <w:shd w:val="clear" w:color="auto" w:fill="auto"/>
            <w:noWrap/>
            <w:hideMark/>
          </w:tcPr>
          <w:p w14:paraId="7C63427A" w14:textId="30BC4A93" w:rsidR="00691ABD" w:rsidRPr="00786273" w:rsidRDefault="00691ABD" w:rsidP="001E39EE">
            <w:pPr>
              <w:jc w:val="right"/>
              <w:rPr>
                <w:sz w:val="20"/>
                <w:szCs w:val="20"/>
                <w:lang w:val="fr-CA" w:eastAsia="en-CA"/>
              </w:rPr>
            </w:pPr>
            <w:r w:rsidRPr="00786273">
              <w:rPr>
                <w:sz w:val="20"/>
                <w:szCs w:val="20"/>
                <w:lang w:val="fr-CA" w:eastAsia="en-CA"/>
              </w:rPr>
              <w:t>99</w:t>
            </w:r>
            <w:r>
              <w:rPr>
                <w:sz w:val="20"/>
                <w:szCs w:val="20"/>
                <w:lang w:val="fr-CA" w:eastAsia="en-CA"/>
              </w:rPr>
              <w:t xml:space="preserve"> </w:t>
            </w:r>
            <w:r w:rsidRPr="00786273">
              <w:rPr>
                <w:sz w:val="20"/>
                <w:szCs w:val="20"/>
                <w:lang w:val="fr-CA" w:eastAsia="en-CA"/>
              </w:rPr>
              <w:t>204</w:t>
            </w:r>
          </w:p>
        </w:tc>
        <w:tc>
          <w:tcPr>
            <w:tcW w:w="1384" w:type="dxa"/>
            <w:tcBorders>
              <w:top w:val="nil"/>
              <w:left w:val="nil"/>
              <w:bottom w:val="single" w:sz="4" w:space="0" w:color="auto"/>
              <w:right w:val="single" w:sz="4" w:space="0" w:color="auto"/>
            </w:tcBorders>
            <w:shd w:val="clear" w:color="auto" w:fill="auto"/>
            <w:noWrap/>
            <w:hideMark/>
          </w:tcPr>
          <w:p w14:paraId="06FA38F0" w14:textId="77777777" w:rsidR="00691ABD" w:rsidRPr="00786273" w:rsidRDefault="00691ABD" w:rsidP="001E39EE">
            <w:pPr>
              <w:jc w:val="right"/>
              <w:rPr>
                <w:sz w:val="20"/>
                <w:szCs w:val="20"/>
                <w:lang w:val="fr-CA" w:eastAsia="en-CA"/>
              </w:rPr>
            </w:pPr>
            <w:r w:rsidRPr="00786273">
              <w:rPr>
                <w:sz w:val="20"/>
                <w:szCs w:val="20"/>
                <w:lang w:val="fr-CA" w:eastAsia="en-CA"/>
              </w:rPr>
              <w:t>148</w:t>
            </w:r>
          </w:p>
        </w:tc>
        <w:tc>
          <w:tcPr>
            <w:tcW w:w="1149" w:type="dxa"/>
            <w:tcBorders>
              <w:top w:val="nil"/>
              <w:left w:val="nil"/>
              <w:bottom w:val="single" w:sz="4" w:space="0" w:color="auto"/>
              <w:right w:val="single" w:sz="4" w:space="0" w:color="auto"/>
            </w:tcBorders>
            <w:shd w:val="clear" w:color="auto" w:fill="auto"/>
            <w:noWrap/>
            <w:hideMark/>
          </w:tcPr>
          <w:p w14:paraId="4866F0FB" w14:textId="77777777" w:rsidR="00691ABD" w:rsidRPr="00786273" w:rsidRDefault="00691ABD" w:rsidP="001E39EE">
            <w:pPr>
              <w:jc w:val="right"/>
              <w:rPr>
                <w:sz w:val="20"/>
                <w:szCs w:val="20"/>
                <w:lang w:val="fr-CA" w:eastAsia="en-CA"/>
              </w:rPr>
            </w:pPr>
            <w:r w:rsidRPr="00786273">
              <w:rPr>
                <w:sz w:val="20"/>
                <w:szCs w:val="20"/>
                <w:lang w:val="fr-CA" w:eastAsia="en-CA"/>
              </w:rPr>
              <w:t>83</w:t>
            </w:r>
          </w:p>
        </w:tc>
      </w:tr>
      <w:tr w:rsidR="00691ABD" w:rsidRPr="00786273" w14:paraId="1A2D1190" w14:textId="77777777" w:rsidTr="00AD0261">
        <w:trPr>
          <w:trHeight w:val="130"/>
        </w:trPr>
        <w:tc>
          <w:tcPr>
            <w:tcW w:w="2972" w:type="dxa"/>
            <w:tcBorders>
              <w:top w:val="nil"/>
              <w:left w:val="single" w:sz="4" w:space="0" w:color="auto"/>
              <w:bottom w:val="single" w:sz="4" w:space="0" w:color="auto"/>
              <w:right w:val="single" w:sz="4" w:space="0" w:color="auto"/>
            </w:tcBorders>
            <w:shd w:val="clear" w:color="auto" w:fill="auto"/>
            <w:noWrap/>
            <w:hideMark/>
          </w:tcPr>
          <w:p w14:paraId="61998827" w14:textId="77777777" w:rsidR="00691ABD" w:rsidRPr="00786273" w:rsidRDefault="00691ABD" w:rsidP="001E39EE">
            <w:pPr>
              <w:jc w:val="left"/>
              <w:rPr>
                <w:sz w:val="20"/>
                <w:szCs w:val="20"/>
                <w:lang w:val="fr-CA" w:eastAsia="en-CA"/>
              </w:rPr>
            </w:pPr>
            <w:r>
              <w:rPr>
                <w:sz w:val="20"/>
                <w:szCs w:val="20"/>
                <w:lang w:val="fr-CA" w:eastAsia="en-CA"/>
              </w:rPr>
              <w:t>République arabe syrienne</w:t>
            </w:r>
          </w:p>
        </w:tc>
        <w:tc>
          <w:tcPr>
            <w:tcW w:w="851" w:type="dxa"/>
            <w:tcBorders>
              <w:top w:val="nil"/>
              <w:left w:val="nil"/>
              <w:bottom w:val="single" w:sz="4" w:space="0" w:color="auto"/>
              <w:right w:val="single" w:sz="4" w:space="0" w:color="auto"/>
            </w:tcBorders>
            <w:shd w:val="clear" w:color="auto" w:fill="auto"/>
            <w:noWrap/>
            <w:hideMark/>
          </w:tcPr>
          <w:p w14:paraId="5A092911" w14:textId="431A3782"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C795668"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45F49678" w14:textId="2043F756" w:rsidR="00691ABD" w:rsidRPr="00786273" w:rsidRDefault="00691ABD" w:rsidP="001E39EE">
            <w:pPr>
              <w:jc w:val="right"/>
              <w:rPr>
                <w:sz w:val="20"/>
                <w:szCs w:val="20"/>
                <w:lang w:val="fr-CA" w:eastAsia="en-CA"/>
              </w:rPr>
            </w:pPr>
            <w:r w:rsidRPr="00786273">
              <w:rPr>
                <w:sz w:val="20"/>
                <w:szCs w:val="20"/>
                <w:lang w:val="fr-CA" w:eastAsia="en-CA"/>
              </w:rPr>
              <w:t>48</w:t>
            </w:r>
            <w:r>
              <w:rPr>
                <w:sz w:val="20"/>
                <w:szCs w:val="20"/>
                <w:lang w:val="fr-CA" w:eastAsia="en-CA"/>
              </w:rPr>
              <w:t xml:space="preserve"> </w:t>
            </w:r>
            <w:r w:rsidRPr="00786273">
              <w:rPr>
                <w:sz w:val="20"/>
                <w:szCs w:val="20"/>
                <w:lang w:val="fr-CA" w:eastAsia="en-CA"/>
              </w:rPr>
              <w:t>001</w:t>
            </w:r>
          </w:p>
        </w:tc>
        <w:tc>
          <w:tcPr>
            <w:tcW w:w="1276" w:type="dxa"/>
            <w:tcBorders>
              <w:top w:val="nil"/>
              <w:left w:val="nil"/>
              <w:bottom w:val="single" w:sz="4" w:space="0" w:color="auto"/>
              <w:right w:val="single" w:sz="4" w:space="0" w:color="auto"/>
            </w:tcBorders>
            <w:shd w:val="clear" w:color="auto" w:fill="auto"/>
            <w:noWrap/>
            <w:hideMark/>
          </w:tcPr>
          <w:p w14:paraId="533D4665" w14:textId="0DE27553" w:rsidR="00691ABD" w:rsidRPr="00786273" w:rsidRDefault="00691ABD" w:rsidP="001E39EE">
            <w:pPr>
              <w:jc w:val="right"/>
              <w:rPr>
                <w:sz w:val="20"/>
                <w:szCs w:val="20"/>
                <w:lang w:val="fr-CA" w:eastAsia="en-CA"/>
              </w:rPr>
            </w:pPr>
            <w:r w:rsidRPr="00786273">
              <w:rPr>
                <w:sz w:val="20"/>
                <w:szCs w:val="20"/>
                <w:lang w:val="fr-CA" w:eastAsia="en-CA"/>
              </w:rPr>
              <w:t>635</w:t>
            </w:r>
            <w:r>
              <w:rPr>
                <w:sz w:val="20"/>
                <w:szCs w:val="20"/>
                <w:lang w:val="fr-CA" w:eastAsia="en-CA"/>
              </w:rPr>
              <w:t xml:space="preserve"> </w:t>
            </w:r>
            <w:r w:rsidRPr="00786273">
              <w:rPr>
                <w:sz w:val="20"/>
                <w:szCs w:val="20"/>
                <w:lang w:val="fr-CA" w:eastAsia="en-CA"/>
              </w:rPr>
              <w:t>147</w:t>
            </w:r>
          </w:p>
        </w:tc>
        <w:tc>
          <w:tcPr>
            <w:tcW w:w="1384" w:type="dxa"/>
            <w:tcBorders>
              <w:top w:val="nil"/>
              <w:left w:val="nil"/>
              <w:bottom w:val="single" w:sz="4" w:space="0" w:color="auto"/>
              <w:right w:val="single" w:sz="4" w:space="0" w:color="auto"/>
            </w:tcBorders>
            <w:shd w:val="clear" w:color="auto" w:fill="auto"/>
            <w:noWrap/>
            <w:hideMark/>
          </w:tcPr>
          <w:p w14:paraId="70C2717F" w14:textId="77777777" w:rsidR="00691ABD" w:rsidRPr="00786273" w:rsidRDefault="00691ABD" w:rsidP="001E39EE">
            <w:pPr>
              <w:jc w:val="right"/>
              <w:rPr>
                <w:sz w:val="20"/>
                <w:szCs w:val="20"/>
                <w:lang w:val="fr-CA" w:eastAsia="en-CA"/>
              </w:rPr>
            </w:pPr>
            <w:r w:rsidRPr="00786273">
              <w:rPr>
                <w:sz w:val="20"/>
                <w:szCs w:val="20"/>
                <w:lang w:val="fr-CA" w:eastAsia="en-CA"/>
              </w:rPr>
              <w:t>1323</w:t>
            </w:r>
          </w:p>
        </w:tc>
        <w:tc>
          <w:tcPr>
            <w:tcW w:w="1149" w:type="dxa"/>
            <w:tcBorders>
              <w:top w:val="nil"/>
              <w:left w:val="nil"/>
              <w:bottom w:val="single" w:sz="4" w:space="0" w:color="auto"/>
              <w:right w:val="single" w:sz="4" w:space="0" w:color="auto"/>
            </w:tcBorders>
            <w:shd w:val="clear" w:color="auto" w:fill="auto"/>
            <w:noWrap/>
            <w:hideMark/>
          </w:tcPr>
          <w:p w14:paraId="6E89090C" w14:textId="77777777" w:rsidR="00691ABD" w:rsidRPr="00786273" w:rsidRDefault="00691ABD" w:rsidP="001E39EE">
            <w:pPr>
              <w:jc w:val="left"/>
              <w:rPr>
                <w:sz w:val="20"/>
                <w:szCs w:val="20"/>
                <w:lang w:val="fr-CA" w:eastAsia="en-CA"/>
              </w:rPr>
            </w:pPr>
          </w:p>
        </w:tc>
      </w:tr>
      <w:tr w:rsidR="00691ABD" w:rsidRPr="00786273" w14:paraId="4153FCE9"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E07930F" w14:textId="77777777" w:rsidR="00691ABD" w:rsidRPr="00786273" w:rsidRDefault="00691ABD" w:rsidP="001E39EE">
            <w:pPr>
              <w:jc w:val="left"/>
              <w:rPr>
                <w:sz w:val="20"/>
                <w:szCs w:val="20"/>
                <w:lang w:val="fr-CA" w:eastAsia="en-CA"/>
              </w:rPr>
            </w:pPr>
            <w:r>
              <w:rPr>
                <w:sz w:val="20"/>
                <w:szCs w:val="20"/>
                <w:lang w:val="fr-CA" w:eastAsia="en-CA"/>
              </w:rPr>
              <w:t>République centrafricaine</w:t>
            </w:r>
          </w:p>
        </w:tc>
        <w:tc>
          <w:tcPr>
            <w:tcW w:w="851" w:type="dxa"/>
            <w:tcBorders>
              <w:top w:val="nil"/>
              <w:left w:val="nil"/>
              <w:bottom w:val="single" w:sz="4" w:space="0" w:color="auto"/>
              <w:right w:val="single" w:sz="4" w:space="0" w:color="auto"/>
            </w:tcBorders>
            <w:shd w:val="clear" w:color="auto" w:fill="auto"/>
            <w:noWrap/>
            <w:hideMark/>
          </w:tcPr>
          <w:p w14:paraId="13A186CF" w14:textId="579EF6B2"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6BD7D4E"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E7CE577" w14:textId="13EEE066" w:rsidR="00691ABD" w:rsidRPr="00786273" w:rsidRDefault="00691ABD" w:rsidP="001E39EE">
            <w:pPr>
              <w:jc w:val="right"/>
              <w:rPr>
                <w:sz w:val="20"/>
                <w:szCs w:val="20"/>
                <w:lang w:val="fr-CA" w:eastAsia="en-CA"/>
              </w:rPr>
            </w:pPr>
            <w:r w:rsidRPr="00786273">
              <w:rPr>
                <w:sz w:val="20"/>
                <w:szCs w:val="20"/>
                <w:lang w:val="fr-CA" w:eastAsia="en-CA"/>
              </w:rPr>
              <w:t>18</w:t>
            </w:r>
            <w:r>
              <w:rPr>
                <w:sz w:val="20"/>
                <w:szCs w:val="20"/>
                <w:lang w:val="fr-CA" w:eastAsia="en-CA"/>
              </w:rPr>
              <w:t xml:space="preserve"> </w:t>
            </w:r>
            <w:r w:rsidRPr="00786273">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387BCEB0"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384" w:type="dxa"/>
            <w:tcBorders>
              <w:top w:val="nil"/>
              <w:left w:val="nil"/>
              <w:bottom w:val="single" w:sz="4" w:space="0" w:color="auto"/>
              <w:right w:val="single" w:sz="4" w:space="0" w:color="auto"/>
            </w:tcBorders>
            <w:shd w:val="clear" w:color="auto" w:fill="auto"/>
            <w:noWrap/>
            <w:hideMark/>
          </w:tcPr>
          <w:p w14:paraId="00B50238"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149" w:type="dxa"/>
            <w:tcBorders>
              <w:top w:val="nil"/>
              <w:left w:val="nil"/>
              <w:bottom w:val="single" w:sz="4" w:space="0" w:color="auto"/>
              <w:right w:val="single" w:sz="4" w:space="0" w:color="auto"/>
            </w:tcBorders>
            <w:shd w:val="clear" w:color="auto" w:fill="auto"/>
            <w:noWrap/>
            <w:hideMark/>
          </w:tcPr>
          <w:p w14:paraId="3B22CE60"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4C6563C8" w14:textId="77777777" w:rsidTr="00AD0261">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4E1A5940" w14:textId="77777777" w:rsidR="00691ABD" w:rsidRPr="00786273" w:rsidRDefault="00691ABD" w:rsidP="001E39EE">
            <w:pPr>
              <w:jc w:val="left"/>
              <w:rPr>
                <w:sz w:val="20"/>
                <w:szCs w:val="20"/>
                <w:lang w:val="fr-CA" w:eastAsia="en-CA"/>
              </w:rPr>
            </w:pPr>
            <w:r>
              <w:rPr>
                <w:sz w:val="20"/>
                <w:szCs w:val="20"/>
                <w:lang w:val="fr-CA" w:eastAsia="en-CA"/>
              </w:rPr>
              <w:t>République de Moldova</w:t>
            </w:r>
          </w:p>
        </w:tc>
        <w:tc>
          <w:tcPr>
            <w:tcW w:w="851" w:type="dxa"/>
            <w:tcBorders>
              <w:top w:val="nil"/>
              <w:left w:val="nil"/>
              <w:bottom w:val="single" w:sz="4" w:space="0" w:color="auto"/>
              <w:right w:val="single" w:sz="4" w:space="0" w:color="auto"/>
            </w:tcBorders>
            <w:shd w:val="clear" w:color="auto" w:fill="auto"/>
            <w:noWrap/>
            <w:hideMark/>
          </w:tcPr>
          <w:p w14:paraId="63DEC796" w14:textId="0C2B283B"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49BAF70"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3A655C0" w14:textId="4133B5F4" w:rsidR="00691ABD" w:rsidRPr="00786273" w:rsidRDefault="00691ABD" w:rsidP="001E39EE">
            <w:pPr>
              <w:jc w:val="right"/>
              <w:rPr>
                <w:sz w:val="20"/>
                <w:szCs w:val="20"/>
                <w:lang w:val="fr-CA" w:eastAsia="en-CA"/>
              </w:rPr>
            </w:pPr>
            <w:r w:rsidRPr="00786273">
              <w:rPr>
                <w:sz w:val="20"/>
                <w:szCs w:val="20"/>
                <w:lang w:val="fr-CA" w:eastAsia="en-CA"/>
              </w:rPr>
              <w:t>118</w:t>
            </w:r>
            <w:r>
              <w:rPr>
                <w:sz w:val="20"/>
                <w:szCs w:val="20"/>
                <w:lang w:val="fr-CA" w:eastAsia="en-CA"/>
              </w:rPr>
              <w:t xml:space="preserve"> </w:t>
            </w:r>
            <w:r w:rsidRPr="00786273">
              <w:rPr>
                <w:sz w:val="20"/>
                <w:szCs w:val="20"/>
                <w:lang w:val="fr-CA" w:eastAsia="en-CA"/>
              </w:rPr>
              <w:t>765</w:t>
            </w:r>
          </w:p>
        </w:tc>
        <w:tc>
          <w:tcPr>
            <w:tcW w:w="1276" w:type="dxa"/>
            <w:tcBorders>
              <w:top w:val="nil"/>
              <w:left w:val="nil"/>
              <w:bottom w:val="single" w:sz="4" w:space="0" w:color="auto"/>
              <w:right w:val="single" w:sz="4" w:space="0" w:color="auto"/>
            </w:tcBorders>
            <w:shd w:val="clear" w:color="auto" w:fill="auto"/>
            <w:noWrap/>
            <w:hideMark/>
          </w:tcPr>
          <w:p w14:paraId="6F34562D" w14:textId="3A0BEABD" w:rsidR="00691ABD" w:rsidRPr="00786273" w:rsidRDefault="00691ABD" w:rsidP="001E39EE">
            <w:pPr>
              <w:jc w:val="right"/>
              <w:rPr>
                <w:sz w:val="20"/>
                <w:szCs w:val="20"/>
                <w:lang w:val="fr-CA" w:eastAsia="en-CA"/>
              </w:rPr>
            </w:pPr>
            <w:r w:rsidRPr="00786273">
              <w:rPr>
                <w:sz w:val="20"/>
                <w:szCs w:val="20"/>
                <w:lang w:val="fr-CA" w:eastAsia="en-CA"/>
              </w:rPr>
              <w:t>80</w:t>
            </w:r>
            <w:r>
              <w:rPr>
                <w:sz w:val="20"/>
                <w:szCs w:val="20"/>
                <w:lang w:val="fr-CA" w:eastAsia="en-CA"/>
              </w:rPr>
              <w:t xml:space="preserve"> </w:t>
            </w:r>
            <w:r w:rsidRPr="00786273">
              <w:rPr>
                <w:sz w:val="20"/>
                <w:szCs w:val="20"/>
                <w:lang w:val="fr-CA" w:eastAsia="en-CA"/>
              </w:rPr>
              <w:t>147</w:t>
            </w:r>
          </w:p>
        </w:tc>
        <w:tc>
          <w:tcPr>
            <w:tcW w:w="1384" w:type="dxa"/>
            <w:tcBorders>
              <w:top w:val="nil"/>
              <w:left w:val="nil"/>
              <w:bottom w:val="single" w:sz="4" w:space="0" w:color="auto"/>
              <w:right w:val="single" w:sz="4" w:space="0" w:color="auto"/>
            </w:tcBorders>
            <w:shd w:val="clear" w:color="auto" w:fill="auto"/>
            <w:noWrap/>
            <w:hideMark/>
          </w:tcPr>
          <w:p w14:paraId="45DAFBBA" w14:textId="77777777" w:rsidR="00691ABD" w:rsidRPr="00786273" w:rsidRDefault="00691ABD" w:rsidP="001E39EE">
            <w:pPr>
              <w:jc w:val="right"/>
              <w:rPr>
                <w:sz w:val="20"/>
                <w:szCs w:val="20"/>
                <w:lang w:val="fr-CA" w:eastAsia="en-CA"/>
              </w:rPr>
            </w:pPr>
            <w:r w:rsidRPr="00786273">
              <w:rPr>
                <w:sz w:val="20"/>
                <w:szCs w:val="20"/>
                <w:lang w:val="fr-CA" w:eastAsia="en-CA"/>
              </w:rPr>
              <w:t>67</w:t>
            </w:r>
          </w:p>
        </w:tc>
        <w:tc>
          <w:tcPr>
            <w:tcW w:w="1149" w:type="dxa"/>
            <w:tcBorders>
              <w:top w:val="nil"/>
              <w:left w:val="nil"/>
              <w:bottom w:val="single" w:sz="4" w:space="0" w:color="auto"/>
              <w:right w:val="single" w:sz="4" w:space="0" w:color="auto"/>
            </w:tcBorders>
            <w:shd w:val="clear" w:color="auto" w:fill="auto"/>
            <w:noWrap/>
            <w:hideMark/>
          </w:tcPr>
          <w:p w14:paraId="7CF7E050"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06D13E73" w14:textId="77777777" w:rsidTr="00AD0261">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68B1E045" w14:textId="77777777" w:rsidR="00691ABD" w:rsidRPr="00786273" w:rsidRDefault="00691ABD" w:rsidP="001E39EE">
            <w:pPr>
              <w:jc w:val="left"/>
              <w:rPr>
                <w:sz w:val="20"/>
                <w:szCs w:val="20"/>
                <w:lang w:val="fr-CA" w:eastAsia="en-CA"/>
              </w:rPr>
            </w:pPr>
            <w:r>
              <w:rPr>
                <w:sz w:val="20"/>
                <w:szCs w:val="20"/>
                <w:lang w:val="fr-CA" w:eastAsia="en-CA"/>
              </w:rPr>
              <w:t>République démocratique du Congo</w:t>
            </w:r>
          </w:p>
        </w:tc>
        <w:tc>
          <w:tcPr>
            <w:tcW w:w="851" w:type="dxa"/>
            <w:tcBorders>
              <w:top w:val="nil"/>
              <w:left w:val="nil"/>
              <w:bottom w:val="single" w:sz="4" w:space="0" w:color="auto"/>
              <w:right w:val="single" w:sz="4" w:space="0" w:color="auto"/>
            </w:tcBorders>
            <w:shd w:val="clear" w:color="auto" w:fill="auto"/>
            <w:noWrap/>
            <w:hideMark/>
          </w:tcPr>
          <w:p w14:paraId="0AF5B77F" w14:textId="681158FE"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0F8D435B"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395DA0B9" w14:textId="07895AE7" w:rsidR="00691ABD" w:rsidRPr="00786273" w:rsidRDefault="00691ABD" w:rsidP="001E39EE">
            <w:pPr>
              <w:jc w:val="right"/>
              <w:rPr>
                <w:sz w:val="20"/>
                <w:szCs w:val="20"/>
                <w:lang w:val="fr-CA" w:eastAsia="en-CA"/>
              </w:rPr>
            </w:pPr>
            <w:r w:rsidRPr="00786273">
              <w:rPr>
                <w:sz w:val="20"/>
                <w:szCs w:val="20"/>
                <w:lang w:val="fr-CA" w:eastAsia="en-CA"/>
              </w:rPr>
              <w:t>83</w:t>
            </w:r>
            <w:r>
              <w:rPr>
                <w:sz w:val="20"/>
                <w:szCs w:val="20"/>
                <w:lang w:val="fr-CA" w:eastAsia="en-CA"/>
              </w:rPr>
              <w:t xml:space="preserve"> </w:t>
            </w:r>
            <w:r w:rsidRPr="00786273">
              <w:rPr>
                <w:sz w:val="20"/>
                <w:szCs w:val="20"/>
                <w:lang w:val="fr-CA" w:eastAsia="en-CA"/>
              </w:rPr>
              <w:t>819</w:t>
            </w:r>
          </w:p>
        </w:tc>
        <w:tc>
          <w:tcPr>
            <w:tcW w:w="1276" w:type="dxa"/>
            <w:tcBorders>
              <w:top w:val="nil"/>
              <w:left w:val="nil"/>
              <w:bottom w:val="single" w:sz="4" w:space="0" w:color="auto"/>
              <w:right w:val="single" w:sz="4" w:space="0" w:color="auto"/>
            </w:tcBorders>
            <w:shd w:val="clear" w:color="auto" w:fill="auto"/>
            <w:noWrap/>
            <w:hideMark/>
          </w:tcPr>
          <w:p w14:paraId="57EBA88E" w14:textId="7C7BEA41" w:rsidR="00691ABD" w:rsidRPr="00786273" w:rsidRDefault="00691ABD" w:rsidP="001E39EE">
            <w:pPr>
              <w:jc w:val="right"/>
              <w:rPr>
                <w:sz w:val="20"/>
                <w:szCs w:val="20"/>
                <w:lang w:val="fr-CA" w:eastAsia="en-CA"/>
              </w:rPr>
            </w:pPr>
            <w:r w:rsidRPr="00786273">
              <w:rPr>
                <w:sz w:val="20"/>
                <w:szCs w:val="20"/>
                <w:lang w:val="fr-CA" w:eastAsia="en-CA"/>
              </w:rPr>
              <w:t>39</w:t>
            </w:r>
            <w:r>
              <w:rPr>
                <w:sz w:val="20"/>
                <w:szCs w:val="20"/>
                <w:lang w:val="fr-CA" w:eastAsia="en-CA"/>
              </w:rPr>
              <w:t xml:space="preserve"> </w:t>
            </w:r>
            <w:r w:rsidRPr="00786273">
              <w:rPr>
                <w:sz w:val="20"/>
                <w:szCs w:val="20"/>
                <w:lang w:val="fr-CA" w:eastAsia="en-CA"/>
              </w:rPr>
              <w:t>900</w:t>
            </w:r>
          </w:p>
        </w:tc>
        <w:tc>
          <w:tcPr>
            <w:tcW w:w="1384" w:type="dxa"/>
            <w:tcBorders>
              <w:top w:val="nil"/>
              <w:left w:val="nil"/>
              <w:bottom w:val="single" w:sz="4" w:space="0" w:color="auto"/>
              <w:right w:val="single" w:sz="4" w:space="0" w:color="auto"/>
            </w:tcBorders>
            <w:shd w:val="clear" w:color="auto" w:fill="auto"/>
            <w:noWrap/>
            <w:hideMark/>
          </w:tcPr>
          <w:p w14:paraId="06AE3724" w14:textId="77777777" w:rsidR="00691ABD" w:rsidRPr="00786273" w:rsidRDefault="00691ABD" w:rsidP="001E39EE">
            <w:pPr>
              <w:jc w:val="right"/>
              <w:rPr>
                <w:sz w:val="20"/>
                <w:szCs w:val="20"/>
                <w:lang w:val="fr-CA" w:eastAsia="en-CA"/>
              </w:rPr>
            </w:pPr>
            <w:r w:rsidRPr="00786273">
              <w:rPr>
                <w:sz w:val="20"/>
                <w:szCs w:val="20"/>
                <w:lang w:val="fr-CA" w:eastAsia="en-CA"/>
              </w:rPr>
              <w:t>48</w:t>
            </w:r>
          </w:p>
        </w:tc>
        <w:tc>
          <w:tcPr>
            <w:tcW w:w="1149" w:type="dxa"/>
            <w:tcBorders>
              <w:top w:val="nil"/>
              <w:left w:val="nil"/>
              <w:bottom w:val="single" w:sz="4" w:space="0" w:color="auto"/>
              <w:right w:val="single" w:sz="4" w:space="0" w:color="auto"/>
            </w:tcBorders>
            <w:shd w:val="clear" w:color="auto" w:fill="auto"/>
            <w:noWrap/>
            <w:hideMark/>
          </w:tcPr>
          <w:p w14:paraId="6486149A" w14:textId="77777777" w:rsidR="00691ABD" w:rsidRPr="00786273" w:rsidRDefault="00691ABD" w:rsidP="001E39EE">
            <w:pPr>
              <w:jc w:val="right"/>
              <w:rPr>
                <w:sz w:val="20"/>
                <w:szCs w:val="20"/>
                <w:lang w:val="fr-CA" w:eastAsia="en-CA"/>
              </w:rPr>
            </w:pPr>
            <w:r w:rsidRPr="00786273">
              <w:rPr>
                <w:sz w:val="20"/>
                <w:szCs w:val="20"/>
                <w:lang w:val="fr-CA" w:eastAsia="en-CA"/>
              </w:rPr>
              <w:t>33</w:t>
            </w:r>
          </w:p>
        </w:tc>
      </w:tr>
      <w:tr w:rsidR="00691ABD" w:rsidRPr="00786273" w14:paraId="2B71199E" w14:textId="77777777" w:rsidTr="00AD0261">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245587D6" w14:textId="77777777" w:rsidR="00691ABD" w:rsidRPr="00786273" w:rsidRDefault="00691ABD" w:rsidP="001E39EE">
            <w:pPr>
              <w:jc w:val="left"/>
              <w:rPr>
                <w:sz w:val="20"/>
                <w:szCs w:val="20"/>
                <w:lang w:val="fr-CA" w:eastAsia="en-CA"/>
              </w:rPr>
            </w:pPr>
            <w:r>
              <w:rPr>
                <w:sz w:val="20"/>
                <w:szCs w:val="20"/>
                <w:lang w:val="fr-CA" w:eastAsia="en-CA"/>
              </w:rPr>
              <w:t>République démocratique populaire lao</w:t>
            </w:r>
          </w:p>
        </w:tc>
        <w:tc>
          <w:tcPr>
            <w:tcW w:w="851" w:type="dxa"/>
            <w:tcBorders>
              <w:top w:val="nil"/>
              <w:left w:val="nil"/>
              <w:bottom w:val="single" w:sz="4" w:space="0" w:color="auto"/>
              <w:right w:val="single" w:sz="4" w:space="0" w:color="auto"/>
            </w:tcBorders>
            <w:shd w:val="clear" w:color="auto" w:fill="auto"/>
            <w:noWrap/>
            <w:hideMark/>
          </w:tcPr>
          <w:p w14:paraId="0048F037" w14:textId="3C34C6E8"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09342ECC"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31F40029" w14:textId="1E98688F" w:rsidR="00691ABD" w:rsidRPr="00786273" w:rsidRDefault="00691ABD" w:rsidP="001E39EE">
            <w:pPr>
              <w:jc w:val="right"/>
              <w:rPr>
                <w:sz w:val="20"/>
                <w:szCs w:val="20"/>
                <w:lang w:val="fr-CA" w:eastAsia="en-CA"/>
              </w:rPr>
            </w:pPr>
            <w:r w:rsidRPr="00786273">
              <w:rPr>
                <w:sz w:val="20"/>
                <w:szCs w:val="20"/>
                <w:lang w:val="fr-CA" w:eastAsia="en-CA"/>
              </w:rPr>
              <w:t>127</w:t>
            </w:r>
            <w:r>
              <w:rPr>
                <w:sz w:val="20"/>
                <w:szCs w:val="20"/>
                <w:lang w:val="fr-CA" w:eastAsia="en-CA"/>
              </w:rPr>
              <w:t xml:space="preserve"> </w:t>
            </w:r>
            <w:r w:rsidRPr="00786273">
              <w:rPr>
                <w:sz w:val="20"/>
                <w:szCs w:val="20"/>
                <w:lang w:val="fr-CA" w:eastAsia="en-CA"/>
              </w:rPr>
              <w:t>928</w:t>
            </w:r>
          </w:p>
        </w:tc>
        <w:tc>
          <w:tcPr>
            <w:tcW w:w="1276" w:type="dxa"/>
            <w:tcBorders>
              <w:top w:val="nil"/>
              <w:left w:val="nil"/>
              <w:bottom w:val="single" w:sz="4" w:space="0" w:color="auto"/>
              <w:right w:val="single" w:sz="4" w:space="0" w:color="auto"/>
            </w:tcBorders>
            <w:shd w:val="clear" w:color="auto" w:fill="auto"/>
            <w:noWrap/>
            <w:hideMark/>
          </w:tcPr>
          <w:p w14:paraId="78B6E1A6" w14:textId="2BA99773" w:rsidR="00691ABD" w:rsidRPr="00786273" w:rsidRDefault="00691ABD" w:rsidP="001E39EE">
            <w:pPr>
              <w:jc w:val="right"/>
              <w:rPr>
                <w:sz w:val="20"/>
                <w:szCs w:val="20"/>
                <w:lang w:val="fr-CA" w:eastAsia="en-CA"/>
              </w:rPr>
            </w:pPr>
            <w:r w:rsidRPr="00786273">
              <w:rPr>
                <w:sz w:val="20"/>
                <w:szCs w:val="20"/>
                <w:lang w:val="fr-CA" w:eastAsia="en-CA"/>
              </w:rPr>
              <w:t>101</w:t>
            </w:r>
            <w:r>
              <w:rPr>
                <w:sz w:val="20"/>
                <w:szCs w:val="20"/>
                <w:lang w:val="fr-CA" w:eastAsia="en-CA"/>
              </w:rPr>
              <w:t xml:space="preserve"> </w:t>
            </w:r>
            <w:r w:rsidRPr="00786273">
              <w:rPr>
                <w:sz w:val="20"/>
                <w:szCs w:val="20"/>
                <w:lang w:val="fr-CA" w:eastAsia="en-CA"/>
              </w:rPr>
              <w:t>411</w:t>
            </w:r>
          </w:p>
        </w:tc>
        <w:tc>
          <w:tcPr>
            <w:tcW w:w="1384" w:type="dxa"/>
            <w:tcBorders>
              <w:top w:val="nil"/>
              <w:left w:val="nil"/>
              <w:bottom w:val="single" w:sz="4" w:space="0" w:color="auto"/>
              <w:right w:val="single" w:sz="4" w:space="0" w:color="auto"/>
            </w:tcBorders>
            <w:shd w:val="clear" w:color="auto" w:fill="auto"/>
            <w:noWrap/>
            <w:hideMark/>
          </w:tcPr>
          <w:p w14:paraId="1AFB9A2D" w14:textId="77777777" w:rsidR="00691ABD" w:rsidRPr="00786273" w:rsidRDefault="00691ABD" w:rsidP="001E39EE">
            <w:pPr>
              <w:jc w:val="right"/>
              <w:rPr>
                <w:sz w:val="20"/>
                <w:szCs w:val="20"/>
                <w:lang w:val="fr-CA" w:eastAsia="en-CA"/>
              </w:rPr>
            </w:pPr>
            <w:r w:rsidRPr="00786273">
              <w:rPr>
                <w:sz w:val="20"/>
                <w:szCs w:val="20"/>
                <w:lang w:val="fr-CA" w:eastAsia="en-CA"/>
              </w:rPr>
              <w:t>79</w:t>
            </w:r>
          </w:p>
        </w:tc>
        <w:tc>
          <w:tcPr>
            <w:tcW w:w="1149" w:type="dxa"/>
            <w:tcBorders>
              <w:top w:val="nil"/>
              <w:left w:val="nil"/>
              <w:bottom w:val="single" w:sz="4" w:space="0" w:color="auto"/>
              <w:right w:val="single" w:sz="4" w:space="0" w:color="auto"/>
            </w:tcBorders>
            <w:shd w:val="clear" w:color="auto" w:fill="auto"/>
            <w:noWrap/>
            <w:hideMark/>
          </w:tcPr>
          <w:p w14:paraId="41566BC4"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5CE60518"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CF08CF4" w14:textId="77777777" w:rsidR="00691ABD" w:rsidRPr="00786273" w:rsidRDefault="00691ABD" w:rsidP="001E39EE">
            <w:pPr>
              <w:jc w:val="left"/>
              <w:rPr>
                <w:sz w:val="20"/>
                <w:szCs w:val="20"/>
                <w:lang w:val="fr-CA" w:eastAsia="en-CA"/>
              </w:rPr>
            </w:pPr>
            <w:r>
              <w:rPr>
                <w:sz w:val="20"/>
                <w:szCs w:val="20"/>
                <w:lang w:val="fr-CA" w:eastAsia="en-CA"/>
              </w:rPr>
              <w:t>République dominicaine</w:t>
            </w:r>
          </w:p>
        </w:tc>
        <w:tc>
          <w:tcPr>
            <w:tcW w:w="851" w:type="dxa"/>
            <w:tcBorders>
              <w:top w:val="nil"/>
              <w:left w:val="nil"/>
              <w:bottom w:val="single" w:sz="4" w:space="0" w:color="auto"/>
              <w:right w:val="single" w:sz="4" w:space="0" w:color="auto"/>
            </w:tcBorders>
            <w:shd w:val="clear" w:color="auto" w:fill="auto"/>
            <w:noWrap/>
            <w:hideMark/>
          </w:tcPr>
          <w:p w14:paraId="235C3C37" w14:textId="02D6CE48"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47EE013" w14:textId="77777777" w:rsidR="00691ABD" w:rsidRPr="00786273" w:rsidRDefault="00691ABD" w:rsidP="001E39EE">
            <w:pPr>
              <w:jc w:val="right"/>
              <w:rPr>
                <w:sz w:val="20"/>
                <w:szCs w:val="20"/>
                <w:lang w:val="fr-CA" w:eastAsia="en-CA"/>
              </w:rPr>
            </w:pPr>
            <w:r w:rsidRPr="00786273">
              <w:rPr>
                <w:sz w:val="20"/>
                <w:szCs w:val="20"/>
                <w:lang w:val="fr-CA" w:eastAsia="en-CA"/>
              </w:rPr>
              <w:t>100</w:t>
            </w:r>
          </w:p>
        </w:tc>
        <w:tc>
          <w:tcPr>
            <w:tcW w:w="1250" w:type="dxa"/>
            <w:tcBorders>
              <w:top w:val="nil"/>
              <w:left w:val="nil"/>
              <w:bottom w:val="single" w:sz="4" w:space="0" w:color="auto"/>
              <w:right w:val="single" w:sz="4" w:space="0" w:color="auto"/>
            </w:tcBorders>
            <w:shd w:val="clear" w:color="auto" w:fill="auto"/>
            <w:noWrap/>
            <w:hideMark/>
          </w:tcPr>
          <w:p w14:paraId="3267076E" w14:textId="100F6361" w:rsidR="00691ABD" w:rsidRPr="00786273" w:rsidRDefault="00691ABD" w:rsidP="001E39EE">
            <w:pPr>
              <w:jc w:val="right"/>
              <w:rPr>
                <w:sz w:val="20"/>
                <w:szCs w:val="20"/>
                <w:lang w:val="fr-CA" w:eastAsia="en-CA"/>
              </w:rPr>
            </w:pPr>
            <w:r w:rsidRPr="00786273">
              <w:rPr>
                <w:sz w:val="20"/>
                <w:szCs w:val="20"/>
                <w:lang w:val="fr-CA" w:eastAsia="en-CA"/>
              </w:rPr>
              <w:t>338</w:t>
            </w:r>
            <w:r>
              <w:rPr>
                <w:sz w:val="20"/>
                <w:szCs w:val="20"/>
                <w:lang w:val="fr-CA" w:eastAsia="en-CA"/>
              </w:rPr>
              <w:t xml:space="preserve"> </w:t>
            </w:r>
            <w:r w:rsidRPr="00786273">
              <w:rPr>
                <w:sz w:val="20"/>
                <w:szCs w:val="20"/>
                <w:lang w:val="fr-CA" w:eastAsia="en-CA"/>
              </w:rPr>
              <w:t>354</w:t>
            </w:r>
          </w:p>
        </w:tc>
        <w:tc>
          <w:tcPr>
            <w:tcW w:w="1276" w:type="dxa"/>
            <w:tcBorders>
              <w:top w:val="nil"/>
              <w:left w:val="nil"/>
              <w:bottom w:val="single" w:sz="4" w:space="0" w:color="auto"/>
              <w:right w:val="single" w:sz="4" w:space="0" w:color="auto"/>
            </w:tcBorders>
            <w:shd w:val="clear" w:color="auto" w:fill="auto"/>
            <w:noWrap/>
            <w:hideMark/>
          </w:tcPr>
          <w:p w14:paraId="3594C839" w14:textId="53492EDA" w:rsidR="00691ABD" w:rsidRPr="00786273" w:rsidRDefault="00691ABD" w:rsidP="001E39EE">
            <w:pPr>
              <w:jc w:val="right"/>
              <w:rPr>
                <w:sz w:val="20"/>
                <w:szCs w:val="20"/>
                <w:lang w:val="fr-CA" w:eastAsia="en-CA"/>
              </w:rPr>
            </w:pPr>
            <w:r w:rsidRPr="00786273">
              <w:rPr>
                <w:sz w:val="20"/>
                <w:szCs w:val="20"/>
                <w:lang w:val="fr-CA" w:eastAsia="en-CA"/>
              </w:rPr>
              <w:t>339</w:t>
            </w:r>
            <w:r>
              <w:rPr>
                <w:sz w:val="20"/>
                <w:szCs w:val="20"/>
                <w:lang w:val="fr-CA" w:eastAsia="en-CA"/>
              </w:rPr>
              <w:t xml:space="preserve"> </w:t>
            </w:r>
            <w:r w:rsidRPr="00786273">
              <w:rPr>
                <w:sz w:val="20"/>
                <w:szCs w:val="20"/>
                <w:lang w:val="fr-CA" w:eastAsia="en-CA"/>
              </w:rPr>
              <w:t>888</w:t>
            </w:r>
          </w:p>
        </w:tc>
        <w:tc>
          <w:tcPr>
            <w:tcW w:w="1384" w:type="dxa"/>
            <w:tcBorders>
              <w:top w:val="nil"/>
              <w:left w:val="nil"/>
              <w:bottom w:val="single" w:sz="4" w:space="0" w:color="auto"/>
              <w:right w:val="single" w:sz="4" w:space="0" w:color="auto"/>
            </w:tcBorders>
            <w:shd w:val="clear" w:color="auto" w:fill="auto"/>
            <w:noWrap/>
            <w:hideMark/>
          </w:tcPr>
          <w:p w14:paraId="27D21491" w14:textId="77777777" w:rsidR="00691ABD" w:rsidRPr="00786273" w:rsidRDefault="00691ABD" w:rsidP="001E39EE">
            <w:pPr>
              <w:jc w:val="right"/>
              <w:rPr>
                <w:sz w:val="20"/>
                <w:szCs w:val="20"/>
                <w:lang w:val="fr-CA" w:eastAsia="en-CA"/>
              </w:rPr>
            </w:pPr>
            <w:r w:rsidRPr="00786273">
              <w:rPr>
                <w:sz w:val="20"/>
                <w:szCs w:val="20"/>
                <w:lang w:val="fr-CA" w:eastAsia="en-CA"/>
              </w:rPr>
              <w:t>100</w:t>
            </w:r>
          </w:p>
        </w:tc>
        <w:tc>
          <w:tcPr>
            <w:tcW w:w="1149" w:type="dxa"/>
            <w:tcBorders>
              <w:top w:val="nil"/>
              <w:left w:val="nil"/>
              <w:bottom w:val="single" w:sz="4" w:space="0" w:color="auto"/>
              <w:right w:val="single" w:sz="4" w:space="0" w:color="auto"/>
            </w:tcBorders>
            <w:shd w:val="clear" w:color="auto" w:fill="auto"/>
            <w:noWrap/>
            <w:hideMark/>
          </w:tcPr>
          <w:p w14:paraId="416BBAB2"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0E160DBB" w14:textId="77777777" w:rsidTr="00AD0261">
        <w:trPr>
          <w:trHeight w:val="264"/>
        </w:trPr>
        <w:tc>
          <w:tcPr>
            <w:tcW w:w="2972" w:type="dxa"/>
            <w:tcBorders>
              <w:top w:val="nil"/>
              <w:left w:val="single" w:sz="4" w:space="0" w:color="auto"/>
              <w:bottom w:val="single" w:sz="4" w:space="0" w:color="auto"/>
              <w:right w:val="single" w:sz="4" w:space="0" w:color="auto"/>
            </w:tcBorders>
            <w:shd w:val="clear" w:color="auto" w:fill="auto"/>
            <w:noWrap/>
            <w:hideMark/>
          </w:tcPr>
          <w:p w14:paraId="7F5E6007" w14:textId="77777777" w:rsidR="00691ABD" w:rsidRPr="00786273" w:rsidRDefault="00691ABD" w:rsidP="001E39EE">
            <w:pPr>
              <w:jc w:val="left"/>
              <w:rPr>
                <w:sz w:val="20"/>
                <w:szCs w:val="20"/>
                <w:lang w:val="fr-CA" w:eastAsia="en-CA"/>
              </w:rPr>
            </w:pPr>
            <w:r>
              <w:rPr>
                <w:sz w:val="20"/>
                <w:szCs w:val="20"/>
                <w:lang w:val="fr-CA" w:eastAsia="en-CA"/>
              </w:rPr>
              <w:t>République populaire démocratique de Corée</w:t>
            </w:r>
          </w:p>
        </w:tc>
        <w:tc>
          <w:tcPr>
            <w:tcW w:w="851" w:type="dxa"/>
            <w:tcBorders>
              <w:top w:val="nil"/>
              <w:left w:val="nil"/>
              <w:bottom w:val="single" w:sz="4" w:space="0" w:color="auto"/>
              <w:right w:val="single" w:sz="4" w:space="0" w:color="auto"/>
            </w:tcBorders>
            <w:shd w:val="clear" w:color="auto" w:fill="auto"/>
            <w:noWrap/>
            <w:hideMark/>
          </w:tcPr>
          <w:p w14:paraId="6296E57A" w14:textId="72AB7781"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51EE59C1"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3FF61230" w14:textId="77777777" w:rsidR="00691ABD" w:rsidRPr="00786273" w:rsidRDefault="00691ABD" w:rsidP="001E39EE">
            <w:pPr>
              <w:jc w:val="right"/>
              <w:rPr>
                <w:sz w:val="20"/>
                <w:szCs w:val="20"/>
                <w:lang w:val="fr-CA" w:eastAsia="en-CA"/>
              </w:rPr>
            </w:pPr>
            <w:r w:rsidRPr="00786273">
              <w:rPr>
                <w:sz w:val="20"/>
                <w:szCs w:val="20"/>
                <w:lang w:val="fr-CA" w:eastAsia="en-CA"/>
              </w:rPr>
              <w:t>4</w:t>
            </w:r>
          </w:p>
        </w:tc>
        <w:tc>
          <w:tcPr>
            <w:tcW w:w="1276" w:type="dxa"/>
            <w:tcBorders>
              <w:top w:val="nil"/>
              <w:left w:val="nil"/>
              <w:bottom w:val="single" w:sz="4" w:space="0" w:color="auto"/>
              <w:right w:val="single" w:sz="4" w:space="0" w:color="auto"/>
            </w:tcBorders>
            <w:shd w:val="clear" w:color="auto" w:fill="auto"/>
            <w:noWrap/>
            <w:hideMark/>
          </w:tcPr>
          <w:p w14:paraId="5E248371" w14:textId="7A02B6F7" w:rsidR="00691ABD" w:rsidRPr="00786273" w:rsidRDefault="00691ABD" w:rsidP="001E39EE">
            <w:pPr>
              <w:jc w:val="right"/>
              <w:rPr>
                <w:sz w:val="20"/>
                <w:szCs w:val="20"/>
                <w:lang w:val="fr-CA" w:eastAsia="en-CA"/>
              </w:rPr>
            </w:pPr>
            <w:r w:rsidRPr="00786273">
              <w:rPr>
                <w:sz w:val="20"/>
                <w:szCs w:val="20"/>
                <w:lang w:val="fr-CA" w:eastAsia="en-CA"/>
              </w:rPr>
              <w:t>21</w:t>
            </w:r>
            <w:r>
              <w:rPr>
                <w:sz w:val="20"/>
                <w:szCs w:val="20"/>
                <w:lang w:val="fr-CA" w:eastAsia="en-CA"/>
              </w:rPr>
              <w:t xml:space="preserve"> </w:t>
            </w:r>
            <w:r w:rsidRPr="00786273">
              <w:rPr>
                <w:sz w:val="20"/>
                <w:szCs w:val="20"/>
                <w:lang w:val="fr-CA" w:eastAsia="en-CA"/>
              </w:rPr>
              <w:t>485</w:t>
            </w:r>
          </w:p>
        </w:tc>
        <w:tc>
          <w:tcPr>
            <w:tcW w:w="1384" w:type="dxa"/>
            <w:tcBorders>
              <w:top w:val="nil"/>
              <w:left w:val="nil"/>
              <w:bottom w:val="single" w:sz="4" w:space="0" w:color="auto"/>
              <w:right w:val="single" w:sz="4" w:space="0" w:color="auto"/>
            </w:tcBorders>
            <w:shd w:val="clear" w:color="auto" w:fill="auto"/>
            <w:noWrap/>
            <w:hideMark/>
          </w:tcPr>
          <w:p w14:paraId="39D3753F" w14:textId="77777777" w:rsidR="00691ABD" w:rsidRPr="00786273" w:rsidRDefault="00691ABD" w:rsidP="001E39EE">
            <w:pPr>
              <w:jc w:val="right"/>
              <w:rPr>
                <w:sz w:val="20"/>
                <w:szCs w:val="20"/>
                <w:lang w:val="fr-CA" w:eastAsia="en-CA"/>
              </w:rPr>
            </w:pPr>
            <w:r w:rsidRPr="00786273">
              <w:rPr>
                <w:sz w:val="20"/>
                <w:szCs w:val="20"/>
                <w:lang w:val="fr-CA" w:eastAsia="en-CA"/>
              </w:rPr>
              <w:t>537121</w:t>
            </w:r>
          </w:p>
        </w:tc>
        <w:tc>
          <w:tcPr>
            <w:tcW w:w="1149" w:type="dxa"/>
            <w:tcBorders>
              <w:top w:val="nil"/>
              <w:left w:val="nil"/>
              <w:bottom w:val="single" w:sz="4" w:space="0" w:color="auto"/>
              <w:right w:val="single" w:sz="4" w:space="0" w:color="auto"/>
            </w:tcBorders>
            <w:shd w:val="clear" w:color="auto" w:fill="auto"/>
            <w:noWrap/>
            <w:hideMark/>
          </w:tcPr>
          <w:p w14:paraId="0045BAA5"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132FE35B"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F1984D7" w14:textId="77777777" w:rsidR="00691ABD" w:rsidRPr="00786273" w:rsidRDefault="00691ABD" w:rsidP="001E39EE">
            <w:pPr>
              <w:jc w:val="left"/>
              <w:rPr>
                <w:sz w:val="20"/>
                <w:szCs w:val="20"/>
                <w:lang w:val="fr-CA" w:eastAsia="en-CA"/>
              </w:rPr>
            </w:pPr>
            <w:r>
              <w:rPr>
                <w:sz w:val="20"/>
                <w:szCs w:val="20"/>
                <w:lang w:val="fr-CA" w:eastAsia="en-CA"/>
              </w:rPr>
              <w:t>République unie de Tanzanie</w:t>
            </w:r>
          </w:p>
        </w:tc>
        <w:tc>
          <w:tcPr>
            <w:tcW w:w="851" w:type="dxa"/>
            <w:tcBorders>
              <w:top w:val="nil"/>
              <w:left w:val="nil"/>
              <w:bottom w:val="single" w:sz="4" w:space="0" w:color="auto"/>
              <w:right w:val="single" w:sz="4" w:space="0" w:color="auto"/>
            </w:tcBorders>
            <w:shd w:val="clear" w:color="auto" w:fill="auto"/>
            <w:noWrap/>
            <w:hideMark/>
          </w:tcPr>
          <w:p w14:paraId="110A265F" w14:textId="2A7CF6C6"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D6ED6B7"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302FF9E8" w14:textId="7C869F70" w:rsidR="00691ABD" w:rsidRPr="00786273" w:rsidRDefault="00691ABD" w:rsidP="001E39EE">
            <w:pPr>
              <w:jc w:val="right"/>
              <w:rPr>
                <w:sz w:val="20"/>
                <w:szCs w:val="20"/>
                <w:lang w:val="fr-CA" w:eastAsia="en-CA"/>
              </w:rPr>
            </w:pPr>
            <w:r w:rsidRPr="00786273">
              <w:rPr>
                <w:sz w:val="20"/>
                <w:szCs w:val="20"/>
                <w:lang w:val="fr-CA" w:eastAsia="en-CA"/>
              </w:rPr>
              <w:t>110</w:t>
            </w:r>
            <w:r>
              <w:rPr>
                <w:sz w:val="20"/>
                <w:szCs w:val="20"/>
                <w:lang w:val="fr-CA" w:eastAsia="en-CA"/>
              </w:rPr>
              <w:t xml:space="preserve"> </w:t>
            </w:r>
            <w:r w:rsidRPr="00786273">
              <w:rPr>
                <w:sz w:val="20"/>
                <w:szCs w:val="20"/>
                <w:lang w:val="fr-CA" w:eastAsia="en-CA"/>
              </w:rPr>
              <w:t>243</w:t>
            </w:r>
          </w:p>
        </w:tc>
        <w:tc>
          <w:tcPr>
            <w:tcW w:w="1276" w:type="dxa"/>
            <w:tcBorders>
              <w:top w:val="nil"/>
              <w:left w:val="nil"/>
              <w:bottom w:val="single" w:sz="4" w:space="0" w:color="auto"/>
              <w:right w:val="single" w:sz="4" w:space="0" w:color="auto"/>
            </w:tcBorders>
            <w:shd w:val="clear" w:color="auto" w:fill="auto"/>
            <w:noWrap/>
            <w:hideMark/>
          </w:tcPr>
          <w:p w14:paraId="3B930170" w14:textId="28063B56" w:rsidR="00691ABD" w:rsidRPr="00786273" w:rsidRDefault="00691ABD" w:rsidP="001E39EE">
            <w:pPr>
              <w:jc w:val="right"/>
              <w:rPr>
                <w:sz w:val="20"/>
                <w:szCs w:val="20"/>
                <w:lang w:val="fr-CA" w:eastAsia="en-CA"/>
              </w:rPr>
            </w:pPr>
            <w:r w:rsidRPr="00786273">
              <w:rPr>
                <w:sz w:val="20"/>
                <w:szCs w:val="20"/>
                <w:lang w:val="fr-CA" w:eastAsia="en-CA"/>
              </w:rPr>
              <w:t>29</w:t>
            </w:r>
            <w:r>
              <w:rPr>
                <w:sz w:val="20"/>
                <w:szCs w:val="20"/>
                <w:lang w:val="fr-CA" w:eastAsia="en-CA"/>
              </w:rPr>
              <w:t xml:space="preserve"> </w:t>
            </w:r>
            <w:r w:rsidRPr="00786273">
              <w:rPr>
                <w:sz w:val="20"/>
                <w:szCs w:val="20"/>
                <w:lang w:val="fr-CA" w:eastAsia="en-CA"/>
              </w:rPr>
              <w:t>225</w:t>
            </w:r>
          </w:p>
        </w:tc>
        <w:tc>
          <w:tcPr>
            <w:tcW w:w="1384" w:type="dxa"/>
            <w:tcBorders>
              <w:top w:val="nil"/>
              <w:left w:val="nil"/>
              <w:bottom w:val="single" w:sz="4" w:space="0" w:color="auto"/>
              <w:right w:val="single" w:sz="4" w:space="0" w:color="auto"/>
            </w:tcBorders>
            <w:shd w:val="clear" w:color="auto" w:fill="auto"/>
            <w:noWrap/>
            <w:hideMark/>
          </w:tcPr>
          <w:p w14:paraId="11AAFC75" w14:textId="77777777" w:rsidR="00691ABD" w:rsidRPr="00786273" w:rsidRDefault="00691ABD" w:rsidP="001E39EE">
            <w:pPr>
              <w:jc w:val="right"/>
              <w:rPr>
                <w:sz w:val="20"/>
                <w:szCs w:val="20"/>
                <w:lang w:val="fr-CA" w:eastAsia="en-CA"/>
              </w:rPr>
            </w:pPr>
            <w:r w:rsidRPr="00786273">
              <w:rPr>
                <w:sz w:val="20"/>
                <w:szCs w:val="20"/>
                <w:lang w:val="fr-CA" w:eastAsia="en-CA"/>
              </w:rPr>
              <w:t>27</w:t>
            </w:r>
          </w:p>
        </w:tc>
        <w:tc>
          <w:tcPr>
            <w:tcW w:w="1149" w:type="dxa"/>
            <w:tcBorders>
              <w:top w:val="nil"/>
              <w:left w:val="nil"/>
              <w:bottom w:val="single" w:sz="4" w:space="0" w:color="auto"/>
              <w:right w:val="single" w:sz="4" w:space="0" w:color="auto"/>
            </w:tcBorders>
            <w:shd w:val="clear" w:color="auto" w:fill="auto"/>
            <w:noWrap/>
            <w:hideMark/>
          </w:tcPr>
          <w:p w14:paraId="67A3D504" w14:textId="77777777" w:rsidR="00691ABD" w:rsidRPr="00786273" w:rsidRDefault="00691ABD" w:rsidP="001E39EE">
            <w:pPr>
              <w:jc w:val="right"/>
              <w:rPr>
                <w:sz w:val="20"/>
                <w:szCs w:val="20"/>
                <w:lang w:val="fr-CA" w:eastAsia="en-CA"/>
              </w:rPr>
            </w:pPr>
            <w:r w:rsidRPr="00786273">
              <w:rPr>
                <w:sz w:val="20"/>
                <w:szCs w:val="20"/>
                <w:lang w:val="fr-CA" w:eastAsia="en-CA"/>
              </w:rPr>
              <w:t>33</w:t>
            </w:r>
          </w:p>
        </w:tc>
      </w:tr>
      <w:tr w:rsidR="00691ABD" w:rsidRPr="00786273" w14:paraId="4C8B46B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F31D8ED" w14:textId="77777777" w:rsidR="00691ABD" w:rsidRPr="00786273" w:rsidRDefault="00691ABD" w:rsidP="001E39EE">
            <w:pPr>
              <w:jc w:val="left"/>
              <w:rPr>
                <w:sz w:val="20"/>
                <w:szCs w:val="20"/>
                <w:lang w:val="fr-CA" w:eastAsia="en-CA"/>
              </w:rPr>
            </w:pPr>
            <w:r w:rsidRPr="00786273">
              <w:rPr>
                <w:sz w:val="20"/>
                <w:szCs w:val="20"/>
                <w:lang w:val="fr-CA" w:eastAsia="en-CA"/>
              </w:rPr>
              <w:t>Rwanda</w:t>
            </w:r>
          </w:p>
        </w:tc>
        <w:tc>
          <w:tcPr>
            <w:tcW w:w="851" w:type="dxa"/>
            <w:tcBorders>
              <w:top w:val="nil"/>
              <w:left w:val="nil"/>
              <w:bottom w:val="single" w:sz="4" w:space="0" w:color="auto"/>
              <w:right w:val="single" w:sz="4" w:space="0" w:color="auto"/>
            </w:tcBorders>
            <w:shd w:val="clear" w:color="auto" w:fill="auto"/>
            <w:noWrap/>
            <w:hideMark/>
          </w:tcPr>
          <w:p w14:paraId="265BBEC9" w14:textId="6CE59E79"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2</w:t>
            </w:r>
          </w:p>
        </w:tc>
        <w:tc>
          <w:tcPr>
            <w:tcW w:w="1160" w:type="dxa"/>
            <w:tcBorders>
              <w:top w:val="nil"/>
              <w:left w:val="nil"/>
              <w:bottom w:val="single" w:sz="4" w:space="0" w:color="auto"/>
              <w:right w:val="single" w:sz="4" w:space="0" w:color="auto"/>
            </w:tcBorders>
            <w:shd w:val="clear" w:color="auto" w:fill="auto"/>
            <w:noWrap/>
            <w:hideMark/>
          </w:tcPr>
          <w:p w14:paraId="28B2F1D3" w14:textId="77777777" w:rsidR="00691ABD" w:rsidRPr="00786273" w:rsidRDefault="00691ABD" w:rsidP="001E39EE">
            <w:pPr>
              <w:jc w:val="right"/>
              <w:rPr>
                <w:sz w:val="20"/>
                <w:szCs w:val="20"/>
                <w:lang w:val="fr-CA" w:eastAsia="en-CA"/>
              </w:rPr>
            </w:pPr>
            <w:r w:rsidRPr="00786273">
              <w:rPr>
                <w:sz w:val="20"/>
                <w:szCs w:val="20"/>
                <w:lang w:val="fr-CA" w:eastAsia="en-CA"/>
              </w:rPr>
              <w:t>25</w:t>
            </w:r>
          </w:p>
        </w:tc>
        <w:tc>
          <w:tcPr>
            <w:tcW w:w="1250" w:type="dxa"/>
            <w:tcBorders>
              <w:top w:val="nil"/>
              <w:left w:val="nil"/>
              <w:bottom w:val="single" w:sz="4" w:space="0" w:color="auto"/>
              <w:right w:val="single" w:sz="4" w:space="0" w:color="auto"/>
            </w:tcBorders>
            <w:shd w:val="clear" w:color="auto" w:fill="auto"/>
            <w:noWrap/>
            <w:hideMark/>
          </w:tcPr>
          <w:p w14:paraId="73F3E618" w14:textId="4F052928" w:rsidR="00691ABD" w:rsidRPr="00786273" w:rsidRDefault="00691ABD" w:rsidP="001E39EE">
            <w:pPr>
              <w:jc w:val="right"/>
              <w:rPr>
                <w:sz w:val="20"/>
                <w:szCs w:val="20"/>
                <w:lang w:val="fr-CA" w:eastAsia="en-CA"/>
              </w:rPr>
            </w:pPr>
            <w:r w:rsidRPr="00786273">
              <w:rPr>
                <w:sz w:val="20"/>
                <w:szCs w:val="20"/>
                <w:lang w:val="fr-CA" w:eastAsia="en-CA"/>
              </w:rPr>
              <w:t>115</w:t>
            </w:r>
            <w:r>
              <w:rPr>
                <w:sz w:val="20"/>
                <w:szCs w:val="20"/>
                <w:lang w:val="fr-CA" w:eastAsia="en-CA"/>
              </w:rPr>
              <w:t xml:space="preserve"> </w:t>
            </w:r>
            <w:r w:rsidRPr="00786273">
              <w:rPr>
                <w:sz w:val="20"/>
                <w:szCs w:val="20"/>
                <w:lang w:val="fr-CA" w:eastAsia="en-CA"/>
              </w:rPr>
              <w:t>331</w:t>
            </w:r>
          </w:p>
        </w:tc>
        <w:tc>
          <w:tcPr>
            <w:tcW w:w="1276" w:type="dxa"/>
            <w:tcBorders>
              <w:top w:val="nil"/>
              <w:left w:val="nil"/>
              <w:bottom w:val="single" w:sz="4" w:space="0" w:color="auto"/>
              <w:right w:val="single" w:sz="4" w:space="0" w:color="auto"/>
            </w:tcBorders>
            <w:shd w:val="clear" w:color="auto" w:fill="auto"/>
            <w:noWrap/>
            <w:hideMark/>
          </w:tcPr>
          <w:p w14:paraId="6ECF1AA1" w14:textId="2F278DBE" w:rsidR="00691ABD" w:rsidRPr="00786273" w:rsidRDefault="00691ABD" w:rsidP="001E39EE">
            <w:pPr>
              <w:jc w:val="right"/>
              <w:rPr>
                <w:sz w:val="20"/>
                <w:szCs w:val="20"/>
                <w:lang w:val="fr-CA" w:eastAsia="en-CA"/>
              </w:rPr>
            </w:pPr>
            <w:r w:rsidRPr="00786273">
              <w:rPr>
                <w:sz w:val="20"/>
                <w:szCs w:val="20"/>
                <w:lang w:val="fr-CA" w:eastAsia="en-CA"/>
              </w:rPr>
              <w:t>82</w:t>
            </w:r>
            <w:r>
              <w:rPr>
                <w:sz w:val="20"/>
                <w:szCs w:val="20"/>
                <w:lang w:val="fr-CA" w:eastAsia="en-CA"/>
              </w:rPr>
              <w:t xml:space="preserve"> </w:t>
            </w:r>
            <w:r w:rsidRPr="00786273">
              <w:rPr>
                <w:sz w:val="20"/>
                <w:szCs w:val="20"/>
                <w:lang w:val="fr-CA" w:eastAsia="en-CA"/>
              </w:rPr>
              <w:t>680</w:t>
            </w:r>
          </w:p>
        </w:tc>
        <w:tc>
          <w:tcPr>
            <w:tcW w:w="1384" w:type="dxa"/>
            <w:tcBorders>
              <w:top w:val="nil"/>
              <w:left w:val="nil"/>
              <w:bottom w:val="single" w:sz="4" w:space="0" w:color="auto"/>
              <w:right w:val="single" w:sz="4" w:space="0" w:color="auto"/>
            </w:tcBorders>
            <w:shd w:val="clear" w:color="auto" w:fill="auto"/>
            <w:noWrap/>
            <w:hideMark/>
          </w:tcPr>
          <w:p w14:paraId="1A3D92B1" w14:textId="77777777" w:rsidR="00691ABD" w:rsidRPr="00786273" w:rsidRDefault="00691ABD" w:rsidP="001E39EE">
            <w:pPr>
              <w:jc w:val="right"/>
              <w:rPr>
                <w:sz w:val="20"/>
                <w:szCs w:val="20"/>
                <w:lang w:val="fr-CA" w:eastAsia="en-CA"/>
              </w:rPr>
            </w:pPr>
            <w:r w:rsidRPr="00786273">
              <w:rPr>
                <w:sz w:val="20"/>
                <w:szCs w:val="20"/>
                <w:lang w:val="fr-CA" w:eastAsia="en-CA"/>
              </w:rPr>
              <w:t>72</w:t>
            </w:r>
          </w:p>
        </w:tc>
        <w:tc>
          <w:tcPr>
            <w:tcW w:w="1149" w:type="dxa"/>
            <w:tcBorders>
              <w:top w:val="nil"/>
              <w:left w:val="nil"/>
              <w:bottom w:val="single" w:sz="4" w:space="0" w:color="auto"/>
              <w:right w:val="single" w:sz="4" w:space="0" w:color="auto"/>
            </w:tcBorders>
            <w:shd w:val="clear" w:color="auto" w:fill="auto"/>
            <w:noWrap/>
            <w:hideMark/>
          </w:tcPr>
          <w:p w14:paraId="4731620C" w14:textId="77777777" w:rsidR="00691ABD" w:rsidRPr="00786273" w:rsidRDefault="00691ABD" w:rsidP="001E39EE">
            <w:pPr>
              <w:jc w:val="right"/>
              <w:rPr>
                <w:sz w:val="20"/>
                <w:szCs w:val="20"/>
                <w:lang w:val="fr-CA" w:eastAsia="en-CA"/>
              </w:rPr>
            </w:pPr>
            <w:r w:rsidRPr="00786273">
              <w:rPr>
                <w:sz w:val="20"/>
                <w:szCs w:val="20"/>
                <w:lang w:val="fr-CA" w:eastAsia="en-CA"/>
              </w:rPr>
              <w:t>75</w:t>
            </w:r>
          </w:p>
        </w:tc>
      </w:tr>
      <w:tr w:rsidR="00691ABD" w:rsidRPr="00786273" w14:paraId="561644E9" w14:textId="77777777" w:rsidTr="00AD0261">
        <w:trPr>
          <w:trHeight w:val="86"/>
        </w:trPr>
        <w:tc>
          <w:tcPr>
            <w:tcW w:w="2972" w:type="dxa"/>
            <w:tcBorders>
              <w:top w:val="nil"/>
              <w:left w:val="single" w:sz="4" w:space="0" w:color="auto"/>
              <w:bottom w:val="single" w:sz="4" w:space="0" w:color="auto"/>
              <w:right w:val="single" w:sz="4" w:space="0" w:color="auto"/>
            </w:tcBorders>
            <w:shd w:val="clear" w:color="auto" w:fill="auto"/>
            <w:noWrap/>
            <w:hideMark/>
          </w:tcPr>
          <w:p w14:paraId="1624CAF3" w14:textId="77777777" w:rsidR="00691ABD" w:rsidRPr="00786273" w:rsidRDefault="00691ABD" w:rsidP="001E39EE">
            <w:pPr>
              <w:jc w:val="left"/>
              <w:rPr>
                <w:sz w:val="20"/>
                <w:szCs w:val="20"/>
                <w:lang w:val="fr-CA" w:eastAsia="en-CA"/>
              </w:rPr>
            </w:pPr>
            <w:r>
              <w:rPr>
                <w:sz w:val="20"/>
                <w:szCs w:val="20"/>
                <w:lang w:val="fr-CA" w:eastAsia="en-CA"/>
              </w:rPr>
              <w:t>Sainte-Lucie</w:t>
            </w:r>
          </w:p>
        </w:tc>
        <w:tc>
          <w:tcPr>
            <w:tcW w:w="851" w:type="dxa"/>
            <w:tcBorders>
              <w:top w:val="nil"/>
              <w:left w:val="nil"/>
              <w:bottom w:val="single" w:sz="4" w:space="0" w:color="auto"/>
              <w:right w:val="single" w:sz="4" w:space="0" w:color="auto"/>
            </w:tcBorders>
            <w:shd w:val="clear" w:color="auto" w:fill="auto"/>
            <w:noWrap/>
            <w:hideMark/>
          </w:tcPr>
          <w:p w14:paraId="1C8A9868" w14:textId="7CB0BAD0"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0C05963E"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4D616E70" w14:textId="085B0543" w:rsidR="00691ABD" w:rsidRPr="00786273" w:rsidRDefault="00691ABD" w:rsidP="001E39EE">
            <w:pPr>
              <w:jc w:val="right"/>
              <w:rPr>
                <w:sz w:val="20"/>
                <w:szCs w:val="20"/>
                <w:lang w:val="fr-CA" w:eastAsia="en-CA"/>
              </w:rPr>
            </w:pPr>
            <w:r w:rsidRPr="00786273">
              <w:rPr>
                <w:sz w:val="20"/>
                <w:szCs w:val="20"/>
                <w:lang w:val="fr-CA" w:eastAsia="en-CA"/>
              </w:rPr>
              <w:t>117</w:t>
            </w:r>
            <w:r>
              <w:rPr>
                <w:sz w:val="20"/>
                <w:szCs w:val="20"/>
                <w:lang w:val="fr-CA" w:eastAsia="en-CA"/>
              </w:rPr>
              <w:t xml:space="preserve"> </w:t>
            </w:r>
            <w:r w:rsidRPr="00786273">
              <w:rPr>
                <w:sz w:val="20"/>
                <w:szCs w:val="20"/>
                <w:lang w:val="fr-CA" w:eastAsia="en-CA"/>
              </w:rPr>
              <w:t>100</w:t>
            </w:r>
          </w:p>
        </w:tc>
        <w:tc>
          <w:tcPr>
            <w:tcW w:w="1276" w:type="dxa"/>
            <w:tcBorders>
              <w:top w:val="nil"/>
              <w:left w:val="nil"/>
              <w:bottom w:val="single" w:sz="4" w:space="0" w:color="auto"/>
              <w:right w:val="single" w:sz="4" w:space="0" w:color="auto"/>
            </w:tcBorders>
            <w:shd w:val="clear" w:color="auto" w:fill="auto"/>
            <w:noWrap/>
            <w:hideMark/>
          </w:tcPr>
          <w:p w14:paraId="2DD69515" w14:textId="4F401E20" w:rsidR="00691ABD" w:rsidRPr="00786273" w:rsidRDefault="00691ABD" w:rsidP="001E39EE">
            <w:pPr>
              <w:jc w:val="right"/>
              <w:rPr>
                <w:sz w:val="20"/>
                <w:szCs w:val="20"/>
                <w:lang w:val="fr-CA" w:eastAsia="en-CA"/>
              </w:rPr>
            </w:pPr>
            <w:r w:rsidRPr="00786273">
              <w:rPr>
                <w:sz w:val="20"/>
                <w:szCs w:val="20"/>
                <w:lang w:val="fr-CA" w:eastAsia="en-CA"/>
              </w:rPr>
              <w:t>71</w:t>
            </w:r>
            <w:r>
              <w:rPr>
                <w:sz w:val="20"/>
                <w:szCs w:val="20"/>
                <w:lang w:val="fr-CA" w:eastAsia="en-CA"/>
              </w:rPr>
              <w:t xml:space="preserve"> </w:t>
            </w:r>
            <w:r w:rsidRPr="00786273">
              <w:rPr>
                <w:sz w:val="20"/>
                <w:szCs w:val="20"/>
                <w:lang w:val="fr-CA" w:eastAsia="en-CA"/>
              </w:rPr>
              <w:t>968</w:t>
            </w:r>
          </w:p>
        </w:tc>
        <w:tc>
          <w:tcPr>
            <w:tcW w:w="1384" w:type="dxa"/>
            <w:tcBorders>
              <w:top w:val="nil"/>
              <w:left w:val="nil"/>
              <w:bottom w:val="single" w:sz="4" w:space="0" w:color="auto"/>
              <w:right w:val="single" w:sz="4" w:space="0" w:color="auto"/>
            </w:tcBorders>
            <w:shd w:val="clear" w:color="auto" w:fill="auto"/>
            <w:noWrap/>
            <w:hideMark/>
          </w:tcPr>
          <w:p w14:paraId="1C220AAB" w14:textId="77777777" w:rsidR="00691ABD" w:rsidRPr="00786273" w:rsidRDefault="00691ABD" w:rsidP="001E39EE">
            <w:pPr>
              <w:jc w:val="right"/>
              <w:rPr>
                <w:sz w:val="20"/>
                <w:szCs w:val="20"/>
                <w:lang w:val="fr-CA" w:eastAsia="en-CA"/>
              </w:rPr>
            </w:pPr>
            <w:r w:rsidRPr="00786273">
              <w:rPr>
                <w:sz w:val="20"/>
                <w:szCs w:val="20"/>
                <w:lang w:val="fr-CA" w:eastAsia="en-CA"/>
              </w:rPr>
              <w:t>61</w:t>
            </w:r>
          </w:p>
        </w:tc>
        <w:tc>
          <w:tcPr>
            <w:tcW w:w="1149" w:type="dxa"/>
            <w:tcBorders>
              <w:top w:val="nil"/>
              <w:left w:val="nil"/>
              <w:bottom w:val="single" w:sz="4" w:space="0" w:color="auto"/>
              <w:right w:val="single" w:sz="4" w:space="0" w:color="auto"/>
            </w:tcBorders>
            <w:shd w:val="clear" w:color="auto" w:fill="auto"/>
            <w:noWrap/>
            <w:hideMark/>
          </w:tcPr>
          <w:p w14:paraId="60FFF2E6" w14:textId="77777777" w:rsidR="00691ABD" w:rsidRPr="00786273" w:rsidRDefault="00691ABD" w:rsidP="001E39EE">
            <w:pPr>
              <w:jc w:val="right"/>
              <w:rPr>
                <w:sz w:val="20"/>
                <w:szCs w:val="20"/>
                <w:lang w:val="fr-CA" w:eastAsia="en-CA"/>
              </w:rPr>
            </w:pPr>
            <w:r w:rsidRPr="00786273">
              <w:rPr>
                <w:sz w:val="20"/>
                <w:szCs w:val="20"/>
                <w:lang w:val="fr-CA" w:eastAsia="en-CA"/>
              </w:rPr>
              <w:t>25</w:t>
            </w:r>
          </w:p>
        </w:tc>
      </w:tr>
      <w:tr w:rsidR="00691ABD" w:rsidRPr="00786273" w14:paraId="4B565745"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F5E72F1" w14:textId="77777777" w:rsidR="00691ABD" w:rsidRPr="00786273" w:rsidRDefault="00691ABD" w:rsidP="001E39EE">
            <w:pPr>
              <w:jc w:val="left"/>
              <w:rPr>
                <w:sz w:val="20"/>
                <w:szCs w:val="20"/>
                <w:lang w:val="fr-CA" w:eastAsia="en-CA"/>
              </w:rPr>
            </w:pPr>
            <w:r>
              <w:rPr>
                <w:sz w:val="20"/>
                <w:szCs w:val="20"/>
                <w:lang w:val="fr-CA" w:eastAsia="en-CA"/>
              </w:rPr>
              <w:t>Saint-Kitts-et-Nevis</w:t>
            </w:r>
          </w:p>
        </w:tc>
        <w:tc>
          <w:tcPr>
            <w:tcW w:w="851" w:type="dxa"/>
            <w:tcBorders>
              <w:top w:val="nil"/>
              <w:left w:val="nil"/>
              <w:bottom w:val="single" w:sz="4" w:space="0" w:color="auto"/>
              <w:right w:val="single" w:sz="4" w:space="0" w:color="auto"/>
            </w:tcBorders>
            <w:shd w:val="clear" w:color="auto" w:fill="auto"/>
            <w:noWrap/>
            <w:hideMark/>
          </w:tcPr>
          <w:p w14:paraId="556C484A" w14:textId="2DF1026F"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61E1653"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3B4B4705" w14:textId="7F105695" w:rsidR="00691ABD" w:rsidRPr="00786273" w:rsidRDefault="00691ABD" w:rsidP="001E39EE">
            <w:pPr>
              <w:jc w:val="right"/>
              <w:rPr>
                <w:sz w:val="20"/>
                <w:szCs w:val="20"/>
                <w:lang w:val="fr-CA" w:eastAsia="en-CA"/>
              </w:rPr>
            </w:pPr>
            <w:r w:rsidRPr="00786273">
              <w:rPr>
                <w:sz w:val="20"/>
                <w:szCs w:val="20"/>
                <w:lang w:val="fr-CA" w:eastAsia="en-CA"/>
              </w:rPr>
              <w:t>72</w:t>
            </w:r>
            <w:r>
              <w:rPr>
                <w:sz w:val="20"/>
                <w:szCs w:val="20"/>
                <w:lang w:val="fr-CA" w:eastAsia="en-CA"/>
              </w:rPr>
              <w:t xml:space="preserve"> </w:t>
            </w:r>
            <w:r w:rsidRPr="00786273">
              <w:rPr>
                <w:sz w:val="20"/>
                <w:szCs w:val="20"/>
                <w:lang w:val="fr-CA" w:eastAsia="en-CA"/>
              </w:rPr>
              <w:t>300</w:t>
            </w:r>
          </w:p>
        </w:tc>
        <w:tc>
          <w:tcPr>
            <w:tcW w:w="1276" w:type="dxa"/>
            <w:tcBorders>
              <w:top w:val="nil"/>
              <w:left w:val="nil"/>
              <w:bottom w:val="single" w:sz="4" w:space="0" w:color="auto"/>
              <w:right w:val="single" w:sz="4" w:space="0" w:color="auto"/>
            </w:tcBorders>
            <w:shd w:val="clear" w:color="auto" w:fill="auto"/>
            <w:noWrap/>
            <w:hideMark/>
          </w:tcPr>
          <w:p w14:paraId="51F04EA0"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384" w:type="dxa"/>
            <w:tcBorders>
              <w:top w:val="nil"/>
              <w:left w:val="nil"/>
              <w:bottom w:val="single" w:sz="4" w:space="0" w:color="auto"/>
              <w:right w:val="single" w:sz="4" w:space="0" w:color="auto"/>
            </w:tcBorders>
            <w:shd w:val="clear" w:color="auto" w:fill="auto"/>
            <w:noWrap/>
            <w:hideMark/>
          </w:tcPr>
          <w:p w14:paraId="0B0538BA"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149" w:type="dxa"/>
            <w:tcBorders>
              <w:top w:val="nil"/>
              <w:left w:val="nil"/>
              <w:bottom w:val="single" w:sz="4" w:space="0" w:color="auto"/>
              <w:right w:val="single" w:sz="4" w:space="0" w:color="auto"/>
            </w:tcBorders>
            <w:shd w:val="clear" w:color="auto" w:fill="auto"/>
            <w:noWrap/>
            <w:hideMark/>
          </w:tcPr>
          <w:p w14:paraId="625E00EC"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6EC2746D" w14:textId="77777777" w:rsidTr="00AD0261">
        <w:trPr>
          <w:trHeight w:val="119"/>
        </w:trPr>
        <w:tc>
          <w:tcPr>
            <w:tcW w:w="2972" w:type="dxa"/>
            <w:tcBorders>
              <w:top w:val="nil"/>
              <w:left w:val="single" w:sz="4" w:space="0" w:color="auto"/>
              <w:bottom w:val="single" w:sz="4" w:space="0" w:color="auto"/>
              <w:right w:val="single" w:sz="4" w:space="0" w:color="auto"/>
            </w:tcBorders>
            <w:shd w:val="clear" w:color="auto" w:fill="auto"/>
            <w:noWrap/>
            <w:hideMark/>
          </w:tcPr>
          <w:p w14:paraId="4A5EBD5E" w14:textId="77777777" w:rsidR="00691ABD" w:rsidRPr="00786273" w:rsidRDefault="00691ABD" w:rsidP="004C1876">
            <w:pPr>
              <w:jc w:val="left"/>
              <w:rPr>
                <w:sz w:val="20"/>
                <w:szCs w:val="20"/>
                <w:lang w:val="fr-CA" w:eastAsia="en-CA"/>
              </w:rPr>
            </w:pPr>
            <w:r>
              <w:rPr>
                <w:sz w:val="20"/>
                <w:szCs w:val="20"/>
                <w:lang w:val="fr-CA" w:eastAsia="en-CA"/>
              </w:rPr>
              <w:t>Saint-</w:t>
            </w:r>
            <w:r w:rsidRPr="00786273">
              <w:rPr>
                <w:sz w:val="20"/>
                <w:szCs w:val="20"/>
                <w:lang w:val="fr-CA" w:eastAsia="en-CA"/>
              </w:rPr>
              <w:t>Vincent</w:t>
            </w:r>
            <w:r>
              <w:rPr>
                <w:sz w:val="20"/>
                <w:szCs w:val="20"/>
                <w:lang w:val="fr-CA" w:eastAsia="en-CA"/>
              </w:rPr>
              <w:t>-et-les-</w:t>
            </w:r>
            <w:r w:rsidRPr="00786273">
              <w:rPr>
                <w:sz w:val="20"/>
                <w:szCs w:val="20"/>
                <w:lang w:val="fr-CA" w:eastAsia="en-CA"/>
              </w:rPr>
              <w:t>Grenadines</w:t>
            </w:r>
          </w:p>
        </w:tc>
        <w:tc>
          <w:tcPr>
            <w:tcW w:w="851" w:type="dxa"/>
            <w:tcBorders>
              <w:top w:val="nil"/>
              <w:left w:val="nil"/>
              <w:bottom w:val="single" w:sz="4" w:space="0" w:color="auto"/>
              <w:right w:val="single" w:sz="4" w:space="0" w:color="auto"/>
            </w:tcBorders>
            <w:shd w:val="clear" w:color="auto" w:fill="auto"/>
            <w:noWrap/>
            <w:hideMark/>
          </w:tcPr>
          <w:p w14:paraId="2F93AE0B" w14:textId="50118707"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F88AF3E"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49B7AFCB" w14:textId="31D582C5" w:rsidR="00691ABD" w:rsidRPr="00786273" w:rsidRDefault="00691ABD" w:rsidP="001E39EE">
            <w:pPr>
              <w:jc w:val="right"/>
              <w:rPr>
                <w:sz w:val="20"/>
                <w:szCs w:val="20"/>
                <w:lang w:val="fr-CA" w:eastAsia="en-CA"/>
              </w:rPr>
            </w:pPr>
            <w:r w:rsidRPr="00786273">
              <w:rPr>
                <w:sz w:val="20"/>
                <w:szCs w:val="20"/>
                <w:lang w:val="fr-CA" w:eastAsia="en-CA"/>
              </w:rPr>
              <w:t>114</w:t>
            </w:r>
            <w:r>
              <w:rPr>
                <w:sz w:val="20"/>
                <w:szCs w:val="20"/>
                <w:lang w:val="fr-CA" w:eastAsia="en-CA"/>
              </w:rPr>
              <w:t xml:space="preserve"> </w:t>
            </w:r>
            <w:r w:rsidRPr="00786273">
              <w:rPr>
                <w:sz w:val="20"/>
                <w:szCs w:val="20"/>
                <w:lang w:val="fr-CA" w:eastAsia="en-CA"/>
              </w:rPr>
              <w:t>750</w:t>
            </w:r>
          </w:p>
        </w:tc>
        <w:tc>
          <w:tcPr>
            <w:tcW w:w="1276" w:type="dxa"/>
            <w:tcBorders>
              <w:top w:val="nil"/>
              <w:left w:val="nil"/>
              <w:bottom w:val="single" w:sz="4" w:space="0" w:color="auto"/>
              <w:right w:val="single" w:sz="4" w:space="0" w:color="auto"/>
            </w:tcBorders>
            <w:shd w:val="clear" w:color="auto" w:fill="auto"/>
            <w:noWrap/>
            <w:hideMark/>
          </w:tcPr>
          <w:p w14:paraId="26DFE985" w14:textId="0032BF3F" w:rsidR="00691ABD" w:rsidRPr="00786273" w:rsidRDefault="00691ABD" w:rsidP="001E39EE">
            <w:pPr>
              <w:jc w:val="right"/>
              <w:rPr>
                <w:sz w:val="20"/>
                <w:szCs w:val="20"/>
                <w:lang w:val="fr-CA" w:eastAsia="en-CA"/>
              </w:rPr>
            </w:pPr>
            <w:r w:rsidRPr="00786273">
              <w:rPr>
                <w:sz w:val="20"/>
                <w:szCs w:val="20"/>
                <w:lang w:val="fr-CA" w:eastAsia="en-CA"/>
              </w:rPr>
              <w:t>130</w:t>
            </w:r>
            <w:r>
              <w:rPr>
                <w:sz w:val="20"/>
                <w:szCs w:val="20"/>
                <w:lang w:val="fr-CA" w:eastAsia="en-CA"/>
              </w:rPr>
              <w:t xml:space="preserve"> </w:t>
            </w:r>
            <w:r w:rsidRPr="00786273">
              <w:rPr>
                <w:sz w:val="20"/>
                <w:szCs w:val="20"/>
                <w:lang w:val="fr-CA" w:eastAsia="en-CA"/>
              </w:rPr>
              <w:t>676</w:t>
            </w:r>
          </w:p>
        </w:tc>
        <w:tc>
          <w:tcPr>
            <w:tcW w:w="1384" w:type="dxa"/>
            <w:tcBorders>
              <w:top w:val="nil"/>
              <w:left w:val="nil"/>
              <w:bottom w:val="single" w:sz="4" w:space="0" w:color="auto"/>
              <w:right w:val="single" w:sz="4" w:space="0" w:color="auto"/>
            </w:tcBorders>
            <w:shd w:val="clear" w:color="auto" w:fill="auto"/>
            <w:noWrap/>
            <w:hideMark/>
          </w:tcPr>
          <w:p w14:paraId="770E66EF" w14:textId="77777777" w:rsidR="00691ABD" w:rsidRPr="00786273" w:rsidRDefault="00691ABD" w:rsidP="001E39EE">
            <w:pPr>
              <w:jc w:val="right"/>
              <w:rPr>
                <w:sz w:val="20"/>
                <w:szCs w:val="20"/>
                <w:lang w:val="fr-CA" w:eastAsia="en-CA"/>
              </w:rPr>
            </w:pPr>
            <w:r w:rsidRPr="00786273">
              <w:rPr>
                <w:sz w:val="20"/>
                <w:szCs w:val="20"/>
                <w:lang w:val="fr-CA" w:eastAsia="en-CA"/>
              </w:rPr>
              <w:t>114</w:t>
            </w:r>
          </w:p>
        </w:tc>
        <w:tc>
          <w:tcPr>
            <w:tcW w:w="1149" w:type="dxa"/>
            <w:tcBorders>
              <w:top w:val="nil"/>
              <w:left w:val="nil"/>
              <w:bottom w:val="single" w:sz="4" w:space="0" w:color="auto"/>
              <w:right w:val="single" w:sz="4" w:space="0" w:color="auto"/>
            </w:tcBorders>
            <w:shd w:val="clear" w:color="auto" w:fill="auto"/>
            <w:noWrap/>
            <w:hideMark/>
          </w:tcPr>
          <w:p w14:paraId="7E8FD3EF" w14:textId="77777777" w:rsidR="00691ABD" w:rsidRPr="00786273" w:rsidRDefault="00691ABD" w:rsidP="001E39EE">
            <w:pPr>
              <w:jc w:val="right"/>
              <w:rPr>
                <w:sz w:val="20"/>
                <w:szCs w:val="20"/>
                <w:lang w:val="fr-CA" w:eastAsia="en-CA"/>
              </w:rPr>
            </w:pPr>
            <w:r w:rsidRPr="00786273">
              <w:rPr>
                <w:sz w:val="20"/>
                <w:szCs w:val="20"/>
                <w:lang w:val="fr-CA" w:eastAsia="en-CA"/>
              </w:rPr>
              <w:t>33</w:t>
            </w:r>
          </w:p>
        </w:tc>
      </w:tr>
      <w:tr w:rsidR="00691ABD" w:rsidRPr="00786273" w14:paraId="7712CFCF"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4F97C80" w14:textId="77777777" w:rsidR="00691ABD" w:rsidRPr="00786273" w:rsidRDefault="00691ABD" w:rsidP="001E39EE">
            <w:pPr>
              <w:jc w:val="left"/>
              <w:rPr>
                <w:sz w:val="20"/>
                <w:szCs w:val="20"/>
                <w:lang w:val="fr-CA" w:eastAsia="en-CA"/>
              </w:rPr>
            </w:pPr>
            <w:r w:rsidRPr="00786273">
              <w:rPr>
                <w:sz w:val="20"/>
                <w:szCs w:val="20"/>
                <w:lang w:val="fr-CA" w:eastAsia="en-CA"/>
              </w:rPr>
              <w:t>Samoa</w:t>
            </w:r>
          </w:p>
        </w:tc>
        <w:tc>
          <w:tcPr>
            <w:tcW w:w="851" w:type="dxa"/>
            <w:tcBorders>
              <w:top w:val="nil"/>
              <w:left w:val="nil"/>
              <w:bottom w:val="single" w:sz="4" w:space="0" w:color="auto"/>
              <w:right w:val="single" w:sz="4" w:space="0" w:color="auto"/>
            </w:tcBorders>
            <w:shd w:val="clear" w:color="auto" w:fill="auto"/>
            <w:noWrap/>
            <w:hideMark/>
          </w:tcPr>
          <w:p w14:paraId="6229FA90" w14:textId="0A494548"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F7E4BC3"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2B2D75CC" w14:textId="5AAF3416" w:rsidR="00691ABD" w:rsidRPr="00786273" w:rsidRDefault="00691ABD" w:rsidP="001E39EE">
            <w:pPr>
              <w:jc w:val="right"/>
              <w:rPr>
                <w:sz w:val="20"/>
                <w:szCs w:val="20"/>
                <w:lang w:val="fr-CA" w:eastAsia="en-CA"/>
              </w:rPr>
            </w:pPr>
            <w:r w:rsidRPr="00786273">
              <w:rPr>
                <w:sz w:val="20"/>
                <w:szCs w:val="20"/>
                <w:lang w:val="fr-CA" w:eastAsia="en-CA"/>
              </w:rPr>
              <w:t>94</w:t>
            </w:r>
            <w:r>
              <w:rPr>
                <w:sz w:val="20"/>
                <w:szCs w:val="20"/>
                <w:lang w:val="fr-CA" w:eastAsia="en-CA"/>
              </w:rPr>
              <w:t xml:space="preserve"> </w:t>
            </w:r>
            <w:r w:rsidRPr="00786273">
              <w:rPr>
                <w:sz w:val="20"/>
                <w:szCs w:val="20"/>
                <w:lang w:val="fr-CA" w:eastAsia="en-CA"/>
              </w:rPr>
              <w:t>535</w:t>
            </w:r>
          </w:p>
        </w:tc>
        <w:tc>
          <w:tcPr>
            <w:tcW w:w="1276" w:type="dxa"/>
            <w:tcBorders>
              <w:top w:val="nil"/>
              <w:left w:val="nil"/>
              <w:bottom w:val="single" w:sz="4" w:space="0" w:color="auto"/>
              <w:right w:val="single" w:sz="4" w:space="0" w:color="auto"/>
            </w:tcBorders>
            <w:shd w:val="clear" w:color="auto" w:fill="auto"/>
            <w:noWrap/>
            <w:hideMark/>
          </w:tcPr>
          <w:p w14:paraId="0A0CD3A0" w14:textId="3283F3A0" w:rsidR="00691ABD" w:rsidRPr="00786273" w:rsidRDefault="00691ABD" w:rsidP="001E39EE">
            <w:pPr>
              <w:jc w:val="right"/>
              <w:rPr>
                <w:sz w:val="20"/>
                <w:szCs w:val="20"/>
                <w:lang w:val="fr-CA" w:eastAsia="en-CA"/>
              </w:rPr>
            </w:pPr>
            <w:r w:rsidRPr="00786273">
              <w:rPr>
                <w:sz w:val="20"/>
                <w:szCs w:val="20"/>
                <w:lang w:val="fr-CA" w:eastAsia="en-CA"/>
              </w:rPr>
              <w:t>65</w:t>
            </w:r>
            <w:r>
              <w:rPr>
                <w:sz w:val="20"/>
                <w:szCs w:val="20"/>
                <w:lang w:val="fr-CA" w:eastAsia="en-CA"/>
              </w:rPr>
              <w:t xml:space="preserve"> </w:t>
            </w:r>
            <w:r w:rsidRPr="00786273">
              <w:rPr>
                <w:sz w:val="20"/>
                <w:szCs w:val="20"/>
                <w:lang w:val="fr-CA" w:eastAsia="en-CA"/>
              </w:rPr>
              <w:t>951</w:t>
            </w:r>
          </w:p>
        </w:tc>
        <w:tc>
          <w:tcPr>
            <w:tcW w:w="1384" w:type="dxa"/>
            <w:tcBorders>
              <w:top w:val="nil"/>
              <w:left w:val="nil"/>
              <w:bottom w:val="single" w:sz="4" w:space="0" w:color="auto"/>
              <w:right w:val="single" w:sz="4" w:space="0" w:color="auto"/>
            </w:tcBorders>
            <w:shd w:val="clear" w:color="auto" w:fill="auto"/>
            <w:noWrap/>
            <w:hideMark/>
          </w:tcPr>
          <w:p w14:paraId="291F63AA" w14:textId="77777777" w:rsidR="00691ABD" w:rsidRPr="00786273" w:rsidRDefault="00691ABD" w:rsidP="001E39EE">
            <w:pPr>
              <w:jc w:val="right"/>
              <w:rPr>
                <w:sz w:val="20"/>
                <w:szCs w:val="20"/>
                <w:lang w:val="fr-CA" w:eastAsia="en-CA"/>
              </w:rPr>
            </w:pPr>
            <w:r w:rsidRPr="00786273">
              <w:rPr>
                <w:sz w:val="20"/>
                <w:szCs w:val="20"/>
                <w:lang w:val="fr-CA" w:eastAsia="en-CA"/>
              </w:rPr>
              <w:t>70</w:t>
            </w:r>
          </w:p>
        </w:tc>
        <w:tc>
          <w:tcPr>
            <w:tcW w:w="1149" w:type="dxa"/>
            <w:tcBorders>
              <w:top w:val="nil"/>
              <w:left w:val="nil"/>
              <w:bottom w:val="single" w:sz="4" w:space="0" w:color="auto"/>
              <w:right w:val="single" w:sz="4" w:space="0" w:color="auto"/>
            </w:tcBorders>
            <w:shd w:val="clear" w:color="auto" w:fill="auto"/>
            <w:noWrap/>
            <w:hideMark/>
          </w:tcPr>
          <w:p w14:paraId="343F2FA0"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0BA0CE65" w14:textId="77777777" w:rsidTr="00AD0261">
        <w:trPr>
          <w:trHeight w:val="129"/>
        </w:trPr>
        <w:tc>
          <w:tcPr>
            <w:tcW w:w="2972" w:type="dxa"/>
            <w:tcBorders>
              <w:top w:val="nil"/>
              <w:left w:val="single" w:sz="4" w:space="0" w:color="auto"/>
              <w:bottom w:val="single" w:sz="4" w:space="0" w:color="auto"/>
              <w:right w:val="single" w:sz="4" w:space="0" w:color="auto"/>
            </w:tcBorders>
            <w:shd w:val="clear" w:color="auto" w:fill="auto"/>
            <w:noWrap/>
            <w:hideMark/>
          </w:tcPr>
          <w:p w14:paraId="27BB2B5E" w14:textId="77777777" w:rsidR="00691ABD" w:rsidRPr="00786273" w:rsidRDefault="00691ABD" w:rsidP="001E39EE">
            <w:pPr>
              <w:jc w:val="left"/>
              <w:rPr>
                <w:sz w:val="20"/>
                <w:szCs w:val="20"/>
                <w:lang w:val="fr-CA" w:eastAsia="en-CA"/>
              </w:rPr>
            </w:pPr>
            <w:r>
              <w:rPr>
                <w:sz w:val="20"/>
                <w:szCs w:val="20"/>
                <w:lang w:val="fr-CA" w:eastAsia="en-CA"/>
              </w:rPr>
              <w:t>Sao Tomé-et-</w:t>
            </w:r>
            <w:r w:rsidRPr="00786273">
              <w:rPr>
                <w:sz w:val="20"/>
                <w:szCs w:val="20"/>
                <w:lang w:val="fr-CA" w:eastAsia="en-CA"/>
              </w:rPr>
              <w:t>Principe</w:t>
            </w:r>
          </w:p>
        </w:tc>
        <w:tc>
          <w:tcPr>
            <w:tcW w:w="851" w:type="dxa"/>
            <w:tcBorders>
              <w:top w:val="nil"/>
              <w:left w:val="nil"/>
              <w:bottom w:val="single" w:sz="4" w:space="0" w:color="auto"/>
              <w:right w:val="single" w:sz="4" w:space="0" w:color="auto"/>
            </w:tcBorders>
            <w:shd w:val="clear" w:color="auto" w:fill="auto"/>
            <w:noWrap/>
            <w:hideMark/>
          </w:tcPr>
          <w:p w14:paraId="527B6FAB" w14:textId="1554D2CB"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477C7A3"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6232B438" w14:textId="4C954D8E" w:rsidR="00691ABD" w:rsidRPr="00786273" w:rsidRDefault="00691ABD" w:rsidP="001E39EE">
            <w:pPr>
              <w:jc w:val="right"/>
              <w:rPr>
                <w:sz w:val="20"/>
                <w:szCs w:val="20"/>
                <w:lang w:val="fr-CA" w:eastAsia="en-CA"/>
              </w:rPr>
            </w:pPr>
            <w:r w:rsidRPr="00786273">
              <w:rPr>
                <w:sz w:val="20"/>
                <w:szCs w:val="20"/>
                <w:lang w:val="fr-CA" w:eastAsia="en-CA"/>
              </w:rPr>
              <w:t>72</w:t>
            </w:r>
            <w:r>
              <w:rPr>
                <w:sz w:val="20"/>
                <w:szCs w:val="20"/>
                <w:lang w:val="fr-CA" w:eastAsia="en-CA"/>
              </w:rPr>
              <w:t xml:space="preserve"> </w:t>
            </w:r>
            <w:r w:rsidRPr="00786273">
              <w:rPr>
                <w:sz w:val="20"/>
                <w:szCs w:val="20"/>
                <w:lang w:val="fr-CA" w:eastAsia="en-CA"/>
              </w:rPr>
              <w:t>462</w:t>
            </w:r>
          </w:p>
        </w:tc>
        <w:tc>
          <w:tcPr>
            <w:tcW w:w="1276" w:type="dxa"/>
            <w:tcBorders>
              <w:top w:val="nil"/>
              <w:left w:val="nil"/>
              <w:bottom w:val="single" w:sz="4" w:space="0" w:color="auto"/>
              <w:right w:val="single" w:sz="4" w:space="0" w:color="auto"/>
            </w:tcBorders>
            <w:shd w:val="clear" w:color="auto" w:fill="auto"/>
            <w:noWrap/>
            <w:hideMark/>
          </w:tcPr>
          <w:p w14:paraId="4E38B9C9" w14:textId="53A14E9B" w:rsidR="00691ABD" w:rsidRPr="00786273" w:rsidRDefault="00691ABD" w:rsidP="001E39EE">
            <w:pPr>
              <w:jc w:val="right"/>
              <w:rPr>
                <w:sz w:val="20"/>
                <w:szCs w:val="20"/>
                <w:lang w:val="fr-CA" w:eastAsia="en-CA"/>
              </w:rPr>
            </w:pPr>
            <w:r w:rsidRPr="00786273">
              <w:rPr>
                <w:sz w:val="20"/>
                <w:szCs w:val="20"/>
                <w:lang w:val="fr-CA" w:eastAsia="en-CA"/>
              </w:rPr>
              <w:t>54</w:t>
            </w:r>
            <w:r>
              <w:rPr>
                <w:sz w:val="20"/>
                <w:szCs w:val="20"/>
                <w:lang w:val="fr-CA" w:eastAsia="en-CA"/>
              </w:rPr>
              <w:t xml:space="preserve"> </w:t>
            </w:r>
            <w:r w:rsidRPr="00786273">
              <w:rPr>
                <w:sz w:val="20"/>
                <w:szCs w:val="20"/>
                <w:lang w:val="fr-CA" w:eastAsia="en-CA"/>
              </w:rPr>
              <w:t>076</w:t>
            </w:r>
          </w:p>
        </w:tc>
        <w:tc>
          <w:tcPr>
            <w:tcW w:w="1384" w:type="dxa"/>
            <w:tcBorders>
              <w:top w:val="nil"/>
              <w:left w:val="nil"/>
              <w:bottom w:val="single" w:sz="4" w:space="0" w:color="auto"/>
              <w:right w:val="single" w:sz="4" w:space="0" w:color="auto"/>
            </w:tcBorders>
            <w:shd w:val="clear" w:color="auto" w:fill="auto"/>
            <w:noWrap/>
            <w:hideMark/>
          </w:tcPr>
          <w:p w14:paraId="713C2E01" w14:textId="77777777" w:rsidR="00691ABD" w:rsidRPr="00786273" w:rsidRDefault="00691ABD" w:rsidP="001E39EE">
            <w:pPr>
              <w:jc w:val="right"/>
              <w:rPr>
                <w:sz w:val="20"/>
                <w:szCs w:val="20"/>
                <w:lang w:val="fr-CA" w:eastAsia="en-CA"/>
              </w:rPr>
            </w:pPr>
            <w:r w:rsidRPr="00786273">
              <w:rPr>
                <w:sz w:val="20"/>
                <w:szCs w:val="20"/>
                <w:lang w:val="fr-CA" w:eastAsia="en-CA"/>
              </w:rPr>
              <w:t>75</w:t>
            </w:r>
          </w:p>
        </w:tc>
        <w:tc>
          <w:tcPr>
            <w:tcW w:w="1149" w:type="dxa"/>
            <w:tcBorders>
              <w:top w:val="nil"/>
              <w:left w:val="nil"/>
              <w:bottom w:val="single" w:sz="4" w:space="0" w:color="auto"/>
              <w:right w:val="single" w:sz="4" w:space="0" w:color="auto"/>
            </w:tcBorders>
            <w:shd w:val="clear" w:color="auto" w:fill="auto"/>
            <w:noWrap/>
            <w:hideMark/>
          </w:tcPr>
          <w:p w14:paraId="2CBDE256" w14:textId="77777777" w:rsidR="00691ABD" w:rsidRPr="00786273" w:rsidRDefault="00691ABD" w:rsidP="001E39EE">
            <w:pPr>
              <w:jc w:val="right"/>
              <w:rPr>
                <w:sz w:val="20"/>
                <w:szCs w:val="20"/>
                <w:lang w:val="fr-CA" w:eastAsia="en-CA"/>
              </w:rPr>
            </w:pPr>
            <w:r w:rsidRPr="00786273">
              <w:rPr>
                <w:sz w:val="20"/>
                <w:szCs w:val="20"/>
                <w:lang w:val="fr-CA" w:eastAsia="en-CA"/>
              </w:rPr>
              <w:t>25</w:t>
            </w:r>
          </w:p>
        </w:tc>
      </w:tr>
      <w:tr w:rsidR="00691ABD" w:rsidRPr="00786273" w14:paraId="3E32B007" w14:textId="77777777" w:rsidTr="00AD0261">
        <w:trPr>
          <w:trHeight w:val="65"/>
        </w:trPr>
        <w:tc>
          <w:tcPr>
            <w:tcW w:w="2972" w:type="dxa"/>
            <w:tcBorders>
              <w:top w:val="nil"/>
              <w:left w:val="single" w:sz="4" w:space="0" w:color="auto"/>
              <w:bottom w:val="single" w:sz="4" w:space="0" w:color="auto"/>
              <w:right w:val="single" w:sz="4" w:space="0" w:color="auto"/>
            </w:tcBorders>
            <w:shd w:val="clear" w:color="auto" w:fill="auto"/>
            <w:noWrap/>
            <w:hideMark/>
          </w:tcPr>
          <w:p w14:paraId="331AA14E" w14:textId="77777777" w:rsidR="00691ABD" w:rsidRPr="00786273" w:rsidRDefault="00691ABD" w:rsidP="001E39EE">
            <w:pPr>
              <w:jc w:val="left"/>
              <w:rPr>
                <w:sz w:val="20"/>
                <w:szCs w:val="20"/>
                <w:lang w:val="fr-CA" w:eastAsia="en-CA"/>
              </w:rPr>
            </w:pPr>
            <w:r>
              <w:rPr>
                <w:sz w:val="20"/>
                <w:szCs w:val="20"/>
                <w:lang w:val="fr-CA" w:eastAsia="en-CA"/>
              </w:rPr>
              <w:t>Séné</w:t>
            </w:r>
            <w:r w:rsidRPr="00786273">
              <w:rPr>
                <w:sz w:val="20"/>
                <w:szCs w:val="20"/>
                <w:lang w:val="fr-CA" w:eastAsia="en-CA"/>
              </w:rPr>
              <w:t>gal</w:t>
            </w:r>
          </w:p>
        </w:tc>
        <w:tc>
          <w:tcPr>
            <w:tcW w:w="851" w:type="dxa"/>
            <w:tcBorders>
              <w:top w:val="nil"/>
              <w:left w:val="nil"/>
              <w:bottom w:val="single" w:sz="4" w:space="0" w:color="auto"/>
              <w:right w:val="single" w:sz="4" w:space="0" w:color="auto"/>
            </w:tcBorders>
            <w:shd w:val="clear" w:color="auto" w:fill="auto"/>
            <w:noWrap/>
            <w:hideMark/>
          </w:tcPr>
          <w:p w14:paraId="1FAAF20C" w14:textId="700D3E12"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C147F7C"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396BC30A" w14:textId="487B3646" w:rsidR="00691ABD" w:rsidRPr="00786273" w:rsidRDefault="00691ABD" w:rsidP="001E39EE">
            <w:pPr>
              <w:jc w:val="right"/>
              <w:rPr>
                <w:sz w:val="20"/>
                <w:szCs w:val="20"/>
                <w:lang w:val="fr-CA" w:eastAsia="en-CA"/>
              </w:rPr>
            </w:pPr>
            <w:r w:rsidRPr="00786273">
              <w:rPr>
                <w:sz w:val="20"/>
                <w:szCs w:val="20"/>
                <w:lang w:val="fr-CA" w:eastAsia="en-CA"/>
              </w:rPr>
              <w:t>92</w:t>
            </w:r>
            <w:r>
              <w:rPr>
                <w:sz w:val="20"/>
                <w:szCs w:val="20"/>
                <w:lang w:val="fr-CA" w:eastAsia="en-CA"/>
              </w:rPr>
              <w:t xml:space="preserve"> </w:t>
            </w:r>
            <w:r w:rsidRPr="00786273">
              <w:rPr>
                <w:sz w:val="20"/>
                <w:szCs w:val="20"/>
                <w:lang w:val="fr-CA" w:eastAsia="en-CA"/>
              </w:rPr>
              <w:t>672</w:t>
            </w:r>
          </w:p>
        </w:tc>
        <w:tc>
          <w:tcPr>
            <w:tcW w:w="1276" w:type="dxa"/>
            <w:tcBorders>
              <w:top w:val="nil"/>
              <w:left w:val="nil"/>
              <w:bottom w:val="single" w:sz="4" w:space="0" w:color="auto"/>
              <w:right w:val="single" w:sz="4" w:space="0" w:color="auto"/>
            </w:tcBorders>
            <w:shd w:val="clear" w:color="auto" w:fill="auto"/>
            <w:noWrap/>
            <w:hideMark/>
          </w:tcPr>
          <w:p w14:paraId="76262E5F" w14:textId="11D5383A" w:rsidR="00691ABD" w:rsidRPr="00786273" w:rsidRDefault="00691ABD" w:rsidP="001E39EE">
            <w:pPr>
              <w:jc w:val="right"/>
              <w:rPr>
                <w:sz w:val="20"/>
                <w:szCs w:val="20"/>
                <w:lang w:val="fr-CA" w:eastAsia="en-CA"/>
              </w:rPr>
            </w:pPr>
            <w:r w:rsidRPr="00786273">
              <w:rPr>
                <w:sz w:val="20"/>
                <w:szCs w:val="20"/>
                <w:lang w:val="fr-CA" w:eastAsia="en-CA"/>
              </w:rPr>
              <w:t>150</w:t>
            </w:r>
            <w:r>
              <w:rPr>
                <w:sz w:val="20"/>
                <w:szCs w:val="20"/>
                <w:lang w:val="fr-CA" w:eastAsia="en-CA"/>
              </w:rPr>
              <w:t xml:space="preserve"> </w:t>
            </w:r>
            <w:r w:rsidRPr="00786273">
              <w:rPr>
                <w:sz w:val="20"/>
                <w:szCs w:val="20"/>
                <w:lang w:val="fr-CA" w:eastAsia="en-CA"/>
              </w:rPr>
              <w:t>334</w:t>
            </w:r>
          </w:p>
        </w:tc>
        <w:tc>
          <w:tcPr>
            <w:tcW w:w="1384" w:type="dxa"/>
            <w:tcBorders>
              <w:top w:val="nil"/>
              <w:left w:val="nil"/>
              <w:bottom w:val="single" w:sz="4" w:space="0" w:color="auto"/>
              <w:right w:val="single" w:sz="4" w:space="0" w:color="auto"/>
            </w:tcBorders>
            <w:shd w:val="clear" w:color="auto" w:fill="auto"/>
            <w:noWrap/>
            <w:hideMark/>
          </w:tcPr>
          <w:p w14:paraId="31CDE740" w14:textId="77777777" w:rsidR="00691ABD" w:rsidRPr="00786273" w:rsidRDefault="00691ABD" w:rsidP="001E39EE">
            <w:pPr>
              <w:jc w:val="right"/>
              <w:rPr>
                <w:sz w:val="20"/>
                <w:szCs w:val="20"/>
                <w:lang w:val="fr-CA" w:eastAsia="en-CA"/>
              </w:rPr>
            </w:pPr>
            <w:r w:rsidRPr="00786273">
              <w:rPr>
                <w:sz w:val="20"/>
                <w:szCs w:val="20"/>
                <w:lang w:val="fr-CA" w:eastAsia="en-CA"/>
              </w:rPr>
              <w:t>162</w:t>
            </w:r>
          </w:p>
        </w:tc>
        <w:tc>
          <w:tcPr>
            <w:tcW w:w="1149" w:type="dxa"/>
            <w:tcBorders>
              <w:top w:val="nil"/>
              <w:left w:val="nil"/>
              <w:bottom w:val="single" w:sz="4" w:space="0" w:color="auto"/>
              <w:right w:val="single" w:sz="4" w:space="0" w:color="auto"/>
            </w:tcBorders>
            <w:shd w:val="clear" w:color="auto" w:fill="auto"/>
            <w:noWrap/>
            <w:hideMark/>
          </w:tcPr>
          <w:p w14:paraId="432D5C17"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15C79451" w14:textId="77777777" w:rsidTr="00AD0261">
        <w:trPr>
          <w:trHeight w:val="110"/>
        </w:trPr>
        <w:tc>
          <w:tcPr>
            <w:tcW w:w="2972" w:type="dxa"/>
            <w:tcBorders>
              <w:top w:val="nil"/>
              <w:left w:val="single" w:sz="4" w:space="0" w:color="auto"/>
              <w:bottom w:val="single" w:sz="4" w:space="0" w:color="auto"/>
              <w:right w:val="single" w:sz="4" w:space="0" w:color="auto"/>
            </w:tcBorders>
            <w:shd w:val="clear" w:color="auto" w:fill="auto"/>
            <w:noWrap/>
            <w:hideMark/>
          </w:tcPr>
          <w:p w14:paraId="3997D5EF" w14:textId="77777777" w:rsidR="00691ABD" w:rsidRPr="00786273" w:rsidRDefault="00691ABD" w:rsidP="004C1876">
            <w:pPr>
              <w:jc w:val="left"/>
              <w:rPr>
                <w:sz w:val="20"/>
                <w:szCs w:val="20"/>
                <w:lang w:val="fr-CA" w:eastAsia="en-CA"/>
              </w:rPr>
            </w:pPr>
            <w:r w:rsidRPr="00786273">
              <w:rPr>
                <w:sz w:val="20"/>
                <w:szCs w:val="20"/>
                <w:lang w:val="fr-CA" w:eastAsia="en-CA"/>
              </w:rPr>
              <w:t>Serbi</w:t>
            </w:r>
            <w:r>
              <w:rPr>
                <w:sz w:val="20"/>
                <w:szCs w:val="20"/>
                <w:lang w:val="fr-CA" w:eastAsia="en-CA"/>
              </w:rPr>
              <w:t>e</w:t>
            </w:r>
          </w:p>
        </w:tc>
        <w:tc>
          <w:tcPr>
            <w:tcW w:w="851" w:type="dxa"/>
            <w:tcBorders>
              <w:top w:val="nil"/>
              <w:left w:val="nil"/>
              <w:bottom w:val="single" w:sz="4" w:space="0" w:color="auto"/>
              <w:right w:val="single" w:sz="4" w:space="0" w:color="auto"/>
            </w:tcBorders>
            <w:shd w:val="clear" w:color="auto" w:fill="auto"/>
            <w:noWrap/>
            <w:hideMark/>
          </w:tcPr>
          <w:p w14:paraId="10F7000D" w14:textId="45863904"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EC9BE79"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4C9D1A4C" w14:textId="519CD73D" w:rsidR="00691ABD" w:rsidRPr="00786273" w:rsidRDefault="00691ABD" w:rsidP="001E39EE">
            <w:pPr>
              <w:jc w:val="right"/>
              <w:rPr>
                <w:sz w:val="20"/>
                <w:szCs w:val="20"/>
                <w:lang w:val="fr-CA" w:eastAsia="en-CA"/>
              </w:rPr>
            </w:pPr>
            <w:r w:rsidRPr="00786273">
              <w:rPr>
                <w:sz w:val="20"/>
                <w:szCs w:val="20"/>
                <w:lang w:val="fr-CA" w:eastAsia="en-CA"/>
              </w:rPr>
              <w:t>135</w:t>
            </w:r>
            <w:r>
              <w:rPr>
                <w:sz w:val="20"/>
                <w:szCs w:val="20"/>
                <w:lang w:val="fr-CA" w:eastAsia="en-CA"/>
              </w:rPr>
              <w:t xml:space="preserve"> </w:t>
            </w:r>
            <w:r w:rsidRPr="00786273">
              <w:rPr>
                <w:sz w:val="20"/>
                <w:szCs w:val="20"/>
                <w:lang w:val="fr-CA" w:eastAsia="en-CA"/>
              </w:rPr>
              <w:t>323</w:t>
            </w:r>
          </w:p>
        </w:tc>
        <w:tc>
          <w:tcPr>
            <w:tcW w:w="1276" w:type="dxa"/>
            <w:tcBorders>
              <w:top w:val="nil"/>
              <w:left w:val="nil"/>
              <w:bottom w:val="single" w:sz="4" w:space="0" w:color="auto"/>
              <w:right w:val="single" w:sz="4" w:space="0" w:color="auto"/>
            </w:tcBorders>
            <w:shd w:val="clear" w:color="auto" w:fill="auto"/>
            <w:noWrap/>
            <w:hideMark/>
          </w:tcPr>
          <w:p w14:paraId="4206B6A4" w14:textId="7D1F6C5C" w:rsidR="00691ABD" w:rsidRPr="00786273" w:rsidRDefault="00691ABD" w:rsidP="001E39EE">
            <w:pPr>
              <w:jc w:val="right"/>
              <w:rPr>
                <w:sz w:val="20"/>
                <w:szCs w:val="20"/>
                <w:lang w:val="fr-CA" w:eastAsia="en-CA"/>
              </w:rPr>
            </w:pPr>
            <w:r w:rsidRPr="00786273">
              <w:rPr>
                <w:sz w:val="20"/>
                <w:szCs w:val="20"/>
                <w:lang w:val="fr-CA" w:eastAsia="en-CA"/>
              </w:rPr>
              <w:t>70</w:t>
            </w:r>
            <w:r>
              <w:rPr>
                <w:sz w:val="20"/>
                <w:szCs w:val="20"/>
                <w:lang w:val="fr-CA" w:eastAsia="en-CA"/>
              </w:rPr>
              <w:t xml:space="preserve"> </w:t>
            </w:r>
            <w:r w:rsidRPr="00786273">
              <w:rPr>
                <w:sz w:val="20"/>
                <w:szCs w:val="20"/>
                <w:lang w:val="fr-CA" w:eastAsia="en-CA"/>
              </w:rPr>
              <w:t>271</w:t>
            </w:r>
          </w:p>
        </w:tc>
        <w:tc>
          <w:tcPr>
            <w:tcW w:w="1384" w:type="dxa"/>
            <w:tcBorders>
              <w:top w:val="nil"/>
              <w:left w:val="nil"/>
              <w:bottom w:val="single" w:sz="4" w:space="0" w:color="auto"/>
              <w:right w:val="single" w:sz="4" w:space="0" w:color="auto"/>
            </w:tcBorders>
            <w:shd w:val="clear" w:color="auto" w:fill="auto"/>
            <w:noWrap/>
            <w:hideMark/>
          </w:tcPr>
          <w:p w14:paraId="16999409" w14:textId="77777777" w:rsidR="00691ABD" w:rsidRPr="00786273" w:rsidRDefault="00691ABD" w:rsidP="001E39EE">
            <w:pPr>
              <w:jc w:val="right"/>
              <w:rPr>
                <w:sz w:val="20"/>
                <w:szCs w:val="20"/>
                <w:lang w:val="fr-CA" w:eastAsia="en-CA"/>
              </w:rPr>
            </w:pPr>
            <w:r w:rsidRPr="00786273">
              <w:rPr>
                <w:sz w:val="20"/>
                <w:szCs w:val="20"/>
                <w:lang w:val="fr-CA" w:eastAsia="en-CA"/>
              </w:rPr>
              <w:t>52</w:t>
            </w:r>
          </w:p>
        </w:tc>
        <w:tc>
          <w:tcPr>
            <w:tcW w:w="1149" w:type="dxa"/>
            <w:tcBorders>
              <w:top w:val="nil"/>
              <w:left w:val="nil"/>
              <w:bottom w:val="single" w:sz="4" w:space="0" w:color="auto"/>
              <w:right w:val="single" w:sz="4" w:space="0" w:color="auto"/>
            </w:tcBorders>
            <w:shd w:val="clear" w:color="auto" w:fill="auto"/>
            <w:noWrap/>
            <w:hideMark/>
          </w:tcPr>
          <w:p w14:paraId="1CD0EAAC"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4B7A2E13" w14:textId="77777777" w:rsidTr="00AD0261">
        <w:trPr>
          <w:trHeight w:val="157"/>
        </w:trPr>
        <w:tc>
          <w:tcPr>
            <w:tcW w:w="2972" w:type="dxa"/>
            <w:tcBorders>
              <w:top w:val="nil"/>
              <w:left w:val="single" w:sz="4" w:space="0" w:color="auto"/>
              <w:bottom w:val="single" w:sz="4" w:space="0" w:color="auto"/>
              <w:right w:val="single" w:sz="4" w:space="0" w:color="auto"/>
            </w:tcBorders>
            <w:shd w:val="clear" w:color="auto" w:fill="auto"/>
            <w:noWrap/>
            <w:hideMark/>
          </w:tcPr>
          <w:p w14:paraId="24919403" w14:textId="77777777" w:rsidR="00691ABD" w:rsidRPr="00786273" w:rsidRDefault="00691ABD" w:rsidP="001E39EE">
            <w:pPr>
              <w:jc w:val="left"/>
              <w:rPr>
                <w:sz w:val="20"/>
                <w:szCs w:val="20"/>
                <w:lang w:val="fr-CA" w:eastAsia="en-CA"/>
              </w:rPr>
            </w:pPr>
            <w:r w:rsidRPr="00786273">
              <w:rPr>
                <w:sz w:val="20"/>
                <w:szCs w:val="20"/>
                <w:lang w:val="fr-CA" w:eastAsia="en-CA"/>
              </w:rPr>
              <w:t>Seychelles</w:t>
            </w:r>
          </w:p>
        </w:tc>
        <w:tc>
          <w:tcPr>
            <w:tcW w:w="851" w:type="dxa"/>
            <w:tcBorders>
              <w:top w:val="nil"/>
              <w:left w:val="nil"/>
              <w:bottom w:val="single" w:sz="4" w:space="0" w:color="auto"/>
              <w:right w:val="single" w:sz="4" w:space="0" w:color="auto"/>
            </w:tcBorders>
            <w:shd w:val="clear" w:color="auto" w:fill="auto"/>
            <w:noWrap/>
            <w:hideMark/>
          </w:tcPr>
          <w:p w14:paraId="7FE7ED7C" w14:textId="217C4E54"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F8EA94D"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F01E789" w14:textId="7079EFC0" w:rsidR="00691ABD" w:rsidRPr="00786273" w:rsidRDefault="00691ABD" w:rsidP="001E39EE">
            <w:pPr>
              <w:jc w:val="right"/>
              <w:rPr>
                <w:sz w:val="20"/>
                <w:szCs w:val="20"/>
                <w:lang w:val="fr-CA" w:eastAsia="en-CA"/>
              </w:rPr>
            </w:pPr>
            <w:r w:rsidRPr="00786273">
              <w:rPr>
                <w:sz w:val="20"/>
                <w:szCs w:val="20"/>
                <w:lang w:val="fr-CA" w:eastAsia="en-CA"/>
              </w:rPr>
              <w:t>52</w:t>
            </w:r>
            <w:r>
              <w:rPr>
                <w:sz w:val="20"/>
                <w:szCs w:val="20"/>
                <w:lang w:val="fr-CA" w:eastAsia="en-CA"/>
              </w:rPr>
              <w:t xml:space="preserve"> </w:t>
            </w:r>
            <w:r w:rsidRPr="00786273">
              <w:rPr>
                <w:sz w:val="20"/>
                <w:szCs w:val="20"/>
                <w:lang w:val="fr-CA" w:eastAsia="en-CA"/>
              </w:rPr>
              <w:t>800</w:t>
            </w:r>
          </w:p>
        </w:tc>
        <w:tc>
          <w:tcPr>
            <w:tcW w:w="1276" w:type="dxa"/>
            <w:tcBorders>
              <w:top w:val="nil"/>
              <w:left w:val="nil"/>
              <w:bottom w:val="single" w:sz="4" w:space="0" w:color="auto"/>
              <w:right w:val="single" w:sz="4" w:space="0" w:color="auto"/>
            </w:tcBorders>
            <w:shd w:val="clear" w:color="auto" w:fill="auto"/>
            <w:noWrap/>
            <w:hideMark/>
          </w:tcPr>
          <w:p w14:paraId="271C304A" w14:textId="51F40403" w:rsidR="00691ABD" w:rsidRPr="00786273" w:rsidRDefault="00691ABD" w:rsidP="001E39EE">
            <w:pPr>
              <w:jc w:val="right"/>
              <w:rPr>
                <w:sz w:val="20"/>
                <w:szCs w:val="20"/>
                <w:lang w:val="fr-CA" w:eastAsia="en-CA"/>
              </w:rPr>
            </w:pPr>
            <w:r w:rsidRPr="00786273">
              <w:rPr>
                <w:sz w:val="20"/>
                <w:szCs w:val="20"/>
                <w:lang w:val="fr-CA" w:eastAsia="en-CA"/>
              </w:rPr>
              <w:t>41</w:t>
            </w:r>
            <w:r>
              <w:rPr>
                <w:sz w:val="20"/>
                <w:szCs w:val="20"/>
                <w:lang w:val="fr-CA" w:eastAsia="en-CA"/>
              </w:rPr>
              <w:t xml:space="preserve"> </w:t>
            </w:r>
            <w:r w:rsidRPr="00786273">
              <w:rPr>
                <w:sz w:val="20"/>
                <w:szCs w:val="20"/>
                <w:lang w:val="fr-CA" w:eastAsia="en-CA"/>
              </w:rPr>
              <w:t>661</w:t>
            </w:r>
          </w:p>
        </w:tc>
        <w:tc>
          <w:tcPr>
            <w:tcW w:w="1384" w:type="dxa"/>
            <w:tcBorders>
              <w:top w:val="nil"/>
              <w:left w:val="nil"/>
              <w:bottom w:val="single" w:sz="4" w:space="0" w:color="auto"/>
              <w:right w:val="single" w:sz="4" w:space="0" w:color="auto"/>
            </w:tcBorders>
            <w:shd w:val="clear" w:color="auto" w:fill="auto"/>
            <w:noWrap/>
            <w:hideMark/>
          </w:tcPr>
          <w:p w14:paraId="7F753F3A" w14:textId="77777777" w:rsidR="00691ABD" w:rsidRPr="00786273" w:rsidRDefault="00691ABD" w:rsidP="001E39EE">
            <w:pPr>
              <w:jc w:val="right"/>
              <w:rPr>
                <w:sz w:val="20"/>
                <w:szCs w:val="20"/>
                <w:lang w:val="fr-CA" w:eastAsia="en-CA"/>
              </w:rPr>
            </w:pPr>
            <w:r w:rsidRPr="00786273">
              <w:rPr>
                <w:sz w:val="20"/>
                <w:szCs w:val="20"/>
                <w:lang w:val="fr-CA" w:eastAsia="en-CA"/>
              </w:rPr>
              <w:t>79</w:t>
            </w:r>
          </w:p>
        </w:tc>
        <w:tc>
          <w:tcPr>
            <w:tcW w:w="1149" w:type="dxa"/>
            <w:tcBorders>
              <w:top w:val="nil"/>
              <w:left w:val="nil"/>
              <w:bottom w:val="single" w:sz="4" w:space="0" w:color="auto"/>
              <w:right w:val="single" w:sz="4" w:space="0" w:color="auto"/>
            </w:tcBorders>
            <w:shd w:val="clear" w:color="auto" w:fill="auto"/>
            <w:noWrap/>
            <w:hideMark/>
          </w:tcPr>
          <w:p w14:paraId="500784B0"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61240DC4" w14:textId="77777777" w:rsidTr="00AD0261">
        <w:trPr>
          <w:trHeight w:val="60"/>
        </w:trPr>
        <w:tc>
          <w:tcPr>
            <w:tcW w:w="2972" w:type="dxa"/>
            <w:tcBorders>
              <w:top w:val="nil"/>
              <w:left w:val="single" w:sz="4" w:space="0" w:color="auto"/>
              <w:bottom w:val="single" w:sz="4" w:space="0" w:color="auto"/>
              <w:right w:val="single" w:sz="4" w:space="0" w:color="auto"/>
            </w:tcBorders>
            <w:shd w:val="clear" w:color="auto" w:fill="auto"/>
            <w:noWrap/>
            <w:hideMark/>
          </w:tcPr>
          <w:p w14:paraId="29467C73" w14:textId="77777777" w:rsidR="00691ABD" w:rsidRPr="00786273" w:rsidRDefault="00691ABD" w:rsidP="001E39EE">
            <w:pPr>
              <w:jc w:val="left"/>
              <w:rPr>
                <w:sz w:val="20"/>
                <w:szCs w:val="20"/>
                <w:lang w:val="fr-CA" w:eastAsia="en-CA"/>
              </w:rPr>
            </w:pPr>
            <w:r w:rsidRPr="00786273">
              <w:rPr>
                <w:sz w:val="20"/>
                <w:szCs w:val="20"/>
                <w:lang w:val="fr-CA" w:eastAsia="en-CA"/>
              </w:rPr>
              <w:t>Sierra Leone</w:t>
            </w:r>
          </w:p>
        </w:tc>
        <w:tc>
          <w:tcPr>
            <w:tcW w:w="851" w:type="dxa"/>
            <w:tcBorders>
              <w:top w:val="nil"/>
              <w:left w:val="nil"/>
              <w:bottom w:val="single" w:sz="4" w:space="0" w:color="auto"/>
              <w:right w:val="single" w:sz="4" w:space="0" w:color="auto"/>
            </w:tcBorders>
            <w:shd w:val="clear" w:color="auto" w:fill="auto"/>
            <w:noWrap/>
            <w:hideMark/>
          </w:tcPr>
          <w:p w14:paraId="102110B0" w14:textId="78E2E85C"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5F89D94C"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46621CA3" w14:textId="641A5928" w:rsidR="00691ABD" w:rsidRPr="00786273" w:rsidRDefault="00691ABD" w:rsidP="001E39EE">
            <w:pPr>
              <w:jc w:val="right"/>
              <w:rPr>
                <w:sz w:val="20"/>
                <w:szCs w:val="20"/>
                <w:lang w:val="fr-CA" w:eastAsia="en-CA"/>
              </w:rPr>
            </w:pPr>
            <w:r w:rsidRPr="00786273">
              <w:rPr>
                <w:sz w:val="20"/>
                <w:szCs w:val="20"/>
                <w:lang w:val="fr-CA" w:eastAsia="en-CA"/>
              </w:rPr>
              <w:t>80</w:t>
            </w:r>
            <w:r>
              <w:rPr>
                <w:sz w:val="20"/>
                <w:szCs w:val="20"/>
                <w:lang w:val="fr-CA" w:eastAsia="en-CA"/>
              </w:rPr>
              <w:t xml:space="preserve"> </w:t>
            </w:r>
            <w:r w:rsidRPr="00786273">
              <w:rPr>
                <w:sz w:val="20"/>
                <w:szCs w:val="20"/>
                <w:lang w:val="fr-CA" w:eastAsia="en-CA"/>
              </w:rPr>
              <w:t>822</w:t>
            </w:r>
          </w:p>
        </w:tc>
        <w:tc>
          <w:tcPr>
            <w:tcW w:w="1276" w:type="dxa"/>
            <w:tcBorders>
              <w:top w:val="nil"/>
              <w:left w:val="nil"/>
              <w:bottom w:val="single" w:sz="4" w:space="0" w:color="auto"/>
              <w:right w:val="single" w:sz="4" w:space="0" w:color="auto"/>
            </w:tcBorders>
            <w:shd w:val="clear" w:color="auto" w:fill="auto"/>
            <w:noWrap/>
            <w:hideMark/>
          </w:tcPr>
          <w:p w14:paraId="3CF185DD" w14:textId="336224EA" w:rsidR="00691ABD" w:rsidRPr="00786273" w:rsidRDefault="00691ABD" w:rsidP="001E39EE">
            <w:pPr>
              <w:jc w:val="right"/>
              <w:rPr>
                <w:sz w:val="20"/>
                <w:szCs w:val="20"/>
                <w:lang w:val="fr-CA" w:eastAsia="en-CA"/>
              </w:rPr>
            </w:pPr>
            <w:r w:rsidRPr="00786273">
              <w:rPr>
                <w:sz w:val="20"/>
                <w:szCs w:val="20"/>
                <w:lang w:val="fr-CA" w:eastAsia="en-CA"/>
              </w:rPr>
              <w:t>132</w:t>
            </w:r>
            <w:r>
              <w:rPr>
                <w:sz w:val="20"/>
                <w:szCs w:val="20"/>
                <w:lang w:val="fr-CA" w:eastAsia="en-CA"/>
              </w:rPr>
              <w:t xml:space="preserve"> </w:t>
            </w:r>
            <w:r w:rsidRPr="00786273">
              <w:rPr>
                <w:sz w:val="20"/>
                <w:szCs w:val="20"/>
                <w:lang w:val="fr-CA" w:eastAsia="en-CA"/>
              </w:rPr>
              <w:t>565</w:t>
            </w:r>
          </w:p>
        </w:tc>
        <w:tc>
          <w:tcPr>
            <w:tcW w:w="1384" w:type="dxa"/>
            <w:tcBorders>
              <w:top w:val="nil"/>
              <w:left w:val="nil"/>
              <w:bottom w:val="single" w:sz="4" w:space="0" w:color="auto"/>
              <w:right w:val="single" w:sz="4" w:space="0" w:color="auto"/>
            </w:tcBorders>
            <w:shd w:val="clear" w:color="auto" w:fill="auto"/>
            <w:noWrap/>
            <w:hideMark/>
          </w:tcPr>
          <w:p w14:paraId="18A9314D" w14:textId="77777777" w:rsidR="00691ABD" w:rsidRPr="00786273" w:rsidRDefault="00691ABD" w:rsidP="001E39EE">
            <w:pPr>
              <w:jc w:val="right"/>
              <w:rPr>
                <w:sz w:val="20"/>
                <w:szCs w:val="20"/>
                <w:lang w:val="fr-CA" w:eastAsia="en-CA"/>
              </w:rPr>
            </w:pPr>
            <w:r w:rsidRPr="00786273">
              <w:rPr>
                <w:sz w:val="20"/>
                <w:szCs w:val="20"/>
                <w:lang w:val="fr-CA" w:eastAsia="en-CA"/>
              </w:rPr>
              <w:t>164</w:t>
            </w:r>
          </w:p>
        </w:tc>
        <w:tc>
          <w:tcPr>
            <w:tcW w:w="1149" w:type="dxa"/>
            <w:tcBorders>
              <w:top w:val="nil"/>
              <w:left w:val="nil"/>
              <w:bottom w:val="single" w:sz="4" w:space="0" w:color="auto"/>
              <w:right w:val="single" w:sz="4" w:space="0" w:color="auto"/>
            </w:tcBorders>
            <w:shd w:val="clear" w:color="auto" w:fill="auto"/>
            <w:noWrap/>
            <w:hideMark/>
          </w:tcPr>
          <w:p w14:paraId="2DD50B6D" w14:textId="77777777" w:rsidR="00691ABD" w:rsidRPr="00786273" w:rsidRDefault="00691ABD" w:rsidP="001E39EE">
            <w:pPr>
              <w:jc w:val="right"/>
              <w:rPr>
                <w:sz w:val="20"/>
                <w:szCs w:val="20"/>
                <w:lang w:val="fr-CA" w:eastAsia="en-CA"/>
              </w:rPr>
            </w:pPr>
            <w:r w:rsidRPr="00786273">
              <w:rPr>
                <w:sz w:val="20"/>
                <w:szCs w:val="20"/>
                <w:lang w:val="fr-CA" w:eastAsia="en-CA"/>
              </w:rPr>
              <w:t>67</w:t>
            </w:r>
          </w:p>
        </w:tc>
      </w:tr>
      <w:tr w:rsidR="00691ABD" w:rsidRPr="00786273" w14:paraId="43B31902" w14:textId="77777777" w:rsidTr="00AD0261">
        <w:trPr>
          <w:trHeight w:val="153"/>
        </w:trPr>
        <w:tc>
          <w:tcPr>
            <w:tcW w:w="2972" w:type="dxa"/>
            <w:tcBorders>
              <w:top w:val="nil"/>
              <w:left w:val="single" w:sz="4" w:space="0" w:color="auto"/>
              <w:bottom w:val="single" w:sz="4" w:space="0" w:color="auto"/>
              <w:right w:val="single" w:sz="4" w:space="0" w:color="auto"/>
            </w:tcBorders>
            <w:shd w:val="clear" w:color="auto" w:fill="auto"/>
            <w:noWrap/>
            <w:hideMark/>
          </w:tcPr>
          <w:p w14:paraId="3F3108BF" w14:textId="77777777" w:rsidR="00691ABD" w:rsidRPr="00786273" w:rsidRDefault="00691ABD" w:rsidP="001E39EE">
            <w:pPr>
              <w:jc w:val="left"/>
              <w:rPr>
                <w:sz w:val="20"/>
                <w:szCs w:val="20"/>
                <w:lang w:val="fr-CA" w:eastAsia="en-CA"/>
              </w:rPr>
            </w:pPr>
            <w:r>
              <w:rPr>
                <w:sz w:val="20"/>
                <w:szCs w:val="20"/>
                <w:lang w:val="fr-CA" w:eastAsia="en-CA"/>
              </w:rPr>
              <w:t>Somalie</w:t>
            </w:r>
          </w:p>
        </w:tc>
        <w:tc>
          <w:tcPr>
            <w:tcW w:w="851" w:type="dxa"/>
            <w:tcBorders>
              <w:top w:val="nil"/>
              <w:left w:val="nil"/>
              <w:bottom w:val="single" w:sz="4" w:space="0" w:color="auto"/>
              <w:right w:val="single" w:sz="4" w:space="0" w:color="auto"/>
            </w:tcBorders>
            <w:shd w:val="clear" w:color="auto" w:fill="auto"/>
            <w:noWrap/>
            <w:hideMark/>
          </w:tcPr>
          <w:p w14:paraId="57295A7B" w14:textId="76930885"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8810B61"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399E7B41" w14:textId="3E335C30" w:rsidR="00691ABD" w:rsidRPr="00786273" w:rsidRDefault="00691ABD" w:rsidP="001E39EE">
            <w:pPr>
              <w:jc w:val="right"/>
              <w:rPr>
                <w:sz w:val="20"/>
                <w:szCs w:val="20"/>
                <w:lang w:val="fr-CA" w:eastAsia="en-CA"/>
              </w:rPr>
            </w:pPr>
            <w:r w:rsidRPr="00786273">
              <w:rPr>
                <w:sz w:val="20"/>
                <w:szCs w:val="20"/>
                <w:lang w:val="fr-CA" w:eastAsia="en-CA"/>
              </w:rPr>
              <w:t>78</w:t>
            </w:r>
            <w:r>
              <w:rPr>
                <w:sz w:val="20"/>
                <w:szCs w:val="20"/>
                <w:lang w:val="fr-CA" w:eastAsia="en-CA"/>
              </w:rPr>
              <w:t xml:space="preserve"> </w:t>
            </w:r>
            <w:r w:rsidRPr="00786273">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0FEB3F7D" w14:textId="5203FC29" w:rsidR="00691ABD" w:rsidRPr="00786273" w:rsidRDefault="00691ABD" w:rsidP="001E39EE">
            <w:pPr>
              <w:jc w:val="right"/>
              <w:rPr>
                <w:sz w:val="20"/>
                <w:szCs w:val="20"/>
                <w:lang w:val="fr-CA" w:eastAsia="en-CA"/>
              </w:rPr>
            </w:pPr>
            <w:r w:rsidRPr="00786273">
              <w:rPr>
                <w:sz w:val="20"/>
                <w:szCs w:val="20"/>
                <w:lang w:val="fr-CA" w:eastAsia="en-CA"/>
              </w:rPr>
              <w:t>60</w:t>
            </w:r>
            <w:r>
              <w:rPr>
                <w:sz w:val="20"/>
                <w:szCs w:val="20"/>
                <w:lang w:val="fr-CA" w:eastAsia="en-CA"/>
              </w:rPr>
              <w:t xml:space="preserve"> </w:t>
            </w:r>
            <w:r w:rsidRPr="00786273">
              <w:rPr>
                <w:sz w:val="20"/>
                <w:szCs w:val="20"/>
                <w:lang w:val="fr-CA" w:eastAsia="en-CA"/>
              </w:rPr>
              <w:t>125</w:t>
            </w:r>
          </w:p>
        </w:tc>
        <w:tc>
          <w:tcPr>
            <w:tcW w:w="1384" w:type="dxa"/>
            <w:tcBorders>
              <w:top w:val="nil"/>
              <w:left w:val="nil"/>
              <w:bottom w:val="single" w:sz="4" w:space="0" w:color="auto"/>
              <w:right w:val="single" w:sz="4" w:space="0" w:color="auto"/>
            </w:tcBorders>
            <w:shd w:val="clear" w:color="auto" w:fill="auto"/>
            <w:noWrap/>
            <w:hideMark/>
          </w:tcPr>
          <w:p w14:paraId="4EEF4DD7" w14:textId="77777777" w:rsidR="00691ABD" w:rsidRPr="00786273" w:rsidRDefault="00691ABD" w:rsidP="001E39EE">
            <w:pPr>
              <w:jc w:val="right"/>
              <w:rPr>
                <w:sz w:val="20"/>
                <w:szCs w:val="20"/>
                <w:lang w:val="fr-CA" w:eastAsia="en-CA"/>
              </w:rPr>
            </w:pPr>
            <w:r w:rsidRPr="00786273">
              <w:rPr>
                <w:sz w:val="20"/>
                <w:szCs w:val="20"/>
                <w:lang w:val="fr-CA" w:eastAsia="en-CA"/>
              </w:rPr>
              <w:t>77</w:t>
            </w:r>
          </w:p>
        </w:tc>
        <w:tc>
          <w:tcPr>
            <w:tcW w:w="1149" w:type="dxa"/>
            <w:tcBorders>
              <w:top w:val="nil"/>
              <w:left w:val="nil"/>
              <w:bottom w:val="single" w:sz="4" w:space="0" w:color="auto"/>
              <w:right w:val="single" w:sz="4" w:space="0" w:color="auto"/>
            </w:tcBorders>
            <w:shd w:val="clear" w:color="auto" w:fill="auto"/>
            <w:noWrap/>
            <w:hideMark/>
          </w:tcPr>
          <w:p w14:paraId="4D8A0A1F"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0679939D" w14:textId="77777777" w:rsidTr="00AD0261">
        <w:trPr>
          <w:trHeight w:val="181"/>
        </w:trPr>
        <w:tc>
          <w:tcPr>
            <w:tcW w:w="2972" w:type="dxa"/>
            <w:tcBorders>
              <w:top w:val="nil"/>
              <w:left w:val="single" w:sz="4" w:space="0" w:color="auto"/>
              <w:bottom w:val="single" w:sz="4" w:space="0" w:color="auto"/>
              <w:right w:val="single" w:sz="4" w:space="0" w:color="auto"/>
            </w:tcBorders>
            <w:shd w:val="clear" w:color="auto" w:fill="auto"/>
            <w:noWrap/>
            <w:hideMark/>
          </w:tcPr>
          <w:p w14:paraId="48D34216" w14:textId="77777777" w:rsidR="00691ABD" w:rsidRPr="00786273" w:rsidRDefault="00691ABD" w:rsidP="001E39EE">
            <w:pPr>
              <w:jc w:val="left"/>
              <w:rPr>
                <w:sz w:val="20"/>
                <w:szCs w:val="20"/>
                <w:lang w:val="fr-CA" w:eastAsia="en-CA"/>
              </w:rPr>
            </w:pPr>
            <w:r>
              <w:rPr>
                <w:sz w:val="20"/>
                <w:szCs w:val="20"/>
                <w:lang w:val="fr-CA" w:eastAsia="en-CA"/>
              </w:rPr>
              <w:t>Soudan</w:t>
            </w:r>
          </w:p>
        </w:tc>
        <w:tc>
          <w:tcPr>
            <w:tcW w:w="851" w:type="dxa"/>
            <w:tcBorders>
              <w:top w:val="nil"/>
              <w:left w:val="nil"/>
              <w:bottom w:val="single" w:sz="4" w:space="0" w:color="auto"/>
              <w:right w:val="single" w:sz="4" w:space="0" w:color="auto"/>
            </w:tcBorders>
            <w:shd w:val="clear" w:color="auto" w:fill="auto"/>
            <w:noWrap/>
            <w:hideMark/>
          </w:tcPr>
          <w:p w14:paraId="6B9B1018" w14:textId="76183168"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36C55B36"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4C48EF13" w14:textId="1DA537D3" w:rsidR="00691ABD" w:rsidRPr="00786273" w:rsidRDefault="00691ABD" w:rsidP="001E39EE">
            <w:pPr>
              <w:jc w:val="right"/>
              <w:rPr>
                <w:sz w:val="20"/>
                <w:szCs w:val="20"/>
                <w:lang w:val="fr-CA" w:eastAsia="en-CA"/>
              </w:rPr>
            </w:pPr>
            <w:r w:rsidRPr="00786273">
              <w:rPr>
                <w:sz w:val="20"/>
                <w:szCs w:val="20"/>
                <w:lang w:val="fr-CA" w:eastAsia="en-CA"/>
              </w:rPr>
              <w:t>763</w:t>
            </w:r>
            <w:r>
              <w:rPr>
                <w:sz w:val="20"/>
                <w:szCs w:val="20"/>
                <w:lang w:val="fr-CA" w:eastAsia="en-CA"/>
              </w:rPr>
              <w:t xml:space="preserve"> </w:t>
            </w:r>
            <w:r w:rsidRPr="00786273">
              <w:rPr>
                <w:sz w:val="20"/>
                <w:szCs w:val="20"/>
                <w:lang w:val="fr-CA" w:eastAsia="en-CA"/>
              </w:rPr>
              <w:t>145</w:t>
            </w:r>
          </w:p>
        </w:tc>
        <w:tc>
          <w:tcPr>
            <w:tcW w:w="1276" w:type="dxa"/>
            <w:tcBorders>
              <w:top w:val="nil"/>
              <w:left w:val="nil"/>
              <w:bottom w:val="single" w:sz="4" w:space="0" w:color="auto"/>
              <w:right w:val="single" w:sz="4" w:space="0" w:color="auto"/>
            </w:tcBorders>
            <w:shd w:val="clear" w:color="auto" w:fill="auto"/>
            <w:noWrap/>
            <w:hideMark/>
          </w:tcPr>
          <w:p w14:paraId="2508782E" w14:textId="58F26DEA" w:rsidR="00691ABD" w:rsidRPr="00786273" w:rsidRDefault="00691ABD" w:rsidP="001E39EE">
            <w:pPr>
              <w:jc w:val="right"/>
              <w:rPr>
                <w:sz w:val="20"/>
                <w:szCs w:val="20"/>
                <w:lang w:val="fr-CA" w:eastAsia="en-CA"/>
              </w:rPr>
            </w:pPr>
            <w:r w:rsidRPr="00786273">
              <w:rPr>
                <w:sz w:val="20"/>
                <w:szCs w:val="20"/>
                <w:lang w:val="fr-CA" w:eastAsia="en-CA"/>
              </w:rPr>
              <w:t>267</w:t>
            </w:r>
            <w:r>
              <w:rPr>
                <w:sz w:val="20"/>
                <w:szCs w:val="20"/>
                <w:lang w:val="fr-CA" w:eastAsia="en-CA"/>
              </w:rPr>
              <w:t xml:space="preserve"> </w:t>
            </w:r>
            <w:r w:rsidRPr="00786273">
              <w:rPr>
                <w:sz w:val="20"/>
                <w:szCs w:val="20"/>
                <w:lang w:val="fr-CA" w:eastAsia="en-CA"/>
              </w:rPr>
              <w:t>969</w:t>
            </w:r>
          </w:p>
        </w:tc>
        <w:tc>
          <w:tcPr>
            <w:tcW w:w="1384" w:type="dxa"/>
            <w:tcBorders>
              <w:top w:val="nil"/>
              <w:left w:val="nil"/>
              <w:bottom w:val="single" w:sz="4" w:space="0" w:color="auto"/>
              <w:right w:val="single" w:sz="4" w:space="0" w:color="auto"/>
            </w:tcBorders>
            <w:shd w:val="clear" w:color="auto" w:fill="auto"/>
            <w:noWrap/>
            <w:hideMark/>
          </w:tcPr>
          <w:p w14:paraId="50F7531A" w14:textId="77777777" w:rsidR="00691ABD" w:rsidRPr="00786273" w:rsidRDefault="00691ABD" w:rsidP="001E39EE">
            <w:pPr>
              <w:jc w:val="right"/>
              <w:rPr>
                <w:sz w:val="20"/>
                <w:szCs w:val="20"/>
                <w:lang w:val="fr-CA" w:eastAsia="en-CA"/>
              </w:rPr>
            </w:pPr>
            <w:r w:rsidRPr="00786273">
              <w:rPr>
                <w:sz w:val="20"/>
                <w:szCs w:val="20"/>
                <w:lang w:val="fr-CA" w:eastAsia="en-CA"/>
              </w:rPr>
              <w:t>35</w:t>
            </w:r>
          </w:p>
        </w:tc>
        <w:tc>
          <w:tcPr>
            <w:tcW w:w="1149" w:type="dxa"/>
            <w:tcBorders>
              <w:top w:val="nil"/>
              <w:left w:val="nil"/>
              <w:bottom w:val="single" w:sz="4" w:space="0" w:color="auto"/>
              <w:right w:val="single" w:sz="4" w:space="0" w:color="auto"/>
            </w:tcBorders>
            <w:shd w:val="clear" w:color="auto" w:fill="auto"/>
            <w:noWrap/>
            <w:hideMark/>
          </w:tcPr>
          <w:p w14:paraId="3B3BF6D8"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72DC5AD7" w14:textId="77777777" w:rsidTr="00AD0261">
        <w:trPr>
          <w:trHeight w:val="89"/>
        </w:trPr>
        <w:tc>
          <w:tcPr>
            <w:tcW w:w="2972" w:type="dxa"/>
            <w:tcBorders>
              <w:top w:val="nil"/>
              <w:left w:val="single" w:sz="4" w:space="0" w:color="auto"/>
              <w:bottom w:val="single" w:sz="4" w:space="0" w:color="auto"/>
              <w:right w:val="single" w:sz="4" w:space="0" w:color="auto"/>
            </w:tcBorders>
            <w:shd w:val="clear" w:color="auto" w:fill="auto"/>
            <w:noWrap/>
            <w:hideMark/>
          </w:tcPr>
          <w:p w14:paraId="0120AB08" w14:textId="77777777" w:rsidR="00691ABD" w:rsidRPr="00786273" w:rsidRDefault="00691ABD" w:rsidP="001E39EE">
            <w:pPr>
              <w:jc w:val="left"/>
              <w:rPr>
                <w:sz w:val="20"/>
                <w:szCs w:val="20"/>
                <w:lang w:val="fr-CA" w:eastAsia="en-CA"/>
              </w:rPr>
            </w:pPr>
            <w:r>
              <w:rPr>
                <w:sz w:val="20"/>
                <w:szCs w:val="20"/>
                <w:lang w:val="fr-CA" w:eastAsia="en-CA"/>
              </w:rPr>
              <w:t>Soudan du Sud</w:t>
            </w:r>
          </w:p>
        </w:tc>
        <w:tc>
          <w:tcPr>
            <w:tcW w:w="851" w:type="dxa"/>
            <w:tcBorders>
              <w:top w:val="nil"/>
              <w:left w:val="nil"/>
              <w:bottom w:val="single" w:sz="4" w:space="0" w:color="auto"/>
              <w:right w:val="single" w:sz="4" w:space="0" w:color="auto"/>
            </w:tcBorders>
            <w:shd w:val="clear" w:color="auto" w:fill="auto"/>
            <w:noWrap/>
            <w:hideMark/>
          </w:tcPr>
          <w:p w14:paraId="5D4DFFD6" w14:textId="532C90D8"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45C9BD9"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3FD39060" w14:textId="40663C5C" w:rsidR="00691ABD" w:rsidRPr="00786273" w:rsidRDefault="00691ABD" w:rsidP="001E39EE">
            <w:pPr>
              <w:jc w:val="right"/>
              <w:rPr>
                <w:sz w:val="20"/>
                <w:szCs w:val="20"/>
                <w:lang w:val="fr-CA" w:eastAsia="en-CA"/>
              </w:rPr>
            </w:pPr>
            <w:r w:rsidRPr="00786273">
              <w:rPr>
                <w:sz w:val="20"/>
                <w:szCs w:val="20"/>
                <w:lang w:val="fr-CA" w:eastAsia="en-CA"/>
              </w:rPr>
              <w:t>39</w:t>
            </w:r>
            <w:r>
              <w:rPr>
                <w:sz w:val="20"/>
                <w:szCs w:val="20"/>
                <w:lang w:val="fr-CA" w:eastAsia="en-CA"/>
              </w:rPr>
              <w:t xml:space="preserve"> </w:t>
            </w:r>
            <w:r w:rsidRPr="00786273">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325683B9"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384" w:type="dxa"/>
            <w:tcBorders>
              <w:top w:val="nil"/>
              <w:left w:val="nil"/>
              <w:bottom w:val="single" w:sz="4" w:space="0" w:color="auto"/>
              <w:right w:val="single" w:sz="4" w:space="0" w:color="auto"/>
            </w:tcBorders>
            <w:shd w:val="clear" w:color="auto" w:fill="auto"/>
            <w:noWrap/>
            <w:hideMark/>
          </w:tcPr>
          <w:p w14:paraId="3C0829AC"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149" w:type="dxa"/>
            <w:tcBorders>
              <w:top w:val="nil"/>
              <w:left w:val="nil"/>
              <w:bottom w:val="single" w:sz="4" w:space="0" w:color="auto"/>
              <w:right w:val="single" w:sz="4" w:space="0" w:color="auto"/>
            </w:tcBorders>
            <w:shd w:val="clear" w:color="auto" w:fill="auto"/>
            <w:noWrap/>
            <w:hideMark/>
          </w:tcPr>
          <w:p w14:paraId="203380AE"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7E19F0E1" w14:textId="77777777" w:rsidTr="00AD0261">
        <w:trPr>
          <w:trHeight w:val="134"/>
        </w:trPr>
        <w:tc>
          <w:tcPr>
            <w:tcW w:w="2972" w:type="dxa"/>
            <w:tcBorders>
              <w:top w:val="nil"/>
              <w:left w:val="single" w:sz="4" w:space="0" w:color="auto"/>
              <w:bottom w:val="single" w:sz="4" w:space="0" w:color="auto"/>
              <w:right w:val="single" w:sz="4" w:space="0" w:color="auto"/>
            </w:tcBorders>
            <w:shd w:val="clear" w:color="auto" w:fill="auto"/>
            <w:noWrap/>
            <w:hideMark/>
          </w:tcPr>
          <w:p w14:paraId="0A95DCD3" w14:textId="77777777" w:rsidR="00691ABD" w:rsidRPr="00786273" w:rsidRDefault="00691ABD" w:rsidP="001E39EE">
            <w:pPr>
              <w:jc w:val="left"/>
              <w:rPr>
                <w:sz w:val="20"/>
                <w:szCs w:val="20"/>
                <w:lang w:val="fr-CA" w:eastAsia="en-CA"/>
              </w:rPr>
            </w:pPr>
            <w:r w:rsidRPr="00786273">
              <w:rPr>
                <w:sz w:val="20"/>
                <w:szCs w:val="20"/>
                <w:lang w:val="fr-CA" w:eastAsia="en-CA"/>
              </w:rPr>
              <w:t>Sri Lanka</w:t>
            </w:r>
          </w:p>
        </w:tc>
        <w:tc>
          <w:tcPr>
            <w:tcW w:w="851" w:type="dxa"/>
            <w:tcBorders>
              <w:top w:val="nil"/>
              <w:left w:val="nil"/>
              <w:bottom w:val="single" w:sz="4" w:space="0" w:color="auto"/>
              <w:right w:val="single" w:sz="4" w:space="0" w:color="auto"/>
            </w:tcBorders>
            <w:shd w:val="clear" w:color="auto" w:fill="auto"/>
            <w:noWrap/>
            <w:hideMark/>
          </w:tcPr>
          <w:p w14:paraId="324541BA" w14:textId="56B85E23"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5F74374"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19E38C8A" w14:textId="377E63E4" w:rsidR="00691ABD" w:rsidRPr="00786273" w:rsidRDefault="00691ABD" w:rsidP="001E39EE">
            <w:pPr>
              <w:jc w:val="right"/>
              <w:rPr>
                <w:sz w:val="20"/>
                <w:szCs w:val="20"/>
                <w:lang w:val="fr-CA" w:eastAsia="en-CA"/>
              </w:rPr>
            </w:pPr>
            <w:r w:rsidRPr="00786273">
              <w:rPr>
                <w:sz w:val="20"/>
                <w:szCs w:val="20"/>
                <w:lang w:val="fr-CA" w:eastAsia="en-CA"/>
              </w:rPr>
              <w:t>77</w:t>
            </w:r>
            <w:r>
              <w:rPr>
                <w:sz w:val="20"/>
                <w:szCs w:val="20"/>
                <w:lang w:val="fr-CA" w:eastAsia="en-CA"/>
              </w:rPr>
              <w:t xml:space="preserve"> </w:t>
            </w:r>
            <w:r w:rsidRPr="00786273">
              <w:rPr>
                <w:sz w:val="20"/>
                <w:szCs w:val="20"/>
                <w:lang w:val="fr-CA" w:eastAsia="en-CA"/>
              </w:rPr>
              <w:t>060</w:t>
            </w:r>
          </w:p>
        </w:tc>
        <w:tc>
          <w:tcPr>
            <w:tcW w:w="1276" w:type="dxa"/>
            <w:tcBorders>
              <w:top w:val="nil"/>
              <w:left w:val="nil"/>
              <w:bottom w:val="single" w:sz="4" w:space="0" w:color="auto"/>
              <w:right w:val="single" w:sz="4" w:space="0" w:color="auto"/>
            </w:tcBorders>
            <w:shd w:val="clear" w:color="auto" w:fill="auto"/>
            <w:noWrap/>
            <w:hideMark/>
          </w:tcPr>
          <w:p w14:paraId="499343FA" w14:textId="32B5B159" w:rsidR="00691ABD" w:rsidRPr="00786273" w:rsidRDefault="00691ABD" w:rsidP="001E39EE">
            <w:pPr>
              <w:jc w:val="right"/>
              <w:rPr>
                <w:sz w:val="20"/>
                <w:szCs w:val="20"/>
                <w:lang w:val="fr-CA" w:eastAsia="en-CA"/>
              </w:rPr>
            </w:pPr>
            <w:r w:rsidRPr="00786273">
              <w:rPr>
                <w:sz w:val="20"/>
                <w:szCs w:val="20"/>
                <w:lang w:val="fr-CA" w:eastAsia="en-CA"/>
              </w:rPr>
              <w:t>145</w:t>
            </w:r>
            <w:r>
              <w:rPr>
                <w:sz w:val="20"/>
                <w:szCs w:val="20"/>
                <w:lang w:val="fr-CA" w:eastAsia="en-CA"/>
              </w:rPr>
              <w:t xml:space="preserve"> </w:t>
            </w:r>
            <w:r w:rsidRPr="00786273">
              <w:rPr>
                <w:sz w:val="20"/>
                <w:szCs w:val="20"/>
                <w:lang w:val="fr-CA" w:eastAsia="en-CA"/>
              </w:rPr>
              <w:t>540</w:t>
            </w:r>
          </w:p>
        </w:tc>
        <w:tc>
          <w:tcPr>
            <w:tcW w:w="1384" w:type="dxa"/>
            <w:tcBorders>
              <w:top w:val="nil"/>
              <w:left w:val="nil"/>
              <w:bottom w:val="single" w:sz="4" w:space="0" w:color="auto"/>
              <w:right w:val="single" w:sz="4" w:space="0" w:color="auto"/>
            </w:tcBorders>
            <w:shd w:val="clear" w:color="auto" w:fill="auto"/>
            <w:noWrap/>
            <w:hideMark/>
          </w:tcPr>
          <w:p w14:paraId="31A3B05A" w14:textId="77777777" w:rsidR="00691ABD" w:rsidRPr="00786273" w:rsidRDefault="00691ABD" w:rsidP="001E39EE">
            <w:pPr>
              <w:jc w:val="right"/>
              <w:rPr>
                <w:sz w:val="20"/>
                <w:szCs w:val="20"/>
                <w:lang w:val="fr-CA" w:eastAsia="en-CA"/>
              </w:rPr>
            </w:pPr>
            <w:r w:rsidRPr="00786273">
              <w:rPr>
                <w:sz w:val="20"/>
                <w:szCs w:val="20"/>
                <w:lang w:val="fr-CA" w:eastAsia="en-CA"/>
              </w:rPr>
              <w:t>189</w:t>
            </w:r>
          </w:p>
        </w:tc>
        <w:tc>
          <w:tcPr>
            <w:tcW w:w="1149" w:type="dxa"/>
            <w:tcBorders>
              <w:top w:val="nil"/>
              <w:left w:val="nil"/>
              <w:bottom w:val="single" w:sz="4" w:space="0" w:color="auto"/>
              <w:right w:val="single" w:sz="4" w:space="0" w:color="auto"/>
            </w:tcBorders>
            <w:shd w:val="clear" w:color="auto" w:fill="auto"/>
            <w:noWrap/>
            <w:hideMark/>
          </w:tcPr>
          <w:p w14:paraId="6FB14110"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52360FB9" w14:textId="77777777" w:rsidTr="00AD0261">
        <w:trPr>
          <w:trHeight w:val="84"/>
        </w:trPr>
        <w:tc>
          <w:tcPr>
            <w:tcW w:w="2972" w:type="dxa"/>
            <w:tcBorders>
              <w:top w:val="nil"/>
              <w:left w:val="single" w:sz="4" w:space="0" w:color="auto"/>
              <w:bottom w:val="single" w:sz="4" w:space="0" w:color="auto"/>
              <w:right w:val="single" w:sz="4" w:space="0" w:color="auto"/>
            </w:tcBorders>
            <w:shd w:val="clear" w:color="auto" w:fill="auto"/>
            <w:noWrap/>
            <w:hideMark/>
          </w:tcPr>
          <w:p w14:paraId="443AE17F" w14:textId="77777777" w:rsidR="00691ABD" w:rsidRPr="00786273" w:rsidRDefault="00691ABD" w:rsidP="001E39EE">
            <w:pPr>
              <w:jc w:val="left"/>
              <w:rPr>
                <w:sz w:val="20"/>
                <w:szCs w:val="20"/>
                <w:lang w:val="fr-CA" w:eastAsia="en-CA"/>
              </w:rPr>
            </w:pPr>
            <w:r w:rsidRPr="00786273">
              <w:rPr>
                <w:sz w:val="20"/>
                <w:szCs w:val="20"/>
                <w:lang w:val="fr-CA" w:eastAsia="en-CA"/>
              </w:rPr>
              <w:t>Suriname</w:t>
            </w:r>
          </w:p>
        </w:tc>
        <w:tc>
          <w:tcPr>
            <w:tcW w:w="851" w:type="dxa"/>
            <w:tcBorders>
              <w:top w:val="nil"/>
              <w:left w:val="nil"/>
              <w:bottom w:val="single" w:sz="4" w:space="0" w:color="auto"/>
              <w:right w:val="single" w:sz="4" w:space="0" w:color="auto"/>
            </w:tcBorders>
            <w:shd w:val="clear" w:color="auto" w:fill="auto"/>
            <w:noWrap/>
            <w:hideMark/>
          </w:tcPr>
          <w:p w14:paraId="21E9A56C" w14:textId="7586A99A"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1</w:t>
            </w:r>
          </w:p>
        </w:tc>
        <w:tc>
          <w:tcPr>
            <w:tcW w:w="1160" w:type="dxa"/>
            <w:tcBorders>
              <w:top w:val="nil"/>
              <w:left w:val="nil"/>
              <w:bottom w:val="single" w:sz="4" w:space="0" w:color="auto"/>
              <w:right w:val="single" w:sz="4" w:space="0" w:color="auto"/>
            </w:tcBorders>
            <w:shd w:val="clear" w:color="auto" w:fill="auto"/>
            <w:noWrap/>
            <w:hideMark/>
          </w:tcPr>
          <w:p w14:paraId="1B7BE35F"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7ACE83C2" w14:textId="588AA3FC" w:rsidR="00691ABD" w:rsidRPr="00786273" w:rsidRDefault="00691ABD" w:rsidP="001E39EE">
            <w:pPr>
              <w:jc w:val="right"/>
              <w:rPr>
                <w:sz w:val="20"/>
                <w:szCs w:val="20"/>
                <w:lang w:val="fr-CA" w:eastAsia="en-CA"/>
              </w:rPr>
            </w:pPr>
            <w:r w:rsidRPr="00786273">
              <w:rPr>
                <w:sz w:val="20"/>
                <w:szCs w:val="20"/>
                <w:lang w:val="fr-CA" w:eastAsia="en-CA"/>
              </w:rPr>
              <w:t>66</w:t>
            </w:r>
            <w:r>
              <w:rPr>
                <w:sz w:val="20"/>
                <w:szCs w:val="20"/>
                <w:lang w:val="fr-CA" w:eastAsia="en-CA"/>
              </w:rPr>
              <w:t xml:space="preserve"> </w:t>
            </w:r>
            <w:r w:rsidRPr="00786273">
              <w:rPr>
                <w:sz w:val="20"/>
                <w:szCs w:val="20"/>
                <w:lang w:val="fr-CA" w:eastAsia="en-CA"/>
              </w:rPr>
              <w:t>210</w:t>
            </w:r>
          </w:p>
        </w:tc>
        <w:tc>
          <w:tcPr>
            <w:tcW w:w="1276" w:type="dxa"/>
            <w:tcBorders>
              <w:top w:val="nil"/>
              <w:left w:val="nil"/>
              <w:bottom w:val="single" w:sz="4" w:space="0" w:color="auto"/>
              <w:right w:val="single" w:sz="4" w:space="0" w:color="auto"/>
            </w:tcBorders>
            <w:shd w:val="clear" w:color="auto" w:fill="auto"/>
            <w:noWrap/>
            <w:hideMark/>
          </w:tcPr>
          <w:p w14:paraId="5FA197EB" w14:textId="7E311249" w:rsidR="00691ABD" w:rsidRPr="00786273" w:rsidRDefault="00691ABD" w:rsidP="001E39EE">
            <w:pPr>
              <w:jc w:val="right"/>
              <w:rPr>
                <w:sz w:val="20"/>
                <w:szCs w:val="20"/>
                <w:lang w:val="fr-CA" w:eastAsia="en-CA"/>
              </w:rPr>
            </w:pPr>
            <w:r w:rsidRPr="00786273">
              <w:rPr>
                <w:sz w:val="20"/>
                <w:szCs w:val="20"/>
                <w:lang w:val="fr-CA" w:eastAsia="en-CA"/>
              </w:rPr>
              <w:t>75</w:t>
            </w:r>
            <w:r>
              <w:rPr>
                <w:sz w:val="20"/>
                <w:szCs w:val="20"/>
                <w:lang w:val="fr-CA" w:eastAsia="en-CA"/>
              </w:rPr>
              <w:t xml:space="preserve"> </w:t>
            </w:r>
            <w:r w:rsidRPr="00786273">
              <w:rPr>
                <w:sz w:val="20"/>
                <w:szCs w:val="20"/>
                <w:lang w:val="fr-CA" w:eastAsia="en-CA"/>
              </w:rPr>
              <w:t>433</w:t>
            </w:r>
          </w:p>
        </w:tc>
        <w:tc>
          <w:tcPr>
            <w:tcW w:w="1384" w:type="dxa"/>
            <w:tcBorders>
              <w:top w:val="nil"/>
              <w:left w:val="nil"/>
              <w:bottom w:val="single" w:sz="4" w:space="0" w:color="auto"/>
              <w:right w:val="single" w:sz="4" w:space="0" w:color="auto"/>
            </w:tcBorders>
            <w:shd w:val="clear" w:color="auto" w:fill="auto"/>
            <w:noWrap/>
            <w:hideMark/>
          </w:tcPr>
          <w:p w14:paraId="554E08AF" w14:textId="77777777" w:rsidR="00691ABD" w:rsidRPr="00786273" w:rsidRDefault="00691ABD" w:rsidP="001E39EE">
            <w:pPr>
              <w:jc w:val="right"/>
              <w:rPr>
                <w:sz w:val="20"/>
                <w:szCs w:val="20"/>
                <w:lang w:val="fr-CA" w:eastAsia="en-CA"/>
              </w:rPr>
            </w:pPr>
            <w:r w:rsidRPr="00786273">
              <w:rPr>
                <w:sz w:val="20"/>
                <w:szCs w:val="20"/>
                <w:lang w:val="fr-CA" w:eastAsia="en-CA"/>
              </w:rPr>
              <w:t>114</w:t>
            </w:r>
          </w:p>
        </w:tc>
        <w:tc>
          <w:tcPr>
            <w:tcW w:w="1149" w:type="dxa"/>
            <w:tcBorders>
              <w:top w:val="nil"/>
              <w:left w:val="nil"/>
              <w:bottom w:val="single" w:sz="4" w:space="0" w:color="auto"/>
              <w:right w:val="single" w:sz="4" w:space="0" w:color="auto"/>
            </w:tcBorders>
            <w:shd w:val="clear" w:color="auto" w:fill="auto"/>
            <w:noWrap/>
            <w:hideMark/>
          </w:tcPr>
          <w:p w14:paraId="2DAFF426" w14:textId="77777777" w:rsidR="00691ABD" w:rsidRPr="00786273" w:rsidRDefault="00691ABD" w:rsidP="001E39EE">
            <w:pPr>
              <w:jc w:val="right"/>
              <w:rPr>
                <w:sz w:val="20"/>
                <w:szCs w:val="20"/>
                <w:lang w:val="fr-CA" w:eastAsia="en-CA"/>
              </w:rPr>
            </w:pPr>
            <w:r w:rsidRPr="00786273">
              <w:rPr>
                <w:sz w:val="20"/>
                <w:szCs w:val="20"/>
                <w:lang w:val="fr-CA" w:eastAsia="en-CA"/>
              </w:rPr>
              <w:t>33</w:t>
            </w:r>
          </w:p>
        </w:tc>
      </w:tr>
      <w:tr w:rsidR="00691ABD" w:rsidRPr="00786273" w14:paraId="237ED03A"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F0615B4" w14:textId="77777777" w:rsidR="00691ABD" w:rsidRPr="00786273" w:rsidRDefault="00691ABD" w:rsidP="001E39EE">
            <w:pPr>
              <w:jc w:val="left"/>
              <w:rPr>
                <w:sz w:val="20"/>
                <w:szCs w:val="20"/>
                <w:lang w:val="fr-CA" w:eastAsia="en-CA"/>
              </w:rPr>
            </w:pPr>
            <w:r>
              <w:rPr>
                <w:sz w:val="20"/>
                <w:szCs w:val="20"/>
                <w:lang w:val="fr-CA" w:eastAsia="en-CA"/>
              </w:rPr>
              <w:t>Tc</w:t>
            </w:r>
            <w:r w:rsidRPr="00786273">
              <w:rPr>
                <w:sz w:val="20"/>
                <w:szCs w:val="20"/>
                <w:lang w:val="fr-CA" w:eastAsia="en-CA"/>
              </w:rPr>
              <w:t>had</w:t>
            </w:r>
          </w:p>
        </w:tc>
        <w:tc>
          <w:tcPr>
            <w:tcW w:w="851" w:type="dxa"/>
            <w:tcBorders>
              <w:top w:val="nil"/>
              <w:left w:val="nil"/>
              <w:bottom w:val="single" w:sz="4" w:space="0" w:color="auto"/>
              <w:right w:val="single" w:sz="4" w:space="0" w:color="auto"/>
            </w:tcBorders>
            <w:shd w:val="clear" w:color="auto" w:fill="auto"/>
            <w:noWrap/>
            <w:hideMark/>
          </w:tcPr>
          <w:p w14:paraId="277B9101" w14:textId="184413F9"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A769B85"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43391415" w14:textId="3CEA215A" w:rsidR="00691ABD" w:rsidRPr="00786273" w:rsidRDefault="00691ABD" w:rsidP="001E39EE">
            <w:pPr>
              <w:jc w:val="right"/>
              <w:rPr>
                <w:sz w:val="20"/>
                <w:szCs w:val="20"/>
                <w:lang w:val="fr-CA" w:eastAsia="en-CA"/>
              </w:rPr>
            </w:pPr>
            <w:r w:rsidRPr="00786273">
              <w:rPr>
                <w:sz w:val="20"/>
                <w:szCs w:val="20"/>
                <w:lang w:val="fr-CA" w:eastAsia="en-CA"/>
              </w:rPr>
              <w:t>26</w:t>
            </w:r>
            <w:r>
              <w:rPr>
                <w:sz w:val="20"/>
                <w:szCs w:val="20"/>
                <w:lang w:val="fr-CA" w:eastAsia="en-CA"/>
              </w:rPr>
              <w:t xml:space="preserve"> </w:t>
            </w:r>
            <w:r w:rsidRPr="00786273">
              <w:rPr>
                <w:sz w:val="20"/>
                <w:szCs w:val="20"/>
                <w:lang w:val="fr-CA" w:eastAsia="en-CA"/>
              </w:rPr>
              <w:t>250</w:t>
            </w:r>
          </w:p>
        </w:tc>
        <w:tc>
          <w:tcPr>
            <w:tcW w:w="1276" w:type="dxa"/>
            <w:tcBorders>
              <w:top w:val="nil"/>
              <w:left w:val="nil"/>
              <w:bottom w:val="single" w:sz="4" w:space="0" w:color="auto"/>
              <w:right w:val="single" w:sz="4" w:space="0" w:color="auto"/>
            </w:tcBorders>
            <w:shd w:val="clear" w:color="auto" w:fill="auto"/>
            <w:noWrap/>
            <w:hideMark/>
          </w:tcPr>
          <w:p w14:paraId="7FC45080" w14:textId="28A1EC36" w:rsidR="00691ABD" w:rsidRPr="00786273" w:rsidRDefault="00691ABD" w:rsidP="001E39EE">
            <w:pPr>
              <w:jc w:val="right"/>
              <w:rPr>
                <w:sz w:val="20"/>
                <w:szCs w:val="20"/>
                <w:lang w:val="fr-CA" w:eastAsia="en-CA"/>
              </w:rPr>
            </w:pPr>
            <w:r w:rsidRPr="00786273">
              <w:rPr>
                <w:sz w:val="20"/>
                <w:szCs w:val="20"/>
                <w:lang w:val="fr-CA" w:eastAsia="en-CA"/>
              </w:rPr>
              <w:t>20</w:t>
            </w:r>
            <w:r>
              <w:rPr>
                <w:sz w:val="20"/>
                <w:szCs w:val="20"/>
                <w:lang w:val="fr-CA" w:eastAsia="en-CA"/>
              </w:rPr>
              <w:t xml:space="preserve"> </w:t>
            </w:r>
            <w:r w:rsidRPr="00786273">
              <w:rPr>
                <w:sz w:val="20"/>
                <w:szCs w:val="20"/>
                <w:lang w:val="fr-CA" w:eastAsia="en-CA"/>
              </w:rPr>
              <w:t>000</w:t>
            </w:r>
          </w:p>
        </w:tc>
        <w:tc>
          <w:tcPr>
            <w:tcW w:w="1384" w:type="dxa"/>
            <w:tcBorders>
              <w:top w:val="nil"/>
              <w:left w:val="nil"/>
              <w:bottom w:val="single" w:sz="4" w:space="0" w:color="auto"/>
              <w:right w:val="single" w:sz="4" w:space="0" w:color="auto"/>
            </w:tcBorders>
            <w:shd w:val="clear" w:color="auto" w:fill="auto"/>
            <w:noWrap/>
            <w:hideMark/>
          </w:tcPr>
          <w:p w14:paraId="29514DC4" w14:textId="77777777" w:rsidR="00691ABD" w:rsidRPr="00786273" w:rsidRDefault="00691ABD" w:rsidP="001E39EE">
            <w:pPr>
              <w:jc w:val="right"/>
              <w:rPr>
                <w:sz w:val="20"/>
                <w:szCs w:val="20"/>
                <w:lang w:val="fr-CA" w:eastAsia="en-CA"/>
              </w:rPr>
            </w:pPr>
            <w:r w:rsidRPr="00786273">
              <w:rPr>
                <w:sz w:val="20"/>
                <w:szCs w:val="20"/>
                <w:lang w:val="fr-CA" w:eastAsia="en-CA"/>
              </w:rPr>
              <w:t>76</w:t>
            </w:r>
          </w:p>
        </w:tc>
        <w:tc>
          <w:tcPr>
            <w:tcW w:w="1149" w:type="dxa"/>
            <w:tcBorders>
              <w:top w:val="nil"/>
              <w:left w:val="nil"/>
              <w:bottom w:val="single" w:sz="4" w:space="0" w:color="auto"/>
              <w:right w:val="single" w:sz="4" w:space="0" w:color="auto"/>
            </w:tcBorders>
            <w:shd w:val="clear" w:color="auto" w:fill="auto"/>
            <w:noWrap/>
            <w:hideMark/>
          </w:tcPr>
          <w:p w14:paraId="2F211712"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224A210C"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3070DDF" w14:textId="77777777" w:rsidR="00691ABD" w:rsidRPr="00786273" w:rsidRDefault="00691ABD" w:rsidP="001E39EE">
            <w:pPr>
              <w:jc w:val="left"/>
              <w:rPr>
                <w:sz w:val="20"/>
                <w:szCs w:val="20"/>
                <w:lang w:val="fr-CA" w:eastAsia="en-CA"/>
              </w:rPr>
            </w:pPr>
            <w:r>
              <w:rPr>
                <w:sz w:val="20"/>
                <w:szCs w:val="20"/>
                <w:lang w:val="fr-CA" w:eastAsia="en-CA"/>
              </w:rPr>
              <w:t>Thaïlande</w:t>
            </w:r>
          </w:p>
        </w:tc>
        <w:tc>
          <w:tcPr>
            <w:tcW w:w="851" w:type="dxa"/>
            <w:tcBorders>
              <w:top w:val="nil"/>
              <w:left w:val="nil"/>
              <w:bottom w:val="single" w:sz="4" w:space="0" w:color="auto"/>
              <w:right w:val="single" w:sz="4" w:space="0" w:color="auto"/>
            </w:tcBorders>
            <w:shd w:val="clear" w:color="auto" w:fill="auto"/>
            <w:noWrap/>
            <w:hideMark/>
          </w:tcPr>
          <w:p w14:paraId="50AC04D2" w14:textId="64F4483F"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241B9D6"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5E8346DE" w14:textId="128542B3" w:rsidR="00691ABD" w:rsidRPr="00786273" w:rsidRDefault="00691ABD" w:rsidP="001E39EE">
            <w:pPr>
              <w:jc w:val="right"/>
              <w:rPr>
                <w:sz w:val="20"/>
                <w:szCs w:val="20"/>
                <w:lang w:val="fr-CA" w:eastAsia="en-CA"/>
              </w:rPr>
            </w:pPr>
            <w:r w:rsidRPr="00786273">
              <w:rPr>
                <w:sz w:val="20"/>
                <w:szCs w:val="20"/>
                <w:lang w:val="fr-CA" w:eastAsia="en-CA"/>
              </w:rPr>
              <w:t>458</w:t>
            </w:r>
            <w:r>
              <w:rPr>
                <w:sz w:val="20"/>
                <w:szCs w:val="20"/>
                <w:lang w:val="fr-CA" w:eastAsia="en-CA"/>
              </w:rPr>
              <w:t xml:space="preserve"> </w:t>
            </w:r>
            <w:r w:rsidRPr="00786273">
              <w:rPr>
                <w:sz w:val="20"/>
                <w:szCs w:val="20"/>
                <w:lang w:val="fr-CA" w:eastAsia="en-CA"/>
              </w:rPr>
              <w:t>737</w:t>
            </w:r>
          </w:p>
        </w:tc>
        <w:tc>
          <w:tcPr>
            <w:tcW w:w="1276" w:type="dxa"/>
            <w:tcBorders>
              <w:top w:val="nil"/>
              <w:left w:val="nil"/>
              <w:bottom w:val="single" w:sz="4" w:space="0" w:color="auto"/>
              <w:right w:val="single" w:sz="4" w:space="0" w:color="auto"/>
            </w:tcBorders>
            <w:shd w:val="clear" w:color="auto" w:fill="auto"/>
            <w:noWrap/>
            <w:hideMark/>
          </w:tcPr>
          <w:p w14:paraId="6D42A3DD"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384" w:type="dxa"/>
            <w:tcBorders>
              <w:top w:val="nil"/>
              <w:left w:val="nil"/>
              <w:bottom w:val="single" w:sz="4" w:space="0" w:color="auto"/>
              <w:right w:val="single" w:sz="4" w:space="0" w:color="auto"/>
            </w:tcBorders>
            <w:shd w:val="clear" w:color="auto" w:fill="auto"/>
            <w:noWrap/>
            <w:hideMark/>
          </w:tcPr>
          <w:p w14:paraId="309540BC"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149" w:type="dxa"/>
            <w:tcBorders>
              <w:top w:val="nil"/>
              <w:left w:val="nil"/>
              <w:bottom w:val="single" w:sz="4" w:space="0" w:color="auto"/>
              <w:right w:val="single" w:sz="4" w:space="0" w:color="auto"/>
            </w:tcBorders>
            <w:shd w:val="clear" w:color="auto" w:fill="auto"/>
            <w:noWrap/>
            <w:hideMark/>
          </w:tcPr>
          <w:p w14:paraId="68E1320E"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04694C5C" w14:textId="77777777" w:rsidTr="00AD0261">
        <w:trPr>
          <w:trHeight w:val="66"/>
        </w:trPr>
        <w:tc>
          <w:tcPr>
            <w:tcW w:w="2972" w:type="dxa"/>
            <w:tcBorders>
              <w:top w:val="nil"/>
              <w:left w:val="single" w:sz="4" w:space="0" w:color="auto"/>
              <w:bottom w:val="single" w:sz="4" w:space="0" w:color="auto"/>
              <w:right w:val="single" w:sz="4" w:space="0" w:color="auto"/>
            </w:tcBorders>
            <w:shd w:val="clear" w:color="auto" w:fill="auto"/>
            <w:noWrap/>
            <w:hideMark/>
          </w:tcPr>
          <w:p w14:paraId="10E29AA9" w14:textId="77777777" w:rsidR="00691ABD" w:rsidRPr="00786273" w:rsidRDefault="00691ABD" w:rsidP="001E39EE">
            <w:pPr>
              <w:jc w:val="left"/>
              <w:rPr>
                <w:sz w:val="20"/>
                <w:szCs w:val="20"/>
                <w:lang w:val="fr-CA" w:eastAsia="en-CA"/>
              </w:rPr>
            </w:pPr>
            <w:r w:rsidRPr="00786273">
              <w:rPr>
                <w:sz w:val="20"/>
                <w:szCs w:val="20"/>
                <w:lang w:val="fr-CA" w:eastAsia="en-CA"/>
              </w:rPr>
              <w:t>Timor-Leste</w:t>
            </w:r>
          </w:p>
        </w:tc>
        <w:tc>
          <w:tcPr>
            <w:tcW w:w="851" w:type="dxa"/>
            <w:tcBorders>
              <w:top w:val="nil"/>
              <w:left w:val="nil"/>
              <w:bottom w:val="single" w:sz="4" w:space="0" w:color="auto"/>
              <w:right w:val="single" w:sz="4" w:space="0" w:color="auto"/>
            </w:tcBorders>
            <w:shd w:val="clear" w:color="auto" w:fill="auto"/>
            <w:noWrap/>
            <w:hideMark/>
          </w:tcPr>
          <w:p w14:paraId="6053FBF1" w14:textId="16CA7464"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0F52F62"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29278C7C" w14:textId="00086E8F" w:rsidR="00691ABD" w:rsidRPr="00786273" w:rsidRDefault="00691ABD" w:rsidP="001E39EE">
            <w:pPr>
              <w:jc w:val="right"/>
              <w:rPr>
                <w:sz w:val="20"/>
                <w:szCs w:val="20"/>
                <w:lang w:val="fr-CA" w:eastAsia="en-CA"/>
              </w:rPr>
            </w:pPr>
            <w:r w:rsidRPr="00786273">
              <w:rPr>
                <w:sz w:val="20"/>
                <w:szCs w:val="20"/>
                <w:lang w:val="fr-CA" w:eastAsia="en-CA"/>
              </w:rPr>
              <w:t>170</w:t>
            </w:r>
            <w:r>
              <w:rPr>
                <w:sz w:val="20"/>
                <w:szCs w:val="20"/>
                <w:lang w:val="fr-CA" w:eastAsia="en-CA"/>
              </w:rPr>
              <w:t xml:space="preserve"> </w:t>
            </w:r>
            <w:r w:rsidRPr="00786273">
              <w:rPr>
                <w:sz w:val="20"/>
                <w:szCs w:val="20"/>
                <w:lang w:val="fr-CA" w:eastAsia="en-CA"/>
              </w:rPr>
              <w:t>312</w:t>
            </w:r>
          </w:p>
        </w:tc>
        <w:tc>
          <w:tcPr>
            <w:tcW w:w="1276" w:type="dxa"/>
            <w:tcBorders>
              <w:top w:val="nil"/>
              <w:left w:val="nil"/>
              <w:bottom w:val="single" w:sz="4" w:space="0" w:color="auto"/>
              <w:right w:val="single" w:sz="4" w:space="0" w:color="auto"/>
            </w:tcBorders>
            <w:shd w:val="clear" w:color="auto" w:fill="auto"/>
            <w:noWrap/>
            <w:hideMark/>
          </w:tcPr>
          <w:p w14:paraId="6D452844" w14:textId="5738198C" w:rsidR="00691ABD" w:rsidRPr="00786273" w:rsidRDefault="00691ABD" w:rsidP="001E39EE">
            <w:pPr>
              <w:jc w:val="right"/>
              <w:rPr>
                <w:sz w:val="20"/>
                <w:szCs w:val="20"/>
                <w:lang w:val="fr-CA" w:eastAsia="en-CA"/>
              </w:rPr>
            </w:pPr>
            <w:r w:rsidRPr="00786273">
              <w:rPr>
                <w:sz w:val="20"/>
                <w:szCs w:val="20"/>
                <w:lang w:val="fr-CA" w:eastAsia="en-CA"/>
              </w:rPr>
              <w:t>60</w:t>
            </w:r>
            <w:r>
              <w:rPr>
                <w:sz w:val="20"/>
                <w:szCs w:val="20"/>
                <w:lang w:val="fr-CA" w:eastAsia="en-CA"/>
              </w:rPr>
              <w:t xml:space="preserve"> </w:t>
            </w:r>
            <w:r w:rsidRPr="00786273">
              <w:rPr>
                <w:sz w:val="20"/>
                <w:szCs w:val="20"/>
                <w:lang w:val="fr-CA" w:eastAsia="en-CA"/>
              </w:rPr>
              <w:t>942</w:t>
            </w:r>
          </w:p>
        </w:tc>
        <w:tc>
          <w:tcPr>
            <w:tcW w:w="1384" w:type="dxa"/>
            <w:tcBorders>
              <w:top w:val="nil"/>
              <w:left w:val="nil"/>
              <w:bottom w:val="single" w:sz="4" w:space="0" w:color="auto"/>
              <w:right w:val="single" w:sz="4" w:space="0" w:color="auto"/>
            </w:tcBorders>
            <w:shd w:val="clear" w:color="auto" w:fill="auto"/>
            <w:noWrap/>
            <w:hideMark/>
          </w:tcPr>
          <w:p w14:paraId="1126B3E3" w14:textId="77777777" w:rsidR="00691ABD" w:rsidRPr="00786273" w:rsidRDefault="00691ABD" w:rsidP="001E39EE">
            <w:pPr>
              <w:jc w:val="right"/>
              <w:rPr>
                <w:sz w:val="20"/>
                <w:szCs w:val="20"/>
                <w:lang w:val="fr-CA" w:eastAsia="en-CA"/>
              </w:rPr>
            </w:pPr>
            <w:r w:rsidRPr="00786273">
              <w:rPr>
                <w:sz w:val="20"/>
                <w:szCs w:val="20"/>
                <w:lang w:val="fr-CA" w:eastAsia="en-CA"/>
              </w:rPr>
              <w:t>36</w:t>
            </w:r>
          </w:p>
        </w:tc>
        <w:tc>
          <w:tcPr>
            <w:tcW w:w="1149" w:type="dxa"/>
            <w:tcBorders>
              <w:top w:val="nil"/>
              <w:left w:val="nil"/>
              <w:bottom w:val="single" w:sz="4" w:space="0" w:color="auto"/>
              <w:right w:val="single" w:sz="4" w:space="0" w:color="auto"/>
            </w:tcBorders>
            <w:shd w:val="clear" w:color="auto" w:fill="auto"/>
            <w:noWrap/>
            <w:hideMark/>
          </w:tcPr>
          <w:p w14:paraId="14CFD69F"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06590E96"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56A31A8C" w14:textId="77777777" w:rsidR="00691ABD" w:rsidRPr="00786273" w:rsidRDefault="00691ABD" w:rsidP="001E39EE">
            <w:pPr>
              <w:jc w:val="left"/>
              <w:rPr>
                <w:sz w:val="20"/>
                <w:szCs w:val="20"/>
                <w:lang w:val="fr-CA" w:eastAsia="en-CA"/>
              </w:rPr>
            </w:pPr>
            <w:r w:rsidRPr="00786273">
              <w:rPr>
                <w:sz w:val="20"/>
                <w:szCs w:val="20"/>
                <w:lang w:val="fr-CA" w:eastAsia="en-CA"/>
              </w:rPr>
              <w:t>Togo</w:t>
            </w:r>
          </w:p>
        </w:tc>
        <w:tc>
          <w:tcPr>
            <w:tcW w:w="851" w:type="dxa"/>
            <w:tcBorders>
              <w:top w:val="nil"/>
              <w:left w:val="nil"/>
              <w:bottom w:val="single" w:sz="4" w:space="0" w:color="auto"/>
              <w:right w:val="single" w:sz="4" w:space="0" w:color="auto"/>
            </w:tcBorders>
            <w:shd w:val="clear" w:color="auto" w:fill="auto"/>
            <w:noWrap/>
            <w:hideMark/>
          </w:tcPr>
          <w:p w14:paraId="4A3E3E62" w14:textId="7A7F63FA" w:rsidR="00691ABD" w:rsidRPr="00786273" w:rsidRDefault="00691ABD" w:rsidP="001E39EE">
            <w:pPr>
              <w:jc w:val="right"/>
              <w:rPr>
                <w:sz w:val="20"/>
                <w:szCs w:val="20"/>
                <w:lang w:val="fr-CA" w:eastAsia="en-CA"/>
              </w:rPr>
            </w:pPr>
            <w:r w:rsidRPr="00786273">
              <w:rPr>
                <w:sz w:val="20"/>
                <w:szCs w:val="20"/>
                <w:lang w:val="fr-CA" w:eastAsia="en-CA"/>
              </w:rPr>
              <w:t>3</w:t>
            </w:r>
            <w:r>
              <w:rPr>
                <w:sz w:val="20"/>
                <w:szCs w:val="20"/>
                <w:lang w:val="fr-CA" w:eastAsia="en-CA"/>
              </w:rPr>
              <w:t>,</w:t>
            </w:r>
            <w:r w:rsidRPr="00786273">
              <w:rPr>
                <w:sz w:val="20"/>
                <w:szCs w:val="20"/>
                <w:lang w:val="fr-CA" w:eastAsia="en-CA"/>
              </w:rPr>
              <w:t>6</w:t>
            </w:r>
          </w:p>
        </w:tc>
        <w:tc>
          <w:tcPr>
            <w:tcW w:w="1160" w:type="dxa"/>
            <w:tcBorders>
              <w:top w:val="nil"/>
              <w:left w:val="nil"/>
              <w:bottom w:val="single" w:sz="4" w:space="0" w:color="auto"/>
              <w:right w:val="single" w:sz="4" w:space="0" w:color="auto"/>
            </w:tcBorders>
            <w:shd w:val="clear" w:color="auto" w:fill="auto"/>
            <w:noWrap/>
            <w:hideMark/>
          </w:tcPr>
          <w:p w14:paraId="50EC010E"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08F14C8F" w14:textId="0C529CB2" w:rsidR="00691ABD" w:rsidRPr="00786273" w:rsidRDefault="00691ABD" w:rsidP="001E39EE">
            <w:pPr>
              <w:jc w:val="right"/>
              <w:rPr>
                <w:sz w:val="20"/>
                <w:szCs w:val="20"/>
                <w:lang w:val="fr-CA" w:eastAsia="en-CA"/>
              </w:rPr>
            </w:pPr>
            <w:r w:rsidRPr="00786273">
              <w:rPr>
                <w:sz w:val="20"/>
                <w:szCs w:val="20"/>
                <w:lang w:val="fr-CA" w:eastAsia="en-CA"/>
              </w:rPr>
              <w:t>185</w:t>
            </w:r>
            <w:r>
              <w:rPr>
                <w:sz w:val="20"/>
                <w:szCs w:val="20"/>
                <w:lang w:val="fr-CA" w:eastAsia="en-CA"/>
              </w:rPr>
              <w:t xml:space="preserve"> </w:t>
            </w:r>
            <w:r w:rsidRPr="00786273">
              <w:rPr>
                <w:sz w:val="20"/>
                <w:szCs w:val="20"/>
                <w:lang w:val="fr-CA" w:eastAsia="en-CA"/>
              </w:rPr>
              <w:t>577</w:t>
            </w:r>
          </w:p>
        </w:tc>
        <w:tc>
          <w:tcPr>
            <w:tcW w:w="1276" w:type="dxa"/>
            <w:tcBorders>
              <w:top w:val="nil"/>
              <w:left w:val="nil"/>
              <w:bottom w:val="single" w:sz="4" w:space="0" w:color="auto"/>
              <w:right w:val="single" w:sz="4" w:space="0" w:color="auto"/>
            </w:tcBorders>
            <w:shd w:val="clear" w:color="auto" w:fill="auto"/>
            <w:noWrap/>
            <w:hideMark/>
          </w:tcPr>
          <w:p w14:paraId="2C12AE97" w14:textId="6223AAA8" w:rsidR="00691ABD" w:rsidRPr="00786273" w:rsidRDefault="00691ABD" w:rsidP="001E39EE">
            <w:pPr>
              <w:jc w:val="right"/>
              <w:rPr>
                <w:sz w:val="20"/>
                <w:szCs w:val="20"/>
                <w:lang w:val="fr-CA" w:eastAsia="en-CA"/>
              </w:rPr>
            </w:pPr>
            <w:r w:rsidRPr="00786273">
              <w:rPr>
                <w:sz w:val="20"/>
                <w:szCs w:val="20"/>
                <w:lang w:val="fr-CA" w:eastAsia="en-CA"/>
              </w:rPr>
              <w:t>230</w:t>
            </w:r>
            <w:r>
              <w:rPr>
                <w:sz w:val="20"/>
                <w:szCs w:val="20"/>
                <w:lang w:val="fr-CA" w:eastAsia="en-CA"/>
              </w:rPr>
              <w:t xml:space="preserve"> </w:t>
            </w:r>
            <w:r w:rsidRPr="00786273">
              <w:rPr>
                <w:sz w:val="20"/>
                <w:szCs w:val="20"/>
                <w:lang w:val="fr-CA" w:eastAsia="en-CA"/>
              </w:rPr>
              <w:t>590</w:t>
            </w:r>
          </w:p>
        </w:tc>
        <w:tc>
          <w:tcPr>
            <w:tcW w:w="1384" w:type="dxa"/>
            <w:tcBorders>
              <w:top w:val="nil"/>
              <w:left w:val="nil"/>
              <w:bottom w:val="single" w:sz="4" w:space="0" w:color="auto"/>
              <w:right w:val="single" w:sz="4" w:space="0" w:color="auto"/>
            </w:tcBorders>
            <w:shd w:val="clear" w:color="auto" w:fill="auto"/>
            <w:noWrap/>
            <w:hideMark/>
          </w:tcPr>
          <w:p w14:paraId="63C0A9E0" w14:textId="77777777" w:rsidR="00691ABD" w:rsidRPr="00786273" w:rsidRDefault="00691ABD" w:rsidP="001E39EE">
            <w:pPr>
              <w:jc w:val="right"/>
              <w:rPr>
                <w:sz w:val="20"/>
                <w:szCs w:val="20"/>
                <w:lang w:val="fr-CA" w:eastAsia="en-CA"/>
              </w:rPr>
            </w:pPr>
            <w:r w:rsidRPr="00786273">
              <w:rPr>
                <w:sz w:val="20"/>
                <w:szCs w:val="20"/>
                <w:lang w:val="fr-CA" w:eastAsia="en-CA"/>
              </w:rPr>
              <w:t>124</w:t>
            </w:r>
          </w:p>
        </w:tc>
        <w:tc>
          <w:tcPr>
            <w:tcW w:w="1149" w:type="dxa"/>
            <w:tcBorders>
              <w:top w:val="nil"/>
              <w:left w:val="nil"/>
              <w:bottom w:val="single" w:sz="4" w:space="0" w:color="auto"/>
              <w:right w:val="single" w:sz="4" w:space="0" w:color="auto"/>
            </w:tcBorders>
            <w:shd w:val="clear" w:color="auto" w:fill="auto"/>
            <w:noWrap/>
            <w:hideMark/>
          </w:tcPr>
          <w:p w14:paraId="7141DA1A"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7CF37021"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1913CC7" w14:textId="77777777" w:rsidR="00691ABD" w:rsidRPr="00786273" w:rsidRDefault="00691ABD" w:rsidP="001E39EE">
            <w:pPr>
              <w:jc w:val="left"/>
              <w:rPr>
                <w:sz w:val="20"/>
                <w:szCs w:val="20"/>
                <w:lang w:val="fr-CA" w:eastAsia="en-CA"/>
              </w:rPr>
            </w:pPr>
            <w:r w:rsidRPr="00786273">
              <w:rPr>
                <w:sz w:val="20"/>
                <w:szCs w:val="20"/>
                <w:lang w:val="fr-CA" w:eastAsia="en-CA"/>
              </w:rPr>
              <w:t>Tonga</w:t>
            </w:r>
          </w:p>
        </w:tc>
        <w:tc>
          <w:tcPr>
            <w:tcW w:w="851" w:type="dxa"/>
            <w:tcBorders>
              <w:top w:val="nil"/>
              <w:left w:val="nil"/>
              <w:bottom w:val="single" w:sz="4" w:space="0" w:color="auto"/>
              <w:right w:val="single" w:sz="4" w:space="0" w:color="auto"/>
            </w:tcBorders>
            <w:shd w:val="clear" w:color="auto" w:fill="auto"/>
            <w:noWrap/>
            <w:hideMark/>
          </w:tcPr>
          <w:p w14:paraId="5BD55F2E" w14:textId="0FD57D31"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3B14D17"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63E73BFA" w14:textId="5958B729" w:rsidR="00691ABD" w:rsidRPr="00786273" w:rsidRDefault="00691ABD" w:rsidP="001E39EE">
            <w:pPr>
              <w:jc w:val="right"/>
              <w:rPr>
                <w:sz w:val="20"/>
                <w:szCs w:val="20"/>
                <w:lang w:val="fr-CA" w:eastAsia="en-CA"/>
              </w:rPr>
            </w:pPr>
            <w:r w:rsidRPr="00786273">
              <w:rPr>
                <w:sz w:val="20"/>
                <w:szCs w:val="20"/>
                <w:lang w:val="fr-CA" w:eastAsia="en-CA"/>
              </w:rPr>
              <w:t>54</w:t>
            </w:r>
            <w:r>
              <w:rPr>
                <w:sz w:val="20"/>
                <w:szCs w:val="20"/>
                <w:lang w:val="fr-CA" w:eastAsia="en-CA"/>
              </w:rPr>
              <w:t xml:space="preserve"> </w:t>
            </w:r>
            <w:r w:rsidRPr="00786273">
              <w:rPr>
                <w:sz w:val="20"/>
                <w:szCs w:val="20"/>
                <w:lang w:val="fr-CA" w:eastAsia="en-CA"/>
              </w:rPr>
              <w:t>076</w:t>
            </w:r>
          </w:p>
        </w:tc>
        <w:tc>
          <w:tcPr>
            <w:tcW w:w="1276" w:type="dxa"/>
            <w:tcBorders>
              <w:top w:val="nil"/>
              <w:left w:val="nil"/>
              <w:bottom w:val="single" w:sz="4" w:space="0" w:color="auto"/>
              <w:right w:val="single" w:sz="4" w:space="0" w:color="auto"/>
            </w:tcBorders>
            <w:shd w:val="clear" w:color="auto" w:fill="auto"/>
            <w:noWrap/>
            <w:hideMark/>
          </w:tcPr>
          <w:p w14:paraId="38F4D0BE" w14:textId="7288A754" w:rsidR="00691ABD" w:rsidRPr="00786273" w:rsidRDefault="00691ABD" w:rsidP="001E39EE">
            <w:pPr>
              <w:jc w:val="right"/>
              <w:rPr>
                <w:sz w:val="20"/>
                <w:szCs w:val="20"/>
                <w:lang w:val="fr-CA" w:eastAsia="en-CA"/>
              </w:rPr>
            </w:pPr>
            <w:r w:rsidRPr="00786273">
              <w:rPr>
                <w:sz w:val="20"/>
                <w:szCs w:val="20"/>
                <w:lang w:val="fr-CA" w:eastAsia="en-CA"/>
              </w:rPr>
              <w:t>56</w:t>
            </w:r>
            <w:r>
              <w:rPr>
                <w:sz w:val="20"/>
                <w:szCs w:val="20"/>
                <w:lang w:val="fr-CA" w:eastAsia="en-CA"/>
              </w:rPr>
              <w:t xml:space="preserve"> </w:t>
            </w:r>
            <w:r w:rsidRPr="00786273">
              <w:rPr>
                <w:sz w:val="20"/>
                <w:szCs w:val="20"/>
                <w:lang w:val="fr-CA" w:eastAsia="en-CA"/>
              </w:rPr>
              <w:t>493</w:t>
            </w:r>
          </w:p>
        </w:tc>
        <w:tc>
          <w:tcPr>
            <w:tcW w:w="1384" w:type="dxa"/>
            <w:tcBorders>
              <w:top w:val="nil"/>
              <w:left w:val="nil"/>
              <w:bottom w:val="single" w:sz="4" w:space="0" w:color="auto"/>
              <w:right w:val="single" w:sz="4" w:space="0" w:color="auto"/>
            </w:tcBorders>
            <w:shd w:val="clear" w:color="auto" w:fill="auto"/>
            <w:noWrap/>
            <w:hideMark/>
          </w:tcPr>
          <w:p w14:paraId="22F8EA95" w14:textId="77777777" w:rsidR="00691ABD" w:rsidRPr="00786273" w:rsidRDefault="00691ABD" w:rsidP="001E39EE">
            <w:pPr>
              <w:jc w:val="right"/>
              <w:rPr>
                <w:sz w:val="20"/>
                <w:szCs w:val="20"/>
                <w:lang w:val="fr-CA" w:eastAsia="en-CA"/>
              </w:rPr>
            </w:pPr>
            <w:r w:rsidRPr="00786273">
              <w:rPr>
                <w:sz w:val="20"/>
                <w:szCs w:val="20"/>
                <w:lang w:val="fr-CA" w:eastAsia="en-CA"/>
              </w:rPr>
              <w:t>104</w:t>
            </w:r>
          </w:p>
        </w:tc>
        <w:tc>
          <w:tcPr>
            <w:tcW w:w="1149" w:type="dxa"/>
            <w:tcBorders>
              <w:top w:val="nil"/>
              <w:left w:val="nil"/>
              <w:bottom w:val="single" w:sz="4" w:space="0" w:color="auto"/>
              <w:right w:val="single" w:sz="4" w:space="0" w:color="auto"/>
            </w:tcBorders>
            <w:shd w:val="clear" w:color="auto" w:fill="auto"/>
            <w:noWrap/>
            <w:hideMark/>
          </w:tcPr>
          <w:p w14:paraId="424C1CA3"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4C1876" w14:paraId="7393AD35" w14:textId="77777777" w:rsidTr="00AD0261">
        <w:trPr>
          <w:trHeight w:val="63"/>
        </w:trPr>
        <w:tc>
          <w:tcPr>
            <w:tcW w:w="2972" w:type="dxa"/>
            <w:tcBorders>
              <w:top w:val="nil"/>
              <w:left w:val="single" w:sz="4" w:space="0" w:color="auto"/>
              <w:bottom w:val="single" w:sz="4" w:space="0" w:color="auto"/>
              <w:right w:val="single" w:sz="4" w:space="0" w:color="auto"/>
            </w:tcBorders>
            <w:shd w:val="clear" w:color="auto" w:fill="auto"/>
            <w:noWrap/>
            <w:hideMark/>
          </w:tcPr>
          <w:p w14:paraId="222196CE" w14:textId="77777777" w:rsidR="00691ABD" w:rsidRPr="004C1876" w:rsidRDefault="00691ABD" w:rsidP="004C1876">
            <w:pPr>
              <w:jc w:val="left"/>
              <w:rPr>
                <w:sz w:val="20"/>
                <w:szCs w:val="20"/>
                <w:lang w:val="fr-CA" w:eastAsia="en-CA"/>
              </w:rPr>
            </w:pPr>
            <w:r w:rsidRPr="004C1876">
              <w:rPr>
                <w:sz w:val="20"/>
                <w:szCs w:val="20"/>
                <w:lang w:val="fr-CA" w:eastAsia="en-CA"/>
              </w:rPr>
              <w:t>Trinité-et-Tobago</w:t>
            </w:r>
          </w:p>
        </w:tc>
        <w:tc>
          <w:tcPr>
            <w:tcW w:w="851" w:type="dxa"/>
            <w:tcBorders>
              <w:top w:val="nil"/>
              <w:left w:val="nil"/>
              <w:bottom w:val="single" w:sz="4" w:space="0" w:color="auto"/>
              <w:right w:val="single" w:sz="4" w:space="0" w:color="auto"/>
            </w:tcBorders>
            <w:shd w:val="clear" w:color="auto" w:fill="auto"/>
            <w:noWrap/>
            <w:hideMark/>
          </w:tcPr>
          <w:p w14:paraId="7DA31734" w14:textId="390683AF" w:rsidR="00691ABD" w:rsidRPr="004C1876" w:rsidRDefault="00691ABD" w:rsidP="001E39EE">
            <w:pPr>
              <w:jc w:val="right"/>
              <w:rPr>
                <w:sz w:val="20"/>
                <w:szCs w:val="20"/>
                <w:lang w:val="en-US" w:eastAsia="en-CA"/>
              </w:rPr>
            </w:pPr>
            <w:r w:rsidRPr="004C1876">
              <w:rPr>
                <w:sz w:val="20"/>
                <w:szCs w:val="20"/>
                <w:lang w:val="en-US" w:eastAsia="en-CA"/>
              </w:rPr>
              <w:t>7</w:t>
            </w:r>
            <w:r>
              <w:rPr>
                <w:sz w:val="20"/>
                <w:szCs w:val="20"/>
                <w:lang w:val="en-US" w:eastAsia="en-CA"/>
              </w:rPr>
              <w:t>,</w:t>
            </w:r>
            <w:r w:rsidRPr="004C1876">
              <w:rPr>
                <w:sz w:val="20"/>
                <w:szCs w:val="20"/>
                <w:lang w:val="en-US" w:eastAsia="en-CA"/>
              </w:rPr>
              <w:t>2</w:t>
            </w:r>
          </w:p>
        </w:tc>
        <w:tc>
          <w:tcPr>
            <w:tcW w:w="1160" w:type="dxa"/>
            <w:tcBorders>
              <w:top w:val="nil"/>
              <w:left w:val="nil"/>
              <w:bottom w:val="single" w:sz="4" w:space="0" w:color="auto"/>
              <w:right w:val="single" w:sz="4" w:space="0" w:color="auto"/>
            </w:tcBorders>
            <w:shd w:val="clear" w:color="auto" w:fill="auto"/>
            <w:noWrap/>
            <w:hideMark/>
          </w:tcPr>
          <w:p w14:paraId="74BE12D5" w14:textId="77777777" w:rsidR="00691ABD" w:rsidRPr="004C1876" w:rsidRDefault="00691ABD" w:rsidP="001E39EE">
            <w:pPr>
              <w:jc w:val="left"/>
              <w:rPr>
                <w:sz w:val="20"/>
                <w:szCs w:val="20"/>
                <w:lang w:val="en-US" w:eastAsia="en-CA"/>
              </w:rPr>
            </w:pPr>
            <w:r w:rsidRPr="004C1876">
              <w:rPr>
                <w:sz w:val="20"/>
                <w:szCs w:val="20"/>
                <w:lang w:val="en-US" w:eastAsia="en-CA"/>
              </w:rPr>
              <w:t> </w:t>
            </w:r>
          </w:p>
        </w:tc>
        <w:tc>
          <w:tcPr>
            <w:tcW w:w="1250" w:type="dxa"/>
            <w:tcBorders>
              <w:top w:val="nil"/>
              <w:left w:val="nil"/>
              <w:bottom w:val="single" w:sz="4" w:space="0" w:color="auto"/>
              <w:right w:val="single" w:sz="4" w:space="0" w:color="auto"/>
            </w:tcBorders>
            <w:shd w:val="clear" w:color="auto" w:fill="auto"/>
            <w:noWrap/>
            <w:hideMark/>
          </w:tcPr>
          <w:p w14:paraId="3AE579C7" w14:textId="2565AE99" w:rsidR="00691ABD" w:rsidRPr="004C1876" w:rsidRDefault="00691ABD" w:rsidP="001E39EE">
            <w:pPr>
              <w:jc w:val="right"/>
              <w:rPr>
                <w:sz w:val="20"/>
                <w:szCs w:val="20"/>
                <w:lang w:val="en-US" w:eastAsia="en-CA"/>
              </w:rPr>
            </w:pPr>
            <w:r w:rsidRPr="004C1876">
              <w:rPr>
                <w:sz w:val="20"/>
                <w:szCs w:val="20"/>
                <w:lang w:val="en-US" w:eastAsia="en-CA"/>
              </w:rPr>
              <w:t>135</w:t>
            </w:r>
            <w:r>
              <w:rPr>
                <w:sz w:val="20"/>
                <w:szCs w:val="20"/>
                <w:lang w:val="en-US" w:eastAsia="en-CA"/>
              </w:rPr>
              <w:t xml:space="preserve"> </w:t>
            </w:r>
            <w:r w:rsidRPr="004C1876">
              <w:rPr>
                <w:sz w:val="20"/>
                <w:szCs w:val="20"/>
                <w:lang w:val="en-US" w:eastAsia="en-CA"/>
              </w:rPr>
              <w:t>972</w:t>
            </w:r>
          </w:p>
        </w:tc>
        <w:tc>
          <w:tcPr>
            <w:tcW w:w="1276" w:type="dxa"/>
            <w:tcBorders>
              <w:top w:val="nil"/>
              <w:left w:val="nil"/>
              <w:bottom w:val="single" w:sz="4" w:space="0" w:color="auto"/>
              <w:right w:val="single" w:sz="4" w:space="0" w:color="auto"/>
            </w:tcBorders>
            <w:shd w:val="clear" w:color="auto" w:fill="auto"/>
            <w:noWrap/>
            <w:hideMark/>
          </w:tcPr>
          <w:p w14:paraId="107D9FA3" w14:textId="04628765" w:rsidR="00691ABD" w:rsidRPr="004C1876" w:rsidRDefault="00691ABD" w:rsidP="001E39EE">
            <w:pPr>
              <w:jc w:val="right"/>
              <w:rPr>
                <w:sz w:val="20"/>
                <w:szCs w:val="20"/>
                <w:lang w:val="en-US" w:eastAsia="en-CA"/>
              </w:rPr>
            </w:pPr>
            <w:r w:rsidRPr="004C1876">
              <w:rPr>
                <w:sz w:val="20"/>
                <w:szCs w:val="20"/>
                <w:lang w:val="en-US" w:eastAsia="en-CA"/>
              </w:rPr>
              <w:t>141</w:t>
            </w:r>
            <w:r>
              <w:rPr>
                <w:sz w:val="20"/>
                <w:szCs w:val="20"/>
                <w:lang w:val="en-US" w:eastAsia="en-CA"/>
              </w:rPr>
              <w:t xml:space="preserve"> </w:t>
            </w:r>
            <w:r w:rsidRPr="004C1876">
              <w:rPr>
                <w:sz w:val="20"/>
                <w:szCs w:val="20"/>
                <w:lang w:val="en-US" w:eastAsia="en-CA"/>
              </w:rPr>
              <w:t>914</w:t>
            </w:r>
          </w:p>
        </w:tc>
        <w:tc>
          <w:tcPr>
            <w:tcW w:w="1384" w:type="dxa"/>
            <w:tcBorders>
              <w:top w:val="nil"/>
              <w:left w:val="nil"/>
              <w:bottom w:val="single" w:sz="4" w:space="0" w:color="auto"/>
              <w:right w:val="single" w:sz="4" w:space="0" w:color="auto"/>
            </w:tcBorders>
            <w:shd w:val="clear" w:color="auto" w:fill="auto"/>
            <w:noWrap/>
            <w:hideMark/>
          </w:tcPr>
          <w:p w14:paraId="3E61E99C" w14:textId="77777777" w:rsidR="00691ABD" w:rsidRPr="004C1876" w:rsidRDefault="00691ABD" w:rsidP="001E39EE">
            <w:pPr>
              <w:jc w:val="right"/>
              <w:rPr>
                <w:sz w:val="20"/>
                <w:szCs w:val="20"/>
                <w:lang w:val="en-US" w:eastAsia="en-CA"/>
              </w:rPr>
            </w:pPr>
            <w:r w:rsidRPr="004C1876">
              <w:rPr>
                <w:sz w:val="20"/>
                <w:szCs w:val="20"/>
                <w:lang w:val="en-US" w:eastAsia="en-CA"/>
              </w:rPr>
              <w:t>104</w:t>
            </w:r>
          </w:p>
        </w:tc>
        <w:tc>
          <w:tcPr>
            <w:tcW w:w="1149" w:type="dxa"/>
            <w:tcBorders>
              <w:top w:val="nil"/>
              <w:left w:val="nil"/>
              <w:bottom w:val="single" w:sz="4" w:space="0" w:color="auto"/>
              <w:right w:val="single" w:sz="4" w:space="0" w:color="auto"/>
            </w:tcBorders>
            <w:shd w:val="clear" w:color="auto" w:fill="auto"/>
            <w:noWrap/>
            <w:hideMark/>
          </w:tcPr>
          <w:p w14:paraId="4D4BE4C1" w14:textId="77777777" w:rsidR="00691ABD" w:rsidRPr="004C1876" w:rsidRDefault="00691ABD" w:rsidP="001E39EE">
            <w:pPr>
              <w:jc w:val="left"/>
              <w:rPr>
                <w:sz w:val="20"/>
                <w:szCs w:val="20"/>
                <w:lang w:val="en-US" w:eastAsia="en-CA"/>
              </w:rPr>
            </w:pPr>
            <w:r w:rsidRPr="004C1876">
              <w:rPr>
                <w:sz w:val="20"/>
                <w:szCs w:val="20"/>
                <w:lang w:val="en-US" w:eastAsia="en-CA"/>
              </w:rPr>
              <w:t> </w:t>
            </w:r>
          </w:p>
        </w:tc>
      </w:tr>
      <w:tr w:rsidR="00691ABD" w:rsidRPr="004C1876" w14:paraId="29EFE913" w14:textId="77777777" w:rsidTr="00AD0261">
        <w:trPr>
          <w:trHeight w:val="95"/>
        </w:trPr>
        <w:tc>
          <w:tcPr>
            <w:tcW w:w="2972" w:type="dxa"/>
            <w:tcBorders>
              <w:top w:val="nil"/>
              <w:left w:val="single" w:sz="4" w:space="0" w:color="auto"/>
              <w:bottom w:val="single" w:sz="4" w:space="0" w:color="auto"/>
              <w:right w:val="single" w:sz="4" w:space="0" w:color="auto"/>
            </w:tcBorders>
            <w:shd w:val="clear" w:color="auto" w:fill="auto"/>
            <w:noWrap/>
            <w:hideMark/>
          </w:tcPr>
          <w:p w14:paraId="0368B614" w14:textId="77777777" w:rsidR="00691ABD" w:rsidRPr="004C1876" w:rsidRDefault="00691ABD" w:rsidP="001E39EE">
            <w:pPr>
              <w:jc w:val="left"/>
              <w:rPr>
                <w:sz w:val="20"/>
                <w:szCs w:val="20"/>
                <w:lang w:val="fr-CA" w:eastAsia="en-CA"/>
              </w:rPr>
            </w:pPr>
            <w:r w:rsidRPr="004C1876">
              <w:rPr>
                <w:sz w:val="20"/>
                <w:szCs w:val="20"/>
                <w:lang w:val="fr-CA" w:eastAsia="en-CA"/>
              </w:rPr>
              <w:t>Tunisie</w:t>
            </w:r>
          </w:p>
        </w:tc>
        <w:tc>
          <w:tcPr>
            <w:tcW w:w="851" w:type="dxa"/>
            <w:tcBorders>
              <w:top w:val="nil"/>
              <w:left w:val="nil"/>
              <w:bottom w:val="single" w:sz="4" w:space="0" w:color="auto"/>
              <w:right w:val="single" w:sz="4" w:space="0" w:color="auto"/>
            </w:tcBorders>
            <w:shd w:val="clear" w:color="auto" w:fill="auto"/>
            <w:noWrap/>
            <w:hideMark/>
          </w:tcPr>
          <w:p w14:paraId="631DDF6D" w14:textId="13EF38F9" w:rsidR="00691ABD" w:rsidRPr="004C1876" w:rsidRDefault="00691ABD" w:rsidP="001E39EE">
            <w:pPr>
              <w:jc w:val="right"/>
              <w:rPr>
                <w:sz w:val="20"/>
                <w:szCs w:val="20"/>
                <w:lang w:val="en-US" w:eastAsia="en-CA"/>
              </w:rPr>
            </w:pPr>
            <w:r w:rsidRPr="004C1876">
              <w:rPr>
                <w:sz w:val="20"/>
                <w:szCs w:val="20"/>
                <w:lang w:val="en-US" w:eastAsia="en-CA"/>
              </w:rPr>
              <w:t>5</w:t>
            </w:r>
            <w:r>
              <w:rPr>
                <w:sz w:val="20"/>
                <w:szCs w:val="20"/>
                <w:lang w:val="en-US" w:eastAsia="en-CA"/>
              </w:rPr>
              <w:t>,</w:t>
            </w:r>
            <w:r w:rsidRPr="004C1876">
              <w:rPr>
                <w:sz w:val="20"/>
                <w:szCs w:val="20"/>
                <w:lang w:val="en-US" w:eastAsia="en-CA"/>
              </w:rPr>
              <w:t>8</w:t>
            </w:r>
          </w:p>
        </w:tc>
        <w:tc>
          <w:tcPr>
            <w:tcW w:w="1160" w:type="dxa"/>
            <w:tcBorders>
              <w:top w:val="nil"/>
              <w:left w:val="nil"/>
              <w:bottom w:val="single" w:sz="4" w:space="0" w:color="auto"/>
              <w:right w:val="single" w:sz="4" w:space="0" w:color="auto"/>
            </w:tcBorders>
            <w:shd w:val="clear" w:color="auto" w:fill="auto"/>
            <w:noWrap/>
            <w:hideMark/>
          </w:tcPr>
          <w:p w14:paraId="0C11415A" w14:textId="77777777" w:rsidR="00691ABD" w:rsidRPr="004C1876" w:rsidRDefault="00691ABD" w:rsidP="001E39EE">
            <w:pPr>
              <w:jc w:val="right"/>
              <w:rPr>
                <w:sz w:val="20"/>
                <w:szCs w:val="20"/>
                <w:lang w:val="en-US" w:eastAsia="en-CA"/>
              </w:rPr>
            </w:pPr>
            <w:r w:rsidRPr="004C1876">
              <w:rPr>
                <w:sz w:val="20"/>
                <w:szCs w:val="20"/>
                <w:lang w:val="en-US" w:eastAsia="en-CA"/>
              </w:rPr>
              <w:t>0</w:t>
            </w:r>
          </w:p>
        </w:tc>
        <w:tc>
          <w:tcPr>
            <w:tcW w:w="1250" w:type="dxa"/>
            <w:tcBorders>
              <w:top w:val="nil"/>
              <w:left w:val="nil"/>
              <w:bottom w:val="single" w:sz="4" w:space="0" w:color="auto"/>
              <w:right w:val="single" w:sz="4" w:space="0" w:color="auto"/>
            </w:tcBorders>
            <w:shd w:val="clear" w:color="auto" w:fill="auto"/>
            <w:noWrap/>
            <w:hideMark/>
          </w:tcPr>
          <w:p w14:paraId="0D04CAA0" w14:textId="00BE207C" w:rsidR="00691ABD" w:rsidRPr="004C1876" w:rsidRDefault="00691ABD" w:rsidP="001E39EE">
            <w:pPr>
              <w:jc w:val="right"/>
              <w:rPr>
                <w:sz w:val="20"/>
                <w:szCs w:val="20"/>
                <w:lang w:val="en-US" w:eastAsia="en-CA"/>
              </w:rPr>
            </w:pPr>
            <w:r w:rsidRPr="004C1876">
              <w:rPr>
                <w:sz w:val="20"/>
                <w:szCs w:val="20"/>
                <w:lang w:val="en-US" w:eastAsia="en-CA"/>
              </w:rPr>
              <w:t>575</w:t>
            </w:r>
            <w:r>
              <w:rPr>
                <w:sz w:val="20"/>
                <w:szCs w:val="20"/>
                <w:lang w:val="en-US" w:eastAsia="en-CA"/>
              </w:rPr>
              <w:t xml:space="preserve"> </w:t>
            </w:r>
            <w:r w:rsidRPr="004C1876">
              <w:rPr>
                <w:sz w:val="20"/>
                <w:szCs w:val="20"/>
                <w:lang w:val="en-US" w:eastAsia="en-CA"/>
              </w:rPr>
              <w:t>550</w:t>
            </w:r>
          </w:p>
        </w:tc>
        <w:tc>
          <w:tcPr>
            <w:tcW w:w="1276" w:type="dxa"/>
            <w:tcBorders>
              <w:top w:val="nil"/>
              <w:left w:val="nil"/>
              <w:bottom w:val="single" w:sz="4" w:space="0" w:color="auto"/>
              <w:right w:val="single" w:sz="4" w:space="0" w:color="auto"/>
            </w:tcBorders>
            <w:shd w:val="clear" w:color="auto" w:fill="auto"/>
            <w:noWrap/>
            <w:hideMark/>
          </w:tcPr>
          <w:p w14:paraId="0BDE270F" w14:textId="6A914B52" w:rsidR="00691ABD" w:rsidRPr="004C1876" w:rsidRDefault="00691ABD" w:rsidP="001E39EE">
            <w:pPr>
              <w:jc w:val="right"/>
              <w:rPr>
                <w:sz w:val="20"/>
                <w:szCs w:val="20"/>
                <w:lang w:val="en-US" w:eastAsia="en-CA"/>
              </w:rPr>
            </w:pPr>
            <w:r w:rsidRPr="004C1876">
              <w:rPr>
                <w:sz w:val="20"/>
                <w:szCs w:val="20"/>
                <w:lang w:val="en-US" w:eastAsia="en-CA"/>
              </w:rPr>
              <w:t>353</w:t>
            </w:r>
            <w:r>
              <w:rPr>
                <w:sz w:val="20"/>
                <w:szCs w:val="20"/>
                <w:lang w:val="en-US" w:eastAsia="en-CA"/>
              </w:rPr>
              <w:t xml:space="preserve"> </w:t>
            </w:r>
            <w:r w:rsidRPr="004C1876">
              <w:rPr>
                <w:sz w:val="20"/>
                <w:szCs w:val="20"/>
                <w:lang w:val="en-US" w:eastAsia="en-CA"/>
              </w:rPr>
              <w:t>312</w:t>
            </w:r>
          </w:p>
        </w:tc>
        <w:tc>
          <w:tcPr>
            <w:tcW w:w="1384" w:type="dxa"/>
            <w:tcBorders>
              <w:top w:val="nil"/>
              <w:left w:val="nil"/>
              <w:bottom w:val="single" w:sz="4" w:space="0" w:color="auto"/>
              <w:right w:val="single" w:sz="4" w:space="0" w:color="auto"/>
            </w:tcBorders>
            <w:shd w:val="clear" w:color="auto" w:fill="auto"/>
            <w:noWrap/>
            <w:hideMark/>
          </w:tcPr>
          <w:p w14:paraId="648D1023" w14:textId="77777777" w:rsidR="00691ABD" w:rsidRPr="004C1876" w:rsidRDefault="00691ABD" w:rsidP="001E39EE">
            <w:pPr>
              <w:jc w:val="right"/>
              <w:rPr>
                <w:sz w:val="20"/>
                <w:szCs w:val="20"/>
                <w:lang w:val="en-US" w:eastAsia="en-CA"/>
              </w:rPr>
            </w:pPr>
            <w:r w:rsidRPr="004C1876">
              <w:rPr>
                <w:sz w:val="20"/>
                <w:szCs w:val="20"/>
                <w:lang w:val="en-US" w:eastAsia="en-CA"/>
              </w:rPr>
              <w:t>61</w:t>
            </w:r>
          </w:p>
        </w:tc>
        <w:tc>
          <w:tcPr>
            <w:tcW w:w="1149" w:type="dxa"/>
            <w:tcBorders>
              <w:top w:val="nil"/>
              <w:left w:val="nil"/>
              <w:bottom w:val="single" w:sz="4" w:space="0" w:color="auto"/>
              <w:right w:val="single" w:sz="4" w:space="0" w:color="auto"/>
            </w:tcBorders>
            <w:shd w:val="clear" w:color="auto" w:fill="auto"/>
            <w:noWrap/>
            <w:hideMark/>
          </w:tcPr>
          <w:p w14:paraId="12B0F692" w14:textId="77777777" w:rsidR="00691ABD" w:rsidRPr="004C1876" w:rsidRDefault="00691ABD" w:rsidP="001E39EE">
            <w:pPr>
              <w:jc w:val="right"/>
              <w:rPr>
                <w:sz w:val="20"/>
                <w:szCs w:val="20"/>
                <w:lang w:val="en-US" w:eastAsia="en-CA"/>
              </w:rPr>
            </w:pPr>
            <w:r w:rsidRPr="004C1876">
              <w:rPr>
                <w:sz w:val="20"/>
                <w:szCs w:val="20"/>
                <w:lang w:val="en-US" w:eastAsia="en-CA"/>
              </w:rPr>
              <w:t>50</w:t>
            </w:r>
          </w:p>
        </w:tc>
      </w:tr>
      <w:tr w:rsidR="00691ABD" w:rsidRPr="00786273" w14:paraId="5922D1D2"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3CD53EB" w14:textId="77777777" w:rsidR="00691ABD" w:rsidRPr="004C1876" w:rsidRDefault="00691ABD" w:rsidP="001E39EE">
            <w:pPr>
              <w:jc w:val="left"/>
              <w:rPr>
                <w:sz w:val="20"/>
                <w:szCs w:val="20"/>
                <w:lang w:val="fr-CA" w:eastAsia="en-CA"/>
              </w:rPr>
            </w:pPr>
            <w:r w:rsidRPr="004C1876">
              <w:rPr>
                <w:sz w:val="20"/>
                <w:szCs w:val="20"/>
                <w:lang w:val="fr-CA" w:eastAsia="en-CA"/>
              </w:rPr>
              <w:t>Turkménistan</w:t>
            </w:r>
          </w:p>
        </w:tc>
        <w:tc>
          <w:tcPr>
            <w:tcW w:w="851" w:type="dxa"/>
            <w:tcBorders>
              <w:top w:val="nil"/>
              <w:left w:val="nil"/>
              <w:bottom w:val="single" w:sz="4" w:space="0" w:color="auto"/>
              <w:right w:val="single" w:sz="4" w:space="0" w:color="auto"/>
            </w:tcBorders>
            <w:shd w:val="clear" w:color="auto" w:fill="auto"/>
            <w:noWrap/>
            <w:hideMark/>
          </w:tcPr>
          <w:p w14:paraId="27194C4B" w14:textId="734F1920" w:rsidR="00691ABD" w:rsidRPr="004C1876" w:rsidRDefault="00691ABD" w:rsidP="001E39EE">
            <w:pPr>
              <w:jc w:val="right"/>
              <w:rPr>
                <w:sz w:val="20"/>
                <w:szCs w:val="20"/>
                <w:lang w:val="en-US" w:eastAsia="en-CA"/>
              </w:rPr>
            </w:pPr>
            <w:r w:rsidRPr="004C1876">
              <w:rPr>
                <w:sz w:val="20"/>
                <w:szCs w:val="20"/>
                <w:lang w:val="en-US" w:eastAsia="en-CA"/>
              </w:rPr>
              <w:t>0</w:t>
            </w:r>
            <w:r>
              <w:rPr>
                <w:sz w:val="20"/>
                <w:szCs w:val="20"/>
                <w:lang w:val="en-US" w:eastAsia="en-CA"/>
              </w:rPr>
              <w:t>,</w:t>
            </w:r>
            <w:r w:rsidRPr="004C1876">
              <w:rPr>
                <w:sz w:val="20"/>
                <w:szCs w:val="20"/>
                <w:lang w:val="en-US" w:eastAsia="en-CA"/>
              </w:rPr>
              <w:t>0</w:t>
            </w:r>
          </w:p>
        </w:tc>
        <w:tc>
          <w:tcPr>
            <w:tcW w:w="1160" w:type="dxa"/>
            <w:tcBorders>
              <w:top w:val="nil"/>
              <w:left w:val="nil"/>
              <w:bottom w:val="single" w:sz="4" w:space="0" w:color="auto"/>
              <w:right w:val="single" w:sz="4" w:space="0" w:color="auto"/>
            </w:tcBorders>
            <w:shd w:val="clear" w:color="auto" w:fill="auto"/>
            <w:noWrap/>
            <w:hideMark/>
          </w:tcPr>
          <w:p w14:paraId="10909EB5" w14:textId="77777777" w:rsidR="00691ABD" w:rsidRPr="004C1876" w:rsidRDefault="00691ABD" w:rsidP="001E39EE">
            <w:pPr>
              <w:jc w:val="left"/>
              <w:rPr>
                <w:sz w:val="20"/>
                <w:szCs w:val="20"/>
                <w:lang w:val="en-US" w:eastAsia="en-CA"/>
              </w:rPr>
            </w:pPr>
            <w:r w:rsidRPr="004C1876">
              <w:rPr>
                <w:sz w:val="20"/>
                <w:szCs w:val="20"/>
                <w:lang w:val="en-US" w:eastAsia="en-CA"/>
              </w:rPr>
              <w:t> </w:t>
            </w:r>
          </w:p>
        </w:tc>
        <w:tc>
          <w:tcPr>
            <w:tcW w:w="1250" w:type="dxa"/>
            <w:tcBorders>
              <w:top w:val="nil"/>
              <w:left w:val="nil"/>
              <w:bottom w:val="single" w:sz="4" w:space="0" w:color="auto"/>
              <w:right w:val="single" w:sz="4" w:space="0" w:color="auto"/>
            </w:tcBorders>
            <w:shd w:val="clear" w:color="auto" w:fill="auto"/>
            <w:noWrap/>
            <w:hideMark/>
          </w:tcPr>
          <w:p w14:paraId="172547D8" w14:textId="15EF84FD" w:rsidR="00691ABD" w:rsidRPr="00786273" w:rsidRDefault="00691ABD" w:rsidP="001E39EE">
            <w:pPr>
              <w:jc w:val="right"/>
              <w:rPr>
                <w:sz w:val="20"/>
                <w:szCs w:val="20"/>
                <w:lang w:val="fr-CA" w:eastAsia="en-CA"/>
              </w:rPr>
            </w:pPr>
            <w:r w:rsidRPr="00786273">
              <w:rPr>
                <w:sz w:val="20"/>
                <w:szCs w:val="20"/>
                <w:lang w:val="fr-CA" w:eastAsia="en-CA"/>
              </w:rPr>
              <w:t>44</w:t>
            </w:r>
            <w:r>
              <w:rPr>
                <w:sz w:val="20"/>
                <w:szCs w:val="20"/>
                <w:lang w:val="fr-CA" w:eastAsia="en-CA"/>
              </w:rPr>
              <w:t xml:space="preserve"> </w:t>
            </w:r>
            <w:r w:rsidRPr="00786273">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0C41E4E4" w14:textId="08246217" w:rsidR="00691ABD" w:rsidRPr="00786273" w:rsidRDefault="00691ABD" w:rsidP="001E39EE">
            <w:pPr>
              <w:jc w:val="right"/>
              <w:rPr>
                <w:sz w:val="20"/>
                <w:szCs w:val="20"/>
                <w:lang w:val="fr-CA" w:eastAsia="en-CA"/>
              </w:rPr>
            </w:pPr>
            <w:r w:rsidRPr="00786273">
              <w:rPr>
                <w:sz w:val="20"/>
                <w:szCs w:val="20"/>
                <w:lang w:val="fr-CA" w:eastAsia="en-CA"/>
              </w:rPr>
              <w:t>65</w:t>
            </w:r>
            <w:r>
              <w:rPr>
                <w:sz w:val="20"/>
                <w:szCs w:val="20"/>
                <w:lang w:val="fr-CA" w:eastAsia="en-CA"/>
              </w:rPr>
              <w:t xml:space="preserve"> </w:t>
            </w:r>
            <w:r w:rsidRPr="00786273">
              <w:rPr>
                <w:sz w:val="20"/>
                <w:szCs w:val="20"/>
                <w:lang w:val="fr-CA" w:eastAsia="en-CA"/>
              </w:rPr>
              <w:t>628</w:t>
            </w:r>
          </w:p>
        </w:tc>
        <w:tc>
          <w:tcPr>
            <w:tcW w:w="1384" w:type="dxa"/>
            <w:tcBorders>
              <w:top w:val="nil"/>
              <w:left w:val="nil"/>
              <w:bottom w:val="single" w:sz="4" w:space="0" w:color="auto"/>
              <w:right w:val="single" w:sz="4" w:space="0" w:color="auto"/>
            </w:tcBorders>
            <w:shd w:val="clear" w:color="auto" w:fill="auto"/>
            <w:noWrap/>
            <w:hideMark/>
          </w:tcPr>
          <w:p w14:paraId="56F6B3E0" w14:textId="77777777" w:rsidR="00691ABD" w:rsidRPr="00786273" w:rsidRDefault="00691ABD" w:rsidP="001E39EE">
            <w:pPr>
              <w:jc w:val="right"/>
              <w:rPr>
                <w:sz w:val="20"/>
                <w:szCs w:val="20"/>
                <w:lang w:val="fr-CA" w:eastAsia="en-CA"/>
              </w:rPr>
            </w:pPr>
            <w:r w:rsidRPr="00786273">
              <w:rPr>
                <w:sz w:val="20"/>
                <w:szCs w:val="20"/>
                <w:lang w:val="fr-CA" w:eastAsia="en-CA"/>
              </w:rPr>
              <w:t>149</w:t>
            </w:r>
          </w:p>
        </w:tc>
        <w:tc>
          <w:tcPr>
            <w:tcW w:w="1149" w:type="dxa"/>
            <w:tcBorders>
              <w:top w:val="nil"/>
              <w:left w:val="nil"/>
              <w:bottom w:val="single" w:sz="4" w:space="0" w:color="auto"/>
              <w:right w:val="single" w:sz="4" w:space="0" w:color="auto"/>
            </w:tcBorders>
            <w:shd w:val="clear" w:color="auto" w:fill="auto"/>
            <w:noWrap/>
            <w:hideMark/>
          </w:tcPr>
          <w:p w14:paraId="515F894B"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4C1876" w14:paraId="7F77CE40"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7D83B62" w14:textId="77777777" w:rsidR="00691ABD" w:rsidRPr="004C1876" w:rsidRDefault="00691ABD" w:rsidP="001E39EE">
            <w:pPr>
              <w:jc w:val="left"/>
              <w:rPr>
                <w:sz w:val="20"/>
                <w:szCs w:val="20"/>
                <w:lang w:val="fr-CA" w:eastAsia="en-CA"/>
              </w:rPr>
            </w:pPr>
            <w:r w:rsidRPr="004C1876">
              <w:rPr>
                <w:sz w:val="20"/>
                <w:szCs w:val="20"/>
                <w:lang w:val="fr-CA" w:eastAsia="en-CA"/>
              </w:rPr>
              <w:t>Turquie</w:t>
            </w:r>
          </w:p>
        </w:tc>
        <w:tc>
          <w:tcPr>
            <w:tcW w:w="851" w:type="dxa"/>
            <w:tcBorders>
              <w:top w:val="nil"/>
              <w:left w:val="nil"/>
              <w:bottom w:val="single" w:sz="4" w:space="0" w:color="auto"/>
              <w:right w:val="single" w:sz="4" w:space="0" w:color="auto"/>
            </w:tcBorders>
            <w:shd w:val="clear" w:color="auto" w:fill="auto"/>
            <w:noWrap/>
            <w:hideMark/>
          </w:tcPr>
          <w:p w14:paraId="2D6AED21" w14:textId="26754375" w:rsidR="00691ABD" w:rsidRPr="004C1876" w:rsidRDefault="00691ABD" w:rsidP="001E39EE">
            <w:pPr>
              <w:jc w:val="right"/>
              <w:rPr>
                <w:sz w:val="20"/>
                <w:szCs w:val="20"/>
                <w:lang w:val="en-US" w:eastAsia="en-CA"/>
              </w:rPr>
            </w:pPr>
            <w:r w:rsidRPr="004C1876">
              <w:rPr>
                <w:sz w:val="20"/>
                <w:szCs w:val="20"/>
                <w:lang w:val="en-US" w:eastAsia="en-CA"/>
              </w:rPr>
              <w:t>0</w:t>
            </w:r>
            <w:r>
              <w:rPr>
                <w:sz w:val="20"/>
                <w:szCs w:val="20"/>
                <w:lang w:val="en-US" w:eastAsia="en-CA"/>
              </w:rPr>
              <w:t>,</w:t>
            </w:r>
            <w:r w:rsidRPr="004C1876">
              <w:rPr>
                <w:sz w:val="20"/>
                <w:szCs w:val="20"/>
                <w:lang w:val="en-US" w:eastAsia="en-CA"/>
              </w:rPr>
              <w:t>0</w:t>
            </w:r>
          </w:p>
        </w:tc>
        <w:tc>
          <w:tcPr>
            <w:tcW w:w="1160" w:type="dxa"/>
            <w:tcBorders>
              <w:top w:val="nil"/>
              <w:left w:val="nil"/>
              <w:bottom w:val="single" w:sz="4" w:space="0" w:color="auto"/>
              <w:right w:val="single" w:sz="4" w:space="0" w:color="auto"/>
            </w:tcBorders>
            <w:shd w:val="clear" w:color="auto" w:fill="auto"/>
            <w:noWrap/>
            <w:hideMark/>
          </w:tcPr>
          <w:p w14:paraId="7A17CC3F" w14:textId="77777777" w:rsidR="00691ABD" w:rsidRPr="004C1876" w:rsidRDefault="00691ABD" w:rsidP="001E39EE">
            <w:pPr>
              <w:jc w:val="left"/>
              <w:rPr>
                <w:sz w:val="20"/>
                <w:szCs w:val="20"/>
                <w:lang w:val="en-US" w:eastAsia="en-CA"/>
              </w:rPr>
            </w:pPr>
            <w:r w:rsidRPr="004C1876">
              <w:rPr>
                <w:sz w:val="20"/>
                <w:szCs w:val="20"/>
                <w:lang w:val="en-US" w:eastAsia="en-CA"/>
              </w:rPr>
              <w:t> </w:t>
            </w:r>
          </w:p>
        </w:tc>
        <w:tc>
          <w:tcPr>
            <w:tcW w:w="1250" w:type="dxa"/>
            <w:tcBorders>
              <w:top w:val="nil"/>
              <w:left w:val="nil"/>
              <w:bottom w:val="single" w:sz="4" w:space="0" w:color="auto"/>
              <w:right w:val="single" w:sz="4" w:space="0" w:color="auto"/>
            </w:tcBorders>
            <w:shd w:val="clear" w:color="auto" w:fill="auto"/>
            <w:noWrap/>
            <w:hideMark/>
          </w:tcPr>
          <w:p w14:paraId="7E03951A" w14:textId="355ED572" w:rsidR="00691ABD" w:rsidRPr="004C1876" w:rsidRDefault="00691ABD" w:rsidP="001E39EE">
            <w:pPr>
              <w:jc w:val="right"/>
              <w:rPr>
                <w:sz w:val="20"/>
                <w:szCs w:val="20"/>
                <w:lang w:val="en-US" w:eastAsia="en-CA"/>
              </w:rPr>
            </w:pPr>
            <w:r w:rsidRPr="004C1876">
              <w:rPr>
                <w:sz w:val="20"/>
                <w:szCs w:val="20"/>
                <w:lang w:val="en-US" w:eastAsia="en-CA"/>
              </w:rPr>
              <w:t>784</w:t>
            </w:r>
            <w:r>
              <w:rPr>
                <w:sz w:val="20"/>
                <w:szCs w:val="20"/>
                <w:lang w:val="en-US" w:eastAsia="en-CA"/>
              </w:rPr>
              <w:t xml:space="preserve"> </w:t>
            </w:r>
            <w:r w:rsidRPr="004C1876">
              <w:rPr>
                <w:sz w:val="20"/>
                <w:szCs w:val="20"/>
                <w:lang w:val="en-US" w:eastAsia="en-CA"/>
              </w:rPr>
              <w:t>020</w:t>
            </w:r>
          </w:p>
        </w:tc>
        <w:tc>
          <w:tcPr>
            <w:tcW w:w="1276" w:type="dxa"/>
            <w:tcBorders>
              <w:top w:val="nil"/>
              <w:left w:val="nil"/>
              <w:bottom w:val="single" w:sz="4" w:space="0" w:color="auto"/>
              <w:right w:val="single" w:sz="4" w:space="0" w:color="auto"/>
            </w:tcBorders>
            <w:shd w:val="clear" w:color="auto" w:fill="auto"/>
            <w:noWrap/>
            <w:hideMark/>
          </w:tcPr>
          <w:p w14:paraId="6A7C0F56" w14:textId="3D2F1363" w:rsidR="00691ABD" w:rsidRPr="004C1876" w:rsidRDefault="00691ABD" w:rsidP="001E39EE">
            <w:pPr>
              <w:jc w:val="right"/>
              <w:rPr>
                <w:sz w:val="20"/>
                <w:szCs w:val="20"/>
                <w:lang w:val="en-US" w:eastAsia="en-CA"/>
              </w:rPr>
            </w:pPr>
            <w:r w:rsidRPr="004C1876">
              <w:rPr>
                <w:sz w:val="20"/>
                <w:szCs w:val="20"/>
                <w:lang w:val="en-US" w:eastAsia="en-CA"/>
              </w:rPr>
              <w:t>814</w:t>
            </w:r>
            <w:r>
              <w:rPr>
                <w:sz w:val="20"/>
                <w:szCs w:val="20"/>
                <w:lang w:val="en-US" w:eastAsia="en-CA"/>
              </w:rPr>
              <w:t xml:space="preserve"> </w:t>
            </w:r>
            <w:r w:rsidRPr="004C1876">
              <w:rPr>
                <w:sz w:val="20"/>
                <w:szCs w:val="20"/>
                <w:lang w:val="en-US" w:eastAsia="en-CA"/>
              </w:rPr>
              <w:t>128</w:t>
            </w:r>
          </w:p>
        </w:tc>
        <w:tc>
          <w:tcPr>
            <w:tcW w:w="1384" w:type="dxa"/>
            <w:tcBorders>
              <w:top w:val="nil"/>
              <w:left w:val="nil"/>
              <w:bottom w:val="single" w:sz="4" w:space="0" w:color="auto"/>
              <w:right w:val="single" w:sz="4" w:space="0" w:color="auto"/>
            </w:tcBorders>
            <w:shd w:val="clear" w:color="auto" w:fill="auto"/>
            <w:noWrap/>
            <w:hideMark/>
          </w:tcPr>
          <w:p w14:paraId="3465510D" w14:textId="77777777" w:rsidR="00691ABD" w:rsidRPr="004C1876" w:rsidRDefault="00691ABD" w:rsidP="001E39EE">
            <w:pPr>
              <w:jc w:val="right"/>
              <w:rPr>
                <w:sz w:val="20"/>
                <w:szCs w:val="20"/>
                <w:lang w:val="en-US" w:eastAsia="en-CA"/>
              </w:rPr>
            </w:pPr>
            <w:r w:rsidRPr="004C1876">
              <w:rPr>
                <w:sz w:val="20"/>
                <w:szCs w:val="20"/>
                <w:lang w:val="en-US" w:eastAsia="en-CA"/>
              </w:rPr>
              <w:t>104</w:t>
            </w:r>
          </w:p>
        </w:tc>
        <w:tc>
          <w:tcPr>
            <w:tcW w:w="1149" w:type="dxa"/>
            <w:tcBorders>
              <w:top w:val="nil"/>
              <w:left w:val="nil"/>
              <w:bottom w:val="single" w:sz="4" w:space="0" w:color="auto"/>
              <w:right w:val="single" w:sz="4" w:space="0" w:color="auto"/>
            </w:tcBorders>
            <w:shd w:val="clear" w:color="auto" w:fill="auto"/>
            <w:noWrap/>
            <w:hideMark/>
          </w:tcPr>
          <w:p w14:paraId="2DE32E66" w14:textId="77777777" w:rsidR="00691ABD" w:rsidRPr="004C1876" w:rsidRDefault="00691ABD" w:rsidP="001E39EE">
            <w:pPr>
              <w:jc w:val="right"/>
              <w:rPr>
                <w:sz w:val="20"/>
                <w:szCs w:val="20"/>
                <w:lang w:val="en-US" w:eastAsia="en-CA"/>
              </w:rPr>
            </w:pPr>
            <w:r w:rsidRPr="004C1876">
              <w:rPr>
                <w:sz w:val="20"/>
                <w:szCs w:val="20"/>
                <w:lang w:val="en-US" w:eastAsia="en-CA"/>
              </w:rPr>
              <w:t>100</w:t>
            </w:r>
          </w:p>
        </w:tc>
      </w:tr>
      <w:tr w:rsidR="00691ABD" w:rsidRPr="00786273" w14:paraId="5680ED27" w14:textId="77777777" w:rsidTr="00AD0261">
        <w:trPr>
          <w:trHeight w:val="90"/>
        </w:trPr>
        <w:tc>
          <w:tcPr>
            <w:tcW w:w="2972" w:type="dxa"/>
            <w:tcBorders>
              <w:top w:val="nil"/>
              <w:left w:val="single" w:sz="4" w:space="0" w:color="auto"/>
              <w:bottom w:val="single" w:sz="4" w:space="0" w:color="auto"/>
              <w:right w:val="single" w:sz="4" w:space="0" w:color="auto"/>
            </w:tcBorders>
            <w:shd w:val="clear" w:color="auto" w:fill="auto"/>
            <w:noWrap/>
            <w:hideMark/>
          </w:tcPr>
          <w:p w14:paraId="32306D3B" w14:textId="77777777" w:rsidR="00691ABD" w:rsidRPr="00786273" w:rsidRDefault="00691ABD" w:rsidP="001E39EE">
            <w:pPr>
              <w:jc w:val="left"/>
              <w:rPr>
                <w:sz w:val="20"/>
                <w:szCs w:val="20"/>
                <w:lang w:val="fr-CA" w:eastAsia="en-CA"/>
              </w:rPr>
            </w:pPr>
            <w:r w:rsidRPr="00786273">
              <w:rPr>
                <w:sz w:val="20"/>
                <w:szCs w:val="20"/>
                <w:lang w:val="fr-CA" w:eastAsia="en-CA"/>
              </w:rPr>
              <w:t>Tuvalu</w:t>
            </w:r>
          </w:p>
        </w:tc>
        <w:tc>
          <w:tcPr>
            <w:tcW w:w="851" w:type="dxa"/>
            <w:tcBorders>
              <w:top w:val="nil"/>
              <w:left w:val="nil"/>
              <w:bottom w:val="single" w:sz="4" w:space="0" w:color="auto"/>
              <w:right w:val="single" w:sz="4" w:space="0" w:color="auto"/>
            </w:tcBorders>
            <w:shd w:val="clear" w:color="auto" w:fill="auto"/>
            <w:noWrap/>
            <w:hideMark/>
          </w:tcPr>
          <w:p w14:paraId="06DB2D34" w14:textId="35D6FD92"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2161E348"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43590E42" w14:textId="08CC6787" w:rsidR="00691ABD" w:rsidRPr="00786273" w:rsidRDefault="00691ABD" w:rsidP="001E39EE">
            <w:pPr>
              <w:jc w:val="right"/>
              <w:rPr>
                <w:sz w:val="20"/>
                <w:szCs w:val="20"/>
                <w:lang w:val="fr-CA" w:eastAsia="en-CA"/>
              </w:rPr>
            </w:pPr>
            <w:r w:rsidRPr="00786273">
              <w:rPr>
                <w:sz w:val="20"/>
                <w:szCs w:val="20"/>
                <w:lang w:val="fr-CA" w:eastAsia="en-CA"/>
              </w:rPr>
              <w:t>67</w:t>
            </w:r>
            <w:r>
              <w:rPr>
                <w:sz w:val="20"/>
                <w:szCs w:val="20"/>
                <w:lang w:val="fr-CA" w:eastAsia="en-CA"/>
              </w:rPr>
              <w:t xml:space="preserve"> </w:t>
            </w:r>
            <w:r w:rsidRPr="00786273">
              <w:rPr>
                <w:sz w:val="20"/>
                <w:szCs w:val="20"/>
                <w:lang w:val="fr-CA" w:eastAsia="en-CA"/>
              </w:rPr>
              <w:t>598</w:t>
            </w:r>
          </w:p>
        </w:tc>
        <w:tc>
          <w:tcPr>
            <w:tcW w:w="1276" w:type="dxa"/>
            <w:tcBorders>
              <w:top w:val="nil"/>
              <w:left w:val="nil"/>
              <w:bottom w:val="single" w:sz="4" w:space="0" w:color="auto"/>
              <w:right w:val="single" w:sz="4" w:space="0" w:color="auto"/>
            </w:tcBorders>
            <w:shd w:val="clear" w:color="auto" w:fill="auto"/>
            <w:noWrap/>
            <w:hideMark/>
          </w:tcPr>
          <w:p w14:paraId="4A84D04B" w14:textId="04070894" w:rsidR="00691ABD" w:rsidRPr="00786273" w:rsidRDefault="00691ABD" w:rsidP="001E39EE">
            <w:pPr>
              <w:jc w:val="right"/>
              <w:rPr>
                <w:sz w:val="20"/>
                <w:szCs w:val="20"/>
                <w:lang w:val="fr-CA" w:eastAsia="en-CA"/>
              </w:rPr>
            </w:pPr>
            <w:r w:rsidRPr="00786273">
              <w:rPr>
                <w:sz w:val="20"/>
                <w:szCs w:val="20"/>
                <w:lang w:val="fr-CA" w:eastAsia="en-CA"/>
              </w:rPr>
              <w:t>2</w:t>
            </w:r>
            <w:r>
              <w:rPr>
                <w:sz w:val="20"/>
                <w:szCs w:val="20"/>
                <w:lang w:val="fr-CA" w:eastAsia="en-CA"/>
              </w:rPr>
              <w:t xml:space="preserve"> </w:t>
            </w:r>
            <w:r w:rsidRPr="00786273">
              <w:rPr>
                <w:sz w:val="20"/>
                <w:szCs w:val="20"/>
                <w:lang w:val="fr-CA" w:eastAsia="en-CA"/>
              </w:rPr>
              <w:t>590</w:t>
            </w:r>
          </w:p>
        </w:tc>
        <w:tc>
          <w:tcPr>
            <w:tcW w:w="1384" w:type="dxa"/>
            <w:tcBorders>
              <w:top w:val="nil"/>
              <w:left w:val="nil"/>
              <w:bottom w:val="single" w:sz="4" w:space="0" w:color="auto"/>
              <w:right w:val="single" w:sz="4" w:space="0" w:color="auto"/>
            </w:tcBorders>
            <w:shd w:val="clear" w:color="auto" w:fill="auto"/>
            <w:noWrap/>
            <w:hideMark/>
          </w:tcPr>
          <w:p w14:paraId="6437B0AD" w14:textId="77777777" w:rsidR="00691ABD" w:rsidRPr="00786273" w:rsidRDefault="00691ABD" w:rsidP="001E39EE">
            <w:pPr>
              <w:jc w:val="right"/>
              <w:rPr>
                <w:sz w:val="20"/>
                <w:szCs w:val="20"/>
                <w:lang w:val="fr-CA" w:eastAsia="en-CA"/>
              </w:rPr>
            </w:pPr>
            <w:r w:rsidRPr="00786273">
              <w:rPr>
                <w:sz w:val="20"/>
                <w:szCs w:val="20"/>
                <w:lang w:val="fr-CA" w:eastAsia="en-CA"/>
              </w:rPr>
              <w:t>4</w:t>
            </w:r>
          </w:p>
        </w:tc>
        <w:tc>
          <w:tcPr>
            <w:tcW w:w="1149" w:type="dxa"/>
            <w:tcBorders>
              <w:top w:val="nil"/>
              <w:left w:val="nil"/>
              <w:bottom w:val="single" w:sz="4" w:space="0" w:color="auto"/>
              <w:right w:val="single" w:sz="4" w:space="0" w:color="auto"/>
            </w:tcBorders>
            <w:shd w:val="clear" w:color="auto" w:fill="auto"/>
            <w:noWrap/>
            <w:hideMark/>
          </w:tcPr>
          <w:p w14:paraId="4781B81C"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53CD35A5" w14:textId="77777777" w:rsidTr="00AD0261">
        <w:trPr>
          <w:trHeight w:val="133"/>
        </w:trPr>
        <w:tc>
          <w:tcPr>
            <w:tcW w:w="2972" w:type="dxa"/>
            <w:tcBorders>
              <w:top w:val="nil"/>
              <w:left w:val="single" w:sz="4" w:space="0" w:color="auto"/>
              <w:bottom w:val="single" w:sz="4" w:space="0" w:color="auto"/>
              <w:right w:val="single" w:sz="4" w:space="0" w:color="auto"/>
            </w:tcBorders>
            <w:shd w:val="clear" w:color="auto" w:fill="auto"/>
            <w:noWrap/>
            <w:hideMark/>
          </w:tcPr>
          <w:p w14:paraId="2B16C8FC" w14:textId="77777777" w:rsidR="00691ABD" w:rsidRPr="00786273" w:rsidRDefault="00691ABD" w:rsidP="001E39EE">
            <w:pPr>
              <w:jc w:val="left"/>
              <w:rPr>
                <w:sz w:val="20"/>
                <w:szCs w:val="20"/>
                <w:lang w:val="fr-CA" w:eastAsia="en-CA"/>
              </w:rPr>
            </w:pPr>
            <w:r w:rsidRPr="00786273">
              <w:rPr>
                <w:sz w:val="20"/>
                <w:szCs w:val="20"/>
                <w:lang w:val="fr-CA" w:eastAsia="en-CA"/>
              </w:rPr>
              <w:t>Uruguay</w:t>
            </w:r>
          </w:p>
        </w:tc>
        <w:tc>
          <w:tcPr>
            <w:tcW w:w="851" w:type="dxa"/>
            <w:tcBorders>
              <w:top w:val="nil"/>
              <w:left w:val="nil"/>
              <w:bottom w:val="single" w:sz="4" w:space="0" w:color="auto"/>
              <w:right w:val="single" w:sz="4" w:space="0" w:color="auto"/>
            </w:tcBorders>
            <w:shd w:val="clear" w:color="auto" w:fill="auto"/>
            <w:noWrap/>
            <w:hideMark/>
          </w:tcPr>
          <w:p w14:paraId="242940E4" w14:textId="5C1B2D28"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5DAB4065" w14:textId="77777777" w:rsidR="00691ABD" w:rsidRPr="00786273" w:rsidRDefault="00691ABD" w:rsidP="001E39EE">
            <w:pPr>
              <w:jc w:val="right"/>
              <w:rPr>
                <w:sz w:val="20"/>
                <w:szCs w:val="20"/>
                <w:lang w:val="fr-CA" w:eastAsia="en-CA"/>
              </w:rPr>
            </w:pPr>
            <w:r w:rsidRPr="00786273">
              <w:rPr>
                <w:sz w:val="20"/>
                <w:szCs w:val="20"/>
                <w:lang w:val="fr-CA" w:eastAsia="en-CA"/>
              </w:rPr>
              <w:t>100</w:t>
            </w:r>
          </w:p>
        </w:tc>
        <w:tc>
          <w:tcPr>
            <w:tcW w:w="1250" w:type="dxa"/>
            <w:tcBorders>
              <w:top w:val="nil"/>
              <w:left w:val="nil"/>
              <w:bottom w:val="single" w:sz="4" w:space="0" w:color="auto"/>
              <w:right w:val="single" w:sz="4" w:space="0" w:color="auto"/>
            </w:tcBorders>
            <w:shd w:val="clear" w:color="auto" w:fill="auto"/>
            <w:noWrap/>
            <w:hideMark/>
          </w:tcPr>
          <w:p w14:paraId="0DD24D2B" w14:textId="74B7F6A9" w:rsidR="00691ABD" w:rsidRPr="00786273" w:rsidRDefault="00691ABD" w:rsidP="001E39EE">
            <w:pPr>
              <w:jc w:val="right"/>
              <w:rPr>
                <w:sz w:val="20"/>
                <w:szCs w:val="20"/>
                <w:lang w:val="fr-CA" w:eastAsia="en-CA"/>
              </w:rPr>
            </w:pPr>
            <w:r w:rsidRPr="00786273">
              <w:rPr>
                <w:sz w:val="20"/>
                <w:szCs w:val="20"/>
                <w:lang w:val="fr-CA" w:eastAsia="en-CA"/>
              </w:rPr>
              <w:t>308</w:t>
            </w:r>
            <w:r>
              <w:rPr>
                <w:sz w:val="20"/>
                <w:szCs w:val="20"/>
                <w:lang w:val="fr-CA" w:eastAsia="en-CA"/>
              </w:rPr>
              <w:t xml:space="preserve"> </w:t>
            </w:r>
            <w:r w:rsidRPr="00786273">
              <w:rPr>
                <w:sz w:val="20"/>
                <w:szCs w:val="20"/>
                <w:lang w:val="fr-CA" w:eastAsia="en-CA"/>
              </w:rPr>
              <w:t>885</w:t>
            </w:r>
          </w:p>
        </w:tc>
        <w:tc>
          <w:tcPr>
            <w:tcW w:w="1276" w:type="dxa"/>
            <w:tcBorders>
              <w:top w:val="nil"/>
              <w:left w:val="nil"/>
              <w:bottom w:val="single" w:sz="4" w:space="0" w:color="auto"/>
              <w:right w:val="single" w:sz="4" w:space="0" w:color="auto"/>
            </w:tcBorders>
            <w:shd w:val="clear" w:color="auto" w:fill="auto"/>
            <w:noWrap/>
            <w:hideMark/>
          </w:tcPr>
          <w:p w14:paraId="57E7225E" w14:textId="2667983B" w:rsidR="00691ABD" w:rsidRPr="00786273" w:rsidRDefault="00691ABD" w:rsidP="001E39EE">
            <w:pPr>
              <w:jc w:val="right"/>
              <w:rPr>
                <w:sz w:val="20"/>
                <w:szCs w:val="20"/>
                <w:lang w:val="fr-CA" w:eastAsia="en-CA"/>
              </w:rPr>
            </w:pPr>
            <w:r w:rsidRPr="00786273">
              <w:rPr>
                <w:sz w:val="20"/>
                <w:szCs w:val="20"/>
                <w:lang w:val="fr-CA" w:eastAsia="en-CA"/>
              </w:rPr>
              <w:t>319</w:t>
            </w:r>
            <w:r>
              <w:rPr>
                <w:sz w:val="20"/>
                <w:szCs w:val="20"/>
                <w:lang w:val="fr-CA" w:eastAsia="en-CA"/>
              </w:rPr>
              <w:t xml:space="preserve"> </w:t>
            </w:r>
            <w:r w:rsidRPr="00786273">
              <w:rPr>
                <w:sz w:val="20"/>
                <w:szCs w:val="20"/>
                <w:lang w:val="fr-CA" w:eastAsia="en-CA"/>
              </w:rPr>
              <w:t>339</w:t>
            </w:r>
          </w:p>
        </w:tc>
        <w:tc>
          <w:tcPr>
            <w:tcW w:w="1384" w:type="dxa"/>
            <w:tcBorders>
              <w:top w:val="nil"/>
              <w:left w:val="nil"/>
              <w:bottom w:val="single" w:sz="4" w:space="0" w:color="auto"/>
              <w:right w:val="single" w:sz="4" w:space="0" w:color="auto"/>
            </w:tcBorders>
            <w:shd w:val="clear" w:color="auto" w:fill="auto"/>
            <w:noWrap/>
            <w:hideMark/>
          </w:tcPr>
          <w:p w14:paraId="591E4F62" w14:textId="77777777" w:rsidR="00691ABD" w:rsidRPr="00786273" w:rsidRDefault="00691ABD" w:rsidP="001E39EE">
            <w:pPr>
              <w:jc w:val="right"/>
              <w:rPr>
                <w:sz w:val="20"/>
                <w:szCs w:val="20"/>
                <w:lang w:val="fr-CA" w:eastAsia="en-CA"/>
              </w:rPr>
            </w:pPr>
            <w:r w:rsidRPr="00786273">
              <w:rPr>
                <w:sz w:val="20"/>
                <w:szCs w:val="20"/>
                <w:lang w:val="fr-CA" w:eastAsia="en-CA"/>
              </w:rPr>
              <w:t>103</w:t>
            </w:r>
          </w:p>
        </w:tc>
        <w:tc>
          <w:tcPr>
            <w:tcW w:w="1149" w:type="dxa"/>
            <w:tcBorders>
              <w:top w:val="nil"/>
              <w:left w:val="nil"/>
              <w:bottom w:val="single" w:sz="4" w:space="0" w:color="auto"/>
              <w:right w:val="single" w:sz="4" w:space="0" w:color="auto"/>
            </w:tcBorders>
            <w:shd w:val="clear" w:color="auto" w:fill="auto"/>
            <w:noWrap/>
            <w:hideMark/>
          </w:tcPr>
          <w:p w14:paraId="7AD83744"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3B321675"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28FE438" w14:textId="77777777" w:rsidR="00691ABD" w:rsidRPr="00786273" w:rsidRDefault="00691ABD" w:rsidP="001E39EE">
            <w:pPr>
              <w:jc w:val="left"/>
              <w:rPr>
                <w:sz w:val="20"/>
                <w:szCs w:val="20"/>
                <w:lang w:val="fr-CA" w:eastAsia="en-CA"/>
              </w:rPr>
            </w:pPr>
            <w:r w:rsidRPr="00786273">
              <w:rPr>
                <w:sz w:val="20"/>
                <w:szCs w:val="20"/>
                <w:lang w:val="fr-CA" w:eastAsia="en-CA"/>
              </w:rPr>
              <w:t>Vanuatu</w:t>
            </w:r>
          </w:p>
        </w:tc>
        <w:tc>
          <w:tcPr>
            <w:tcW w:w="851" w:type="dxa"/>
            <w:tcBorders>
              <w:top w:val="nil"/>
              <w:left w:val="nil"/>
              <w:bottom w:val="single" w:sz="4" w:space="0" w:color="auto"/>
              <w:right w:val="single" w:sz="4" w:space="0" w:color="auto"/>
            </w:tcBorders>
            <w:shd w:val="clear" w:color="auto" w:fill="auto"/>
            <w:noWrap/>
            <w:hideMark/>
          </w:tcPr>
          <w:p w14:paraId="6532F3AF" w14:textId="3278D0D7"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6EBB7B62"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29794448" w14:textId="2F5AD2D3" w:rsidR="00691ABD" w:rsidRPr="00786273" w:rsidRDefault="00691ABD" w:rsidP="001E39EE">
            <w:pPr>
              <w:jc w:val="right"/>
              <w:rPr>
                <w:sz w:val="20"/>
                <w:szCs w:val="20"/>
                <w:lang w:val="fr-CA" w:eastAsia="en-CA"/>
              </w:rPr>
            </w:pPr>
            <w:r w:rsidRPr="00786273">
              <w:rPr>
                <w:sz w:val="20"/>
                <w:szCs w:val="20"/>
                <w:lang w:val="fr-CA" w:eastAsia="en-CA"/>
              </w:rPr>
              <w:t>132</w:t>
            </w:r>
            <w:r>
              <w:rPr>
                <w:sz w:val="20"/>
                <w:szCs w:val="20"/>
                <w:lang w:val="fr-CA" w:eastAsia="en-CA"/>
              </w:rPr>
              <w:t xml:space="preserve"> </w:t>
            </w:r>
            <w:r w:rsidRPr="00786273">
              <w:rPr>
                <w:sz w:val="20"/>
                <w:szCs w:val="20"/>
                <w:lang w:val="fr-CA" w:eastAsia="en-CA"/>
              </w:rPr>
              <w:t>345</w:t>
            </w:r>
          </w:p>
        </w:tc>
        <w:tc>
          <w:tcPr>
            <w:tcW w:w="1276" w:type="dxa"/>
            <w:tcBorders>
              <w:top w:val="nil"/>
              <w:left w:val="nil"/>
              <w:bottom w:val="single" w:sz="4" w:space="0" w:color="auto"/>
              <w:right w:val="single" w:sz="4" w:space="0" w:color="auto"/>
            </w:tcBorders>
            <w:shd w:val="clear" w:color="auto" w:fill="auto"/>
            <w:noWrap/>
            <w:hideMark/>
          </w:tcPr>
          <w:p w14:paraId="2C3D445E" w14:textId="7DF4677E" w:rsidR="00691ABD" w:rsidRPr="00786273" w:rsidRDefault="00691ABD" w:rsidP="001E39EE">
            <w:pPr>
              <w:jc w:val="right"/>
              <w:rPr>
                <w:sz w:val="20"/>
                <w:szCs w:val="20"/>
                <w:lang w:val="fr-CA" w:eastAsia="en-CA"/>
              </w:rPr>
            </w:pPr>
            <w:r w:rsidRPr="00786273">
              <w:rPr>
                <w:sz w:val="20"/>
                <w:szCs w:val="20"/>
                <w:lang w:val="fr-CA" w:eastAsia="en-CA"/>
              </w:rPr>
              <w:t>54</w:t>
            </w:r>
            <w:r>
              <w:rPr>
                <w:sz w:val="20"/>
                <w:szCs w:val="20"/>
                <w:lang w:val="fr-CA" w:eastAsia="en-CA"/>
              </w:rPr>
              <w:t xml:space="preserve"> </w:t>
            </w:r>
            <w:r w:rsidRPr="00786273">
              <w:rPr>
                <w:sz w:val="20"/>
                <w:szCs w:val="20"/>
                <w:lang w:val="fr-CA" w:eastAsia="en-CA"/>
              </w:rPr>
              <w:t>267</w:t>
            </w:r>
          </w:p>
        </w:tc>
        <w:tc>
          <w:tcPr>
            <w:tcW w:w="1384" w:type="dxa"/>
            <w:tcBorders>
              <w:top w:val="nil"/>
              <w:left w:val="nil"/>
              <w:bottom w:val="single" w:sz="4" w:space="0" w:color="auto"/>
              <w:right w:val="single" w:sz="4" w:space="0" w:color="auto"/>
            </w:tcBorders>
            <w:shd w:val="clear" w:color="auto" w:fill="auto"/>
            <w:noWrap/>
            <w:hideMark/>
          </w:tcPr>
          <w:p w14:paraId="45748531" w14:textId="77777777" w:rsidR="00691ABD" w:rsidRPr="00786273" w:rsidRDefault="00691ABD" w:rsidP="001E39EE">
            <w:pPr>
              <w:jc w:val="right"/>
              <w:rPr>
                <w:sz w:val="20"/>
                <w:szCs w:val="20"/>
                <w:lang w:val="fr-CA" w:eastAsia="en-CA"/>
              </w:rPr>
            </w:pPr>
            <w:r w:rsidRPr="00786273">
              <w:rPr>
                <w:sz w:val="20"/>
                <w:szCs w:val="20"/>
                <w:lang w:val="fr-CA" w:eastAsia="en-CA"/>
              </w:rPr>
              <w:t>41</w:t>
            </w:r>
          </w:p>
        </w:tc>
        <w:tc>
          <w:tcPr>
            <w:tcW w:w="1149" w:type="dxa"/>
            <w:tcBorders>
              <w:top w:val="nil"/>
              <w:left w:val="nil"/>
              <w:bottom w:val="single" w:sz="4" w:space="0" w:color="auto"/>
              <w:right w:val="single" w:sz="4" w:space="0" w:color="auto"/>
            </w:tcBorders>
            <w:shd w:val="clear" w:color="auto" w:fill="auto"/>
            <w:noWrap/>
            <w:hideMark/>
          </w:tcPr>
          <w:p w14:paraId="222687BD" w14:textId="77777777" w:rsidR="00691ABD" w:rsidRPr="00786273" w:rsidRDefault="00691ABD" w:rsidP="001E39EE">
            <w:pPr>
              <w:jc w:val="right"/>
              <w:rPr>
                <w:sz w:val="20"/>
                <w:szCs w:val="20"/>
                <w:lang w:val="fr-CA" w:eastAsia="en-CA"/>
              </w:rPr>
            </w:pPr>
            <w:r w:rsidRPr="00786273">
              <w:rPr>
                <w:sz w:val="20"/>
                <w:szCs w:val="20"/>
                <w:lang w:val="fr-CA" w:eastAsia="en-CA"/>
              </w:rPr>
              <w:t>50</w:t>
            </w:r>
          </w:p>
        </w:tc>
      </w:tr>
      <w:tr w:rsidR="00691ABD" w:rsidRPr="00786273" w14:paraId="493238F9"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B945435" w14:textId="77777777" w:rsidR="00691ABD" w:rsidRPr="00786273" w:rsidRDefault="00691ABD" w:rsidP="00691ABD">
            <w:pPr>
              <w:ind w:right="-109"/>
              <w:jc w:val="left"/>
              <w:rPr>
                <w:sz w:val="20"/>
                <w:szCs w:val="20"/>
                <w:lang w:val="fr-CA" w:eastAsia="en-CA"/>
              </w:rPr>
            </w:pPr>
            <w:r w:rsidRPr="00786273">
              <w:rPr>
                <w:sz w:val="20"/>
                <w:szCs w:val="20"/>
                <w:lang w:val="fr-CA" w:eastAsia="en-CA"/>
              </w:rPr>
              <w:lastRenderedPageBreak/>
              <w:t>Venezuela (</w:t>
            </w:r>
            <w:r>
              <w:rPr>
                <w:sz w:val="20"/>
                <w:szCs w:val="20"/>
                <w:lang w:val="fr-CA" w:eastAsia="en-CA"/>
              </w:rPr>
              <w:t>République bolivarienne du</w:t>
            </w:r>
            <w:r w:rsidRPr="00786273">
              <w:rPr>
                <w:sz w:val="20"/>
                <w:szCs w:val="20"/>
                <w:lang w:val="fr-CA" w:eastAsia="en-CA"/>
              </w:rPr>
              <w:t>)</w:t>
            </w:r>
          </w:p>
        </w:tc>
        <w:tc>
          <w:tcPr>
            <w:tcW w:w="851" w:type="dxa"/>
            <w:tcBorders>
              <w:top w:val="nil"/>
              <w:left w:val="nil"/>
              <w:bottom w:val="single" w:sz="4" w:space="0" w:color="auto"/>
              <w:right w:val="single" w:sz="4" w:space="0" w:color="auto"/>
            </w:tcBorders>
            <w:shd w:val="clear" w:color="auto" w:fill="auto"/>
            <w:noWrap/>
            <w:hideMark/>
          </w:tcPr>
          <w:p w14:paraId="546F3697" w14:textId="2A067AAE"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98E27AE" w14:textId="77777777" w:rsidR="00691ABD" w:rsidRPr="00786273" w:rsidRDefault="00691ABD" w:rsidP="001E39EE">
            <w:pPr>
              <w:ind w:left="-106" w:right="-80"/>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6D951C78" w14:textId="5F61E176" w:rsidR="00691ABD" w:rsidRPr="00786273" w:rsidRDefault="00691ABD" w:rsidP="001E39EE">
            <w:pPr>
              <w:jc w:val="right"/>
              <w:rPr>
                <w:sz w:val="20"/>
                <w:szCs w:val="20"/>
                <w:lang w:val="fr-CA" w:eastAsia="en-CA"/>
              </w:rPr>
            </w:pPr>
            <w:r w:rsidRPr="00786273">
              <w:rPr>
                <w:sz w:val="20"/>
                <w:szCs w:val="20"/>
                <w:lang w:val="fr-CA" w:eastAsia="en-CA"/>
              </w:rPr>
              <w:t>134</w:t>
            </w:r>
            <w:r>
              <w:rPr>
                <w:sz w:val="20"/>
                <w:szCs w:val="20"/>
                <w:lang w:val="fr-CA" w:eastAsia="en-CA"/>
              </w:rPr>
              <w:t xml:space="preserve"> </w:t>
            </w:r>
            <w:r w:rsidRPr="00786273">
              <w:rPr>
                <w:sz w:val="20"/>
                <w:szCs w:val="20"/>
                <w:lang w:val="fr-CA" w:eastAsia="en-CA"/>
              </w:rPr>
              <w:t>681</w:t>
            </w:r>
          </w:p>
        </w:tc>
        <w:tc>
          <w:tcPr>
            <w:tcW w:w="1276" w:type="dxa"/>
            <w:tcBorders>
              <w:top w:val="nil"/>
              <w:left w:val="nil"/>
              <w:bottom w:val="single" w:sz="4" w:space="0" w:color="auto"/>
              <w:right w:val="single" w:sz="4" w:space="0" w:color="auto"/>
            </w:tcBorders>
            <w:shd w:val="clear" w:color="auto" w:fill="auto"/>
            <w:noWrap/>
            <w:hideMark/>
          </w:tcPr>
          <w:p w14:paraId="0C7214C5" w14:textId="06CCFB3E" w:rsidR="00691ABD" w:rsidRPr="00786273" w:rsidRDefault="00691ABD" w:rsidP="001E39EE">
            <w:pPr>
              <w:jc w:val="right"/>
              <w:rPr>
                <w:sz w:val="20"/>
                <w:szCs w:val="20"/>
                <w:lang w:val="fr-CA" w:eastAsia="en-CA"/>
              </w:rPr>
            </w:pPr>
            <w:r w:rsidRPr="00786273">
              <w:rPr>
                <w:sz w:val="20"/>
                <w:szCs w:val="20"/>
                <w:lang w:val="fr-CA" w:eastAsia="en-CA"/>
              </w:rPr>
              <w:t>61</w:t>
            </w:r>
            <w:r>
              <w:rPr>
                <w:sz w:val="20"/>
                <w:szCs w:val="20"/>
                <w:lang w:val="fr-CA" w:eastAsia="en-CA"/>
              </w:rPr>
              <w:t xml:space="preserve"> </w:t>
            </w:r>
            <w:r w:rsidRPr="00786273">
              <w:rPr>
                <w:sz w:val="20"/>
                <w:szCs w:val="20"/>
                <w:lang w:val="fr-CA" w:eastAsia="en-CA"/>
              </w:rPr>
              <w:t>606</w:t>
            </w:r>
          </w:p>
        </w:tc>
        <w:tc>
          <w:tcPr>
            <w:tcW w:w="1384" w:type="dxa"/>
            <w:tcBorders>
              <w:top w:val="nil"/>
              <w:left w:val="nil"/>
              <w:bottom w:val="single" w:sz="4" w:space="0" w:color="auto"/>
              <w:right w:val="single" w:sz="4" w:space="0" w:color="auto"/>
            </w:tcBorders>
            <w:shd w:val="clear" w:color="auto" w:fill="auto"/>
            <w:noWrap/>
            <w:hideMark/>
          </w:tcPr>
          <w:p w14:paraId="0F936FB5" w14:textId="77777777" w:rsidR="00691ABD" w:rsidRPr="00786273" w:rsidRDefault="00691ABD" w:rsidP="001E39EE">
            <w:pPr>
              <w:jc w:val="right"/>
              <w:rPr>
                <w:sz w:val="20"/>
                <w:szCs w:val="20"/>
                <w:lang w:val="fr-CA" w:eastAsia="en-CA"/>
              </w:rPr>
            </w:pPr>
            <w:r w:rsidRPr="00786273">
              <w:rPr>
                <w:sz w:val="20"/>
                <w:szCs w:val="20"/>
                <w:lang w:val="fr-CA" w:eastAsia="en-CA"/>
              </w:rPr>
              <w:t>46</w:t>
            </w:r>
          </w:p>
        </w:tc>
        <w:tc>
          <w:tcPr>
            <w:tcW w:w="1149" w:type="dxa"/>
            <w:tcBorders>
              <w:top w:val="nil"/>
              <w:left w:val="nil"/>
              <w:bottom w:val="single" w:sz="4" w:space="0" w:color="auto"/>
              <w:right w:val="single" w:sz="4" w:space="0" w:color="auto"/>
            </w:tcBorders>
            <w:shd w:val="clear" w:color="auto" w:fill="auto"/>
            <w:noWrap/>
            <w:hideMark/>
          </w:tcPr>
          <w:p w14:paraId="263137B1"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691ABD" w:rsidRPr="00786273" w14:paraId="19A72242"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26C080B9" w14:textId="77777777" w:rsidR="00691ABD" w:rsidRPr="00786273" w:rsidRDefault="00691ABD" w:rsidP="00331806">
            <w:pPr>
              <w:jc w:val="left"/>
              <w:rPr>
                <w:sz w:val="20"/>
                <w:szCs w:val="20"/>
                <w:lang w:val="fr-CA" w:eastAsia="en-CA"/>
              </w:rPr>
            </w:pPr>
            <w:r w:rsidRPr="00786273">
              <w:rPr>
                <w:sz w:val="20"/>
                <w:szCs w:val="20"/>
                <w:lang w:val="fr-CA" w:eastAsia="en-CA"/>
              </w:rPr>
              <w:t>Viet Nam</w:t>
            </w:r>
          </w:p>
        </w:tc>
        <w:tc>
          <w:tcPr>
            <w:tcW w:w="851" w:type="dxa"/>
            <w:tcBorders>
              <w:top w:val="nil"/>
              <w:left w:val="nil"/>
              <w:bottom w:val="single" w:sz="4" w:space="0" w:color="auto"/>
              <w:right w:val="single" w:sz="4" w:space="0" w:color="auto"/>
            </w:tcBorders>
            <w:shd w:val="clear" w:color="auto" w:fill="auto"/>
            <w:noWrap/>
            <w:hideMark/>
          </w:tcPr>
          <w:p w14:paraId="421711FF" w14:textId="08725679"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0A1A46D8"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2D1C92D4" w14:textId="3273A5BA" w:rsidR="00691ABD" w:rsidRPr="00786273" w:rsidRDefault="00691ABD" w:rsidP="001E39EE">
            <w:pPr>
              <w:jc w:val="right"/>
              <w:rPr>
                <w:sz w:val="20"/>
                <w:szCs w:val="20"/>
                <w:lang w:val="fr-CA" w:eastAsia="en-CA"/>
              </w:rPr>
            </w:pPr>
            <w:r w:rsidRPr="00786273">
              <w:rPr>
                <w:sz w:val="20"/>
                <w:szCs w:val="20"/>
                <w:lang w:val="fr-CA" w:eastAsia="en-CA"/>
              </w:rPr>
              <w:t>1</w:t>
            </w:r>
            <w:r>
              <w:rPr>
                <w:sz w:val="20"/>
                <w:szCs w:val="20"/>
                <w:lang w:val="fr-CA" w:eastAsia="en-CA"/>
              </w:rPr>
              <w:t xml:space="preserve"> </w:t>
            </w:r>
            <w:r w:rsidRPr="00786273">
              <w:rPr>
                <w:sz w:val="20"/>
                <w:szCs w:val="20"/>
                <w:lang w:val="fr-CA" w:eastAsia="en-CA"/>
              </w:rPr>
              <w:t>867</w:t>
            </w:r>
            <w:r>
              <w:rPr>
                <w:sz w:val="20"/>
                <w:szCs w:val="20"/>
                <w:lang w:val="fr-CA" w:eastAsia="en-CA"/>
              </w:rPr>
              <w:t xml:space="preserve"> </w:t>
            </w:r>
            <w:r w:rsidRPr="00786273">
              <w:rPr>
                <w:sz w:val="20"/>
                <w:szCs w:val="20"/>
                <w:lang w:val="fr-CA" w:eastAsia="en-CA"/>
              </w:rPr>
              <w:t>212</w:t>
            </w:r>
          </w:p>
        </w:tc>
        <w:tc>
          <w:tcPr>
            <w:tcW w:w="1276" w:type="dxa"/>
            <w:tcBorders>
              <w:top w:val="nil"/>
              <w:left w:val="nil"/>
              <w:bottom w:val="single" w:sz="4" w:space="0" w:color="auto"/>
              <w:right w:val="single" w:sz="4" w:space="0" w:color="auto"/>
            </w:tcBorders>
            <w:shd w:val="clear" w:color="auto" w:fill="auto"/>
            <w:noWrap/>
            <w:hideMark/>
          </w:tcPr>
          <w:p w14:paraId="3C3997FF" w14:textId="195239FB" w:rsidR="00691ABD" w:rsidRPr="00786273" w:rsidRDefault="00691ABD" w:rsidP="001E39EE">
            <w:pPr>
              <w:jc w:val="right"/>
              <w:rPr>
                <w:sz w:val="20"/>
                <w:szCs w:val="20"/>
                <w:lang w:val="fr-CA" w:eastAsia="en-CA"/>
              </w:rPr>
            </w:pPr>
            <w:r w:rsidRPr="00786273">
              <w:rPr>
                <w:sz w:val="20"/>
                <w:szCs w:val="20"/>
                <w:lang w:val="fr-CA" w:eastAsia="en-CA"/>
              </w:rPr>
              <w:t>428</w:t>
            </w:r>
            <w:r>
              <w:rPr>
                <w:sz w:val="20"/>
                <w:szCs w:val="20"/>
                <w:lang w:val="fr-CA" w:eastAsia="en-CA"/>
              </w:rPr>
              <w:t xml:space="preserve"> </w:t>
            </w:r>
            <w:r w:rsidRPr="00786273">
              <w:rPr>
                <w:sz w:val="20"/>
                <w:szCs w:val="20"/>
                <w:lang w:val="fr-CA" w:eastAsia="en-CA"/>
              </w:rPr>
              <w:t>133</w:t>
            </w:r>
          </w:p>
        </w:tc>
        <w:tc>
          <w:tcPr>
            <w:tcW w:w="1384" w:type="dxa"/>
            <w:tcBorders>
              <w:top w:val="nil"/>
              <w:left w:val="nil"/>
              <w:bottom w:val="single" w:sz="4" w:space="0" w:color="auto"/>
              <w:right w:val="single" w:sz="4" w:space="0" w:color="auto"/>
            </w:tcBorders>
            <w:shd w:val="clear" w:color="auto" w:fill="auto"/>
            <w:noWrap/>
            <w:hideMark/>
          </w:tcPr>
          <w:p w14:paraId="0888E855" w14:textId="77777777" w:rsidR="00691ABD" w:rsidRPr="00786273" w:rsidRDefault="00691ABD" w:rsidP="001E39EE">
            <w:pPr>
              <w:jc w:val="right"/>
              <w:rPr>
                <w:sz w:val="20"/>
                <w:szCs w:val="20"/>
                <w:lang w:val="fr-CA" w:eastAsia="en-CA"/>
              </w:rPr>
            </w:pPr>
            <w:r w:rsidRPr="00786273">
              <w:rPr>
                <w:sz w:val="20"/>
                <w:szCs w:val="20"/>
                <w:lang w:val="fr-CA" w:eastAsia="en-CA"/>
              </w:rPr>
              <w:t>23</w:t>
            </w:r>
          </w:p>
        </w:tc>
        <w:tc>
          <w:tcPr>
            <w:tcW w:w="1149" w:type="dxa"/>
            <w:tcBorders>
              <w:top w:val="nil"/>
              <w:left w:val="nil"/>
              <w:bottom w:val="single" w:sz="4" w:space="0" w:color="auto"/>
              <w:right w:val="single" w:sz="4" w:space="0" w:color="auto"/>
            </w:tcBorders>
            <w:shd w:val="clear" w:color="auto" w:fill="auto"/>
            <w:noWrap/>
            <w:hideMark/>
          </w:tcPr>
          <w:p w14:paraId="0745BE6D"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6FA063E5"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3BD9FC78" w14:textId="77777777" w:rsidR="00691ABD" w:rsidRPr="00786273" w:rsidRDefault="00691ABD" w:rsidP="001E39EE">
            <w:pPr>
              <w:jc w:val="left"/>
              <w:rPr>
                <w:sz w:val="20"/>
                <w:szCs w:val="20"/>
                <w:lang w:val="fr-CA" w:eastAsia="en-CA"/>
              </w:rPr>
            </w:pPr>
            <w:r>
              <w:rPr>
                <w:sz w:val="20"/>
                <w:szCs w:val="20"/>
                <w:lang w:val="fr-CA" w:eastAsia="en-CA"/>
              </w:rPr>
              <w:t>Yémen</w:t>
            </w:r>
          </w:p>
        </w:tc>
        <w:tc>
          <w:tcPr>
            <w:tcW w:w="851" w:type="dxa"/>
            <w:tcBorders>
              <w:top w:val="nil"/>
              <w:left w:val="nil"/>
              <w:bottom w:val="single" w:sz="4" w:space="0" w:color="auto"/>
              <w:right w:val="single" w:sz="4" w:space="0" w:color="auto"/>
            </w:tcBorders>
            <w:shd w:val="clear" w:color="auto" w:fill="auto"/>
            <w:noWrap/>
            <w:hideMark/>
          </w:tcPr>
          <w:p w14:paraId="34B74DCD" w14:textId="3EB6950C"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73092E0"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1D7FA0AD" w14:textId="10FC758D" w:rsidR="00691ABD" w:rsidRPr="00786273" w:rsidRDefault="00691ABD" w:rsidP="001E39EE">
            <w:pPr>
              <w:jc w:val="right"/>
              <w:rPr>
                <w:sz w:val="20"/>
                <w:szCs w:val="20"/>
                <w:lang w:val="fr-CA" w:eastAsia="en-CA"/>
              </w:rPr>
            </w:pPr>
            <w:r w:rsidRPr="00786273">
              <w:rPr>
                <w:sz w:val="20"/>
                <w:szCs w:val="20"/>
                <w:lang w:val="fr-CA" w:eastAsia="en-CA"/>
              </w:rPr>
              <w:t>51</w:t>
            </w:r>
            <w:r>
              <w:rPr>
                <w:sz w:val="20"/>
                <w:szCs w:val="20"/>
                <w:lang w:val="fr-CA" w:eastAsia="en-CA"/>
              </w:rPr>
              <w:t xml:space="preserve"> </w:t>
            </w:r>
            <w:r w:rsidRPr="00786273">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4443C5B8"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384" w:type="dxa"/>
            <w:tcBorders>
              <w:top w:val="nil"/>
              <w:left w:val="nil"/>
              <w:bottom w:val="single" w:sz="4" w:space="0" w:color="auto"/>
              <w:right w:val="single" w:sz="4" w:space="0" w:color="auto"/>
            </w:tcBorders>
            <w:shd w:val="clear" w:color="auto" w:fill="auto"/>
            <w:noWrap/>
            <w:hideMark/>
          </w:tcPr>
          <w:p w14:paraId="7704F882"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149" w:type="dxa"/>
            <w:tcBorders>
              <w:top w:val="nil"/>
              <w:left w:val="nil"/>
              <w:bottom w:val="single" w:sz="4" w:space="0" w:color="auto"/>
              <w:right w:val="single" w:sz="4" w:space="0" w:color="auto"/>
            </w:tcBorders>
            <w:shd w:val="clear" w:color="auto" w:fill="auto"/>
            <w:noWrap/>
            <w:hideMark/>
          </w:tcPr>
          <w:p w14:paraId="14BE9D2C" w14:textId="77777777" w:rsidR="00691ABD" w:rsidRPr="00786273" w:rsidRDefault="00691ABD" w:rsidP="001E39EE">
            <w:pPr>
              <w:jc w:val="right"/>
              <w:rPr>
                <w:sz w:val="20"/>
                <w:szCs w:val="20"/>
                <w:lang w:val="fr-CA" w:eastAsia="en-CA"/>
              </w:rPr>
            </w:pPr>
            <w:r w:rsidRPr="00786273">
              <w:rPr>
                <w:sz w:val="20"/>
                <w:szCs w:val="20"/>
                <w:lang w:val="fr-CA" w:eastAsia="en-CA"/>
              </w:rPr>
              <w:t>0</w:t>
            </w:r>
          </w:p>
        </w:tc>
      </w:tr>
      <w:tr w:rsidR="00691ABD" w:rsidRPr="00786273" w14:paraId="6197153F"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72529E5" w14:textId="77777777" w:rsidR="00691ABD" w:rsidRPr="00786273" w:rsidRDefault="00691ABD" w:rsidP="001E39EE">
            <w:pPr>
              <w:jc w:val="left"/>
              <w:rPr>
                <w:sz w:val="20"/>
                <w:szCs w:val="20"/>
                <w:lang w:val="fr-CA" w:eastAsia="en-CA"/>
              </w:rPr>
            </w:pPr>
            <w:r>
              <w:rPr>
                <w:sz w:val="20"/>
                <w:szCs w:val="20"/>
                <w:lang w:val="fr-CA" w:eastAsia="en-CA"/>
              </w:rPr>
              <w:t>Zambie</w:t>
            </w:r>
          </w:p>
        </w:tc>
        <w:tc>
          <w:tcPr>
            <w:tcW w:w="851" w:type="dxa"/>
            <w:tcBorders>
              <w:top w:val="nil"/>
              <w:left w:val="nil"/>
              <w:bottom w:val="single" w:sz="4" w:space="0" w:color="auto"/>
              <w:right w:val="single" w:sz="4" w:space="0" w:color="auto"/>
            </w:tcBorders>
            <w:shd w:val="clear" w:color="auto" w:fill="auto"/>
            <w:noWrap/>
            <w:hideMark/>
          </w:tcPr>
          <w:p w14:paraId="67C530FF" w14:textId="50ABBE18"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12F59BC1" w14:textId="77777777" w:rsidR="00691ABD" w:rsidRPr="00786273" w:rsidRDefault="00691ABD" w:rsidP="001E39EE">
            <w:pPr>
              <w:jc w:val="right"/>
              <w:rPr>
                <w:sz w:val="20"/>
                <w:szCs w:val="20"/>
                <w:lang w:val="fr-CA" w:eastAsia="en-CA"/>
              </w:rPr>
            </w:pPr>
            <w:r w:rsidRPr="00786273">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7364EAEA" w14:textId="02B8B7B8" w:rsidR="00691ABD" w:rsidRPr="00786273" w:rsidRDefault="00691ABD" w:rsidP="001E39EE">
            <w:pPr>
              <w:jc w:val="right"/>
              <w:rPr>
                <w:sz w:val="20"/>
                <w:szCs w:val="20"/>
                <w:lang w:val="fr-CA" w:eastAsia="en-CA"/>
              </w:rPr>
            </w:pPr>
            <w:r w:rsidRPr="00786273">
              <w:rPr>
                <w:sz w:val="20"/>
                <w:szCs w:val="20"/>
                <w:lang w:val="fr-CA" w:eastAsia="en-CA"/>
              </w:rPr>
              <w:t>81</w:t>
            </w:r>
            <w:r>
              <w:rPr>
                <w:sz w:val="20"/>
                <w:szCs w:val="20"/>
                <w:lang w:val="fr-CA" w:eastAsia="en-CA"/>
              </w:rPr>
              <w:t xml:space="preserve"> </w:t>
            </w:r>
            <w:r w:rsidRPr="00786273">
              <w:rPr>
                <w:sz w:val="20"/>
                <w:szCs w:val="20"/>
                <w:lang w:val="fr-CA" w:eastAsia="en-CA"/>
              </w:rPr>
              <w:t>405</w:t>
            </w:r>
          </w:p>
        </w:tc>
        <w:tc>
          <w:tcPr>
            <w:tcW w:w="1276" w:type="dxa"/>
            <w:tcBorders>
              <w:top w:val="nil"/>
              <w:left w:val="nil"/>
              <w:bottom w:val="single" w:sz="4" w:space="0" w:color="auto"/>
              <w:right w:val="single" w:sz="4" w:space="0" w:color="auto"/>
            </w:tcBorders>
            <w:shd w:val="clear" w:color="auto" w:fill="auto"/>
            <w:noWrap/>
            <w:hideMark/>
          </w:tcPr>
          <w:p w14:paraId="01950EDE" w14:textId="7E6C5685" w:rsidR="00691ABD" w:rsidRPr="00786273" w:rsidRDefault="00691ABD" w:rsidP="001E39EE">
            <w:pPr>
              <w:jc w:val="right"/>
              <w:rPr>
                <w:sz w:val="20"/>
                <w:szCs w:val="20"/>
                <w:lang w:val="fr-CA" w:eastAsia="en-CA"/>
              </w:rPr>
            </w:pPr>
            <w:r w:rsidRPr="00786273">
              <w:rPr>
                <w:sz w:val="20"/>
                <w:szCs w:val="20"/>
                <w:lang w:val="fr-CA" w:eastAsia="en-CA"/>
              </w:rPr>
              <w:t>88</w:t>
            </w:r>
            <w:r>
              <w:rPr>
                <w:sz w:val="20"/>
                <w:szCs w:val="20"/>
                <w:lang w:val="fr-CA" w:eastAsia="en-CA"/>
              </w:rPr>
              <w:t xml:space="preserve"> </w:t>
            </w:r>
            <w:r w:rsidRPr="00786273">
              <w:rPr>
                <w:sz w:val="20"/>
                <w:szCs w:val="20"/>
                <w:lang w:val="fr-CA" w:eastAsia="en-CA"/>
              </w:rPr>
              <w:t>280</w:t>
            </w:r>
          </w:p>
        </w:tc>
        <w:tc>
          <w:tcPr>
            <w:tcW w:w="1384" w:type="dxa"/>
            <w:tcBorders>
              <w:top w:val="nil"/>
              <w:left w:val="nil"/>
              <w:bottom w:val="single" w:sz="4" w:space="0" w:color="auto"/>
              <w:right w:val="single" w:sz="4" w:space="0" w:color="auto"/>
            </w:tcBorders>
            <w:shd w:val="clear" w:color="auto" w:fill="auto"/>
            <w:noWrap/>
            <w:hideMark/>
          </w:tcPr>
          <w:p w14:paraId="4E6817DD" w14:textId="77777777" w:rsidR="00691ABD" w:rsidRPr="00786273" w:rsidRDefault="00691ABD" w:rsidP="001E39EE">
            <w:pPr>
              <w:jc w:val="right"/>
              <w:rPr>
                <w:sz w:val="20"/>
                <w:szCs w:val="20"/>
                <w:lang w:val="fr-CA" w:eastAsia="en-CA"/>
              </w:rPr>
            </w:pPr>
            <w:r w:rsidRPr="00786273">
              <w:rPr>
                <w:sz w:val="20"/>
                <w:szCs w:val="20"/>
                <w:lang w:val="fr-CA" w:eastAsia="en-CA"/>
              </w:rPr>
              <w:t>108</w:t>
            </w:r>
          </w:p>
        </w:tc>
        <w:tc>
          <w:tcPr>
            <w:tcW w:w="1149" w:type="dxa"/>
            <w:tcBorders>
              <w:top w:val="nil"/>
              <w:left w:val="nil"/>
              <w:bottom w:val="single" w:sz="4" w:space="0" w:color="auto"/>
              <w:right w:val="single" w:sz="4" w:space="0" w:color="auto"/>
            </w:tcBorders>
            <w:shd w:val="clear" w:color="auto" w:fill="auto"/>
            <w:noWrap/>
            <w:hideMark/>
          </w:tcPr>
          <w:p w14:paraId="0A68627D" w14:textId="77777777" w:rsidR="00691ABD" w:rsidRPr="00786273" w:rsidRDefault="00691ABD" w:rsidP="001E39EE">
            <w:pPr>
              <w:jc w:val="right"/>
              <w:rPr>
                <w:sz w:val="20"/>
                <w:szCs w:val="20"/>
                <w:lang w:val="fr-CA" w:eastAsia="en-CA"/>
              </w:rPr>
            </w:pPr>
            <w:r w:rsidRPr="00786273">
              <w:rPr>
                <w:sz w:val="20"/>
                <w:szCs w:val="20"/>
                <w:lang w:val="fr-CA" w:eastAsia="en-CA"/>
              </w:rPr>
              <w:t>100</w:t>
            </w:r>
          </w:p>
        </w:tc>
      </w:tr>
      <w:tr w:rsidR="00691ABD" w:rsidRPr="00786273" w14:paraId="161E85A5"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7C1708CB" w14:textId="77777777" w:rsidR="00691ABD" w:rsidRPr="00786273" w:rsidRDefault="00691ABD" w:rsidP="001E39EE">
            <w:pPr>
              <w:jc w:val="left"/>
              <w:rPr>
                <w:sz w:val="20"/>
                <w:szCs w:val="20"/>
                <w:lang w:val="fr-CA" w:eastAsia="en-CA"/>
              </w:rPr>
            </w:pPr>
            <w:r w:rsidRPr="00786273">
              <w:rPr>
                <w:sz w:val="20"/>
                <w:szCs w:val="20"/>
                <w:lang w:val="fr-CA" w:eastAsia="en-CA"/>
              </w:rPr>
              <w:t>Zimbabwe</w:t>
            </w:r>
          </w:p>
        </w:tc>
        <w:tc>
          <w:tcPr>
            <w:tcW w:w="851" w:type="dxa"/>
            <w:tcBorders>
              <w:top w:val="nil"/>
              <w:left w:val="nil"/>
              <w:bottom w:val="single" w:sz="4" w:space="0" w:color="auto"/>
              <w:right w:val="single" w:sz="4" w:space="0" w:color="auto"/>
            </w:tcBorders>
            <w:shd w:val="clear" w:color="auto" w:fill="auto"/>
            <w:noWrap/>
            <w:hideMark/>
          </w:tcPr>
          <w:p w14:paraId="1AB95E11" w14:textId="47873C34" w:rsidR="00691ABD" w:rsidRPr="00786273" w:rsidRDefault="00691ABD" w:rsidP="001E39EE">
            <w:pPr>
              <w:jc w:val="right"/>
              <w:rPr>
                <w:sz w:val="20"/>
                <w:szCs w:val="20"/>
                <w:lang w:val="fr-CA" w:eastAsia="en-CA"/>
              </w:rPr>
            </w:pPr>
            <w:r w:rsidRPr="00786273">
              <w:rPr>
                <w:sz w:val="20"/>
                <w:szCs w:val="20"/>
                <w:lang w:val="fr-CA" w:eastAsia="en-CA"/>
              </w:rPr>
              <w:t>0</w:t>
            </w:r>
            <w:r>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545A71A4" w14:textId="77777777" w:rsidR="00691ABD" w:rsidRPr="00786273" w:rsidRDefault="00691ABD"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2CC674A6" w14:textId="41D5E19A" w:rsidR="00691ABD" w:rsidRPr="00786273" w:rsidRDefault="00691ABD" w:rsidP="001E39EE">
            <w:pPr>
              <w:jc w:val="right"/>
              <w:rPr>
                <w:sz w:val="20"/>
                <w:szCs w:val="20"/>
                <w:lang w:val="fr-CA" w:eastAsia="en-CA"/>
              </w:rPr>
            </w:pPr>
            <w:r w:rsidRPr="00786273">
              <w:rPr>
                <w:sz w:val="20"/>
                <w:szCs w:val="20"/>
                <w:lang w:val="fr-CA" w:eastAsia="en-CA"/>
              </w:rPr>
              <w:t>266</w:t>
            </w:r>
            <w:r>
              <w:rPr>
                <w:sz w:val="20"/>
                <w:szCs w:val="20"/>
                <w:lang w:val="fr-CA" w:eastAsia="en-CA"/>
              </w:rPr>
              <w:t xml:space="preserve"> </w:t>
            </w:r>
            <w:r w:rsidRPr="00786273">
              <w:rPr>
                <w:sz w:val="20"/>
                <w:szCs w:val="20"/>
                <w:lang w:val="fr-CA" w:eastAsia="en-CA"/>
              </w:rPr>
              <w:t>813</w:t>
            </w:r>
          </w:p>
        </w:tc>
        <w:tc>
          <w:tcPr>
            <w:tcW w:w="1276" w:type="dxa"/>
            <w:tcBorders>
              <w:top w:val="nil"/>
              <w:left w:val="nil"/>
              <w:bottom w:val="single" w:sz="4" w:space="0" w:color="auto"/>
              <w:right w:val="single" w:sz="4" w:space="0" w:color="auto"/>
            </w:tcBorders>
            <w:shd w:val="clear" w:color="auto" w:fill="auto"/>
            <w:noWrap/>
            <w:hideMark/>
          </w:tcPr>
          <w:p w14:paraId="5475D680" w14:textId="45C3B7EC" w:rsidR="00691ABD" w:rsidRPr="00786273" w:rsidRDefault="00691ABD" w:rsidP="001E39EE">
            <w:pPr>
              <w:jc w:val="right"/>
              <w:rPr>
                <w:sz w:val="20"/>
                <w:szCs w:val="20"/>
                <w:lang w:val="fr-CA" w:eastAsia="en-CA"/>
              </w:rPr>
            </w:pPr>
            <w:r w:rsidRPr="00786273">
              <w:rPr>
                <w:sz w:val="20"/>
                <w:szCs w:val="20"/>
                <w:lang w:val="fr-CA" w:eastAsia="en-CA"/>
              </w:rPr>
              <w:t>152</w:t>
            </w:r>
            <w:r>
              <w:rPr>
                <w:sz w:val="20"/>
                <w:szCs w:val="20"/>
                <w:lang w:val="fr-CA" w:eastAsia="en-CA"/>
              </w:rPr>
              <w:t xml:space="preserve"> </w:t>
            </w:r>
            <w:r w:rsidRPr="00786273">
              <w:rPr>
                <w:sz w:val="20"/>
                <w:szCs w:val="20"/>
                <w:lang w:val="fr-CA" w:eastAsia="en-CA"/>
              </w:rPr>
              <w:t>122</w:t>
            </w:r>
          </w:p>
        </w:tc>
        <w:tc>
          <w:tcPr>
            <w:tcW w:w="1384" w:type="dxa"/>
            <w:tcBorders>
              <w:top w:val="nil"/>
              <w:left w:val="nil"/>
              <w:bottom w:val="single" w:sz="4" w:space="0" w:color="auto"/>
              <w:right w:val="single" w:sz="4" w:space="0" w:color="auto"/>
            </w:tcBorders>
            <w:shd w:val="clear" w:color="auto" w:fill="auto"/>
            <w:noWrap/>
            <w:hideMark/>
          </w:tcPr>
          <w:p w14:paraId="47B2D04E" w14:textId="77777777" w:rsidR="00691ABD" w:rsidRPr="00786273" w:rsidRDefault="00691ABD" w:rsidP="001E39EE">
            <w:pPr>
              <w:jc w:val="right"/>
              <w:rPr>
                <w:sz w:val="20"/>
                <w:szCs w:val="20"/>
                <w:lang w:val="fr-CA" w:eastAsia="en-CA"/>
              </w:rPr>
            </w:pPr>
            <w:r w:rsidRPr="00786273">
              <w:rPr>
                <w:sz w:val="20"/>
                <w:szCs w:val="20"/>
                <w:lang w:val="fr-CA" w:eastAsia="en-CA"/>
              </w:rPr>
              <w:t>57</w:t>
            </w:r>
          </w:p>
        </w:tc>
        <w:tc>
          <w:tcPr>
            <w:tcW w:w="1149" w:type="dxa"/>
            <w:tcBorders>
              <w:top w:val="nil"/>
              <w:left w:val="nil"/>
              <w:bottom w:val="single" w:sz="4" w:space="0" w:color="auto"/>
              <w:right w:val="single" w:sz="4" w:space="0" w:color="auto"/>
            </w:tcBorders>
            <w:shd w:val="clear" w:color="auto" w:fill="auto"/>
            <w:noWrap/>
            <w:hideMark/>
          </w:tcPr>
          <w:p w14:paraId="31EE1814" w14:textId="77777777" w:rsidR="00691ABD" w:rsidRPr="00786273" w:rsidRDefault="00691ABD" w:rsidP="001E39EE">
            <w:pPr>
              <w:jc w:val="left"/>
              <w:rPr>
                <w:sz w:val="20"/>
                <w:szCs w:val="20"/>
                <w:lang w:val="fr-CA" w:eastAsia="en-CA"/>
              </w:rPr>
            </w:pPr>
            <w:r w:rsidRPr="00786273">
              <w:rPr>
                <w:sz w:val="20"/>
                <w:szCs w:val="20"/>
                <w:lang w:val="fr-CA" w:eastAsia="en-CA"/>
              </w:rPr>
              <w:t> </w:t>
            </w:r>
          </w:p>
        </w:tc>
      </w:tr>
      <w:tr w:rsidR="00FD14BB" w:rsidRPr="00786273" w14:paraId="02F00311" w14:textId="77777777" w:rsidTr="00AD0261">
        <w:trPr>
          <w:trHeight w:val="80"/>
        </w:trPr>
        <w:tc>
          <w:tcPr>
            <w:tcW w:w="2972" w:type="dxa"/>
            <w:tcBorders>
              <w:top w:val="nil"/>
              <w:left w:val="single" w:sz="4" w:space="0" w:color="auto"/>
              <w:bottom w:val="single" w:sz="4" w:space="0" w:color="auto"/>
              <w:right w:val="single" w:sz="4" w:space="0" w:color="auto"/>
            </w:tcBorders>
            <w:shd w:val="clear" w:color="auto" w:fill="auto"/>
            <w:noWrap/>
            <w:hideMark/>
          </w:tcPr>
          <w:p w14:paraId="16B33158" w14:textId="318ACDB9" w:rsidR="00FD14BB" w:rsidRPr="00786273" w:rsidRDefault="00691ABD" w:rsidP="001E39EE">
            <w:pPr>
              <w:jc w:val="left"/>
              <w:rPr>
                <w:sz w:val="20"/>
                <w:szCs w:val="20"/>
                <w:lang w:val="fr-CA" w:eastAsia="en-CA"/>
              </w:rPr>
            </w:pPr>
            <w:r>
              <w:rPr>
                <w:sz w:val="20"/>
                <w:szCs w:val="20"/>
                <w:lang w:val="fr-CA" w:eastAsia="en-CA"/>
              </w:rPr>
              <w:t>Mondial</w:t>
            </w:r>
          </w:p>
        </w:tc>
        <w:tc>
          <w:tcPr>
            <w:tcW w:w="851" w:type="dxa"/>
            <w:tcBorders>
              <w:top w:val="nil"/>
              <w:left w:val="nil"/>
              <w:bottom w:val="single" w:sz="4" w:space="0" w:color="auto"/>
              <w:right w:val="single" w:sz="4" w:space="0" w:color="auto"/>
            </w:tcBorders>
            <w:shd w:val="clear" w:color="auto" w:fill="auto"/>
            <w:noWrap/>
            <w:hideMark/>
          </w:tcPr>
          <w:p w14:paraId="7378C054" w14:textId="47B6B961" w:rsidR="00FD14BB" w:rsidRPr="00786273" w:rsidRDefault="00FD14BB" w:rsidP="001E39EE">
            <w:pPr>
              <w:jc w:val="right"/>
              <w:rPr>
                <w:sz w:val="20"/>
                <w:szCs w:val="20"/>
                <w:lang w:val="fr-CA" w:eastAsia="en-CA"/>
              </w:rPr>
            </w:pPr>
            <w:r w:rsidRPr="00786273">
              <w:rPr>
                <w:sz w:val="20"/>
                <w:szCs w:val="20"/>
                <w:lang w:val="fr-CA" w:eastAsia="en-CA"/>
              </w:rPr>
              <w:t>0</w:t>
            </w:r>
            <w:r w:rsidR="00691ABD">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A773BAA" w14:textId="77777777" w:rsidR="00FD14BB" w:rsidRPr="00786273" w:rsidRDefault="00FD14BB"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4B38F15A" w14:textId="2C3FD243" w:rsidR="00FD14BB" w:rsidRPr="00786273" w:rsidRDefault="00FD14BB" w:rsidP="001E39EE">
            <w:pPr>
              <w:jc w:val="right"/>
              <w:rPr>
                <w:sz w:val="20"/>
                <w:szCs w:val="20"/>
                <w:lang w:val="fr-CA" w:eastAsia="en-CA"/>
              </w:rPr>
            </w:pPr>
            <w:r w:rsidRPr="00786273">
              <w:rPr>
                <w:sz w:val="20"/>
                <w:szCs w:val="20"/>
                <w:lang w:val="fr-CA" w:eastAsia="en-CA"/>
              </w:rPr>
              <w:t>9</w:t>
            </w:r>
            <w:r w:rsidR="00691ABD">
              <w:rPr>
                <w:sz w:val="20"/>
                <w:szCs w:val="20"/>
                <w:lang w:val="fr-CA" w:eastAsia="en-CA"/>
              </w:rPr>
              <w:t xml:space="preserve"> </w:t>
            </w:r>
            <w:r w:rsidRPr="00786273">
              <w:rPr>
                <w:sz w:val="20"/>
                <w:szCs w:val="20"/>
                <w:lang w:val="fr-CA" w:eastAsia="en-CA"/>
              </w:rPr>
              <w:t>161</w:t>
            </w:r>
            <w:r w:rsidR="00691ABD">
              <w:rPr>
                <w:sz w:val="20"/>
                <w:szCs w:val="20"/>
                <w:lang w:val="fr-CA" w:eastAsia="en-CA"/>
              </w:rPr>
              <w:t xml:space="preserve"> </w:t>
            </w:r>
            <w:r w:rsidRPr="00786273">
              <w:rPr>
                <w:sz w:val="20"/>
                <w:szCs w:val="20"/>
                <w:lang w:val="fr-CA" w:eastAsia="en-CA"/>
              </w:rPr>
              <w:t>399</w:t>
            </w:r>
          </w:p>
        </w:tc>
        <w:tc>
          <w:tcPr>
            <w:tcW w:w="1276" w:type="dxa"/>
            <w:tcBorders>
              <w:top w:val="nil"/>
              <w:left w:val="nil"/>
              <w:bottom w:val="single" w:sz="4" w:space="0" w:color="auto"/>
              <w:right w:val="single" w:sz="4" w:space="0" w:color="auto"/>
            </w:tcBorders>
            <w:shd w:val="clear" w:color="auto" w:fill="auto"/>
            <w:noWrap/>
            <w:hideMark/>
          </w:tcPr>
          <w:p w14:paraId="628FE8A1" w14:textId="4B3C743C" w:rsidR="00FD14BB" w:rsidRPr="00786273" w:rsidRDefault="00FD14BB" w:rsidP="001E39EE">
            <w:pPr>
              <w:jc w:val="right"/>
              <w:rPr>
                <w:sz w:val="20"/>
                <w:szCs w:val="20"/>
                <w:lang w:val="fr-CA" w:eastAsia="en-CA"/>
              </w:rPr>
            </w:pPr>
            <w:r w:rsidRPr="00786273">
              <w:rPr>
                <w:sz w:val="20"/>
                <w:szCs w:val="20"/>
                <w:lang w:val="fr-CA" w:eastAsia="en-CA"/>
              </w:rPr>
              <w:t>6</w:t>
            </w:r>
            <w:r w:rsidR="00691ABD">
              <w:rPr>
                <w:sz w:val="20"/>
                <w:szCs w:val="20"/>
                <w:lang w:val="fr-CA" w:eastAsia="en-CA"/>
              </w:rPr>
              <w:t xml:space="preserve"> </w:t>
            </w:r>
            <w:r w:rsidRPr="00786273">
              <w:rPr>
                <w:sz w:val="20"/>
                <w:szCs w:val="20"/>
                <w:lang w:val="fr-CA" w:eastAsia="en-CA"/>
              </w:rPr>
              <w:t>519</w:t>
            </w:r>
            <w:r w:rsidR="00691ABD">
              <w:rPr>
                <w:sz w:val="20"/>
                <w:szCs w:val="20"/>
                <w:lang w:val="fr-CA" w:eastAsia="en-CA"/>
              </w:rPr>
              <w:t xml:space="preserve"> </w:t>
            </w:r>
            <w:r w:rsidRPr="00786273">
              <w:rPr>
                <w:sz w:val="20"/>
                <w:szCs w:val="20"/>
                <w:lang w:val="fr-CA" w:eastAsia="en-CA"/>
              </w:rPr>
              <w:t>573</w:t>
            </w:r>
          </w:p>
        </w:tc>
        <w:tc>
          <w:tcPr>
            <w:tcW w:w="1384" w:type="dxa"/>
            <w:tcBorders>
              <w:top w:val="nil"/>
              <w:left w:val="nil"/>
              <w:bottom w:val="single" w:sz="4" w:space="0" w:color="auto"/>
              <w:right w:val="single" w:sz="4" w:space="0" w:color="auto"/>
            </w:tcBorders>
            <w:shd w:val="clear" w:color="auto" w:fill="auto"/>
            <w:noWrap/>
            <w:hideMark/>
          </w:tcPr>
          <w:p w14:paraId="45DC47A6" w14:textId="77777777" w:rsidR="00FD14BB" w:rsidRPr="00786273" w:rsidRDefault="00FD14BB" w:rsidP="001E39EE">
            <w:pPr>
              <w:jc w:val="right"/>
              <w:rPr>
                <w:sz w:val="20"/>
                <w:szCs w:val="20"/>
                <w:lang w:val="fr-CA" w:eastAsia="en-CA"/>
              </w:rPr>
            </w:pPr>
            <w:r w:rsidRPr="00786273">
              <w:rPr>
                <w:sz w:val="20"/>
                <w:szCs w:val="20"/>
                <w:lang w:val="fr-CA" w:eastAsia="en-CA"/>
              </w:rPr>
              <w:t>71</w:t>
            </w:r>
          </w:p>
        </w:tc>
        <w:tc>
          <w:tcPr>
            <w:tcW w:w="1149" w:type="dxa"/>
            <w:tcBorders>
              <w:top w:val="nil"/>
              <w:left w:val="nil"/>
              <w:bottom w:val="single" w:sz="4" w:space="0" w:color="auto"/>
              <w:right w:val="single" w:sz="4" w:space="0" w:color="auto"/>
            </w:tcBorders>
            <w:shd w:val="clear" w:color="auto" w:fill="auto"/>
            <w:noWrap/>
            <w:hideMark/>
          </w:tcPr>
          <w:p w14:paraId="2EB57902" w14:textId="77777777" w:rsidR="00FD14BB" w:rsidRPr="00786273" w:rsidRDefault="00FD14BB" w:rsidP="001E39EE">
            <w:pPr>
              <w:jc w:val="right"/>
              <w:rPr>
                <w:sz w:val="20"/>
                <w:szCs w:val="20"/>
                <w:lang w:val="fr-CA" w:eastAsia="en-CA"/>
              </w:rPr>
            </w:pPr>
            <w:r w:rsidRPr="00786273">
              <w:rPr>
                <w:sz w:val="20"/>
                <w:szCs w:val="20"/>
                <w:lang w:val="fr-CA" w:eastAsia="en-CA"/>
              </w:rPr>
              <w:t>100</w:t>
            </w:r>
          </w:p>
        </w:tc>
      </w:tr>
      <w:tr w:rsidR="00FD14BB" w:rsidRPr="00786273" w14:paraId="38BB4F77" w14:textId="77777777" w:rsidTr="00AD0261">
        <w:trPr>
          <w:trHeight w:val="113"/>
        </w:trPr>
        <w:tc>
          <w:tcPr>
            <w:tcW w:w="2972" w:type="dxa"/>
            <w:tcBorders>
              <w:top w:val="nil"/>
              <w:left w:val="single" w:sz="4" w:space="0" w:color="auto"/>
              <w:bottom w:val="single" w:sz="4" w:space="0" w:color="auto"/>
              <w:right w:val="single" w:sz="4" w:space="0" w:color="auto"/>
            </w:tcBorders>
            <w:shd w:val="clear" w:color="auto" w:fill="auto"/>
            <w:noWrap/>
            <w:hideMark/>
          </w:tcPr>
          <w:p w14:paraId="4CB265A3" w14:textId="30352953" w:rsidR="00FD14BB" w:rsidRPr="00786273" w:rsidRDefault="00FD14BB" w:rsidP="00691ABD">
            <w:pPr>
              <w:jc w:val="left"/>
              <w:rPr>
                <w:sz w:val="20"/>
                <w:szCs w:val="20"/>
                <w:lang w:val="fr-CA" w:eastAsia="en-CA"/>
              </w:rPr>
            </w:pPr>
            <w:r w:rsidRPr="00786273">
              <w:rPr>
                <w:sz w:val="20"/>
                <w:szCs w:val="20"/>
                <w:lang w:val="fr-CA" w:eastAsia="en-CA"/>
              </w:rPr>
              <w:t>R</w:t>
            </w:r>
            <w:r w:rsidR="00691ABD">
              <w:rPr>
                <w:sz w:val="20"/>
                <w:szCs w:val="20"/>
                <w:lang w:val="fr-CA" w:eastAsia="en-CA"/>
              </w:rPr>
              <w:t>é</w:t>
            </w:r>
            <w:r w:rsidRPr="00786273">
              <w:rPr>
                <w:sz w:val="20"/>
                <w:szCs w:val="20"/>
                <w:lang w:val="fr-CA" w:eastAsia="en-CA"/>
              </w:rPr>
              <w:t>gion</w:t>
            </w:r>
            <w:r w:rsidR="00691ABD">
              <w:rPr>
                <w:sz w:val="20"/>
                <w:szCs w:val="20"/>
                <w:lang w:val="fr-CA" w:eastAsia="en-CA"/>
              </w:rPr>
              <w:t xml:space="preserve"> </w:t>
            </w:r>
            <w:r w:rsidRPr="00786273">
              <w:rPr>
                <w:sz w:val="20"/>
                <w:szCs w:val="20"/>
                <w:lang w:val="fr-CA" w:eastAsia="en-CA"/>
              </w:rPr>
              <w:t xml:space="preserve">: </w:t>
            </w:r>
            <w:r w:rsidR="00691ABD">
              <w:rPr>
                <w:sz w:val="20"/>
                <w:szCs w:val="20"/>
                <w:lang w:val="fr-CA" w:eastAsia="en-CA"/>
              </w:rPr>
              <w:t>Asie-Pacifique</w:t>
            </w:r>
          </w:p>
        </w:tc>
        <w:tc>
          <w:tcPr>
            <w:tcW w:w="851" w:type="dxa"/>
            <w:tcBorders>
              <w:top w:val="nil"/>
              <w:left w:val="nil"/>
              <w:bottom w:val="single" w:sz="4" w:space="0" w:color="auto"/>
              <w:right w:val="single" w:sz="4" w:space="0" w:color="auto"/>
            </w:tcBorders>
            <w:shd w:val="clear" w:color="auto" w:fill="auto"/>
            <w:noWrap/>
            <w:hideMark/>
          </w:tcPr>
          <w:p w14:paraId="72F1FC79" w14:textId="41BDFD8F" w:rsidR="00FD14BB" w:rsidRPr="00786273" w:rsidRDefault="00FD14BB" w:rsidP="001E39EE">
            <w:pPr>
              <w:jc w:val="right"/>
              <w:rPr>
                <w:sz w:val="20"/>
                <w:szCs w:val="20"/>
                <w:lang w:val="fr-CA" w:eastAsia="en-CA"/>
              </w:rPr>
            </w:pPr>
            <w:r w:rsidRPr="00786273">
              <w:rPr>
                <w:sz w:val="20"/>
                <w:szCs w:val="20"/>
                <w:lang w:val="fr-CA" w:eastAsia="en-CA"/>
              </w:rPr>
              <w:t>0</w:t>
            </w:r>
            <w:r w:rsidR="00691ABD">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486FB221" w14:textId="77777777" w:rsidR="00FD14BB" w:rsidRPr="00786273" w:rsidRDefault="00FD14BB"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001185B7" w14:textId="70F3E40E" w:rsidR="00FD14BB" w:rsidRPr="00786273" w:rsidRDefault="00FD14BB" w:rsidP="001E39EE">
            <w:pPr>
              <w:jc w:val="right"/>
              <w:rPr>
                <w:sz w:val="20"/>
                <w:szCs w:val="20"/>
                <w:lang w:val="fr-CA" w:eastAsia="en-CA"/>
              </w:rPr>
            </w:pPr>
            <w:r w:rsidRPr="00786273">
              <w:rPr>
                <w:sz w:val="20"/>
                <w:szCs w:val="20"/>
                <w:lang w:val="fr-CA" w:eastAsia="en-CA"/>
              </w:rPr>
              <w:t>329</w:t>
            </w:r>
            <w:r w:rsidR="00691ABD">
              <w:rPr>
                <w:sz w:val="20"/>
                <w:szCs w:val="20"/>
                <w:lang w:val="fr-CA" w:eastAsia="en-CA"/>
              </w:rPr>
              <w:t xml:space="preserve"> </w:t>
            </w:r>
            <w:r w:rsidRPr="00786273">
              <w:rPr>
                <w:sz w:val="20"/>
                <w:szCs w:val="20"/>
                <w:lang w:val="fr-CA" w:eastAsia="en-CA"/>
              </w:rPr>
              <w:t>144</w:t>
            </w:r>
          </w:p>
        </w:tc>
        <w:tc>
          <w:tcPr>
            <w:tcW w:w="1276" w:type="dxa"/>
            <w:tcBorders>
              <w:top w:val="nil"/>
              <w:left w:val="nil"/>
              <w:bottom w:val="single" w:sz="4" w:space="0" w:color="auto"/>
              <w:right w:val="single" w:sz="4" w:space="0" w:color="auto"/>
            </w:tcBorders>
            <w:shd w:val="clear" w:color="auto" w:fill="auto"/>
            <w:noWrap/>
            <w:hideMark/>
          </w:tcPr>
          <w:p w14:paraId="3B437C45" w14:textId="07194D46" w:rsidR="00FD14BB" w:rsidRPr="00786273" w:rsidRDefault="00FD14BB" w:rsidP="001E39EE">
            <w:pPr>
              <w:jc w:val="right"/>
              <w:rPr>
                <w:sz w:val="20"/>
                <w:szCs w:val="20"/>
                <w:lang w:val="fr-CA" w:eastAsia="en-CA"/>
              </w:rPr>
            </w:pPr>
            <w:r w:rsidRPr="00786273">
              <w:rPr>
                <w:sz w:val="20"/>
                <w:szCs w:val="20"/>
                <w:lang w:val="fr-CA" w:eastAsia="en-CA"/>
              </w:rPr>
              <w:t>99</w:t>
            </w:r>
            <w:r w:rsidR="00691ABD">
              <w:rPr>
                <w:sz w:val="20"/>
                <w:szCs w:val="20"/>
                <w:lang w:val="fr-CA" w:eastAsia="en-CA"/>
              </w:rPr>
              <w:t xml:space="preserve"> </w:t>
            </w:r>
            <w:r w:rsidRPr="00786273">
              <w:rPr>
                <w:sz w:val="20"/>
                <w:szCs w:val="20"/>
                <w:lang w:val="fr-CA" w:eastAsia="en-CA"/>
              </w:rPr>
              <w:t>972</w:t>
            </w:r>
          </w:p>
        </w:tc>
        <w:tc>
          <w:tcPr>
            <w:tcW w:w="1384" w:type="dxa"/>
            <w:tcBorders>
              <w:top w:val="nil"/>
              <w:left w:val="nil"/>
              <w:bottom w:val="single" w:sz="4" w:space="0" w:color="auto"/>
              <w:right w:val="single" w:sz="4" w:space="0" w:color="auto"/>
            </w:tcBorders>
            <w:shd w:val="clear" w:color="auto" w:fill="auto"/>
            <w:noWrap/>
            <w:hideMark/>
          </w:tcPr>
          <w:p w14:paraId="27034527" w14:textId="77777777" w:rsidR="00FD14BB" w:rsidRPr="00786273" w:rsidRDefault="00FD14BB" w:rsidP="001E39EE">
            <w:pPr>
              <w:jc w:val="right"/>
              <w:rPr>
                <w:sz w:val="20"/>
                <w:szCs w:val="20"/>
                <w:lang w:val="fr-CA" w:eastAsia="en-CA"/>
              </w:rPr>
            </w:pPr>
            <w:r w:rsidRPr="00786273">
              <w:rPr>
                <w:sz w:val="20"/>
                <w:szCs w:val="20"/>
                <w:lang w:val="fr-CA" w:eastAsia="en-CA"/>
              </w:rPr>
              <w:t>30</w:t>
            </w:r>
          </w:p>
        </w:tc>
        <w:tc>
          <w:tcPr>
            <w:tcW w:w="1149" w:type="dxa"/>
            <w:tcBorders>
              <w:top w:val="nil"/>
              <w:left w:val="nil"/>
              <w:bottom w:val="single" w:sz="4" w:space="0" w:color="auto"/>
              <w:right w:val="single" w:sz="4" w:space="0" w:color="auto"/>
            </w:tcBorders>
            <w:shd w:val="clear" w:color="auto" w:fill="auto"/>
            <w:noWrap/>
            <w:hideMark/>
          </w:tcPr>
          <w:p w14:paraId="4380A15D" w14:textId="77777777" w:rsidR="00FD14BB" w:rsidRPr="00786273" w:rsidRDefault="00FD14BB" w:rsidP="001E39EE">
            <w:pPr>
              <w:jc w:val="right"/>
              <w:rPr>
                <w:sz w:val="20"/>
                <w:szCs w:val="20"/>
                <w:lang w:val="fr-CA" w:eastAsia="en-CA"/>
              </w:rPr>
            </w:pPr>
            <w:r w:rsidRPr="00786273">
              <w:rPr>
                <w:sz w:val="20"/>
                <w:szCs w:val="20"/>
                <w:lang w:val="fr-CA" w:eastAsia="en-CA"/>
              </w:rPr>
              <w:t>100</w:t>
            </w:r>
          </w:p>
        </w:tc>
      </w:tr>
      <w:tr w:rsidR="00FD14BB" w:rsidRPr="00786273" w14:paraId="396DD54A"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04E46A8A" w14:textId="32F71313" w:rsidR="00FD14BB" w:rsidRPr="00786273" w:rsidRDefault="00FD14BB" w:rsidP="00691ABD">
            <w:pPr>
              <w:jc w:val="left"/>
              <w:rPr>
                <w:sz w:val="20"/>
                <w:szCs w:val="20"/>
                <w:lang w:val="fr-CA" w:eastAsia="en-CA"/>
              </w:rPr>
            </w:pPr>
            <w:r w:rsidRPr="00786273">
              <w:rPr>
                <w:sz w:val="20"/>
                <w:szCs w:val="20"/>
                <w:lang w:val="fr-CA" w:eastAsia="en-CA"/>
              </w:rPr>
              <w:t>R</w:t>
            </w:r>
            <w:r w:rsidR="00691ABD">
              <w:rPr>
                <w:sz w:val="20"/>
                <w:szCs w:val="20"/>
                <w:lang w:val="fr-CA" w:eastAsia="en-CA"/>
              </w:rPr>
              <w:t>é</w:t>
            </w:r>
            <w:r w:rsidRPr="00786273">
              <w:rPr>
                <w:sz w:val="20"/>
                <w:szCs w:val="20"/>
                <w:lang w:val="fr-CA" w:eastAsia="en-CA"/>
              </w:rPr>
              <w:t>gion</w:t>
            </w:r>
            <w:r w:rsidR="00691ABD">
              <w:rPr>
                <w:sz w:val="20"/>
                <w:szCs w:val="20"/>
                <w:lang w:val="fr-CA" w:eastAsia="en-CA"/>
              </w:rPr>
              <w:t xml:space="preserve"> </w:t>
            </w:r>
            <w:r w:rsidRPr="00786273">
              <w:rPr>
                <w:sz w:val="20"/>
                <w:szCs w:val="20"/>
                <w:lang w:val="fr-CA" w:eastAsia="en-CA"/>
              </w:rPr>
              <w:t>: EUR</w:t>
            </w:r>
          </w:p>
        </w:tc>
        <w:tc>
          <w:tcPr>
            <w:tcW w:w="851" w:type="dxa"/>
            <w:tcBorders>
              <w:top w:val="nil"/>
              <w:left w:val="nil"/>
              <w:bottom w:val="single" w:sz="4" w:space="0" w:color="auto"/>
              <w:right w:val="single" w:sz="4" w:space="0" w:color="auto"/>
            </w:tcBorders>
            <w:shd w:val="clear" w:color="auto" w:fill="auto"/>
            <w:noWrap/>
            <w:hideMark/>
          </w:tcPr>
          <w:p w14:paraId="49D7EF99" w14:textId="2F7165D6" w:rsidR="00FD14BB" w:rsidRPr="00786273" w:rsidRDefault="00FD14BB" w:rsidP="001E39EE">
            <w:pPr>
              <w:jc w:val="right"/>
              <w:rPr>
                <w:sz w:val="20"/>
                <w:szCs w:val="20"/>
                <w:lang w:val="fr-CA" w:eastAsia="en-CA"/>
              </w:rPr>
            </w:pPr>
            <w:r w:rsidRPr="00786273">
              <w:rPr>
                <w:sz w:val="20"/>
                <w:szCs w:val="20"/>
                <w:lang w:val="fr-CA" w:eastAsia="en-CA"/>
              </w:rPr>
              <w:t>0</w:t>
            </w:r>
            <w:r w:rsidR="00691ABD">
              <w:rPr>
                <w:sz w:val="20"/>
                <w:szCs w:val="20"/>
                <w:lang w:val="fr-CA" w:eastAsia="en-CA"/>
              </w:rPr>
              <w:t>,</w:t>
            </w:r>
            <w:r w:rsidRPr="00786273">
              <w:rPr>
                <w:sz w:val="20"/>
                <w:szCs w:val="20"/>
                <w:lang w:val="fr-CA" w:eastAsia="en-CA"/>
              </w:rPr>
              <w:t>0</w:t>
            </w:r>
          </w:p>
        </w:tc>
        <w:tc>
          <w:tcPr>
            <w:tcW w:w="1160" w:type="dxa"/>
            <w:tcBorders>
              <w:top w:val="nil"/>
              <w:left w:val="nil"/>
              <w:bottom w:val="single" w:sz="4" w:space="0" w:color="auto"/>
              <w:right w:val="single" w:sz="4" w:space="0" w:color="auto"/>
            </w:tcBorders>
            <w:shd w:val="clear" w:color="auto" w:fill="auto"/>
            <w:noWrap/>
            <w:hideMark/>
          </w:tcPr>
          <w:p w14:paraId="7C0F94A6" w14:textId="77777777" w:rsidR="00FD14BB" w:rsidRPr="00786273" w:rsidRDefault="00FD14BB" w:rsidP="001E39EE">
            <w:pPr>
              <w:jc w:val="left"/>
              <w:rPr>
                <w:sz w:val="20"/>
                <w:szCs w:val="20"/>
                <w:lang w:val="fr-CA" w:eastAsia="en-CA"/>
              </w:rPr>
            </w:pPr>
            <w:r w:rsidRPr="00786273">
              <w:rPr>
                <w:sz w:val="20"/>
                <w:szCs w:val="20"/>
                <w:lang w:val="fr-CA" w:eastAsia="en-CA"/>
              </w:rPr>
              <w:t> </w:t>
            </w:r>
          </w:p>
        </w:tc>
        <w:tc>
          <w:tcPr>
            <w:tcW w:w="1250" w:type="dxa"/>
            <w:tcBorders>
              <w:top w:val="nil"/>
              <w:left w:val="nil"/>
              <w:bottom w:val="single" w:sz="4" w:space="0" w:color="auto"/>
              <w:right w:val="single" w:sz="4" w:space="0" w:color="auto"/>
            </w:tcBorders>
            <w:shd w:val="clear" w:color="auto" w:fill="auto"/>
            <w:noWrap/>
            <w:hideMark/>
          </w:tcPr>
          <w:p w14:paraId="7CC69CDC" w14:textId="1683E5B1" w:rsidR="00FD14BB" w:rsidRPr="00786273" w:rsidRDefault="00FD14BB" w:rsidP="001E39EE">
            <w:pPr>
              <w:jc w:val="right"/>
              <w:rPr>
                <w:sz w:val="20"/>
                <w:szCs w:val="20"/>
                <w:lang w:val="fr-CA" w:eastAsia="en-CA"/>
              </w:rPr>
            </w:pPr>
            <w:r w:rsidRPr="00786273">
              <w:rPr>
                <w:sz w:val="20"/>
                <w:szCs w:val="20"/>
                <w:lang w:val="fr-CA" w:eastAsia="en-CA"/>
              </w:rPr>
              <w:t>200</w:t>
            </w:r>
            <w:r w:rsidR="00691ABD">
              <w:rPr>
                <w:sz w:val="20"/>
                <w:szCs w:val="20"/>
                <w:lang w:val="fr-CA" w:eastAsia="en-CA"/>
              </w:rPr>
              <w:t xml:space="preserve"> </w:t>
            </w:r>
            <w:r w:rsidRPr="00786273">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6A7CAE2A" w14:textId="32F62C2C" w:rsidR="00FD14BB" w:rsidRPr="00786273" w:rsidRDefault="00FD14BB" w:rsidP="001E39EE">
            <w:pPr>
              <w:jc w:val="right"/>
              <w:rPr>
                <w:sz w:val="20"/>
                <w:szCs w:val="20"/>
                <w:lang w:val="fr-CA" w:eastAsia="en-CA"/>
              </w:rPr>
            </w:pPr>
            <w:r w:rsidRPr="00786273">
              <w:rPr>
                <w:sz w:val="20"/>
                <w:szCs w:val="20"/>
                <w:lang w:val="fr-CA" w:eastAsia="en-CA"/>
              </w:rPr>
              <w:t>362</w:t>
            </w:r>
            <w:r w:rsidR="00691ABD">
              <w:rPr>
                <w:sz w:val="20"/>
                <w:szCs w:val="20"/>
                <w:lang w:val="fr-CA" w:eastAsia="en-CA"/>
              </w:rPr>
              <w:t xml:space="preserve"> </w:t>
            </w:r>
            <w:r w:rsidRPr="00786273">
              <w:rPr>
                <w:sz w:val="20"/>
                <w:szCs w:val="20"/>
                <w:lang w:val="fr-CA" w:eastAsia="en-CA"/>
              </w:rPr>
              <w:t>092</w:t>
            </w:r>
          </w:p>
        </w:tc>
        <w:tc>
          <w:tcPr>
            <w:tcW w:w="1384" w:type="dxa"/>
            <w:tcBorders>
              <w:top w:val="nil"/>
              <w:left w:val="nil"/>
              <w:bottom w:val="single" w:sz="4" w:space="0" w:color="auto"/>
              <w:right w:val="single" w:sz="4" w:space="0" w:color="auto"/>
            </w:tcBorders>
            <w:shd w:val="clear" w:color="auto" w:fill="auto"/>
            <w:noWrap/>
            <w:hideMark/>
          </w:tcPr>
          <w:p w14:paraId="4C32600B" w14:textId="77777777" w:rsidR="00FD14BB" w:rsidRPr="00786273" w:rsidRDefault="00FD14BB" w:rsidP="001E39EE">
            <w:pPr>
              <w:jc w:val="right"/>
              <w:rPr>
                <w:sz w:val="20"/>
                <w:szCs w:val="20"/>
                <w:lang w:val="fr-CA" w:eastAsia="en-CA"/>
              </w:rPr>
            </w:pPr>
            <w:r w:rsidRPr="00786273">
              <w:rPr>
                <w:sz w:val="20"/>
                <w:szCs w:val="20"/>
                <w:lang w:val="fr-CA" w:eastAsia="en-CA"/>
              </w:rPr>
              <w:t>181</w:t>
            </w:r>
          </w:p>
        </w:tc>
        <w:tc>
          <w:tcPr>
            <w:tcW w:w="1149" w:type="dxa"/>
            <w:tcBorders>
              <w:top w:val="nil"/>
              <w:left w:val="nil"/>
              <w:bottom w:val="single" w:sz="4" w:space="0" w:color="auto"/>
              <w:right w:val="single" w:sz="4" w:space="0" w:color="auto"/>
            </w:tcBorders>
            <w:shd w:val="clear" w:color="auto" w:fill="auto"/>
            <w:noWrap/>
            <w:hideMark/>
          </w:tcPr>
          <w:p w14:paraId="439B5738" w14:textId="77777777" w:rsidR="00FD14BB" w:rsidRPr="00786273" w:rsidRDefault="00FD14BB" w:rsidP="001E39EE">
            <w:pPr>
              <w:jc w:val="left"/>
              <w:rPr>
                <w:sz w:val="20"/>
                <w:szCs w:val="20"/>
                <w:lang w:val="fr-CA" w:eastAsia="en-CA"/>
              </w:rPr>
            </w:pPr>
            <w:r w:rsidRPr="00786273">
              <w:rPr>
                <w:sz w:val="20"/>
                <w:szCs w:val="20"/>
                <w:lang w:val="fr-CA" w:eastAsia="en-CA"/>
              </w:rPr>
              <w:t> </w:t>
            </w:r>
          </w:p>
        </w:tc>
      </w:tr>
      <w:tr w:rsidR="00FD14BB" w:rsidRPr="00786273" w14:paraId="7E4A71C7" w14:textId="77777777" w:rsidTr="00AD0261">
        <w:trPr>
          <w:trHeight w:val="58"/>
        </w:trPr>
        <w:tc>
          <w:tcPr>
            <w:tcW w:w="2972" w:type="dxa"/>
            <w:tcBorders>
              <w:top w:val="nil"/>
              <w:left w:val="single" w:sz="4" w:space="0" w:color="auto"/>
              <w:bottom w:val="single" w:sz="4" w:space="0" w:color="auto"/>
              <w:right w:val="single" w:sz="4" w:space="0" w:color="auto"/>
            </w:tcBorders>
            <w:shd w:val="clear" w:color="auto" w:fill="auto"/>
            <w:noWrap/>
            <w:hideMark/>
          </w:tcPr>
          <w:p w14:paraId="459C3879" w14:textId="4BA37C25" w:rsidR="00FD14BB" w:rsidRPr="00786273" w:rsidRDefault="00FD14BB" w:rsidP="001E39EE">
            <w:pPr>
              <w:jc w:val="left"/>
              <w:rPr>
                <w:b/>
                <w:sz w:val="20"/>
                <w:szCs w:val="20"/>
                <w:lang w:val="fr-CA" w:eastAsia="en-CA"/>
              </w:rPr>
            </w:pPr>
            <w:r w:rsidRPr="00786273">
              <w:rPr>
                <w:b/>
                <w:sz w:val="20"/>
                <w:szCs w:val="20"/>
                <w:lang w:val="fr-CA" w:eastAsia="en-CA"/>
              </w:rPr>
              <w:t>Total</w:t>
            </w:r>
          </w:p>
        </w:tc>
        <w:tc>
          <w:tcPr>
            <w:tcW w:w="851" w:type="dxa"/>
            <w:tcBorders>
              <w:top w:val="nil"/>
              <w:left w:val="nil"/>
              <w:bottom w:val="single" w:sz="4" w:space="0" w:color="auto"/>
              <w:right w:val="single" w:sz="4" w:space="0" w:color="auto"/>
            </w:tcBorders>
            <w:shd w:val="clear" w:color="auto" w:fill="auto"/>
            <w:noWrap/>
            <w:hideMark/>
          </w:tcPr>
          <w:p w14:paraId="152F4377" w14:textId="75606F49" w:rsidR="00FD14BB" w:rsidRPr="00786273" w:rsidRDefault="000710DA" w:rsidP="001E39EE">
            <w:pPr>
              <w:jc w:val="right"/>
              <w:rPr>
                <w:b/>
                <w:sz w:val="20"/>
                <w:szCs w:val="20"/>
                <w:lang w:val="fr-CA" w:eastAsia="en-CA"/>
              </w:rPr>
            </w:pPr>
            <w:r w:rsidRPr="00786273">
              <w:rPr>
                <w:b/>
                <w:sz w:val="20"/>
                <w:szCs w:val="20"/>
                <w:lang w:val="fr-CA" w:eastAsia="en-CA"/>
              </w:rPr>
              <w:t>1</w:t>
            </w:r>
            <w:r w:rsidR="00691ABD">
              <w:rPr>
                <w:b/>
                <w:sz w:val="20"/>
                <w:szCs w:val="20"/>
                <w:lang w:val="fr-CA" w:eastAsia="en-CA"/>
              </w:rPr>
              <w:t xml:space="preserve"> </w:t>
            </w:r>
            <w:r w:rsidRPr="00786273">
              <w:rPr>
                <w:b/>
                <w:sz w:val="20"/>
                <w:szCs w:val="20"/>
                <w:lang w:val="fr-CA" w:eastAsia="en-CA"/>
              </w:rPr>
              <w:t>324</w:t>
            </w:r>
            <w:r w:rsidR="00691ABD">
              <w:rPr>
                <w:b/>
                <w:sz w:val="20"/>
                <w:szCs w:val="20"/>
                <w:lang w:val="fr-CA" w:eastAsia="en-CA"/>
              </w:rPr>
              <w:t>,</w:t>
            </w:r>
            <w:r w:rsidRPr="00786273">
              <w:rPr>
                <w:b/>
                <w:sz w:val="20"/>
                <w:szCs w:val="20"/>
                <w:lang w:val="fr-CA" w:eastAsia="en-CA"/>
              </w:rPr>
              <w:t>1</w:t>
            </w:r>
          </w:p>
        </w:tc>
        <w:tc>
          <w:tcPr>
            <w:tcW w:w="1160" w:type="dxa"/>
            <w:tcBorders>
              <w:top w:val="nil"/>
              <w:left w:val="nil"/>
              <w:bottom w:val="single" w:sz="4" w:space="0" w:color="auto"/>
              <w:right w:val="single" w:sz="4" w:space="0" w:color="auto"/>
            </w:tcBorders>
            <w:shd w:val="clear" w:color="auto" w:fill="auto"/>
            <w:noWrap/>
            <w:hideMark/>
          </w:tcPr>
          <w:p w14:paraId="513BE6F9" w14:textId="77777777" w:rsidR="00FD14BB" w:rsidRPr="00786273" w:rsidRDefault="00FD14BB" w:rsidP="001E39EE">
            <w:pPr>
              <w:jc w:val="right"/>
              <w:rPr>
                <w:b/>
                <w:sz w:val="20"/>
                <w:szCs w:val="20"/>
                <w:lang w:val="fr-CA" w:eastAsia="en-CA"/>
              </w:rPr>
            </w:pPr>
            <w:r w:rsidRPr="00786273">
              <w:rPr>
                <w:b/>
                <w:sz w:val="20"/>
                <w:szCs w:val="20"/>
                <w:lang w:val="fr-CA" w:eastAsia="en-CA"/>
              </w:rPr>
              <w:t>19</w:t>
            </w:r>
          </w:p>
        </w:tc>
        <w:tc>
          <w:tcPr>
            <w:tcW w:w="1250" w:type="dxa"/>
            <w:tcBorders>
              <w:top w:val="nil"/>
              <w:left w:val="nil"/>
              <w:bottom w:val="single" w:sz="4" w:space="0" w:color="auto"/>
              <w:right w:val="single" w:sz="4" w:space="0" w:color="auto"/>
            </w:tcBorders>
            <w:shd w:val="clear" w:color="auto" w:fill="auto"/>
            <w:noWrap/>
            <w:hideMark/>
          </w:tcPr>
          <w:p w14:paraId="0218C7E3" w14:textId="6DBCAC29" w:rsidR="00FD14BB" w:rsidRPr="00786273" w:rsidRDefault="00FD14BB" w:rsidP="001E39EE">
            <w:pPr>
              <w:jc w:val="right"/>
              <w:rPr>
                <w:b/>
                <w:sz w:val="20"/>
                <w:szCs w:val="20"/>
                <w:lang w:val="fr-CA" w:eastAsia="en-CA"/>
              </w:rPr>
            </w:pPr>
            <w:r w:rsidRPr="00786273">
              <w:rPr>
                <w:b/>
                <w:sz w:val="20"/>
                <w:szCs w:val="20"/>
                <w:lang w:val="fr-CA" w:eastAsia="en-CA"/>
              </w:rPr>
              <w:t>89</w:t>
            </w:r>
            <w:r w:rsidR="00691ABD">
              <w:rPr>
                <w:b/>
                <w:sz w:val="20"/>
                <w:szCs w:val="20"/>
                <w:lang w:val="fr-CA" w:eastAsia="en-CA"/>
              </w:rPr>
              <w:t xml:space="preserve"> </w:t>
            </w:r>
            <w:r w:rsidRPr="00786273">
              <w:rPr>
                <w:b/>
                <w:sz w:val="20"/>
                <w:szCs w:val="20"/>
                <w:lang w:val="fr-CA" w:eastAsia="en-CA"/>
              </w:rPr>
              <w:t>353</w:t>
            </w:r>
            <w:r w:rsidR="00691ABD">
              <w:rPr>
                <w:b/>
                <w:sz w:val="20"/>
                <w:szCs w:val="20"/>
                <w:lang w:val="fr-CA" w:eastAsia="en-CA"/>
              </w:rPr>
              <w:t xml:space="preserve"> </w:t>
            </w:r>
            <w:r w:rsidRPr="00786273">
              <w:rPr>
                <w:b/>
                <w:sz w:val="20"/>
                <w:szCs w:val="20"/>
                <w:lang w:val="fr-CA" w:eastAsia="en-CA"/>
              </w:rPr>
              <w:t>425</w:t>
            </w:r>
          </w:p>
        </w:tc>
        <w:tc>
          <w:tcPr>
            <w:tcW w:w="1276" w:type="dxa"/>
            <w:tcBorders>
              <w:top w:val="nil"/>
              <w:left w:val="nil"/>
              <w:bottom w:val="single" w:sz="4" w:space="0" w:color="auto"/>
              <w:right w:val="single" w:sz="4" w:space="0" w:color="auto"/>
            </w:tcBorders>
            <w:shd w:val="clear" w:color="auto" w:fill="auto"/>
            <w:noWrap/>
            <w:hideMark/>
          </w:tcPr>
          <w:p w14:paraId="0BB8F263" w14:textId="3EDE2775" w:rsidR="00FD14BB" w:rsidRPr="00786273" w:rsidRDefault="00FD14BB" w:rsidP="001E39EE">
            <w:pPr>
              <w:jc w:val="right"/>
              <w:rPr>
                <w:b/>
                <w:sz w:val="20"/>
                <w:szCs w:val="20"/>
                <w:lang w:val="fr-CA" w:eastAsia="en-CA"/>
              </w:rPr>
            </w:pPr>
            <w:r w:rsidRPr="00786273">
              <w:rPr>
                <w:b/>
                <w:sz w:val="20"/>
                <w:szCs w:val="20"/>
                <w:lang w:val="fr-CA" w:eastAsia="en-CA"/>
              </w:rPr>
              <w:t>78</w:t>
            </w:r>
            <w:r w:rsidR="00691ABD">
              <w:rPr>
                <w:b/>
                <w:sz w:val="20"/>
                <w:szCs w:val="20"/>
                <w:lang w:val="fr-CA" w:eastAsia="en-CA"/>
              </w:rPr>
              <w:t xml:space="preserve"> </w:t>
            </w:r>
            <w:r w:rsidRPr="00786273">
              <w:rPr>
                <w:b/>
                <w:sz w:val="20"/>
                <w:szCs w:val="20"/>
                <w:lang w:val="fr-CA" w:eastAsia="en-CA"/>
              </w:rPr>
              <w:t>639</w:t>
            </w:r>
            <w:r w:rsidR="00691ABD">
              <w:rPr>
                <w:b/>
                <w:sz w:val="20"/>
                <w:szCs w:val="20"/>
                <w:lang w:val="fr-CA" w:eastAsia="en-CA"/>
              </w:rPr>
              <w:t xml:space="preserve"> </w:t>
            </w:r>
            <w:r w:rsidRPr="00786273">
              <w:rPr>
                <w:b/>
                <w:sz w:val="20"/>
                <w:szCs w:val="20"/>
                <w:lang w:val="fr-CA" w:eastAsia="en-CA"/>
              </w:rPr>
              <w:t>62</w:t>
            </w:r>
            <w:r w:rsidR="004D5132" w:rsidRPr="00786273">
              <w:rPr>
                <w:b/>
                <w:sz w:val="20"/>
                <w:szCs w:val="20"/>
                <w:lang w:val="fr-CA" w:eastAsia="en-CA"/>
              </w:rPr>
              <w:t>7</w:t>
            </w:r>
          </w:p>
        </w:tc>
        <w:tc>
          <w:tcPr>
            <w:tcW w:w="1384" w:type="dxa"/>
            <w:tcBorders>
              <w:top w:val="nil"/>
              <w:left w:val="nil"/>
              <w:bottom w:val="single" w:sz="4" w:space="0" w:color="auto"/>
              <w:right w:val="single" w:sz="4" w:space="0" w:color="auto"/>
            </w:tcBorders>
            <w:shd w:val="clear" w:color="auto" w:fill="auto"/>
            <w:noWrap/>
            <w:hideMark/>
          </w:tcPr>
          <w:p w14:paraId="513765CE" w14:textId="77777777" w:rsidR="00FD14BB" w:rsidRPr="00786273" w:rsidRDefault="00FD14BB" w:rsidP="001E39EE">
            <w:pPr>
              <w:jc w:val="right"/>
              <w:rPr>
                <w:b/>
                <w:sz w:val="20"/>
                <w:szCs w:val="20"/>
                <w:lang w:val="fr-CA" w:eastAsia="en-CA"/>
              </w:rPr>
            </w:pPr>
            <w:r w:rsidRPr="00786273">
              <w:rPr>
                <w:b/>
                <w:sz w:val="20"/>
                <w:szCs w:val="20"/>
                <w:lang w:val="fr-CA" w:eastAsia="en-CA"/>
              </w:rPr>
              <w:t>88</w:t>
            </w:r>
          </w:p>
        </w:tc>
        <w:tc>
          <w:tcPr>
            <w:tcW w:w="1149" w:type="dxa"/>
            <w:tcBorders>
              <w:top w:val="nil"/>
              <w:left w:val="nil"/>
              <w:bottom w:val="single" w:sz="4" w:space="0" w:color="auto"/>
              <w:right w:val="single" w:sz="4" w:space="0" w:color="auto"/>
            </w:tcBorders>
            <w:shd w:val="clear" w:color="auto" w:fill="auto"/>
            <w:noWrap/>
            <w:hideMark/>
          </w:tcPr>
          <w:p w14:paraId="55497641" w14:textId="77777777" w:rsidR="00FD14BB" w:rsidRPr="00786273" w:rsidRDefault="00FD14BB" w:rsidP="001E39EE">
            <w:pPr>
              <w:jc w:val="right"/>
              <w:rPr>
                <w:b/>
                <w:sz w:val="20"/>
                <w:szCs w:val="20"/>
                <w:lang w:val="fr-CA" w:eastAsia="en-CA"/>
              </w:rPr>
            </w:pPr>
            <w:r w:rsidRPr="00786273">
              <w:rPr>
                <w:b/>
                <w:sz w:val="20"/>
                <w:szCs w:val="20"/>
                <w:lang w:val="fr-CA" w:eastAsia="en-CA"/>
              </w:rPr>
              <w:t>51</w:t>
            </w:r>
          </w:p>
        </w:tc>
      </w:tr>
    </w:tbl>
    <w:p w14:paraId="08FBDB27" w14:textId="5F7D3734" w:rsidR="00D631A9" w:rsidRPr="00786273" w:rsidRDefault="00D631A9" w:rsidP="001E39EE">
      <w:pPr>
        <w:pStyle w:val="Title1"/>
        <w:keepNext/>
        <w:jc w:val="both"/>
        <w:rPr>
          <w:b w:val="0"/>
          <w:caps w:val="0"/>
          <w:sz w:val="20"/>
          <w:szCs w:val="20"/>
          <w:lang w:val="fr-CA"/>
        </w:rPr>
      </w:pPr>
      <w:r w:rsidRPr="00786273">
        <w:rPr>
          <w:b w:val="0"/>
          <w:caps w:val="0"/>
          <w:sz w:val="20"/>
          <w:szCs w:val="20"/>
          <w:lang w:val="fr-CA"/>
        </w:rPr>
        <w:t>*</w:t>
      </w:r>
      <w:r w:rsidR="00691ABD">
        <w:rPr>
          <w:b w:val="0"/>
          <w:caps w:val="0"/>
          <w:sz w:val="19"/>
          <w:szCs w:val="19"/>
          <w:lang w:val="fr-CA"/>
        </w:rPr>
        <w:t>203,</w:t>
      </w:r>
      <w:r w:rsidR="00FA08FC" w:rsidRPr="00786273">
        <w:rPr>
          <w:b w:val="0"/>
          <w:caps w:val="0"/>
          <w:sz w:val="19"/>
          <w:szCs w:val="19"/>
          <w:lang w:val="fr-CA"/>
        </w:rPr>
        <w:t xml:space="preserve">5 </w:t>
      </w:r>
      <w:proofErr w:type="spellStart"/>
      <w:r w:rsidR="00691ABD">
        <w:rPr>
          <w:b w:val="0"/>
          <w:caps w:val="0"/>
          <w:sz w:val="19"/>
          <w:szCs w:val="19"/>
          <w:lang w:val="fr-CA"/>
        </w:rPr>
        <w:t>tm</w:t>
      </w:r>
      <w:proofErr w:type="spellEnd"/>
      <w:r w:rsidR="00E72BE9" w:rsidRPr="00786273">
        <w:rPr>
          <w:b w:val="0"/>
          <w:caps w:val="0"/>
          <w:sz w:val="19"/>
          <w:szCs w:val="19"/>
          <w:lang w:val="fr-CA"/>
        </w:rPr>
        <w:t xml:space="preserve"> (</w:t>
      </w:r>
      <w:r w:rsidR="00FA08FC" w:rsidRPr="00786273">
        <w:rPr>
          <w:b w:val="0"/>
          <w:caps w:val="0"/>
          <w:sz w:val="19"/>
          <w:szCs w:val="19"/>
          <w:lang w:val="fr-CA"/>
        </w:rPr>
        <w:t>332</w:t>
      </w:r>
      <w:r w:rsidR="00691ABD">
        <w:rPr>
          <w:b w:val="0"/>
          <w:caps w:val="0"/>
          <w:sz w:val="19"/>
          <w:szCs w:val="19"/>
          <w:lang w:val="fr-CA"/>
        </w:rPr>
        <w:t xml:space="preserve"> </w:t>
      </w:r>
      <w:r w:rsidR="00FA08FC" w:rsidRPr="00786273">
        <w:rPr>
          <w:b w:val="0"/>
          <w:caps w:val="0"/>
          <w:sz w:val="19"/>
          <w:szCs w:val="19"/>
          <w:lang w:val="fr-CA"/>
        </w:rPr>
        <w:t xml:space="preserve">848 </w:t>
      </w:r>
      <w:proofErr w:type="spellStart"/>
      <w:r w:rsidR="00691ABD">
        <w:rPr>
          <w:b w:val="0"/>
          <w:caps w:val="0"/>
          <w:sz w:val="19"/>
          <w:szCs w:val="19"/>
          <w:lang w:val="fr-CA"/>
        </w:rPr>
        <w:t>tm</w:t>
      </w:r>
      <w:proofErr w:type="spellEnd"/>
      <w:r w:rsidR="00691ABD">
        <w:rPr>
          <w:b w:val="0"/>
          <w:caps w:val="0"/>
          <w:sz w:val="19"/>
          <w:szCs w:val="19"/>
          <w:lang w:val="fr-CA"/>
        </w:rPr>
        <w:t xml:space="preserve"> d’éq-</w:t>
      </w:r>
      <w:r w:rsidR="00E72BE9" w:rsidRPr="00786273">
        <w:rPr>
          <w:b w:val="0"/>
          <w:caps w:val="0"/>
          <w:sz w:val="19"/>
          <w:szCs w:val="19"/>
          <w:lang w:val="fr-CA"/>
        </w:rPr>
        <w:t>CO</w:t>
      </w:r>
      <w:r w:rsidR="00E72BE9" w:rsidRPr="00786273">
        <w:rPr>
          <w:b w:val="0"/>
          <w:caps w:val="0"/>
          <w:sz w:val="19"/>
          <w:szCs w:val="19"/>
          <w:vertAlign w:val="subscript"/>
          <w:lang w:val="fr-CA"/>
        </w:rPr>
        <w:t>2</w:t>
      </w:r>
      <w:r w:rsidR="00E72BE9" w:rsidRPr="00786273">
        <w:rPr>
          <w:b w:val="0"/>
          <w:caps w:val="0"/>
          <w:sz w:val="19"/>
          <w:szCs w:val="19"/>
          <w:lang w:val="fr-CA"/>
        </w:rPr>
        <w:t xml:space="preserve">) </w:t>
      </w:r>
      <w:r w:rsidR="00691ABD">
        <w:rPr>
          <w:b w:val="0"/>
          <w:caps w:val="0"/>
          <w:sz w:val="19"/>
          <w:szCs w:val="19"/>
          <w:lang w:val="fr-CA"/>
        </w:rPr>
        <w:t>ont été éliminées en 2020 dans des projets en lien avec les HFC</w:t>
      </w:r>
      <w:r w:rsidR="00E72BE9" w:rsidRPr="00786273">
        <w:rPr>
          <w:b w:val="0"/>
          <w:caps w:val="0"/>
          <w:sz w:val="19"/>
          <w:szCs w:val="19"/>
          <w:lang w:val="fr-CA"/>
        </w:rPr>
        <w:t>.</w:t>
      </w:r>
    </w:p>
    <w:p w14:paraId="41132462" w14:textId="77777777" w:rsidR="00D631A9" w:rsidRPr="00786273" w:rsidRDefault="00D631A9" w:rsidP="001E39EE">
      <w:pPr>
        <w:pStyle w:val="Title1"/>
        <w:rPr>
          <w:caps w:val="0"/>
          <w:lang w:val="fr-CA"/>
        </w:rPr>
      </w:pPr>
    </w:p>
    <w:p w14:paraId="1667ACCE" w14:textId="77777777" w:rsidR="00D631A9" w:rsidRPr="00691ABD" w:rsidRDefault="00D631A9" w:rsidP="001E39EE">
      <w:pPr>
        <w:pStyle w:val="Title1"/>
        <w:rPr>
          <w:caps w:val="0"/>
          <w:lang w:val="fr-CA"/>
        </w:rPr>
      </w:pPr>
    </w:p>
    <w:p w14:paraId="225D0F37" w14:textId="77777777" w:rsidR="00D631A9" w:rsidRPr="00691ABD" w:rsidRDefault="00D631A9" w:rsidP="001E39EE">
      <w:pPr>
        <w:pStyle w:val="Title1"/>
        <w:rPr>
          <w:caps w:val="0"/>
          <w:lang w:val="fr-CA"/>
        </w:rPr>
      </w:pPr>
    </w:p>
    <w:p w14:paraId="671D632E" w14:textId="77777777" w:rsidR="00D631A9" w:rsidRPr="00691ABD" w:rsidRDefault="00D631A9" w:rsidP="001E39EE">
      <w:pPr>
        <w:pStyle w:val="Title1"/>
        <w:jc w:val="both"/>
        <w:rPr>
          <w:b w:val="0"/>
          <w:caps w:val="0"/>
          <w:sz w:val="19"/>
          <w:szCs w:val="19"/>
          <w:lang w:val="fr-CA"/>
        </w:rPr>
      </w:pPr>
    </w:p>
    <w:p w14:paraId="6D72D05F" w14:textId="77777777" w:rsidR="00D631A9" w:rsidRPr="00691ABD" w:rsidRDefault="00D631A9" w:rsidP="001E39EE">
      <w:pPr>
        <w:rPr>
          <w:lang w:val="fr-CA"/>
        </w:rPr>
        <w:sectPr w:rsidR="00D631A9" w:rsidRPr="00691ABD" w:rsidSect="00A37590">
          <w:headerReference w:type="even" r:id="rId24"/>
          <w:headerReference w:type="default" r:id="rId25"/>
          <w:headerReference w:type="first" r:id="rId26"/>
          <w:pgSz w:w="12240" w:h="15840" w:code="1"/>
          <w:pgMar w:top="720" w:right="1440" w:bottom="864" w:left="1440" w:header="720" w:footer="475" w:gutter="0"/>
          <w:pgNumType w:start="1"/>
          <w:cols w:space="720"/>
          <w:titlePg/>
        </w:sectPr>
      </w:pPr>
    </w:p>
    <w:p w14:paraId="68B0C598" w14:textId="6C9D06DE" w:rsidR="00D631A9" w:rsidRPr="00691ABD" w:rsidRDefault="00691ABD" w:rsidP="001E39EE">
      <w:pPr>
        <w:pStyle w:val="Title1"/>
        <w:rPr>
          <w:caps w:val="0"/>
          <w:lang w:val="fr-CA"/>
        </w:rPr>
      </w:pPr>
      <w:r w:rsidRPr="00691ABD">
        <w:rPr>
          <w:caps w:val="0"/>
          <w:lang w:val="fr-CA"/>
        </w:rPr>
        <w:lastRenderedPageBreak/>
        <w:t>Appendice</w:t>
      </w:r>
      <w:r w:rsidR="00D631A9" w:rsidRPr="00691ABD">
        <w:rPr>
          <w:caps w:val="0"/>
          <w:lang w:val="fr-CA"/>
        </w:rPr>
        <w:t xml:space="preserve"> II</w:t>
      </w:r>
    </w:p>
    <w:p w14:paraId="60994670" w14:textId="77777777" w:rsidR="00D631A9" w:rsidRPr="00691ABD" w:rsidRDefault="00D631A9" w:rsidP="001E39EE">
      <w:pPr>
        <w:pStyle w:val="Title1"/>
        <w:rPr>
          <w:caps w:val="0"/>
          <w:lang w:val="fr-CA"/>
        </w:rPr>
      </w:pPr>
    </w:p>
    <w:p w14:paraId="733017F1" w14:textId="79E374B5" w:rsidR="00D631A9" w:rsidRPr="00691ABD" w:rsidRDefault="00691ABD" w:rsidP="001E39EE">
      <w:pPr>
        <w:pStyle w:val="Title1"/>
        <w:rPr>
          <w:lang w:val="fr-CA"/>
        </w:rPr>
      </w:pPr>
      <w:r w:rsidRPr="00894104">
        <w:rPr>
          <w:caps w:val="0"/>
          <w:lang w:val="fr-CA"/>
        </w:rPr>
        <w:t>PLAN DE GESTION DE L'ÉLIMINATION DES HCFC PAR PAYS</w:t>
      </w:r>
      <w:r w:rsidRPr="00894104">
        <w:rPr>
          <w:caps w:val="0"/>
          <w:lang w:val="fr-CA"/>
        </w:rPr>
        <w:br/>
        <w:t xml:space="preserve">AU 31 DÉCEMBRE </w:t>
      </w:r>
      <w:r w:rsidR="00D631A9" w:rsidRPr="00691ABD">
        <w:rPr>
          <w:lang w:val="fr-CA"/>
        </w:rPr>
        <w:t>20</w:t>
      </w:r>
      <w:r w:rsidR="008722AE" w:rsidRPr="00691ABD">
        <w:rPr>
          <w:lang w:val="fr-CA"/>
        </w:rPr>
        <w:t>20</w:t>
      </w:r>
    </w:p>
    <w:p w14:paraId="17136FEA" w14:textId="77777777" w:rsidR="008722AE" w:rsidRPr="00691ABD" w:rsidRDefault="008722AE" w:rsidP="001E39EE">
      <w:pPr>
        <w:pStyle w:val="Title1"/>
        <w:rPr>
          <w:lang w:val="fr-CA"/>
        </w:rPr>
      </w:pPr>
    </w:p>
    <w:tbl>
      <w:tblPr>
        <w:tblW w:w="9974" w:type="dxa"/>
        <w:tblInd w:w="-289" w:type="dxa"/>
        <w:tblLook w:val="04A0" w:firstRow="1" w:lastRow="0" w:firstColumn="1" w:lastColumn="0" w:noHBand="0" w:noVBand="1"/>
      </w:tblPr>
      <w:tblGrid>
        <w:gridCol w:w="3828"/>
        <w:gridCol w:w="1295"/>
        <w:gridCol w:w="1275"/>
        <w:gridCol w:w="1276"/>
        <w:gridCol w:w="1250"/>
        <w:gridCol w:w="1072"/>
      </w:tblGrid>
      <w:tr w:rsidR="00691ABD" w:rsidRPr="00691ABD" w14:paraId="501BEEFD" w14:textId="77777777" w:rsidTr="00691ABD">
        <w:trPr>
          <w:trHeight w:val="516"/>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9251E" w14:textId="3EC22509" w:rsidR="00691ABD" w:rsidRPr="00691ABD" w:rsidRDefault="00691ABD" w:rsidP="00691ABD">
            <w:pPr>
              <w:jc w:val="left"/>
              <w:rPr>
                <w:b/>
                <w:bCs/>
                <w:sz w:val="20"/>
                <w:szCs w:val="20"/>
                <w:lang w:val="fr-CA" w:eastAsia="en-CA"/>
              </w:rPr>
            </w:pPr>
            <w:r>
              <w:rPr>
                <w:b/>
                <w:bCs/>
                <w:sz w:val="20"/>
                <w:szCs w:val="20"/>
                <w:lang w:val="fr-CA" w:eastAsia="en-CA"/>
              </w:rPr>
              <w:t>Pays</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C11D155" w14:textId="40D67FFE" w:rsidR="00691ABD" w:rsidRPr="00691ABD" w:rsidRDefault="00691ABD" w:rsidP="00691ABD">
            <w:pPr>
              <w:ind w:left="-227" w:right="-111"/>
              <w:jc w:val="center"/>
              <w:rPr>
                <w:b/>
                <w:bCs/>
                <w:sz w:val="20"/>
                <w:szCs w:val="20"/>
                <w:lang w:val="fr-CA" w:eastAsia="en-CA"/>
              </w:rPr>
            </w:pPr>
            <w:r>
              <w:rPr>
                <w:b/>
                <w:bCs/>
                <w:sz w:val="20"/>
                <w:szCs w:val="20"/>
                <w:lang w:val="fr-CA" w:eastAsia="en-CA"/>
              </w:rPr>
              <w:t>Élimination approuvée (tonnes PAO)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29895ED" w14:textId="0F119360" w:rsidR="00691ABD" w:rsidRPr="00691ABD" w:rsidRDefault="00691ABD" w:rsidP="00691ABD">
            <w:pPr>
              <w:jc w:val="center"/>
              <w:rPr>
                <w:b/>
                <w:bCs/>
                <w:sz w:val="20"/>
                <w:szCs w:val="20"/>
                <w:lang w:val="fr-CA" w:eastAsia="en-CA"/>
              </w:rPr>
            </w:pPr>
            <w:r>
              <w:rPr>
                <w:b/>
                <w:bCs/>
                <w:sz w:val="20"/>
                <w:szCs w:val="20"/>
                <w:lang w:val="fr-CA" w:eastAsia="en-CA"/>
              </w:rPr>
              <w:t>Sommes approuvées ($US)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BC7C3D" w14:textId="76EFDBB0" w:rsidR="00691ABD" w:rsidRPr="00691ABD" w:rsidRDefault="00691ABD" w:rsidP="00691ABD">
            <w:pPr>
              <w:jc w:val="center"/>
              <w:rPr>
                <w:b/>
                <w:bCs/>
                <w:sz w:val="20"/>
                <w:szCs w:val="20"/>
                <w:lang w:val="fr-CA" w:eastAsia="en-CA"/>
              </w:rPr>
            </w:pPr>
            <w:r>
              <w:rPr>
                <w:b/>
                <w:bCs/>
                <w:sz w:val="20"/>
                <w:szCs w:val="20"/>
                <w:lang w:val="fr-CA" w:eastAsia="en-CA"/>
              </w:rPr>
              <w:t>Sommes décaissées ($US)</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53F71384" w14:textId="2CA209D4" w:rsidR="00691ABD" w:rsidRPr="00691ABD" w:rsidRDefault="00691ABD" w:rsidP="00691ABD">
            <w:pPr>
              <w:jc w:val="center"/>
              <w:rPr>
                <w:b/>
                <w:bCs/>
                <w:sz w:val="20"/>
                <w:szCs w:val="20"/>
                <w:lang w:val="fr-CA" w:eastAsia="en-CA"/>
              </w:rPr>
            </w:pPr>
            <w:r>
              <w:rPr>
                <w:b/>
                <w:bCs/>
                <w:sz w:val="20"/>
                <w:szCs w:val="20"/>
                <w:lang w:val="fr-CA" w:eastAsia="en-CA"/>
              </w:rPr>
              <w:t>Solde ($US)</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8B4833F" w14:textId="77F25110" w:rsidR="00691ABD" w:rsidRPr="00691ABD" w:rsidRDefault="00691ABD" w:rsidP="00691ABD">
            <w:pPr>
              <w:jc w:val="center"/>
              <w:rPr>
                <w:b/>
                <w:bCs/>
                <w:sz w:val="20"/>
                <w:szCs w:val="20"/>
                <w:lang w:val="fr-CA" w:eastAsia="en-CA"/>
              </w:rPr>
            </w:pPr>
            <w:r>
              <w:rPr>
                <w:b/>
                <w:bCs/>
                <w:sz w:val="20"/>
                <w:szCs w:val="20"/>
                <w:lang w:val="fr-CA" w:eastAsia="en-CA"/>
              </w:rPr>
              <w:t>Sommes décaissées (%)</w:t>
            </w:r>
          </w:p>
        </w:tc>
      </w:tr>
      <w:tr w:rsidR="00A325C8" w:rsidRPr="00691ABD" w14:paraId="5854F040"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14DA13E" w14:textId="77777777" w:rsidR="00A325C8" w:rsidRPr="00691ABD" w:rsidRDefault="00A325C8" w:rsidP="001E39EE">
            <w:pPr>
              <w:jc w:val="left"/>
              <w:rPr>
                <w:sz w:val="20"/>
                <w:szCs w:val="20"/>
                <w:lang w:val="fr-CA" w:eastAsia="en-CA"/>
              </w:rPr>
            </w:pPr>
            <w:r w:rsidRPr="00691ABD">
              <w:rPr>
                <w:sz w:val="20"/>
                <w:szCs w:val="20"/>
                <w:lang w:val="fr-CA" w:eastAsia="en-CA"/>
              </w:rPr>
              <w:t>Afghanistan</w:t>
            </w:r>
          </w:p>
        </w:tc>
        <w:tc>
          <w:tcPr>
            <w:tcW w:w="1295" w:type="dxa"/>
            <w:tcBorders>
              <w:top w:val="nil"/>
              <w:left w:val="nil"/>
              <w:bottom w:val="single" w:sz="4" w:space="0" w:color="auto"/>
              <w:right w:val="single" w:sz="4" w:space="0" w:color="auto"/>
            </w:tcBorders>
            <w:shd w:val="clear" w:color="auto" w:fill="auto"/>
            <w:noWrap/>
            <w:hideMark/>
          </w:tcPr>
          <w:p w14:paraId="2A2FAE40" w14:textId="77777777" w:rsidR="00A325C8" w:rsidRPr="00691ABD" w:rsidRDefault="00A325C8" w:rsidP="001E39EE">
            <w:pPr>
              <w:jc w:val="right"/>
              <w:rPr>
                <w:sz w:val="20"/>
                <w:szCs w:val="20"/>
                <w:lang w:val="fr-CA" w:eastAsia="en-CA"/>
              </w:rPr>
            </w:pPr>
            <w:r w:rsidRPr="00691ABD">
              <w:rPr>
                <w:sz w:val="20"/>
                <w:szCs w:val="20"/>
                <w:lang w:val="fr-CA" w:eastAsia="en-CA"/>
              </w:rPr>
              <w:t>9</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023CA838" w14:textId="77777777" w:rsidR="00A325C8" w:rsidRPr="00691ABD" w:rsidRDefault="00A325C8" w:rsidP="001E39EE">
            <w:pPr>
              <w:jc w:val="right"/>
              <w:rPr>
                <w:sz w:val="20"/>
                <w:szCs w:val="20"/>
                <w:lang w:val="fr-CA" w:eastAsia="en-CA"/>
              </w:rPr>
            </w:pPr>
            <w:r w:rsidRPr="00691ABD">
              <w:rPr>
                <w:sz w:val="20"/>
                <w:szCs w:val="20"/>
                <w:lang w:val="fr-CA" w:eastAsia="en-CA"/>
              </w:rPr>
              <w:t>989</w:t>
            </w:r>
            <w:r>
              <w:rPr>
                <w:sz w:val="20"/>
                <w:szCs w:val="20"/>
                <w:lang w:val="fr-CA" w:eastAsia="en-CA"/>
              </w:rPr>
              <w:t xml:space="preserve"> </w:t>
            </w:r>
            <w:r w:rsidRPr="00691ABD">
              <w:rPr>
                <w:sz w:val="20"/>
                <w:szCs w:val="20"/>
                <w:lang w:val="fr-CA" w:eastAsia="en-CA"/>
              </w:rPr>
              <w:t>524</w:t>
            </w:r>
          </w:p>
        </w:tc>
        <w:tc>
          <w:tcPr>
            <w:tcW w:w="1276" w:type="dxa"/>
            <w:tcBorders>
              <w:top w:val="nil"/>
              <w:left w:val="nil"/>
              <w:bottom w:val="single" w:sz="4" w:space="0" w:color="auto"/>
              <w:right w:val="single" w:sz="4" w:space="0" w:color="auto"/>
            </w:tcBorders>
            <w:shd w:val="clear" w:color="auto" w:fill="auto"/>
            <w:noWrap/>
            <w:hideMark/>
          </w:tcPr>
          <w:p w14:paraId="6C0E0D16" w14:textId="77777777" w:rsidR="00A325C8" w:rsidRPr="00691ABD" w:rsidRDefault="00A325C8" w:rsidP="001E39EE">
            <w:pPr>
              <w:jc w:val="right"/>
              <w:rPr>
                <w:sz w:val="20"/>
                <w:szCs w:val="20"/>
                <w:lang w:val="fr-CA" w:eastAsia="en-CA"/>
              </w:rPr>
            </w:pPr>
            <w:r w:rsidRPr="00691ABD">
              <w:rPr>
                <w:sz w:val="20"/>
                <w:szCs w:val="20"/>
                <w:lang w:val="fr-CA" w:eastAsia="en-CA"/>
              </w:rPr>
              <w:t>503</w:t>
            </w:r>
            <w:r>
              <w:rPr>
                <w:sz w:val="20"/>
                <w:szCs w:val="20"/>
                <w:lang w:val="fr-CA" w:eastAsia="en-CA"/>
              </w:rPr>
              <w:t xml:space="preserve"> </w:t>
            </w:r>
            <w:r w:rsidRPr="00691ABD">
              <w:rPr>
                <w:sz w:val="20"/>
                <w:szCs w:val="20"/>
                <w:lang w:val="fr-CA" w:eastAsia="en-CA"/>
              </w:rPr>
              <w:t>649</w:t>
            </w:r>
          </w:p>
        </w:tc>
        <w:tc>
          <w:tcPr>
            <w:tcW w:w="1250" w:type="dxa"/>
            <w:tcBorders>
              <w:top w:val="nil"/>
              <w:left w:val="nil"/>
              <w:bottom w:val="single" w:sz="4" w:space="0" w:color="auto"/>
              <w:right w:val="single" w:sz="4" w:space="0" w:color="auto"/>
            </w:tcBorders>
            <w:shd w:val="clear" w:color="auto" w:fill="auto"/>
            <w:noWrap/>
            <w:hideMark/>
          </w:tcPr>
          <w:p w14:paraId="7218ED4B" w14:textId="77777777" w:rsidR="00A325C8" w:rsidRPr="00691ABD" w:rsidRDefault="00A325C8" w:rsidP="001E39EE">
            <w:pPr>
              <w:jc w:val="right"/>
              <w:rPr>
                <w:sz w:val="20"/>
                <w:szCs w:val="20"/>
                <w:lang w:val="fr-CA" w:eastAsia="en-CA"/>
              </w:rPr>
            </w:pPr>
            <w:r w:rsidRPr="00691ABD">
              <w:rPr>
                <w:sz w:val="20"/>
                <w:szCs w:val="20"/>
                <w:lang w:val="fr-CA" w:eastAsia="en-CA"/>
              </w:rPr>
              <w:t>485</w:t>
            </w:r>
            <w:r>
              <w:rPr>
                <w:sz w:val="20"/>
                <w:szCs w:val="20"/>
                <w:lang w:val="fr-CA" w:eastAsia="en-CA"/>
              </w:rPr>
              <w:t xml:space="preserve"> </w:t>
            </w:r>
            <w:r w:rsidRPr="00691ABD">
              <w:rPr>
                <w:sz w:val="20"/>
                <w:szCs w:val="20"/>
                <w:lang w:val="fr-CA" w:eastAsia="en-CA"/>
              </w:rPr>
              <w:t>875</w:t>
            </w:r>
          </w:p>
        </w:tc>
        <w:tc>
          <w:tcPr>
            <w:tcW w:w="1050" w:type="dxa"/>
            <w:tcBorders>
              <w:top w:val="nil"/>
              <w:left w:val="nil"/>
              <w:bottom w:val="single" w:sz="4" w:space="0" w:color="auto"/>
              <w:right w:val="single" w:sz="4" w:space="0" w:color="auto"/>
            </w:tcBorders>
            <w:shd w:val="clear" w:color="auto" w:fill="auto"/>
            <w:noWrap/>
            <w:hideMark/>
          </w:tcPr>
          <w:p w14:paraId="4154412B" w14:textId="77777777" w:rsidR="00A325C8" w:rsidRPr="00691ABD" w:rsidRDefault="00A325C8" w:rsidP="001E39EE">
            <w:pPr>
              <w:jc w:val="right"/>
              <w:rPr>
                <w:sz w:val="20"/>
                <w:szCs w:val="20"/>
                <w:lang w:val="fr-CA" w:eastAsia="en-CA"/>
              </w:rPr>
            </w:pPr>
            <w:r w:rsidRPr="00691ABD">
              <w:rPr>
                <w:sz w:val="20"/>
                <w:szCs w:val="20"/>
                <w:lang w:val="fr-CA" w:eastAsia="en-CA"/>
              </w:rPr>
              <w:t>51</w:t>
            </w:r>
          </w:p>
        </w:tc>
      </w:tr>
      <w:tr w:rsidR="00A325C8" w:rsidRPr="00691ABD" w14:paraId="6C07A8D4"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D91BB17" w14:textId="77777777" w:rsidR="00A325C8" w:rsidRPr="00691ABD" w:rsidRDefault="00A325C8" w:rsidP="001E39EE">
            <w:pPr>
              <w:jc w:val="left"/>
              <w:rPr>
                <w:sz w:val="20"/>
                <w:szCs w:val="20"/>
                <w:lang w:val="fr-CA" w:eastAsia="en-CA"/>
              </w:rPr>
            </w:pPr>
            <w:r>
              <w:rPr>
                <w:sz w:val="20"/>
                <w:szCs w:val="20"/>
                <w:lang w:val="fr-CA" w:eastAsia="en-CA"/>
              </w:rPr>
              <w:t>Afrique du Sud</w:t>
            </w:r>
          </w:p>
        </w:tc>
        <w:tc>
          <w:tcPr>
            <w:tcW w:w="1295" w:type="dxa"/>
            <w:tcBorders>
              <w:top w:val="nil"/>
              <w:left w:val="nil"/>
              <w:bottom w:val="single" w:sz="4" w:space="0" w:color="auto"/>
              <w:right w:val="single" w:sz="4" w:space="0" w:color="auto"/>
            </w:tcBorders>
            <w:shd w:val="clear" w:color="auto" w:fill="auto"/>
            <w:noWrap/>
            <w:hideMark/>
          </w:tcPr>
          <w:p w14:paraId="6AC33426" w14:textId="77777777" w:rsidR="00A325C8" w:rsidRPr="00691ABD" w:rsidRDefault="00A325C8" w:rsidP="001E39EE">
            <w:pPr>
              <w:jc w:val="right"/>
              <w:rPr>
                <w:sz w:val="20"/>
                <w:szCs w:val="20"/>
                <w:lang w:val="fr-CA" w:eastAsia="en-CA"/>
              </w:rPr>
            </w:pPr>
            <w:r w:rsidRPr="00691ABD">
              <w:rPr>
                <w:sz w:val="20"/>
                <w:szCs w:val="20"/>
                <w:lang w:val="fr-CA" w:eastAsia="en-CA"/>
              </w:rPr>
              <w:t>100</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5DB48AFE" w14:textId="77777777" w:rsidR="00A325C8" w:rsidRPr="00691ABD" w:rsidRDefault="00A325C8" w:rsidP="001E39EE">
            <w:pPr>
              <w:jc w:val="right"/>
              <w:rPr>
                <w:sz w:val="20"/>
                <w:szCs w:val="20"/>
                <w:lang w:val="fr-CA" w:eastAsia="en-CA"/>
              </w:rPr>
            </w:pPr>
            <w:r w:rsidRPr="00691ABD">
              <w:rPr>
                <w:sz w:val="20"/>
                <w:szCs w:val="20"/>
                <w:lang w:val="fr-CA" w:eastAsia="en-CA"/>
              </w:rPr>
              <w:t>6</w:t>
            </w:r>
            <w:r>
              <w:rPr>
                <w:sz w:val="20"/>
                <w:szCs w:val="20"/>
                <w:lang w:val="fr-CA" w:eastAsia="en-CA"/>
              </w:rPr>
              <w:t xml:space="preserve"> </w:t>
            </w:r>
            <w:r w:rsidRPr="00691ABD">
              <w:rPr>
                <w:sz w:val="20"/>
                <w:szCs w:val="20"/>
                <w:lang w:val="fr-CA" w:eastAsia="en-CA"/>
              </w:rPr>
              <w:t>354</w:t>
            </w:r>
            <w:r>
              <w:rPr>
                <w:sz w:val="20"/>
                <w:szCs w:val="20"/>
                <w:lang w:val="fr-CA" w:eastAsia="en-CA"/>
              </w:rPr>
              <w:t xml:space="preserve"> </w:t>
            </w:r>
            <w:r w:rsidRPr="00691ABD">
              <w:rPr>
                <w:sz w:val="20"/>
                <w:szCs w:val="20"/>
                <w:lang w:val="fr-CA" w:eastAsia="en-CA"/>
              </w:rPr>
              <w:t>796</w:t>
            </w:r>
          </w:p>
        </w:tc>
        <w:tc>
          <w:tcPr>
            <w:tcW w:w="1276" w:type="dxa"/>
            <w:tcBorders>
              <w:top w:val="nil"/>
              <w:left w:val="nil"/>
              <w:bottom w:val="single" w:sz="4" w:space="0" w:color="auto"/>
              <w:right w:val="single" w:sz="4" w:space="0" w:color="auto"/>
            </w:tcBorders>
            <w:shd w:val="clear" w:color="auto" w:fill="auto"/>
            <w:noWrap/>
            <w:hideMark/>
          </w:tcPr>
          <w:p w14:paraId="72450F68"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 xml:space="preserve"> </w:t>
            </w:r>
            <w:r w:rsidRPr="00691ABD">
              <w:rPr>
                <w:sz w:val="20"/>
                <w:szCs w:val="20"/>
                <w:lang w:val="fr-CA" w:eastAsia="en-CA"/>
              </w:rPr>
              <w:t>001</w:t>
            </w:r>
            <w:r>
              <w:rPr>
                <w:sz w:val="20"/>
                <w:szCs w:val="20"/>
                <w:lang w:val="fr-CA" w:eastAsia="en-CA"/>
              </w:rPr>
              <w:t xml:space="preserve"> </w:t>
            </w:r>
            <w:r w:rsidRPr="00691ABD">
              <w:rPr>
                <w:sz w:val="20"/>
                <w:szCs w:val="20"/>
                <w:lang w:val="fr-CA" w:eastAsia="en-CA"/>
              </w:rPr>
              <w:t>143</w:t>
            </w:r>
          </w:p>
        </w:tc>
        <w:tc>
          <w:tcPr>
            <w:tcW w:w="1250" w:type="dxa"/>
            <w:tcBorders>
              <w:top w:val="nil"/>
              <w:left w:val="nil"/>
              <w:bottom w:val="single" w:sz="4" w:space="0" w:color="auto"/>
              <w:right w:val="single" w:sz="4" w:space="0" w:color="auto"/>
            </w:tcBorders>
            <w:shd w:val="clear" w:color="auto" w:fill="auto"/>
            <w:noWrap/>
            <w:hideMark/>
          </w:tcPr>
          <w:p w14:paraId="5E6D0084"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353</w:t>
            </w:r>
            <w:r>
              <w:rPr>
                <w:sz w:val="20"/>
                <w:szCs w:val="20"/>
                <w:lang w:val="fr-CA" w:eastAsia="en-CA"/>
              </w:rPr>
              <w:t xml:space="preserve"> </w:t>
            </w:r>
            <w:r w:rsidRPr="00691ABD">
              <w:rPr>
                <w:sz w:val="20"/>
                <w:szCs w:val="20"/>
                <w:lang w:val="fr-CA" w:eastAsia="en-CA"/>
              </w:rPr>
              <w:t>653</w:t>
            </w:r>
          </w:p>
        </w:tc>
        <w:tc>
          <w:tcPr>
            <w:tcW w:w="1050" w:type="dxa"/>
            <w:tcBorders>
              <w:top w:val="nil"/>
              <w:left w:val="nil"/>
              <w:bottom w:val="single" w:sz="4" w:space="0" w:color="auto"/>
              <w:right w:val="single" w:sz="4" w:space="0" w:color="auto"/>
            </w:tcBorders>
            <w:shd w:val="clear" w:color="auto" w:fill="auto"/>
            <w:noWrap/>
            <w:hideMark/>
          </w:tcPr>
          <w:p w14:paraId="16B9ABFC" w14:textId="77777777" w:rsidR="00A325C8" w:rsidRPr="00691ABD" w:rsidRDefault="00A325C8" w:rsidP="001E39EE">
            <w:pPr>
              <w:jc w:val="right"/>
              <w:rPr>
                <w:sz w:val="20"/>
                <w:szCs w:val="20"/>
                <w:lang w:val="fr-CA" w:eastAsia="en-CA"/>
              </w:rPr>
            </w:pPr>
            <w:r w:rsidRPr="00691ABD">
              <w:rPr>
                <w:sz w:val="20"/>
                <w:szCs w:val="20"/>
                <w:lang w:val="fr-CA" w:eastAsia="en-CA"/>
              </w:rPr>
              <w:t>79</w:t>
            </w:r>
          </w:p>
        </w:tc>
      </w:tr>
      <w:tr w:rsidR="00A325C8" w:rsidRPr="00691ABD" w14:paraId="718D4C13"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CE4B563" w14:textId="77777777" w:rsidR="00A325C8" w:rsidRPr="00691ABD" w:rsidRDefault="00A325C8" w:rsidP="001E39EE">
            <w:pPr>
              <w:jc w:val="left"/>
              <w:rPr>
                <w:sz w:val="20"/>
                <w:szCs w:val="20"/>
                <w:lang w:val="fr-CA" w:eastAsia="en-CA"/>
              </w:rPr>
            </w:pPr>
            <w:r>
              <w:rPr>
                <w:sz w:val="20"/>
                <w:szCs w:val="20"/>
                <w:lang w:val="fr-CA" w:eastAsia="en-CA"/>
              </w:rPr>
              <w:t>Albanie</w:t>
            </w:r>
          </w:p>
        </w:tc>
        <w:tc>
          <w:tcPr>
            <w:tcW w:w="1295" w:type="dxa"/>
            <w:tcBorders>
              <w:top w:val="nil"/>
              <w:left w:val="nil"/>
              <w:bottom w:val="single" w:sz="4" w:space="0" w:color="auto"/>
              <w:right w:val="single" w:sz="4" w:space="0" w:color="auto"/>
            </w:tcBorders>
            <w:shd w:val="clear" w:color="auto" w:fill="auto"/>
            <w:noWrap/>
            <w:hideMark/>
          </w:tcPr>
          <w:p w14:paraId="6D0F9837"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0A4F5C90" w14:textId="77777777" w:rsidR="00A325C8" w:rsidRPr="00691ABD" w:rsidRDefault="00A325C8" w:rsidP="001E39EE">
            <w:pPr>
              <w:jc w:val="right"/>
              <w:rPr>
                <w:sz w:val="20"/>
                <w:szCs w:val="20"/>
                <w:lang w:val="fr-CA" w:eastAsia="en-CA"/>
              </w:rPr>
            </w:pPr>
            <w:r w:rsidRPr="00691ABD">
              <w:rPr>
                <w:sz w:val="20"/>
                <w:szCs w:val="20"/>
                <w:lang w:val="fr-CA" w:eastAsia="en-CA"/>
              </w:rPr>
              <w:t>440</w:t>
            </w:r>
            <w:r>
              <w:rPr>
                <w:sz w:val="20"/>
                <w:szCs w:val="20"/>
                <w:lang w:val="fr-CA" w:eastAsia="en-CA"/>
              </w:rPr>
              <w:t xml:space="preserve"> </w:t>
            </w:r>
            <w:r w:rsidRPr="00691ABD">
              <w:rPr>
                <w:sz w:val="20"/>
                <w:szCs w:val="20"/>
                <w:lang w:val="fr-CA" w:eastAsia="en-CA"/>
              </w:rPr>
              <w:t>813</w:t>
            </w:r>
          </w:p>
        </w:tc>
        <w:tc>
          <w:tcPr>
            <w:tcW w:w="1276" w:type="dxa"/>
            <w:tcBorders>
              <w:top w:val="nil"/>
              <w:left w:val="nil"/>
              <w:bottom w:val="single" w:sz="4" w:space="0" w:color="auto"/>
              <w:right w:val="single" w:sz="4" w:space="0" w:color="auto"/>
            </w:tcBorders>
            <w:shd w:val="clear" w:color="auto" w:fill="auto"/>
            <w:noWrap/>
            <w:hideMark/>
          </w:tcPr>
          <w:p w14:paraId="219EA70D" w14:textId="77777777" w:rsidR="00A325C8" w:rsidRPr="00691ABD" w:rsidRDefault="00A325C8" w:rsidP="001E39EE">
            <w:pPr>
              <w:jc w:val="right"/>
              <w:rPr>
                <w:sz w:val="20"/>
                <w:szCs w:val="20"/>
                <w:lang w:val="fr-CA" w:eastAsia="en-CA"/>
              </w:rPr>
            </w:pPr>
            <w:r w:rsidRPr="00691ABD">
              <w:rPr>
                <w:sz w:val="20"/>
                <w:szCs w:val="20"/>
                <w:lang w:val="fr-CA" w:eastAsia="en-CA"/>
              </w:rPr>
              <w:t>283</w:t>
            </w:r>
            <w:r>
              <w:rPr>
                <w:sz w:val="20"/>
                <w:szCs w:val="20"/>
                <w:lang w:val="fr-CA" w:eastAsia="en-CA"/>
              </w:rPr>
              <w:t xml:space="preserve"> </w:t>
            </w:r>
            <w:r w:rsidRPr="00691ABD">
              <w:rPr>
                <w:sz w:val="20"/>
                <w:szCs w:val="20"/>
                <w:lang w:val="fr-CA" w:eastAsia="en-CA"/>
              </w:rPr>
              <w:t>415</w:t>
            </w:r>
          </w:p>
        </w:tc>
        <w:tc>
          <w:tcPr>
            <w:tcW w:w="1250" w:type="dxa"/>
            <w:tcBorders>
              <w:top w:val="nil"/>
              <w:left w:val="nil"/>
              <w:bottom w:val="single" w:sz="4" w:space="0" w:color="auto"/>
              <w:right w:val="single" w:sz="4" w:space="0" w:color="auto"/>
            </w:tcBorders>
            <w:shd w:val="clear" w:color="auto" w:fill="auto"/>
            <w:noWrap/>
            <w:hideMark/>
          </w:tcPr>
          <w:p w14:paraId="5E7B740A" w14:textId="77777777" w:rsidR="00A325C8" w:rsidRPr="00691ABD" w:rsidRDefault="00A325C8" w:rsidP="001E39EE">
            <w:pPr>
              <w:jc w:val="right"/>
              <w:rPr>
                <w:sz w:val="20"/>
                <w:szCs w:val="20"/>
                <w:lang w:val="fr-CA" w:eastAsia="en-CA"/>
              </w:rPr>
            </w:pPr>
            <w:r w:rsidRPr="00691ABD">
              <w:rPr>
                <w:sz w:val="20"/>
                <w:szCs w:val="20"/>
                <w:lang w:val="fr-CA" w:eastAsia="en-CA"/>
              </w:rPr>
              <w:t>157</w:t>
            </w:r>
            <w:r>
              <w:rPr>
                <w:sz w:val="20"/>
                <w:szCs w:val="20"/>
                <w:lang w:val="fr-CA" w:eastAsia="en-CA"/>
              </w:rPr>
              <w:t xml:space="preserve"> </w:t>
            </w:r>
            <w:r w:rsidRPr="00691ABD">
              <w:rPr>
                <w:sz w:val="20"/>
                <w:szCs w:val="20"/>
                <w:lang w:val="fr-CA" w:eastAsia="en-CA"/>
              </w:rPr>
              <w:t>398</w:t>
            </w:r>
          </w:p>
        </w:tc>
        <w:tc>
          <w:tcPr>
            <w:tcW w:w="1050" w:type="dxa"/>
            <w:tcBorders>
              <w:top w:val="nil"/>
              <w:left w:val="nil"/>
              <w:bottom w:val="single" w:sz="4" w:space="0" w:color="auto"/>
              <w:right w:val="single" w:sz="4" w:space="0" w:color="auto"/>
            </w:tcBorders>
            <w:shd w:val="clear" w:color="auto" w:fill="auto"/>
            <w:noWrap/>
            <w:hideMark/>
          </w:tcPr>
          <w:p w14:paraId="411F8710" w14:textId="77777777" w:rsidR="00A325C8" w:rsidRPr="00691ABD" w:rsidRDefault="00A325C8" w:rsidP="001E39EE">
            <w:pPr>
              <w:jc w:val="right"/>
              <w:rPr>
                <w:sz w:val="20"/>
                <w:szCs w:val="20"/>
                <w:lang w:val="fr-CA" w:eastAsia="en-CA"/>
              </w:rPr>
            </w:pPr>
            <w:r w:rsidRPr="00691ABD">
              <w:rPr>
                <w:sz w:val="20"/>
                <w:szCs w:val="20"/>
                <w:lang w:val="fr-CA" w:eastAsia="en-CA"/>
              </w:rPr>
              <w:t>64</w:t>
            </w:r>
          </w:p>
        </w:tc>
      </w:tr>
      <w:tr w:rsidR="00A325C8" w:rsidRPr="00691ABD" w14:paraId="31A0EE8D" w14:textId="77777777" w:rsidTr="00691ABD">
        <w:trPr>
          <w:trHeight w:val="74"/>
        </w:trPr>
        <w:tc>
          <w:tcPr>
            <w:tcW w:w="3828" w:type="dxa"/>
            <w:tcBorders>
              <w:top w:val="nil"/>
              <w:left w:val="single" w:sz="4" w:space="0" w:color="auto"/>
              <w:bottom w:val="single" w:sz="4" w:space="0" w:color="auto"/>
              <w:right w:val="single" w:sz="4" w:space="0" w:color="auto"/>
            </w:tcBorders>
            <w:shd w:val="clear" w:color="auto" w:fill="auto"/>
            <w:noWrap/>
            <w:hideMark/>
          </w:tcPr>
          <w:p w14:paraId="54AC57E2" w14:textId="77777777" w:rsidR="00A325C8" w:rsidRPr="00691ABD" w:rsidRDefault="00A325C8" w:rsidP="001E39EE">
            <w:pPr>
              <w:jc w:val="left"/>
              <w:rPr>
                <w:sz w:val="20"/>
                <w:szCs w:val="20"/>
                <w:lang w:val="fr-CA" w:eastAsia="en-CA"/>
              </w:rPr>
            </w:pPr>
            <w:r>
              <w:rPr>
                <w:sz w:val="20"/>
                <w:szCs w:val="20"/>
                <w:lang w:val="fr-CA" w:eastAsia="en-CA"/>
              </w:rPr>
              <w:t>Algérie</w:t>
            </w:r>
          </w:p>
        </w:tc>
        <w:tc>
          <w:tcPr>
            <w:tcW w:w="1295" w:type="dxa"/>
            <w:tcBorders>
              <w:top w:val="nil"/>
              <w:left w:val="nil"/>
              <w:bottom w:val="single" w:sz="4" w:space="0" w:color="auto"/>
              <w:right w:val="single" w:sz="4" w:space="0" w:color="auto"/>
            </w:tcBorders>
            <w:shd w:val="clear" w:color="auto" w:fill="auto"/>
            <w:noWrap/>
            <w:hideMark/>
          </w:tcPr>
          <w:p w14:paraId="72B450FD" w14:textId="77777777" w:rsidR="00A325C8" w:rsidRPr="00691ABD" w:rsidRDefault="00A325C8" w:rsidP="001E39EE">
            <w:pPr>
              <w:jc w:val="right"/>
              <w:rPr>
                <w:sz w:val="20"/>
                <w:szCs w:val="20"/>
                <w:lang w:val="fr-CA" w:eastAsia="en-CA"/>
              </w:rPr>
            </w:pPr>
            <w:r w:rsidRPr="00691ABD">
              <w:rPr>
                <w:sz w:val="20"/>
                <w:szCs w:val="20"/>
                <w:lang w:val="fr-CA" w:eastAsia="en-CA"/>
              </w:rPr>
              <w:t>13</w:t>
            </w:r>
            <w:r>
              <w:rPr>
                <w:sz w:val="20"/>
                <w:szCs w:val="20"/>
                <w:lang w:val="fr-CA" w:eastAsia="en-CA"/>
              </w:rPr>
              <w:t>,</w:t>
            </w:r>
            <w:r w:rsidRPr="00691ABD">
              <w:rPr>
                <w:sz w:val="20"/>
                <w:szCs w:val="20"/>
                <w:lang w:val="fr-CA" w:eastAsia="en-CA"/>
              </w:rPr>
              <w:t>5</w:t>
            </w:r>
          </w:p>
        </w:tc>
        <w:tc>
          <w:tcPr>
            <w:tcW w:w="1275" w:type="dxa"/>
            <w:tcBorders>
              <w:top w:val="nil"/>
              <w:left w:val="nil"/>
              <w:bottom w:val="single" w:sz="4" w:space="0" w:color="auto"/>
              <w:right w:val="single" w:sz="4" w:space="0" w:color="auto"/>
            </w:tcBorders>
            <w:shd w:val="clear" w:color="auto" w:fill="auto"/>
            <w:noWrap/>
            <w:hideMark/>
          </w:tcPr>
          <w:p w14:paraId="0A93FC97"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808</w:t>
            </w:r>
            <w:r>
              <w:rPr>
                <w:sz w:val="20"/>
                <w:szCs w:val="20"/>
                <w:lang w:val="fr-CA" w:eastAsia="en-CA"/>
              </w:rPr>
              <w:t xml:space="preserve"> </w:t>
            </w:r>
            <w:r w:rsidRPr="00691ABD">
              <w:rPr>
                <w:sz w:val="20"/>
                <w:szCs w:val="20"/>
                <w:lang w:val="fr-CA" w:eastAsia="en-CA"/>
              </w:rPr>
              <w:t>804</w:t>
            </w:r>
          </w:p>
        </w:tc>
        <w:tc>
          <w:tcPr>
            <w:tcW w:w="1276" w:type="dxa"/>
            <w:tcBorders>
              <w:top w:val="nil"/>
              <w:left w:val="nil"/>
              <w:bottom w:val="single" w:sz="4" w:space="0" w:color="auto"/>
              <w:right w:val="single" w:sz="4" w:space="0" w:color="auto"/>
            </w:tcBorders>
            <w:shd w:val="clear" w:color="auto" w:fill="auto"/>
            <w:noWrap/>
            <w:hideMark/>
          </w:tcPr>
          <w:p w14:paraId="6A4DD7F0"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192</w:t>
            </w:r>
            <w:r>
              <w:rPr>
                <w:sz w:val="20"/>
                <w:szCs w:val="20"/>
                <w:lang w:val="fr-CA" w:eastAsia="en-CA"/>
              </w:rPr>
              <w:t xml:space="preserve"> </w:t>
            </w:r>
            <w:r w:rsidRPr="00691ABD">
              <w:rPr>
                <w:sz w:val="20"/>
                <w:szCs w:val="20"/>
                <w:lang w:val="fr-CA" w:eastAsia="en-CA"/>
              </w:rPr>
              <w:t>850</w:t>
            </w:r>
          </w:p>
        </w:tc>
        <w:tc>
          <w:tcPr>
            <w:tcW w:w="1250" w:type="dxa"/>
            <w:tcBorders>
              <w:top w:val="nil"/>
              <w:left w:val="nil"/>
              <w:bottom w:val="single" w:sz="4" w:space="0" w:color="auto"/>
              <w:right w:val="single" w:sz="4" w:space="0" w:color="auto"/>
            </w:tcBorders>
            <w:shd w:val="clear" w:color="auto" w:fill="auto"/>
            <w:noWrap/>
            <w:hideMark/>
          </w:tcPr>
          <w:p w14:paraId="4761FD09" w14:textId="77777777" w:rsidR="00A325C8" w:rsidRPr="00691ABD" w:rsidRDefault="00A325C8" w:rsidP="001E39EE">
            <w:pPr>
              <w:jc w:val="right"/>
              <w:rPr>
                <w:sz w:val="20"/>
                <w:szCs w:val="20"/>
                <w:lang w:val="fr-CA" w:eastAsia="en-CA"/>
              </w:rPr>
            </w:pPr>
            <w:r w:rsidRPr="00691ABD">
              <w:rPr>
                <w:sz w:val="20"/>
                <w:szCs w:val="20"/>
                <w:lang w:val="fr-CA" w:eastAsia="en-CA"/>
              </w:rPr>
              <w:t>615</w:t>
            </w:r>
            <w:r>
              <w:rPr>
                <w:sz w:val="20"/>
                <w:szCs w:val="20"/>
                <w:lang w:val="fr-CA" w:eastAsia="en-CA"/>
              </w:rPr>
              <w:t xml:space="preserve"> </w:t>
            </w:r>
            <w:r w:rsidRPr="00691ABD">
              <w:rPr>
                <w:sz w:val="20"/>
                <w:szCs w:val="20"/>
                <w:lang w:val="fr-CA" w:eastAsia="en-CA"/>
              </w:rPr>
              <w:t>954</w:t>
            </w:r>
          </w:p>
        </w:tc>
        <w:tc>
          <w:tcPr>
            <w:tcW w:w="1050" w:type="dxa"/>
            <w:tcBorders>
              <w:top w:val="nil"/>
              <w:left w:val="nil"/>
              <w:bottom w:val="single" w:sz="4" w:space="0" w:color="auto"/>
              <w:right w:val="single" w:sz="4" w:space="0" w:color="auto"/>
            </w:tcBorders>
            <w:shd w:val="clear" w:color="auto" w:fill="auto"/>
            <w:noWrap/>
            <w:hideMark/>
          </w:tcPr>
          <w:p w14:paraId="15351CDC" w14:textId="77777777" w:rsidR="00A325C8" w:rsidRPr="00691ABD" w:rsidRDefault="00A325C8" w:rsidP="001E39EE">
            <w:pPr>
              <w:jc w:val="right"/>
              <w:rPr>
                <w:sz w:val="20"/>
                <w:szCs w:val="20"/>
                <w:lang w:val="fr-CA" w:eastAsia="en-CA"/>
              </w:rPr>
            </w:pPr>
            <w:r w:rsidRPr="00691ABD">
              <w:rPr>
                <w:sz w:val="20"/>
                <w:szCs w:val="20"/>
                <w:lang w:val="fr-CA" w:eastAsia="en-CA"/>
              </w:rPr>
              <w:t>66</w:t>
            </w:r>
          </w:p>
        </w:tc>
      </w:tr>
      <w:tr w:rsidR="00A325C8" w:rsidRPr="00691ABD" w14:paraId="31860C03"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5EC6DC5" w14:textId="77777777" w:rsidR="00A325C8" w:rsidRPr="00691ABD" w:rsidRDefault="00A325C8" w:rsidP="001E39EE">
            <w:pPr>
              <w:jc w:val="left"/>
              <w:rPr>
                <w:sz w:val="20"/>
                <w:szCs w:val="20"/>
                <w:lang w:val="fr-CA" w:eastAsia="en-CA"/>
              </w:rPr>
            </w:pPr>
            <w:r w:rsidRPr="00691ABD">
              <w:rPr>
                <w:sz w:val="20"/>
                <w:szCs w:val="20"/>
                <w:lang w:val="fr-CA" w:eastAsia="en-CA"/>
              </w:rPr>
              <w:t>Angola</w:t>
            </w:r>
          </w:p>
        </w:tc>
        <w:tc>
          <w:tcPr>
            <w:tcW w:w="1295" w:type="dxa"/>
            <w:tcBorders>
              <w:top w:val="nil"/>
              <w:left w:val="nil"/>
              <w:bottom w:val="single" w:sz="4" w:space="0" w:color="auto"/>
              <w:right w:val="single" w:sz="4" w:space="0" w:color="auto"/>
            </w:tcBorders>
            <w:shd w:val="clear" w:color="auto" w:fill="auto"/>
            <w:noWrap/>
            <w:hideMark/>
          </w:tcPr>
          <w:p w14:paraId="5A3BCA2C"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42C7EF3F" w14:textId="77777777" w:rsidR="00A325C8" w:rsidRPr="00691ABD" w:rsidRDefault="00A325C8" w:rsidP="001E39EE">
            <w:pPr>
              <w:jc w:val="right"/>
              <w:rPr>
                <w:sz w:val="20"/>
                <w:szCs w:val="20"/>
                <w:lang w:val="fr-CA" w:eastAsia="en-CA"/>
              </w:rPr>
            </w:pPr>
            <w:r w:rsidRPr="00691ABD">
              <w:rPr>
                <w:sz w:val="20"/>
                <w:szCs w:val="20"/>
                <w:lang w:val="fr-CA" w:eastAsia="en-CA"/>
              </w:rPr>
              <w:t>625</w:t>
            </w:r>
            <w:r>
              <w:rPr>
                <w:sz w:val="20"/>
                <w:szCs w:val="20"/>
                <w:lang w:val="fr-CA" w:eastAsia="en-CA"/>
              </w:rPr>
              <w:t xml:space="preserve"> </w:t>
            </w:r>
            <w:r w:rsidRPr="00691ABD">
              <w:rPr>
                <w:sz w:val="20"/>
                <w:szCs w:val="20"/>
                <w:lang w:val="fr-CA" w:eastAsia="en-CA"/>
              </w:rPr>
              <w:t>726</w:t>
            </w:r>
          </w:p>
        </w:tc>
        <w:tc>
          <w:tcPr>
            <w:tcW w:w="1276" w:type="dxa"/>
            <w:tcBorders>
              <w:top w:val="nil"/>
              <w:left w:val="nil"/>
              <w:bottom w:val="single" w:sz="4" w:space="0" w:color="auto"/>
              <w:right w:val="single" w:sz="4" w:space="0" w:color="auto"/>
            </w:tcBorders>
            <w:shd w:val="clear" w:color="auto" w:fill="auto"/>
            <w:noWrap/>
            <w:hideMark/>
          </w:tcPr>
          <w:p w14:paraId="0B3227FF" w14:textId="77777777" w:rsidR="00A325C8" w:rsidRPr="00691ABD" w:rsidRDefault="00A325C8" w:rsidP="001E39EE">
            <w:pPr>
              <w:jc w:val="right"/>
              <w:rPr>
                <w:sz w:val="20"/>
                <w:szCs w:val="20"/>
                <w:lang w:val="fr-CA" w:eastAsia="en-CA"/>
              </w:rPr>
            </w:pPr>
            <w:r w:rsidRPr="00691ABD">
              <w:rPr>
                <w:sz w:val="20"/>
                <w:szCs w:val="20"/>
                <w:lang w:val="fr-CA" w:eastAsia="en-CA"/>
              </w:rPr>
              <w:t>506</w:t>
            </w:r>
            <w:r>
              <w:rPr>
                <w:sz w:val="20"/>
                <w:szCs w:val="20"/>
                <w:lang w:val="fr-CA" w:eastAsia="en-CA"/>
              </w:rPr>
              <w:t xml:space="preserve"> </w:t>
            </w:r>
            <w:r w:rsidRPr="00691ABD">
              <w:rPr>
                <w:sz w:val="20"/>
                <w:szCs w:val="20"/>
                <w:lang w:val="fr-CA" w:eastAsia="en-CA"/>
              </w:rPr>
              <w:t>636</w:t>
            </w:r>
          </w:p>
        </w:tc>
        <w:tc>
          <w:tcPr>
            <w:tcW w:w="1250" w:type="dxa"/>
            <w:tcBorders>
              <w:top w:val="nil"/>
              <w:left w:val="nil"/>
              <w:bottom w:val="single" w:sz="4" w:space="0" w:color="auto"/>
              <w:right w:val="single" w:sz="4" w:space="0" w:color="auto"/>
            </w:tcBorders>
            <w:shd w:val="clear" w:color="auto" w:fill="auto"/>
            <w:noWrap/>
            <w:hideMark/>
          </w:tcPr>
          <w:p w14:paraId="1E350887" w14:textId="77777777" w:rsidR="00A325C8" w:rsidRPr="00691ABD" w:rsidRDefault="00A325C8" w:rsidP="001E39EE">
            <w:pPr>
              <w:jc w:val="right"/>
              <w:rPr>
                <w:sz w:val="20"/>
                <w:szCs w:val="20"/>
                <w:lang w:val="fr-CA" w:eastAsia="en-CA"/>
              </w:rPr>
            </w:pPr>
            <w:r w:rsidRPr="00691ABD">
              <w:rPr>
                <w:sz w:val="20"/>
                <w:szCs w:val="20"/>
                <w:lang w:val="fr-CA" w:eastAsia="en-CA"/>
              </w:rPr>
              <w:t>119</w:t>
            </w:r>
            <w:r>
              <w:rPr>
                <w:sz w:val="20"/>
                <w:szCs w:val="20"/>
                <w:lang w:val="fr-CA" w:eastAsia="en-CA"/>
              </w:rPr>
              <w:t xml:space="preserve"> </w:t>
            </w:r>
            <w:r w:rsidRPr="00691ABD">
              <w:rPr>
                <w:sz w:val="20"/>
                <w:szCs w:val="20"/>
                <w:lang w:val="fr-CA" w:eastAsia="en-CA"/>
              </w:rPr>
              <w:t>090</w:t>
            </w:r>
          </w:p>
        </w:tc>
        <w:tc>
          <w:tcPr>
            <w:tcW w:w="1050" w:type="dxa"/>
            <w:tcBorders>
              <w:top w:val="nil"/>
              <w:left w:val="nil"/>
              <w:bottom w:val="single" w:sz="4" w:space="0" w:color="auto"/>
              <w:right w:val="single" w:sz="4" w:space="0" w:color="auto"/>
            </w:tcBorders>
            <w:shd w:val="clear" w:color="auto" w:fill="auto"/>
            <w:noWrap/>
            <w:hideMark/>
          </w:tcPr>
          <w:p w14:paraId="7394E0EE" w14:textId="77777777" w:rsidR="00A325C8" w:rsidRPr="00691ABD" w:rsidRDefault="00A325C8" w:rsidP="001E39EE">
            <w:pPr>
              <w:jc w:val="right"/>
              <w:rPr>
                <w:sz w:val="20"/>
                <w:szCs w:val="20"/>
                <w:lang w:val="fr-CA" w:eastAsia="en-CA"/>
              </w:rPr>
            </w:pPr>
            <w:r w:rsidRPr="00691ABD">
              <w:rPr>
                <w:sz w:val="20"/>
                <w:szCs w:val="20"/>
                <w:lang w:val="fr-CA" w:eastAsia="en-CA"/>
              </w:rPr>
              <w:t>81</w:t>
            </w:r>
          </w:p>
        </w:tc>
      </w:tr>
      <w:tr w:rsidR="00A325C8" w:rsidRPr="00691ABD" w14:paraId="74F53FE6"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E87AB2C" w14:textId="77777777" w:rsidR="00A325C8" w:rsidRPr="00691ABD" w:rsidRDefault="00A325C8" w:rsidP="00691ABD">
            <w:pPr>
              <w:jc w:val="left"/>
              <w:rPr>
                <w:sz w:val="20"/>
                <w:szCs w:val="20"/>
                <w:lang w:val="fr-CA" w:eastAsia="en-CA"/>
              </w:rPr>
            </w:pPr>
            <w:r w:rsidRPr="00691ABD">
              <w:rPr>
                <w:sz w:val="20"/>
                <w:szCs w:val="20"/>
                <w:lang w:val="fr-CA" w:eastAsia="en-CA"/>
              </w:rPr>
              <w:t>Antigua</w:t>
            </w:r>
            <w:r>
              <w:rPr>
                <w:sz w:val="20"/>
                <w:szCs w:val="20"/>
                <w:lang w:val="fr-CA" w:eastAsia="en-CA"/>
              </w:rPr>
              <w:t>-et-</w:t>
            </w:r>
            <w:r w:rsidRPr="00691ABD">
              <w:rPr>
                <w:sz w:val="20"/>
                <w:szCs w:val="20"/>
                <w:lang w:val="fr-CA" w:eastAsia="en-CA"/>
              </w:rPr>
              <w:t>Barbuda</w:t>
            </w:r>
          </w:p>
        </w:tc>
        <w:tc>
          <w:tcPr>
            <w:tcW w:w="1295" w:type="dxa"/>
            <w:tcBorders>
              <w:top w:val="nil"/>
              <w:left w:val="nil"/>
              <w:bottom w:val="single" w:sz="4" w:space="0" w:color="auto"/>
              <w:right w:val="single" w:sz="4" w:space="0" w:color="auto"/>
            </w:tcBorders>
            <w:shd w:val="clear" w:color="auto" w:fill="auto"/>
            <w:noWrap/>
            <w:hideMark/>
          </w:tcPr>
          <w:p w14:paraId="35BEC041"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71E24E75" w14:textId="77777777" w:rsidR="00A325C8" w:rsidRPr="00691ABD" w:rsidRDefault="00A325C8" w:rsidP="001E39EE">
            <w:pPr>
              <w:jc w:val="right"/>
              <w:rPr>
                <w:sz w:val="20"/>
                <w:szCs w:val="20"/>
                <w:lang w:val="fr-CA" w:eastAsia="en-CA"/>
              </w:rPr>
            </w:pPr>
            <w:r w:rsidRPr="00691ABD">
              <w:rPr>
                <w:sz w:val="20"/>
                <w:szCs w:val="20"/>
                <w:lang w:val="fr-CA" w:eastAsia="en-CA"/>
              </w:rPr>
              <w:t>27</w:t>
            </w:r>
            <w:r>
              <w:rPr>
                <w:sz w:val="20"/>
                <w:szCs w:val="20"/>
                <w:lang w:val="fr-CA" w:eastAsia="en-CA"/>
              </w:rPr>
              <w:t xml:space="preserve"> </w:t>
            </w:r>
            <w:r w:rsidRPr="00691ABD">
              <w:rPr>
                <w:sz w:val="20"/>
                <w:szCs w:val="20"/>
                <w:lang w:val="fr-CA" w:eastAsia="en-CA"/>
              </w:rPr>
              <w:t>235</w:t>
            </w:r>
          </w:p>
        </w:tc>
        <w:tc>
          <w:tcPr>
            <w:tcW w:w="1276" w:type="dxa"/>
            <w:tcBorders>
              <w:top w:val="nil"/>
              <w:left w:val="nil"/>
              <w:bottom w:val="single" w:sz="4" w:space="0" w:color="auto"/>
              <w:right w:val="single" w:sz="4" w:space="0" w:color="auto"/>
            </w:tcBorders>
            <w:shd w:val="clear" w:color="auto" w:fill="auto"/>
            <w:noWrap/>
            <w:hideMark/>
          </w:tcPr>
          <w:p w14:paraId="11E8DE56" w14:textId="77777777" w:rsidR="00A325C8" w:rsidRPr="00691ABD" w:rsidRDefault="00A325C8" w:rsidP="001E39EE">
            <w:pPr>
              <w:jc w:val="right"/>
              <w:rPr>
                <w:sz w:val="20"/>
                <w:szCs w:val="20"/>
                <w:lang w:val="fr-CA" w:eastAsia="en-CA"/>
              </w:rPr>
            </w:pPr>
            <w:r w:rsidRPr="00691ABD">
              <w:rPr>
                <w:sz w:val="20"/>
                <w:szCs w:val="20"/>
                <w:lang w:val="fr-CA" w:eastAsia="en-CA"/>
              </w:rPr>
              <w:t>27</w:t>
            </w:r>
            <w:r>
              <w:rPr>
                <w:sz w:val="20"/>
                <w:szCs w:val="20"/>
                <w:lang w:val="fr-CA" w:eastAsia="en-CA"/>
              </w:rPr>
              <w:t xml:space="preserve"> </w:t>
            </w:r>
            <w:r w:rsidRPr="00691ABD">
              <w:rPr>
                <w:sz w:val="20"/>
                <w:szCs w:val="20"/>
                <w:lang w:val="fr-CA" w:eastAsia="en-CA"/>
              </w:rPr>
              <w:t>235</w:t>
            </w:r>
          </w:p>
        </w:tc>
        <w:tc>
          <w:tcPr>
            <w:tcW w:w="1250" w:type="dxa"/>
            <w:tcBorders>
              <w:top w:val="nil"/>
              <w:left w:val="nil"/>
              <w:bottom w:val="single" w:sz="4" w:space="0" w:color="auto"/>
              <w:right w:val="single" w:sz="4" w:space="0" w:color="auto"/>
            </w:tcBorders>
            <w:shd w:val="clear" w:color="auto" w:fill="auto"/>
            <w:noWrap/>
            <w:hideMark/>
          </w:tcPr>
          <w:p w14:paraId="2DA63839" w14:textId="77777777" w:rsidR="00A325C8" w:rsidRPr="00691ABD" w:rsidRDefault="00A325C8" w:rsidP="001E39EE">
            <w:pPr>
              <w:jc w:val="right"/>
              <w:rPr>
                <w:sz w:val="20"/>
                <w:szCs w:val="20"/>
                <w:lang w:val="fr-CA" w:eastAsia="en-CA"/>
              </w:rPr>
            </w:pPr>
            <w:r w:rsidRPr="00691ABD">
              <w:rPr>
                <w:sz w:val="20"/>
                <w:szCs w:val="20"/>
                <w:lang w:val="fr-CA" w:eastAsia="en-CA"/>
              </w:rPr>
              <w:t>0</w:t>
            </w:r>
          </w:p>
        </w:tc>
        <w:tc>
          <w:tcPr>
            <w:tcW w:w="1050" w:type="dxa"/>
            <w:tcBorders>
              <w:top w:val="nil"/>
              <w:left w:val="nil"/>
              <w:bottom w:val="single" w:sz="4" w:space="0" w:color="auto"/>
              <w:right w:val="single" w:sz="4" w:space="0" w:color="auto"/>
            </w:tcBorders>
            <w:shd w:val="clear" w:color="auto" w:fill="auto"/>
            <w:noWrap/>
            <w:hideMark/>
          </w:tcPr>
          <w:p w14:paraId="5CC7B846" w14:textId="77777777" w:rsidR="00A325C8" w:rsidRPr="00691ABD" w:rsidRDefault="00A325C8" w:rsidP="001E39EE">
            <w:pPr>
              <w:jc w:val="right"/>
              <w:rPr>
                <w:sz w:val="20"/>
                <w:szCs w:val="20"/>
                <w:lang w:val="fr-CA" w:eastAsia="en-CA"/>
              </w:rPr>
            </w:pPr>
            <w:r w:rsidRPr="00691ABD">
              <w:rPr>
                <w:sz w:val="20"/>
                <w:szCs w:val="20"/>
                <w:lang w:val="fr-CA" w:eastAsia="en-CA"/>
              </w:rPr>
              <w:t>100</w:t>
            </w:r>
          </w:p>
        </w:tc>
      </w:tr>
      <w:tr w:rsidR="00A325C8" w:rsidRPr="00691ABD" w14:paraId="6CA87590"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FA15F06" w14:textId="77777777" w:rsidR="00A325C8" w:rsidRPr="00691ABD" w:rsidRDefault="00A325C8" w:rsidP="001E39EE">
            <w:pPr>
              <w:jc w:val="left"/>
              <w:rPr>
                <w:sz w:val="20"/>
                <w:szCs w:val="20"/>
                <w:lang w:val="fr-CA" w:eastAsia="en-CA"/>
              </w:rPr>
            </w:pPr>
            <w:r>
              <w:rPr>
                <w:sz w:val="20"/>
                <w:szCs w:val="20"/>
                <w:lang w:val="fr-CA" w:eastAsia="en-CA"/>
              </w:rPr>
              <w:t>Arabie saoudite</w:t>
            </w:r>
          </w:p>
        </w:tc>
        <w:tc>
          <w:tcPr>
            <w:tcW w:w="1295" w:type="dxa"/>
            <w:tcBorders>
              <w:top w:val="nil"/>
              <w:left w:val="nil"/>
              <w:bottom w:val="single" w:sz="4" w:space="0" w:color="auto"/>
              <w:right w:val="single" w:sz="4" w:space="0" w:color="auto"/>
            </w:tcBorders>
            <w:shd w:val="clear" w:color="auto" w:fill="auto"/>
            <w:noWrap/>
            <w:hideMark/>
          </w:tcPr>
          <w:p w14:paraId="6CC76EC6" w14:textId="77777777" w:rsidR="00A325C8" w:rsidRPr="00691ABD" w:rsidRDefault="00A325C8" w:rsidP="001E39EE">
            <w:pPr>
              <w:jc w:val="right"/>
              <w:rPr>
                <w:sz w:val="20"/>
                <w:szCs w:val="20"/>
                <w:lang w:val="fr-CA" w:eastAsia="en-CA"/>
              </w:rPr>
            </w:pPr>
            <w:r w:rsidRPr="00691ABD">
              <w:rPr>
                <w:sz w:val="20"/>
                <w:szCs w:val="20"/>
                <w:lang w:val="fr-CA" w:eastAsia="en-CA"/>
              </w:rPr>
              <w:t>353</w:t>
            </w:r>
            <w:r>
              <w:rPr>
                <w:sz w:val="20"/>
                <w:szCs w:val="20"/>
                <w:lang w:val="fr-CA" w:eastAsia="en-CA"/>
              </w:rPr>
              <w:t>,</w:t>
            </w:r>
            <w:r w:rsidRPr="00691ABD">
              <w:rPr>
                <w:sz w:val="20"/>
                <w:szCs w:val="20"/>
                <w:lang w:val="fr-CA" w:eastAsia="en-CA"/>
              </w:rPr>
              <w:t>5</w:t>
            </w:r>
          </w:p>
        </w:tc>
        <w:tc>
          <w:tcPr>
            <w:tcW w:w="1275" w:type="dxa"/>
            <w:tcBorders>
              <w:top w:val="nil"/>
              <w:left w:val="nil"/>
              <w:bottom w:val="single" w:sz="4" w:space="0" w:color="auto"/>
              <w:right w:val="single" w:sz="4" w:space="0" w:color="auto"/>
            </w:tcBorders>
            <w:shd w:val="clear" w:color="auto" w:fill="auto"/>
            <w:noWrap/>
            <w:hideMark/>
          </w:tcPr>
          <w:p w14:paraId="39F19D0A" w14:textId="77777777" w:rsidR="00A325C8" w:rsidRPr="00691ABD" w:rsidRDefault="00A325C8" w:rsidP="001E39EE">
            <w:pPr>
              <w:jc w:val="right"/>
              <w:rPr>
                <w:sz w:val="20"/>
                <w:szCs w:val="20"/>
                <w:lang w:val="fr-CA" w:eastAsia="en-CA"/>
              </w:rPr>
            </w:pPr>
            <w:r w:rsidRPr="00691ABD">
              <w:rPr>
                <w:sz w:val="20"/>
                <w:szCs w:val="20"/>
                <w:lang w:val="fr-CA" w:eastAsia="en-CA"/>
              </w:rPr>
              <w:t>9</w:t>
            </w:r>
            <w:r>
              <w:rPr>
                <w:sz w:val="20"/>
                <w:szCs w:val="20"/>
                <w:lang w:val="fr-CA" w:eastAsia="en-CA"/>
              </w:rPr>
              <w:t xml:space="preserve"> </w:t>
            </w:r>
            <w:r w:rsidRPr="00691ABD">
              <w:rPr>
                <w:sz w:val="20"/>
                <w:szCs w:val="20"/>
                <w:lang w:val="fr-CA" w:eastAsia="en-CA"/>
              </w:rPr>
              <w:t>411</w:t>
            </w:r>
            <w:r>
              <w:rPr>
                <w:sz w:val="20"/>
                <w:szCs w:val="20"/>
                <w:lang w:val="fr-CA" w:eastAsia="en-CA"/>
              </w:rPr>
              <w:t xml:space="preserve"> </w:t>
            </w:r>
            <w:r w:rsidRPr="00691ABD">
              <w:rPr>
                <w:sz w:val="20"/>
                <w:szCs w:val="20"/>
                <w:lang w:val="fr-CA" w:eastAsia="en-CA"/>
              </w:rPr>
              <w:t>617</w:t>
            </w:r>
          </w:p>
        </w:tc>
        <w:tc>
          <w:tcPr>
            <w:tcW w:w="1276" w:type="dxa"/>
            <w:tcBorders>
              <w:top w:val="nil"/>
              <w:left w:val="nil"/>
              <w:bottom w:val="single" w:sz="4" w:space="0" w:color="auto"/>
              <w:right w:val="single" w:sz="4" w:space="0" w:color="auto"/>
            </w:tcBorders>
            <w:shd w:val="clear" w:color="auto" w:fill="auto"/>
            <w:noWrap/>
            <w:hideMark/>
          </w:tcPr>
          <w:p w14:paraId="05224CE5" w14:textId="77777777" w:rsidR="00A325C8" w:rsidRPr="00691ABD" w:rsidRDefault="00A325C8" w:rsidP="001E39EE">
            <w:pPr>
              <w:jc w:val="right"/>
              <w:rPr>
                <w:sz w:val="20"/>
                <w:szCs w:val="20"/>
                <w:lang w:val="fr-CA" w:eastAsia="en-CA"/>
              </w:rPr>
            </w:pPr>
            <w:r w:rsidRPr="00691ABD">
              <w:rPr>
                <w:sz w:val="20"/>
                <w:szCs w:val="20"/>
                <w:lang w:val="fr-CA" w:eastAsia="en-CA"/>
              </w:rPr>
              <w:t>7</w:t>
            </w:r>
            <w:r>
              <w:rPr>
                <w:sz w:val="20"/>
                <w:szCs w:val="20"/>
                <w:lang w:val="fr-CA" w:eastAsia="en-CA"/>
              </w:rPr>
              <w:t xml:space="preserve"> </w:t>
            </w:r>
            <w:r w:rsidRPr="00691ABD">
              <w:rPr>
                <w:sz w:val="20"/>
                <w:szCs w:val="20"/>
                <w:lang w:val="fr-CA" w:eastAsia="en-CA"/>
              </w:rPr>
              <w:t>128</w:t>
            </w:r>
            <w:r>
              <w:rPr>
                <w:sz w:val="20"/>
                <w:szCs w:val="20"/>
                <w:lang w:val="fr-CA" w:eastAsia="en-CA"/>
              </w:rPr>
              <w:t xml:space="preserve"> </w:t>
            </w:r>
            <w:r w:rsidRPr="00691ABD">
              <w:rPr>
                <w:sz w:val="20"/>
                <w:szCs w:val="20"/>
                <w:lang w:val="fr-CA" w:eastAsia="en-CA"/>
              </w:rPr>
              <w:t>373</w:t>
            </w:r>
          </w:p>
        </w:tc>
        <w:tc>
          <w:tcPr>
            <w:tcW w:w="1250" w:type="dxa"/>
            <w:tcBorders>
              <w:top w:val="nil"/>
              <w:left w:val="nil"/>
              <w:bottom w:val="single" w:sz="4" w:space="0" w:color="auto"/>
              <w:right w:val="single" w:sz="4" w:space="0" w:color="auto"/>
            </w:tcBorders>
            <w:shd w:val="clear" w:color="auto" w:fill="auto"/>
            <w:noWrap/>
            <w:hideMark/>
          </w:tcPr>
          <w:p w14:paraId="0FECB2E1"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283</w:t>
            </w:r>
            <w:r>
              <w:rPr>
                <w:sz w:val="20"/>
                <w:szCs w:val="20"/>
                <w:lang w:val="fr-CA" w:eastAsia="en-CA"/>
              </w:rPr>
              <w:t xml:space="preserve"> </w:t>
            </w:r>
            <w:r w:rsidRPr="00691ABD">
              <w:rPr>
                <w:sz w:val="20"/>
                <w:szCs w:val="20"/>
                <w:lang w:val="fr-CA" w:eastAsia="en-CA"/>
              </w:rPr>
              <w:t>244</w:t>
            </w:r>
          </w:p>
        </w:tc>
        <w:tc>
          <w:tcPr>
            <w:tcW w:w="1050" w:type="dxa"/>
            <w:tcBorders>
              <w:top w:val="nil"/>
              <w:left w:val="nil"/>
              <w:bottom w:val="single" w:sz="4" w:space="0" w:color="auto"/>
              <w:right w:val="single" w:sz="4" w:space="0" w:color="auto"/>
            </w:tcBorders>
            <w:shd w:val="clear" w:color="auto" w:fill="auto"/>
            <w:noWrap/>
            <w:hideMark/>
          </w:tcPr>
          <w:p w14:paraId="0697125F" w14:textId="77777777" w:rsidR="00A325C8" w:rsidRPr="00691ABD" w:rsidRDefault="00A325C8" w:rsidP="001E39EE">
            <w:pPr>
              <w:jc w:val="right"/>
              <w:rPr>
                <w:sz w:val="20"/>
                <w:szCs w:val="20"/>
                <w:lang w:val="fr-CA" w:eastAsia="en-CA"/>
              </w:rPr>
            </w:pPr>
            <w:r w:rsidRPr="00691ABD">
              <w:rPr>
                <w:sz w:val="20"/>
                <w:szCs w:val="20"/>
                <w:lang w:val="fr-CA" w:eastAsia="en-CA"/>
              </w:rPr>
              <w:t>76</w:t>
            </w:r>
          </w:p>
        </w:tc>
      </w:tr>
      <w:tr w:rsidR="00A325C8" w:rsidRPr="00691ABD" w14:paraId="40B0AA9A" w14:textId="77777777" w:rsidTr="00691ABD">
        <w:trPr>
          <w:trHeight w:val="71"/>
        </w:trPr>
        <w:tc>
          <w:tcPr>
            <w:tcW w:w="3828" w:type="dxa"/>
            <w:tcBorders>
              <w:top w:val="nil"/>
              <w:left w:val="single" w:sz="4" w:space="0" w:color="auto"/>
              <w:bottom w:val="single" w:sz="4" w:space="0" w:color="auto"/>
              <w:right w:val="single" w:sz="4" w:space="0" w:color="auto"/>
            </w:tcBorders>
            <w:shd w:val="clear" w:color="auto" w:fill="auto"/>
            <w:noWrap/>
            <w:hideMark/>
          </w:tcPr>
          <w:p w14:paraId="15B31837" w14:textId="77777777" w:rsidR="00A325C8" w:rsidRPr="00691ABD" w:rsidRDefault="00A325C8" w:rsidP="001E39EE">
            <w:pPr>
              <w:jc w:val="left"/>
              <w:rPr>
                <w:sz w:val="20"/>
                <w:szCs w:val="20"/>
                <w:lang w:val="fr-CA" w:eastAsia="en-CA"/>
              </w:rPr>
            </w:pPr>
            <w:r>
              <w:rPr>
                <w:sz w:val="20"/>
                <w:szCs w:val="20"/>
                <w:lang w:val="fr-CA" w:eastAsia="en-CA"/>
              </w:rPr>
              <w:t>Argentine</w:t>
            </w:r>
          </w:p>
        </w:tc>
        <w:tc>
          <w:tcPr>
            <w:tcW w:w="1295" w:type="dxa"/>
            <w:tcBorders>
              <w:top w:val="nil"/>
              <w:left w:val="nil"/>
              <w:bottom w:val="single" w:sz="4" w:space="0" w:color="auto"/>
              <w:right w:val="single" w:sz="4" w:space="0" w:color="auto"/>
            </w:tcBorders>
            <w:shd w:val="clear" w:color="auto" w:fill="auto"/>
            <w:noWrap/>
            <w:hideMark/>
          </w:tcPr>
          <w:p w14:paraId="12B4B60C" w14:textId="77777777" w:rsidR="00A325C8" w:rsidRPr="00691ABD" w:rsidRDefault="00A325C8" w:rsidP="001E39EE">
            <w:pPr>
              <w:jc w:val="right"/>
              <w:rPr>
                <w:sz w:val="20"/>
                <w:szCs w:val="20"/>
                <w:lang w:val="fr-CA" w:eastAsia="en-CA"/>
              </w:rPr>
            </w:pPr>
            <w:r w:rsidRPr="00691ABD">
              <w:rPr>
                <w:sz w:val="20"/>
                <w:szCs w:val="20"/>
                <w:lang w:val="fr-CA" w:eastAsia="en-CA"/>
              </w:rPr>
              <w:t>142</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39B8A973" w14:textId="77777777" w:rsidR="00A325C8" w:rsidRPr="00691ABD" w:rsidRDefault="00A325C8" w:rsidP="001E39EE">
            <w:pPr>
              <w:jc w:val="right"/>
              <w:rPr>
                <w:sz w:val="20"/>
                <w:szCs w:val="20"/>
                <w:lang w:val="fr-CA" w:eastAsia="en-CA"/>
              </w:rPr>
            </w:pPr>
            <w:r w:rsidRPr="00691ABD">
              <w:rPr>
                <w:sz w:val="20"/>
                <w:szCs w:val="20"/>
                <w:lang w:val="fr-CA" w:eastAsia="en-CA"/>
              </w:rPr>
              <w:t>15</w:t>
            </w:r>
            <w:r>
              <w:rPr>
                <w:sz w:val="20"/>
                <w:szCs w:val="20"/>
                <w:lang w:val="fr-CA" w:eastAsia="en-CA"/>
              </w:rPr>
              <w:t xml:space="preserve"> </w:t>
            </w:r>
            <w:r w:rsidRPr="00691ABD">
              <w:rPr>
                <w:sz w:val="20"/>
                <w:szCs w:val="20"/>
                <w:lang w:val="fr-CA" w:eastAsia="en-CA"/>
              </w:rPr>
              <w:t>348</w:t>
            </w:r>
            <w:r>
              <w:rPr>
                <w:sz w:val="20"/>
                <w:szCs w:val="20"/>
                <w:lang w:val="fr-CA" w:eastAsia="en-CA"/>
              </w:rPr>
              <w:t xml:space="preserve"> </w:t>
            </w:r>
            <w:r w:rsidRPr="00691ABD">
              <w:rPr>
                <w:sz w:val="20"/>
                <w:szCs w:val="20"/>
                <w:lang w:val="fr-CA" w:eastAsia="en-CA"/>
              </w:rPr>
              <w:t>626</w:t>
            </w:r>
          </w:p>
        </w:tc>
        <w:tc>
          <w:tcPr>
            <w:tcW w:w="1276" w:type="dxa"/>
            <w:tcBorders>
              <w:top w:val="nil"/>
              <w:left w:val="nil"/>
              <w:bottom w:val="single" w:sz="4" w:space="0" w:color="auto"/>
              <w:right w:val="single" w:sz="4" w:space="0" w:color="auto"/>
            </w:tcBorders>
            <w:shd w:val="clear" w:color="auto" w:fill="auto"/>
            <w:noWrap/>
            <w:hideMark/>
          </w:tcPr>
          <w:p w14:paraId="7C49785D" w14:textId="77777777" w:rsidR="00A325C8" w:rsidRPr="00691ABD" w:rsidRDefault="00A325C8" w:rsidP="001E39EE">
            <w:pPr>
              <w:jc w:val="right"/>
              <w:rPr>
                <w:sz w:val="20"/>
                <w:szCs w:val="20"/>
                <w:lang w:val="fr-CA" w:eastAsia="en-CA"/>
              </w:rPr>
            </w:pPr>
            <w:r w:rsidRPr="00691ABD">
              <w:rPr>
                <w:sz w:val="20"/>
                <w:szCs w:val="20"/>
                <w:lang w:val="fr-CA" w:eastAsia="en-CA"/>
              </w:rPr>
              <w:t>11</w:t>
            </w:r>
            <w:r>
              <w:rPr>
                <w:sz w:val="20"/>
                <w:szCs w:val="20"/>
                <w:lang w:val="fr-CA" w:eastAsia="en-CA"/>
              </w:rPr>
              <w:t xml:space="preserve"> </w:t>
            </w:r>
            <w:r w:rsidRPr="00691ABD">
              <w:rPr>
                <w:sz w:val="20"/>
                <w:szCs w:val="20"/>
                <w:lang w:val="fr-CA" w:eastAsia="en-CA"/>
              </w:rPr>
              <w:t>407</w:t>
            </w:r>
            <w:r>
              <w:rPr>
                <w:sz w:val="20"/>
                <w:szCs w:val="20"/>
                <w:lang w:val="fr-CA" w:eastAsia="en-CA"/>
              </w:rPr>
              <w:t xml:space="preserve"> </w:t>
            </w:r>
            <w:r w:rsidRPr="00691ABD">
              <w:rPr>
                <w:sz w:val="20"/>
                <w:szCs w:val="20"/>
                <w:lang w:val="fr-CA" w:eastAsia="en-CA"/>
              </w:rPr>
              <w:t>995</w:t>
            </w:r>
          </w:p>
        </w:tc>
        <w:tc>
          <w:tcPr>
            <w:tcW w:w="1250" w:type="dxa"/>
            <w:tcBorders>
              <w:top w:val="nil"/>
              <w:left w:val="nil"/>
              <w:bottom w:val="single" w:sz="4" w:space="0" w:color="auto"/>
              <w:right w:val="single" w:sz="4" w:space="0" w:color="auto"/>
            </w:tcBorders>
            <w:shd w:val="clear" w:color="auto" w:fill="auto"/>
            <w:noWrap/>
            <w:hideMark/>
          </w:tcPr>
          <w:p w14:paraId="299B94F4"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 xml:space="preserve"> </w:t>
            </w:r>
            <w:r w:rsidRPr="00691ABD">
              <w:rPr>
                <w:sz w:val="20"/>
                <w:szCs w:val="20"/>
                <w:lang w:val="fr-CA" w:eastAsia="en-CA"/>
              </w:rPr>
              <w:t>940</w:t>
            </w:r>
            <w:r>
              <w:rPr>
                <w:sz w:val="20"/>
                <w:szCs w:val="20"/>
                <w:lang w:val="fr-CA" w:eastAsia="en-CA"/>
              </w:rPr>
              <w:t xml:space="preserve"> </w:t>
            </w:r>
            <w:r w:rsidRPr="00691ABD">
              <w:rPr>
                <w:sz w:val="20"/>
                <w:szCs w:val="20"/>
                <w:lang w:val="fr-CA" w:eastAsia="en-CA"/>
              </w:rPr>
              <w:t>631</w:t>
            </w:r>
          </w:p>
        </w:tc>
        <w:tc>
          <w:tcPr>
            <w:tcW w:w="1050" w:type="dxa"/>
            <w:tcBorders>
              <w:top w:val="nil"/>
              <w:left w:val="nil"/>
              <w:bottom w:val="single" w:sz="4" w:space="0" w:color="auto"/>
              <w:right w:val="single" w:sz="4" w:space="0" w:color="auto"/>
            </w:tcBorders>
            <w:shd w:val="clear" w:color="auto" w:fill="auto"/>
            <w:noWrap/>
            <w:hideMark/>
          </w:tcPr>
          <w:p w14:paraId="50AE1035" w14:textId="77777777" w:rsidR="00A325C8" w:rsidRPr="00691ABD" w:rsidRDefault="00A325C8" w:rsidP="001E39EE">
            <w:pPr>
              <w:jc w:val="right"/>
              <w:rPr>
                <w:sz w:val="20"/>
                <w:szCs w:val="20"/>
                <w:lang w:val="fr-CA" w:eastAsia="en-CA"/>
              </w:rPr>
            </w:pPr>
            <w:r w:rsidRPr="00691ABD">
              <w:rPr>
                <w:sz w:val="20"/>
                <w:szCs w:val="20"/>
                <w:lang w:val="fr-CA" w:eastAsia="en-CA"/>
              </w:rPr>
              <w:t>74</w:t>
            </w:r>
          </w:p>
        </w:tc>
      </w:tr>
      <w:tr w:rsidR="00A325C8" w:rsidRPr="00691ABD" w14:paraId="3DF62175" w14:textId="77777777" w:rsidTr="00691ABD">
        <w:trPr>
          <w:trHeight w:val="117"/>
        </w:trPr>
        <w:tc>
          <w:tcPr>
            <w:tcW w:w="3828" w:type="dxa"/>
            <w:tcBorders>
              <w:top w:val="nil"/>
              <w:left w:val="single" w:sz="4" w:space="0" w:color="auto"/>
              <w:bottom w:val="single" w:sz="4" w:space="0" w:color="auto"/>
              <w:right w:val="single" w:sz="4" w:space="0" w:color="auto"/>
            </w:tcBorders>
            <w:shd w:val="clear" w:color="auto" w:fill="auto"/>
            <w:noWrap/>
            <w:hideMark/>
          </w:tcPr>
          <w:p w14:paraId="548DBE9F" w14:textId="77777777" w:rsidR="00A325C8" w:rsidRPr="00691ABD" w:rsidRDefault="00A325C8" w:rsidP="001E39EE">
            <w:pPr>
              <w:jc w:val="left"/>
              <w:rPr>
                <w:sz w:val="20"/>
                <w:szCs w:val="20"/>
                <w:lang w:val="fr-CA" w:eastAsia="en-CA"/>
              </w:rPr>
            </w:pPr>
            <w:r>
              <w:rPr>
                <w:sz w:val="20"/>
                <w:szCs w:val="20"/>
                <w:lang w:val="fr-CA" w:eastAsia="en-CA"/>
              </w:rPr>
              <w:t>Arménie</w:t>
            </w:r>
          </w:p>
        </w:tc>
        <w:tc>
          <w:tcPr>
            <w:tcW w:w="1295" w:type="dxa"/>
            <w:tcBorders>
              <w:top w:val="nil"/>
              <w:left w:val="nil"/>
              <w:bottom w:val="single" w:sz="4" w:space="0" w:color="auto"/>
              <w:right w:val="single" w:sz="4" w:space="0" w:color="auto"/>
            </w:tcBorders>
            <w:shd w:val="clear" w:color="auto" w:fill="auto"/>
            <w:noWrap/>
            <w:hideMark/>
          </w:tcPr>
          <w:p w14:paraId="5CD6AA15"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w:t>
            </w:r>
            <w:r w:rsidRPr="00691ABD">
              <w:rPr>
                <w:sz w:val="20"/>
                <w:szCs w:val="20"/>
                <w:lang w:val="fr-CA" w:eastAsia="en-CA"/>
              </w:rPr>
              <w:t>5</w:t>
            </w:r>
          </w:p>
        </w:tc>
        <w:tc>
          <w:tcPr>
            <w:tcW w:w="1275" w:type="dxa"/>
            <w:tcBorders>
              <w:top w:val="nil"/>
              <w:left w:val="nil"/>
              <w:bottom w:val="single" w:sz="4" w:space="0" w:color="auto"/>
              <w:right w:val="single" w:sz="4" w:space="0" w:color="auto"/>
            </w:tcBorders>
            <w:shd w:val="clear" w:color="auto" w:fill="auto"/>
            <w:noWrap/>
            <w:hideMark/>
          </w:tcPr>
          <w:p w14:paraId="3247DD0B" w14:textId="77777777" w:rsidR="00A325C8" w:rsidRPr="00691ABD" w:rsidRDefault="00A325C8" w:rsidP="001E39EE">
            <w:pPr>
              <w:jc w:val="right"/>
              <w:rPr>
                <w:sz w:val="20"/>
                <w:szCs w:val="20"/>
                <w:lang w:val="fr-CA" w:eastAsia="en-CA"/>
              </w:rPr>
            </w:pPr>
            <w:r w:rsidRPr="00691ABD">
              <w:rPr>
                <w:sz w:val="20"/>
                <w:szCs w:val="20"/>
                <w:lang w:val="fr-CA" w:eastAsia="en-CA"/>
              </w:rPr>
              <w:t>678</w:t>
            </w:r>
            <w:r>
              <w:rPr>
                <w:sz w:val="20"/>
                <w:szCs w:val="20"/>
                <w:lang w:val="fr-CA" w:eastAsia="en-CA"/>
              </w:rPr>
              <w:t xml:space="preserve"> </w:t>
            </w:r>
            <w:r w:rsidRPr="00691ABD">
              <w:rPr>
                <w:sz w:val="20"/>
                <w:szCs w:val="20"/>
                <w:lang w:val="fr-CA" w:eastAsia="en-CA"/>
              </w:rPr>
              <w:t>536</w:t>
            </w:r>
          </w:p>
        </w:tc>
        <w:tc>
          <w:tcPr>
            <w:tcW w:w="1276" w:type="dxa"/>
            <w:tcBorders>
              <w:top w:val="nil"/>
              <w:left w:val="nil"/>
              <w:bottom w:val="single" w:sz="4" w:space="0" w:color="auto"/>
              <w:right w:val="single" w:sz="4" w:space="0" w:color="auto"/>
            </w:tcBorders>
            <w:shd w:val="clear" w:color="auto" w:fill="auto"/>
            <w:noWrap/>
            <w:hideMark/>
          </w:tcPr>
          <w:p w14:paraId="09F7BAAD" w14:textId="77777777" w:rsidR="00A325C8" w:rsidRPr="00691ABD" w:rsidRDefault="00A325C8" w:rsidP="001E39EE">
            <w:pPr>
              <w:jc w:val="right"/>
              <w:rPr>
                <w:sz w:val="20"/>
                <w:szCs w:val="20"/>
                <w:lang w:val="fr-CA" w:eastAsia="en-CA"/>
              </w:rPr>
            </w:pPr>
            <w:r w:rsidRPr="00691ABD">
              <w:rPr>
                <w:sz w:val="20"/>
                <w:szCs w:val="20"/>
                <w:lang w:val="fr-CA" w:eastAsia="en-CA"/>
              </w:rPr>
              <w:t>616</w:t>
            </w:r>
            <w:r>
              <w:rPr>
                <w:sz w:val="20"/>
                <w:szCs w:val="20"/>
                <w:lang w:val="fr-CA" w:eastAsia="en-CA"/>
              </w:rPr>
              <w:t xml:space="preserve"> </w:t>
            </w:r>
            <w:r w:rsidRPr="00691ABD">
              <w:rPr>
                <w:sz w:val="20"/>
                <w:szCs w:val="20"/>
                <w:lang w:val="fr-CA" w:eastAsia="en-CA"/>
              </w:rPr>
              <w:t>775</w:t>
            </w:r>
          </w:p>
        </w:tc>
        <w:tc>
          <w:tcPr>
            <w:tcW w:w="1250" w:type="dxa"/>
            <w:tcBorders>
              <w:top w:val="nil"/>
              <w:left w:val="nil"/>
              <w:bottom w:val="single" w:sz="4" w:space="0" w:color="auto"/>
              <w:right w:val="single" w:sz="4" w:space="0" w:color="auto"/>
            </w:tcBorders>
            <w:shd w:val="clear" w:color="auto" w:fill="auto"/>
            <w:noWrap/>
            <w:hideMark/>
          </w:tcPr>
          <w:p w14:paraId="7FC143DA" w14:textId="77777777" w:rsidR="00A325C8" w:rsidRPr="00691ABD" w:rsidRDefault="00A325C8" w:rsidP="001E39EE">
            <w:pPr>
              <w:jc w:val="right"/>
              <w:rPr>
                <w:sz w:val="20"/>
                <w:szCs w:val="20"/>
                <w:lang w:val="fr-CA" w:eastAsia="en-CA"/>
              </w:rPr>
            </w:pPr>
            <w:r w:rsidRPr="00691ABD">
              <w:rPr>
                <w:sz w:val="20"/>
                <w:szCs w:val="20"/>
                <w:lang w:val="fr-CA" w:eastAsia="en-CA"/>
              </w:rPr>
              <w:t>61</w:t>
            </w:r>
            <w:r>
              <w:rPr>
                <w:sz w:val="20"/>
                <w:szCs w:val="20"/>
                <w:lang w:val="fr-CA" w:eastAsia="en-CA"/>
              </w:rPr>
              <w:t xml:space="preserve"> </w:t>
            </w:r>
            <w:r w:rsidRPr="00691ABD">
              <w:rPr>
                <w:sz w:val="20"/>
                <w:szCs w:val="20"/>
                <w:lang w:val="fr-CA" w:eastAsia="en-CA"/>
              </w:rPr>
              <w:t>761</w:t>
            </w:r>
          </w:p>
        </w:tc>
        <w:tc>
          <w:tcPr>
            <w:tcW w:w="1050" w:type="dxa"/>
            <w:tcBorders>
              <w:top w:val="nil"/>
              <w:left w:val="nil"/>
              <w:bottom w:val="single" w:sz="4" w:space="0" w:color="auto"/>
              <w:right w:val="single" w:sz="4" w:space="0" w:color="auto"/>
            </w:tcBorders>
            <w:shd w:val="clear" w:color="auto" w:fill="auto"/>
            <w:noWrap/>
            <w:hideMark/>
          </w:tcPr>
          <w:p w14:paraId="34550D90" w14:textId="77777777" w:rsidR="00A325C8" w:rsidRPr="00691ABD" w:rsidRDefault="00A325C8" w:rsidP="001E39EE">
            <w:pPr>
              <w:jc w:val="right"/>
              <w:rPr>
                <w:sz w:val="20"/>
                <w:szCs w:val="20"/>
                <w:lang w:val="fr-CA" w:eastAsia="en-CA"/>
              </w:rPr>
            </w:pPr>
            <w:r w:rsidRPr="00691ABD">
              <w:rPr>
                <w:sz w:val="20"/>
                <w:szCs w:val="20"/>
                <w:lang w:val="fr-CA" w:eastAsia="en-CA"/>
              </w:rPr>
              <w:t>91</w:t>
            </w:r>
          </w:p>
        </w:tc>
      </w:tr>
      <w:tr w:rsidR="00A325C8" w:rsidRPr="00691ABD" w14:paraId="5D558057"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66E5EAC" w14:textId="77777777" w:rsidR="00A325C8" w:rsidRPr="00691ABD" w:rsidRDefault="00A325C8" w:rsidP="003963ED">
            <w:pPr>
              <w:jc w:val="left"/>
              <w:rPr>
                <w:sz w:val="20"/>
                <w:szCs w:val="20"/>
                <w:lang w:val="fr-CA" w:eastAsia="en-CA"/>
              </w:rPr>
            </w:pPr>
            <w:r w:rsidRPr="00691ABD">
              <w:rPr>
                <w:sz w:val="20"/>
                <w:szCs w:val="20"/>
                <w:lang w:val="fr-CA" w:eastAsia="en-CA"/>
              </w:rPr>
              <w:t xml:space="preserve">Bahamas </w:t>
            </w:r>
          </w:p>
        </w:tc>
        <w:tc>
          <w:tcPr>
            <w:tcW w:w="1295" w:type="dxa"/>
            <w:tcBorders>
              <w:top w:val="nil"/>
              <w:left w:val="nil"/>
              <w:bottom w:val="single" w:sz="4" w:space="0" w:color="auto"/>
              <w:right w:val="single" w:sz="4" w:space="0" w:color="auto"/>
            </w:tcBorders>
            <w:shd w:val="clear" w:color="auto" w:fill="auto"/>
            <w:noWrap/>
            <w:hideMark/>
          </w:tcPr>
          <w:p w14:paraId="7332A5CD"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790FA7F3" w14:textId="77777777" w:rsidR="00A325C8" w:rsidRPr="00691ABD" w:rsidRDefault="00A325C8" w:rsidP="001E39EE">
            <w:pPr>
              <w:jc w:val="right"/>
              <w:rPr>
                <w:sz w:val="20"/>
                <w:szCs w:val="20"/>
                <w:lang w:val="fr-CA" w:eastAsia="en-CA"/>
              </w:rPr>
            </w:pPr>
            <w:r w:rsidRPr="00691ABD">
              <w:rPr>
                <w:sz w:val="20"/>
                <w:szCs w:val="20"/>
                <w:lang w:val="fr-CA" w:eastAsia="en-CA"/>
              </w:rPr>
              <w:t>277</w:t>
            </w:r>
            <w:r>
              <w:rPr>
                <w:sz w:val="20"/>
                <w:szCs w:val="20"/>
                <w:lang w:val="fr-CA" w:eastAsia="en-CA"/>
              </w:rPr>
              <w:t xml:space="preserve"> </w:t>
            </w:r>
            <w:r w:rsidRPr="00691ABD">
              <w:rPr>
                <w:sz w:val="20"/>
                <w:szCs w:val="20"/>
                <w:lang w:val="fr-CA" w:eastAsia="en-CA"/>
              </w:rPr>
              <w:t>050</w:t>
            </w:r>
          </w:p>
        </w:tc>
        <w:tc>
          <w:tcPr>
            <w:tcW w:w="1276" w:type="dxa"/>
            <w:tcBorders>
              <w:top w:val="nil"/>
              <w:left w:val="nil"/>
              <w:bottom w:val="single" w:sz="4" w:space="0" w:color="auto"/>
              <w:right w:val="single" w:sz="4" w:space="0" w:color="auto"/>
            </w:tcBorders>
            <w:shd w:val="clear" w:color="auto" w:fill="auto"/>
            <w:noWrap/>
            <w:hideMark/>
          </w:tcPr>
          <w:p w14:paraId="68AB067E" w14:textId="77777777" w:rsidR="00A325C8" w:rsidRPr="00691ABD" w:rsidRDefault="00A325C8" w:rsidP="001E39EE">
            <w:pPr>
              <w:jc w:val="right"/>
              <w:rPr>
                <w:sz w:val="20"/>
                <w:szCs w:val="20"/>
                <w:lang w:val="fr-CA" w:eastAsia="en-CA"/>
              </w:rPr>
            </w:pPr>
            <w:r w:rsidRPr="00691ABD">
              <w:rPr>
                <w:sz w:val="20"/>
                <w:szCs w:val="20"/>
                <w:lang w:val="fr-CA" w:eastAsia="en-CA"/>
              </w:rPr>
              <w:t>223</w:t>
            </w:r>
            <w:r>
              <w:rPr>
                <w:sz w:val="20"/>
                <w:szCs w:val="20"/>
                <w:lang w:val="fr-CA" w:eastAsia="en-CA"/>
              </w:rPr>
              <w:t xml:space="preserve"> </w:t>
            </w:r>
            <w:r w:rsidRPr="00691ABD">
              <w:rPr>
                <w:sz w:val="20"/>
                <w:szCs w:val="20"/>
                <w:lang w:val="fr-CA" w:eastAsia="en-CA"/>
              </w:rPr>
              <w:t>058</w:t>
            </w:r>
          </w:p>
        </w:tc>
        <w:tc>
          <w:tcPr>
            <w:tcW w:w="1250" w:type="dxa"/>
            <w:tcBorders>
              <w:top w:val="nil"/>
              <w:left w:val="nil"/>
              <w:bottom w:val="single" w:sz="4" w:space="0" w:color="auto"/>
              <w:right w:val="single" w:sz="4" w:space="0" w:color="auto"/>
            </w:tcBorders>
            <w:shd w:val="clear" w:color="auto" w:fill="auto"/>
            <w:noWrap/>
            <w:hideMark/>
          </w:tcPr>
          <w:p w14:paraId="0424FB4D" w14:textId="77777777" w:rsidR="00A325C8" w:rsidRPr="00691ABD" w:rsidRDefault="00A325C8" w:rsidP="001E39EE">
            <w:pPr>
              <w:jc w:val="right"/>
              <w:rPr>
                <w:sz w:val="20"/>
                <w:szCs w:val="20"/>
                <w:lang w:val="fr-CA" w:eastAsia="en-CA"/>
              </w:rPr>
            </w:pPr>
            <w:r w:rsidRPr="00691ABD">
              <w:rPr>
                <w:sz w:val="20"/>
                <w:szCs w:val="20"/>
                <w:lang w:val="fr-CA" w:eastAsia="en-CA"/>
              </w:rPr>
              <w:t>53</w:t>
            </w:r>
            <w:r>
              <w:rPr>
                <w:sz w:val="20"/>
                <w:szCs w:val="20"/>
                <w:lang w:val="fr-CA" w:eastAsia="en-CA"/>
              </w:rPr>
              <w:t xml:space="preserve"> </w:t>
            </w:r>
            <w:r w:rsidRPr="00691ABD">
              <w:rPr>
                <w:sz w:val="20"/>
                <w:szCs w:val="20"/>
                <w:lang w:val="fr-CA" w:eastAsia="en-CA"/>
              </w:rPr>
              <w:t>992</w:t>
            </w:r>
          </w:p>
        </w:tc>
        <w:tc>
          <w:tcPr>
            <w:tcW w:w="1050" w:type="dxa"/>
            <w:tcBorders>
              <w:top w:val="nil"/>
              <w:left w:val="nil"/>
              <w:bottom w:val="single" w:sz="4" w:space="0" w:color="auto"/>
              <w:right w:val="single" w:sz="4" w:space="0" w:color="auto"/>
            </w:tcBorders>
            <w:shd w:val="clear" w:color="auto" w:fill="auto"/>
            <w:noWrap/>
            <w:hideMark/>
          </w:tcPr>
          <w:p w14:paraId="19C95F30" w14:textId="77777777" w:rsidR="00A325C8" w:rsidRPr="00691ABD" w:rsidRDefault="00A325C8" w:rsidP="001E39EE">
            <w:pPr>
              <w:jc w:val="right"/>
              <w:rPr>
                <w:sz w:val="20"/>
                <w:szCs w:val="20"/>
                <w:lang w:val="fr-CA" w:eastAsia="en-CA"/>
              </w:rPr>
            </w:pPr>
            <w:r w:rsidRPr="00691ABD">
              <w:rPr>
                <w:sz w:val="20"/>
                <w:szCs w:val="20"/>
                <w:lang w:val="fr-CA" w:eastAsia="en-CA"/>
              </w:rPr>
              <w:t>81</w:t>
            </w:r>
          </w:p>
        </w:tc>
      </w:tr>
      <w:tr w:rsidR="00A325C8" w:rsidRPr="00691ABD" w14:paraId="61F93589"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4296385" w14:textId="77777777" w:rsidR="00A325C8" w:rsidRPr="00691ABD" w:rsidRDefault="00A325C8" w:rsidP="001E39EE">
            <w:pPr>
              <w:jc w:val="left"/>
              <w:rPr>
                <w:sz w:val="20"/>
                <w:szCs w:val="20"/>
                <w:lang w:val="fr-CA" w:eastAsia="en-CA"/>
              </w:rPr>
            </w:pPr>
            <w:r>
              <w:rPr>
                <w:sz w:val="20"/>
                <w:szCs w:val="20"/>
                <w:lang w:val="fr-CA" w:eastAsia="en-CA"/>
              </w:rPr>
              <w:t>Bahreïn</w:t>
            </w:r>
          </w:p>
        </w:tc>
        <w:tc>
          <w:tcPr>
            <w:tcW w:w="1295" w:type="dxa"/>
            <w:tcBorders>
              <w:top w:val="nil"/>
              <w:left w:val="nil"/>
              <w:bottom w:val="single" w:sz="4" w:space="0" w:color="auto"/>
              <w:right w:val="single" w:sz="4" w:space="0" w:color="auto"/>
            </w:tcBorders>
            <w:shd w:val="clear" w:color="auto" w:fill="auto"/>
            <w:noWrap/>
            <w:hideMark/>
          </w:tcPr>
          <w:p w14:paraId="32DBBDF5" w14:textId="77777777" w:rsidR="00A325C8" w:rsidRPr="00691ABD" w:rsidRDefault="00A325C8" w:rsidP="001E39EE">
            <w:pPr>
              <w:jc w:val="right"/>
              <w:rPr>
                <w:sz w:val="20"/>
                <w:szCs w:val="20"/>
                <w:lang w:val="fr-CA" w:eastAsia="en-CA"/>
              </w:rPr>
            </w:pPr>
            <w:r w:rsidRPr="00691ABD">
              <w:rPr>
                <w:sz w:val="20"/>
                <w:szCs w:val="20"/>
                <w:lang w:val="fr-CA" w:eastAsia="en-CA"/>
              </w:rPr>
              <w:t>9</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33133546" w14:textId="77777777" w:rsidR="00A325C8" w:rsidRPr="00691ABD" w:rsidRDefault="00A325C8" w:rsidP="001E39EE">
            <w:pPr>
              <w:jc w:val="right"/>
              <w:rPr>
                <w:sz w:val="20"/>
                <w:szCs w:val="20"/>
                <w:lang w:val="fr-CA" w:eastAsia="en-CA"/>
              </w:rPr>
            </w:pPr>
            <w:r w:rsidRPr="00691ABD">
              <w:rPr>
                <w:sz w:val="20"/>
                <w:szCs w:val="20"/>
                <w:lang w:val="fr-CA" w:eastAsia="en-CA"/>
              </w:rPr>
              <w:t>993</w:t>
            </w:r>
            <w:r>
              <w:rPr>
                <w:sz w:val="20"/>
                <w:szCs w:val="20"/>
                <w:lang w:val="fr-CA" w:eastAsia="en-CA"/>
              </w:rPr>
              <w:t xml:space="preserve"> </w:t>
            </w:r>
            <w:r w:rsidRPr="00691ABD">
              <w:rPr>
                <w:sz w:val="20"/>
                <w:szCs w:val="20"/>
                <w:lang w:val="fr-CA" w:eastAsia="en-CA"/>
              </w:rPr>
              <w:t>125</w:t>
            </w:r>
          </w:p>
        </w:tc>
        <w:tc>
          <w:tcPr>
            <w:tcW w:w="1276" w:type="dxa"/>
            <w:tcBorders>
              <w:top w:val="nil"/>
              <w:left w:val="nil"/>
              <w:bottom w:val="single" w:sz="4" w:space="0" w:color="auto"/>
              <w:right w:val="single" w:sz="4" w:space="0" w:color="auto"/>
            </w:tcBorders>
            <w:shd w:val="clear" w:color="auto" w:fill="auto"/>
            <w:noWrap/>
            <w:hideMark/>
          </w:tcPr>
          <w:p w14:paraId="02EF8D09" w14:textId="77777777" w:rsidR="00A325C8" w:rsidRPr="00691ABD" w:rsidRDefault="00A325C8" w:rsidP="001E39EE">
            <w:pPr>
              <w:jc w:val="right"/>
              <w:rPr>
                <w:sz w:val="20"/>
                <w:szCs w:val="20"/>
                <w:lang w:val="fr-CA" w:eastAsia="en-CA"/>
              </w:rPr>
            </w:pPr>
            <w:r w:rsidRPr="00691ABD">
              <w:rPr>
                <w:sz w:val="20"/>
                <w:szCs w:val="20"/>
                <w:lang w:val="fr-CA" w:eastAsia="en-CA"/>
              </w:rPr>
              <w:t>813</w:t>
            </w:r>
            <w:r>
              <w:rPr>
                <w:sz w:val="20"/>
                <w:szCs w:val="20"/>
                <w:lang w:val="fr-CA" w:eastAsia="en-CA"/>
              </w:rPr>
              <w:t xml:space="preserve"> </w:t>
            </w:r>
            <w:r w:rsidRPr="00691ABD">
              <w:rPr>
                <w:sz w:val="20"/>
                <w:szCs w:val="20"/>
                <w:lang w:val="fr-CA" w:eastAsia="en-CA"/>
              </w:rPr>
              <w:t>126</w:t>
            </w:r>
          </w:p>
        </w:tc>
        <w:tc>
          <w:tcPr>
            <w:tcW w:w="1250" w:type="dxa"/>
            <w:tcBorders>
              <w:top w:val="nil"/>
              <w:left w:val="nil"/>
              <w:bottom w:val="single" w:sz="4" w:space="0" w:color="auto"/>
              <w:right w:val="single" w:sz="4" w:space="0" w:color="auto"/>
            </w:tcBorders>
            <w:shd w:val="clear" w:color="auto" w:fill="auto"/>
            <w:noWrap/>
            <w:hideMark/>
          </w:tcPr>
          <w:p w14:paraId="3B023423" w14:textId="77777777" w:rsidR="00A325C8" w:rsidRPr="00691ABD" w:rsidRDefault="00A325C8" w:rsidP="001E39EE">
            <w:pPr>
              <w:jc w:val="right"/>
              <w:rPr>
                <w:sz w:val="20"/>
                <w:szCs w:val="20"/>
                <w:lang w:val="fr-CA" w:eastAsia="en-CA"/>
              </w:rPr>
            </w:pPr>
            <w:r w:rsidRPr="00691ABD">
              <w:rPr>
                <w:sz w:val="20"/>
                <w:szCs w:val="20"/>
                <w:lang w:val="fr-CA" w:eastAsia="en-CA"/>
              </w:rPr>
              <w:t>179</w:t>
            </w:r>
            <w:r>
              <w:rPr>
                <w:sz w:val="20"/>
                <w:szCs w:val="20"/>
                <w:lang w:val="fr-CA" w:eastAsia="en-CA"/>
              </w:rPr>
              <w:t xml:space="preserve"> </w:t>
            </w:r>
            <w:r w:rsidRPr="00691ABD">
              <w:rPr>
                <w:sz w:val="20"/>
                <w:szCs w:val="20"/>
                <w:lang w:val="fr-CA" w:eastAsia="en-CA"/>
              </w:rPr>
              <w:t>999</w:t>
            </w:r>
          </w:p>
        </w:tc>
        <w:tc>
          <w:tcPr>
            <w:tcW w:w="1050" w:type="dxa"/>
            <w:tcBorders>
              <w:top w:val="nil"/>
              <w:left w:val="nil"/>
              <w:bottom w:val="single" w:sz="4" w:space="0" w:color="auto"/>
              <w:right w:val="single" w:sz="4" w:space="0" w:color="auto"/>
            </w:tcBorders>
            <w:shd w:val="clear" w:color="auto" w:fill="auto"/>
            <w:noWrap/>
            <w:hideMark/>
          </w:tcPr>
          <w:p w14:paraId="5E970073" w14:textId="77777777" w:rsidR="00A325C8" w:rsidRPr="00691ABD" w:rsidRDefault="00A325C8" w:rsidP="001E39EE">
            <w:pPr>
              <w:jc w:val="right"/>
              <w:rPr>
                <w:sz w:val="20"/>
                <w:szCs w:val="20"/>
                <w:lang w:val="fr-CA" w:eastAsia="en-CA"/>
              </w:rPr>
            </w:pPr>
            <w:r w:rsidRPr="00691ABD">
              <w:rPr>
                <w:sz w:val="20"/>
                <w:szCs w:val="20"/>
                <w:lang w:val="fr-CA" w:eastAsia="en-CA"/>
              </w:rPr>
              <w:t>82</w:t>
            </w:r>
          </w:p>
        </w:tc>
      </w:tr>
      <w:tr w:rsidR="00A325C8" w:rsidRPr="00691ABD" w14:paraId="4620769C" w14:textId="77777777" w:rsidTr="00691ABD">
        <w:trPr>
          <w:trHeight w:val="98"/>
        </w:trPr>
        <w:tc>
          <w:tcPr>
            <w:tcW w:w="3828" w:type="dxa"/>
            <w:tcBorders>
              <w:top w:val="nil"/>
              <w:left w:val="single" w:sz="4" w:space="0" w:color="auto"/>
              <w:bottom w:val="single" w:sz="4" w:space="0" w:color="auto"/>
              <w:right w:val="single" w:sz="4" w:space="0" w:color="auto"/>
            </w:tcBorders>
            <w:shd w:val="clear" w:color="auto" w:fill="auto"/>
            <w:noWrap/>
            <w:hideMark/>
          </w:tcPr>
          <w:p w14:paraId="3087A8FB" w14:textId="77777777" w:rsidR="00A325C8" w:rsidRPr="00691ABD" w:rsidRDefault="00A325C8" w:rsidP="001E39EE">
            <w:pPr>
              <w:jc w:val="left"/>
              <w:rPr>
                <w:sz w:val="20"/>
                <w:szCs w:val="20"/>
                <w:lang w:val="fr-CA" w:eastAsia="en-CA"/>
              </w:rPr>
            </w:pPr>
            <w:r w:rsidRPr="00691ABD">
              <w:rPr>
                <w:sz w:val="20"/>
                <w:szCs w:val="20"/>
                <w:lang w:val="fr-CA" w:eastAsia="en-CA"/>
              </w:rPr>
              <w:t>Bangladesh</w:t>
            </w:r>
          </w:p>
        </w:tc>
        <w:tc>
          <w:tcPr>
            <w:tcW w:w="1295" w:type="dxa"/>
            <w:tcBorders>
              <w:top w:val="nil"/>
              <w:left w:val="nil"/>
              <w:bottom w:val="single" w:sz="4" w:space="0" w:color="auto"/>
              <w:right w:val="single" w:sz="4" w:space="0" w:color="auto"/>
            </w:tcBorders>
            <w:shd w:val="clear" w:color="auto" w:fill="auto"/>
            <w:noWrap/>
            <w:hideMark/>
          </w:tcPr>
          <w:p w14:paraId="5F6A6159" w14:textId="77777777" w:rsidR="00A325C8" w:rsidRPr="00691ABD" w:rsidRDefault="00A325C8" w:rsidP="001E39EE">
            <w:pPr>
              <w:jc w:val="right"/>
              <w:rPr>
                <w:sz w:val="20"/>
                <w:szCs w:val="20"/>
                <w:lang w:val="fr-CA" w:eastAsia="en-CA"/>
              </w:rPr>
            </w:pPr>
            <w:r w:rsidRPr="00691ABD">
              <w:rPr>
                <w:sz w:val="20"/>
                <w:szCs w:val="20"/>
                <w:lang w:val="fr-CA" w:eastAsia="en-CA"/>
              </w:rPr>
              <w:t>32</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0F258E11" w14:textId="77777777" w:rsidR="00A325C8" w:rsidRPr="00691ABD" w:rsidRDefault="00A325C8" w:rsidP="001E39EE">
            <w:pPr>
              <w:jc w:val="right"/>
              <w:rPr>
                <w:sz w:val="20"/>
                <w:szCs w:val="20"/>
                <w:lang w:val="fr-CA" w:eastAsia="en-CA"/>
              </w:rPr>
            </w:pPr>
            <w:r w:rsidRPr="00691ABD">
              <w:rPr>
                <w:sz w:val="20"/>
                <w:szCs w:val="20"/>
                <w:lang w:val="fr-CA" w:eastAsia="en-CA"/>
              </w:rPr>
              <w:t>4</w:t>
            </w:r>
            <w:r>
              <w:rPr>
                <w:sz w:val="20"/>
                <w:szCs w:val="20"/>
                <w:lang w:val="fr-CA" w:eastAsia="en-CA"/>
              </w:rPr>
              <w:t xml:space="preserve"> </w:t>
            </w:r>
            <w:r w:rsidRPr="00691ABD">
              <w:rPr>
                <w:sz w:val="20"/>
                <w:szCs w:val="20"/>
                <w:lang w:val="fr-CA" w:eastAsia="en-CA"/>
              </w:rPr>
              <w:t>052</w:t>
            </w:r>
            <w:r>
              <w:rPr>
                <w:sz w:val="20"/>
                <w:szCs w:val="20"/>
                <w:lang w:val="fr-CA" w:eastAsia="en-CA"/>
              </w:rPr>
              <w:t xml:space="preserve"> </w:t>
            </w:r>
            <w:r w:rsidRPr="00691ABD">
              <w:rPr>
                <w:sz w:val="20"/>
                <w:szCs w:val="20"/>
                <w:lang w:val="fr-CA" w:eastAsia="en-CA"/>
              </w:rPr>
              <w:t>216</w:t>
            </w:r>
          </w:p>
        </w:tc>
        <w:tc>
          <w:tcPr>
            <w:tcW w:w="1276" w:type="dxa"/>
            <w:tcBorders>
              <w:top w:val="nil"/>
              <w:left w:val="nil"/>
              <w:bottom w:val="single" w:sz="4" w:space="0" w:color="auto"/>
              <w:right w:val="single" w:sz="4" w:space="0" w:color="auto"/>
            </w:tcBorders>
            <w:shd w:val="clear" w:color="auto" w:fill="auto"/>
            <w:noWrap/>
            <w:hideMark/>
          </w:tcPr>
          <w:p w14:paraId="2EC7E9E2"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550</w:t>
            </w:r>
            <w:r>
              <w:rPr>
                <w:sz w:val="20"/>
                <w:szCs w:val="20"/>
                <w:lang w:val="fr-CA" w:eastAsia="en-CA"/>
              </w:rPr>
              <w:t xml:space="preserve"> </w:t>
            </w:r>
            <w:r w:rsidRPr="00691ABD">
              <w:rPr>
                <w:sz w:val="20"/>
                <w:szCs w:val="20"/>
                <w:lang w:val="fr-CA" w:eastAsia="en-CA"/>
              </w:rPr>
              <w:t>586</w:t>
            </w:r>
          </w:p>
        </w:tc>
        <w:tc>
          <w:tcPr>
            <w:tcW w:w="1250" w:type="dxa"/>
            <w:tcBorders>
              <w:top w:val="nil"/>
              <w:left w:val="nil"/>
              <w:bottom w:val="single" w:sz="4" w:space="0" w:color="auto"/>
              <w:right w:val="single" w:sz="4" w:space="0" w:color="auto"/>
            </w:tcBorders>
            <w:shd w:val="clear" w:color="auto" w:fill="auto"/>
            <w:noWrap/>
            <w:hideMark/>
          </w:tcPr>
          <w:p w14:paraId="4664566C"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501</w:t>
            </w:r>
            <w:r>
              <w:rPr>
                <w:sz w:val="20"/>
                <w:szCs w:val="20"/>
                <w:lang w:val="fr-CA" w:eastAsia="en-CA"/>
              </w:rPr>
              <w:t xml:space="preserve"> </w:t>
            </w:r>
            <w:r w:rsidRPr="00691ABD">
              <w:rPr>
                <w:sz w:val="20"/>
                <w:szCs w:val="20"/>
                <w:lang w:val="fr-CA" w:eastAsia="en-CA"/>
              </w:rPr>
              <w:t>630</w:t>
            </w:r>
          </w:p>
        </w:tc>
        <w:tc>
          <w:tcPr>
            <w:tcW w:w="1050" w:type="dxa"/>
            <w:tcBorders>
              <w:top w:val="nil"/>
              <w:left w:val="nil"/>
              <w:bottom w:val="single" w:sz="4" w:space="0" w:color="auto"/>
              <w:right w:val="single" w:sz="4" w:space="0" w:color="auto"/>
            </w:tcBorders>
            <w:shd w:val="clear" w:color="auto" w:fill="auto"/>
            <w:noWrap/>
            <w:hideMark/>
          </w:tcPr>
          <w:p w14:paraId="1254467A" w14:textId="77777777" w:rsidR="00A325C8" w:rsidRPr="00691ABD" w:rsidRDefault="00A325C8" w:rsidP="001E39EE">
            <w:pPr>
              <w:jc w:val="right"/>
              <w:rPr>
                <w:sz w:val="20"/>
                <w:szCs w:val="20"/>
                <w:lang w:val="fr-CA" w:eastAsia="en-CA"/>
              </w:rPr>
            </w:pPr>
            <w:r w:rsidRPr="00691ABD">
              <w:rPr>
                <w:sz w:val="20"/>
                <w:szCs w:val="20"/>
                <w:lang w:val="fr-CA" w:eastAsia="en-CA"/>
              </w:rPr>
              <w:t>38</w:t>
            </w:r>
          </w:p>
        </w:tc>
      </w:tr>
      <w:tr w:rsidR="00A325C8" w:rsidRPr="00691ABD" w14:paraId="2D4424C6"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67312AA" w14:textId="77777777" w:rsidR="00A325C8" w:rsidRPr="00691ABD" w:rsidRDefault="00A325C8" w:rsidP="003963ED">
            <w:pPr>
              <w:jc w:val="left"/>
              <w:rPr>
                <w:sz w:val="20"/>
                <w:szCs w:val="20"/>
                <w:lang w:val="fr-CA" w:eastAsia="en-CA"/>
              </w:rPr>
            </w:pPr>
            <w:r>
              <w:rPr>
                <w:sz w:val="20"/>
                <w:szCs w:val="20"/>
                <w:lang w:val="fr-CA" w:eastAsia="en-CA"/>
              </w:rPr>
              <w:t>Barbade</w:t>
            </w:r>
          </w:p>
        </w:tc>
        <w:tc>
          <w:tcPr>
            <w:tcW w:w="1295" w:type="dxa"/>
            <w:tcBorders>
              <w:top w:val="nil"/>
              <w:left w:val="nil"/>
              <w:bottom w:val="single" w:sz="4" w:space="0" w:color="auto"/>
              <w:right w:val="single" w:sz="4" w:space="0" w:color="auto"/>
            </w:tcBorders>
            <w:shd w:val="clear" w:color="auto" w:fill="auto"/>
            <w:noWrap/>
            <w:hideMark/>
          </w:tcPr>
          <w:p w14:paraId="679FF559"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7E943F41" w14:textId="77777777" w:rsidR="00A325C8" w:rsidRPr="00691ABD" w:rsidRDefault="00A325C8" w:rsidP="001E39EE">
            <w:pPr>
              <w:jc w:val="right"/>
              <w:rPr>
                <w:sz w:val="20"/>
                <w:szCs w:val="20"/>
                <w:lang w:val="fr-CA" w:eastAsia="en-CA"/>
              </w:rPr>
            </w:pPr>
            <w:r w:rsidRPr="00691ABD">
              <w:rPr>
                <w:sz w:val="20"/>
                <w:szCs w:val="20"/>
                <w:lang w:val="fr-CA" w:eastAsia="en-CA"/>
              </w:rPr>
              <w:t>250</w:t>
            </w:r>
            <w:r>
              <w:rPr>
                <w:sz w:val="20"/>
                <w:szCs w:val="20"/>
                <w:lang w:val="fr-CA" w:eastAsia="en-CA"/>
              </w:rPr>
              <w:t xml:space="preserve"> </w:t>
            </w:r>
            <w:r w:rsidRPr="00691ABD">
              <w:rPr>
                <w:sz w:val="20"/>
                <w:szCs w:val="20"/>
                <w:lang w:val="fr-CA" w:eastAsia="en-CA"/>
              </w:rPr>
              <w:t>178</w:t>
            </w:r>
          </w:p>
        </w:tc>
        <w:tc>
          <w:tcPr>
            <w:tcW w:w="1276" w:type="dxa"/>
            <w:tcBorders>
              <w:top w:val="nil"/>
              <w:left w:val="nil"/>
              <w:bottom w:val="single" w:sz="4" w:space="0" w:color="auto"/>
              <w:right w:val="single" w:sz="4" w:space="0" w:color="auto"/>
            </w:tcBorders>
            <w:shd w:val="clear" w:color="auto" w:fill="auto"/>
            <w:noWrap/>
            <w:hideMark/>
          </w:tcPr>
          <w:p w14:paraId="184B9E59" w14:textId="77777777" w:rsidR="00A325C8" w:rsidRPr="00691ABD" w:rsidRDefault="00A325C8" w:rsidP="001E39EE">
            <w:pPr>
              <w:jc w:val="right"/>
              <w:rPr>
                <w:sz w:val="20"/>
                <w:szCs w:val="20"/>
                <w:lang w:val="fr-CA" w:eastAsia="en-CA"/>
              </w:rPr>
            </w:pPr>
            <w:r w:rsidRPr="00691ABD">
              <w:rPr>
                <w:sz w:val="20"/>
                <w:szCs w:val="20"/>
                <w:lang w:val="fr-CA" w:eastAsia="en-CA"/>
              </w:rPr>
              <w:t>179</w:t>
            </w:r>
            <w:r>
              <w:rPr>
                <w:sz w:val="20"/>
                <w:szCs w:val="20"/>
                <w:lang w:val="fr-CA" w:eastAsia="en-CA"/>
              </w:rPr>
              <w:t xml:space="preserve"> </w:t>
            </w:r>
            <w:r w:rsidRPr="00691ABD">
              <w:rPr>
                <w:sz w:val="20"/>
                <w:szCs w:val="20"/>
                <w:lang w:val="fr-CA" w:eastAsia="en-CA"/>
              </w:rPr>
              <w:t>771</w:t>
            </w:r>
          </w:p>
        </w:tc>
        <w:tc>
          <w:tcPr>
            <w:tcW w:w="1250" w:type="dxa"/>
            <w:tcBorders>
              <w:top w:val="nil"/>
              <w:left w:val="nil"/>
              <w:bottom w:val="single" w:sz="4" w:space="0" w:color="auto"/>
              <w:right w:val="single" w:sz="4" w:space="0" w:color="auto"/>
            </w:tcBorders>
            <w:shd w:val="clear" w:color="auto" w:fill="auto"/>
            <w:noWrap/>
            <w:hideMark/>
          </w:tcPr>
          <w:p w14:paraId="28066804" w14:textId="77777777" w:rsidR="00A325C8" w:rsidRPr="00691ABD" w:rsidRDefault="00A325C8" w:rsidP="001E39EE">
            <w:pPr>
              <w:jc w:val="right"/>
              <w:rPr>
                <w:sz w:val="20"/>
                <w:szCs w:val="20"/>
                <w:lang w:val="fr-CA" w:eastAsia="en-CA"/>
              </w:rPr>
            </w:pPr>
            <w:r w:rsidRPr="00691ABD">
              <w:rPr>
                <w:sz w:val="20"/>
                <w:szCs w:val="20"/>
                <w:lang w:val="fr-CA" w:eastAsia="en-CA"/>
              </w:rPr>
              <w:t>70</w:t>
            </w:r>
            <w:r>
              <w:rPr>
                <w:sz w:val="20"/>
                <w:szCs w:val="20"/>
                <w:lang w:val="fr-CA" w:eastAsia="en-CA"/>
              </w:rPr>
              <w:t xml:space="preserve"> </w:t>
            </w:r>
            <w:r w:rsidRPr="00691ABD">
              <w:rPr>
                <w:sz w:val="20"/>
                <w:szCs w:val="20"/>
                <w:lang w:val="fr-CA" w:eastAsia="en-CA"/>
              </w:rPr>
              <w:t>407</w:t>
            </w:r>
          </w:p>
        </w:tc>
        <w:tc>
          <w:tcPr>
            <w:tcW w:w="1050" w:type="dxa"/>
            <w:tcBorders>
              <w:top w:val="nil"/>
              <w:left w:val="nil"/>
              <w:bottom w:val="single" w:sz="4" w:space="0" w:color="auto"/>
              <w:right w:val="single" w:sz="4" w:space="0" w:color="auto"/>
            </w:tcBorders>
            <w:shd w:val="clear" w:color="auto" w:fill="auto"/>
            <w:noWrap/>
            <w:hideMark/>
          </w:tcPr>
          <w:p w14:paraId="18D13753" w14:textId="77777777" w:rsidR="00A325C8" w:rsidRPr="00691ABD" w:rsidRDefault="00A325C8" w:rsidP="001E39EE">
            <w:pPr>
              <w:jc w:val="right"/>
              <w:rPr>
                <w:sz w:val="20"/>
                <w:szCs w:val="20"/>
                <w:lang w:val="fr-CA" w:eastAsia="en-CA"/>
              </w:rPr>
            </w:pPr>
            <w:r w:rsidRPr="00691ABD">
              <w:rPr>
                <w:sz w:val="20"/>
                <w:szCs w:val="20"/>
                <w:lang w:val="fr-CA" w:eastAsia="en-CA"/>
              </w:rPr>
              <w:t>72</w:t>
            </w:r>
          </w:p>
        </w:tc>
      </w:tr>
      <w:tr w:rsidR="00A325C8" w:rsidRPr="00691ABD" w14:paraId="411863B7"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A438D8F" w14:textId="77777777" w:rsidR="00A325C8" w:rsidRPr="00691ABD" w:rsidRDefault="00A325C8" w:rsidP="001E39EE">
            <w:pPr>
              <w:jc w:val="left"/>
              <w:rPr>
                <w:sz w:val="20"/>
                <w:szCs w:val="20"/>
                <w:lang w:val="fr-CA" w:eastAsia="en-CA"/>
              </w:rPr>
            </w:pPr>
            <w:r w:rsidRPr="00691ABD">
              <w:rPr>
                <w:sz w:val="20"/>
                <w:szCs w:val="20"/>
                <w:lang w:val="fr-CA" w:eastAsia="en-CA"/>
              </w:rPr>
              <w:t>Belize</w:t>
            </w:r>
          </w:p>
        </w:tc>
        <w:tc>
          <w:tcPr>
            <w:tcW w:w="1295" w:type="dxa"/>
            <w:tcBorders>
              <w:top w:val="nil"/>
              <w:left w:val="nil"/>
              <w:bottom w:val="single" w:sz="4" w:space="0" w:color="auto"/>
              <w:right w:val="single" w:sz="4" w:space="0" w:color="auto"/>
            </w:tcBorders>
            <w:shd w:val="clear" w:color="auto" w:fill="auto"/>
            <w:noWrap/>
            <w:hideMark/>
          </w:tcPr>
          <w:p w14:paraId="7C9A6151"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49944D5F" w14:textId="77777777" w:rsidR="00A325C8" w:rsidRPr="00691ABD" w:rsidRDefault="00A325C8" w:rsidP="001E39EE">
            <w:pPr>
              <w:jc w:val="right"/>
              <w:rPr>
                <w:sz w:val="20"/>
                <w:szCs w:val="20"/>
                <w:lang w:val="fr-CA" w:eastAsia="en-CA"/>
              </w:rPr>
            </w:pPr>
            <w:r w:rsidRPr="00691ABD">
              <w:rPr>
                <w:sz w:val="20"/>
                <w:szCs w:val="20"/>
                <w:lang w:val="fr-CA" w:eastAsia="en-CA"/>
              </w:rPr>
              <w:t>236</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5969138C" w14:textId="77777777" w:rsidR="00A325C8" w:rsidRPr="00691ABD" w:rsidRDefault="00A325C8" w:rsidP="001E39EE">
            <w:pPr>
              <w:jc w:val="right"/>
              <w:rPr>
                <w:sz w:val="20"/>
                <w:szCs w:val="20"/>
                <w:lang w:val="fr-CA" w:eastAsia="en-CA"/>
              </w:rPr>
            </w:pPr>
            <w:r w:rsidRPr="00691ABD">
              <w:rPr>
                <w:sz w:val="20"/>
                <w:szCs w:val="20"/>
                <w:lang w:val="fr-CA" w:eastAsia="en-CA"/>
              </w:rPr>
              <w:t>236</w:t>
            </w:r>
            <w:r>
              <w:rPr>
                <w:sz w:val="20"/>
                <w:szCs w:val="20"/>
                <w:lang w:val="fr-CA" w:eastAsia="en-CA"/>
              </w:rPr>
              <w:t xml:space="preserve"> </w:t>
            </w:r>
            <w:r w:rsidRPr="00691ABD">
              <w:rPr>
                <w:sz w:val="20"/>
                <w:szCs w:val="20"/>
                <w:lang w:val="fr-CA" w:eastAsia="en-CA"/>
              </w:rPr>
              <w:t>000</w:t>
            </w:r>
          </w:p>
        </w:tc>
        <w:tc>
          <w:tcPr>
            <w:tcW w:w="1250" w:type="dxa"/>
            <w:tcBorders>
              <w:top w:val="nil"/>
              <w:left w:val="nil"/>
              <w:bottom w:val="single" w:sz="4" w:space="0" w:color="auto"/>
              <w:right w:val="single" w:sz="4" w:space="0" w:color="auto"/>
            </w:tcBorders>
            <w:shd w:val="clear" w:color="auto" w:fill="auto"/>
            <w:noWrap/>
            <w:hideMark/>
          </w:tcPr>
          <w:p w14:paraId="2F1FBA20" w14:textId="77777777" w:rsidR="00A325C8" w:rsidRPr="00691ABD" w:rsidRDefault="00A325C8" w:rsidP="001E39EE">
            <w:pPr>
              <w:jc w:val="right"/>
              <w:rPr>
                <w:sz w:val="20"/>
                <w:szCs w:val="20"/>
                <w:lang w:val="fr-CA" w:eastAsia="en-CA"/>
              </w:rPr>
            </w:pPr>
            <w:r w:rsidRPr="00691ABD">
              <w:rPr>
                <w:sz w:val="20"/>
                <w:szCs w:val="20"/>
                <w:lang w:val="fr-CA" w:eastAsia="en-CA"/>
              </w:rPr>
              <w:t>0</w:t>
            </w:r>
          </w:p>
        </w:tc>
        <w:tc>
          <w:tcPr>
            <w:tcW w:w="1050" w:type="dxa"/>
            <w:tcBorders>
              <w:top w:val="nil"/>
              <w:left w:val="nil"/>
              <w:bottom w:val="single" w:sz="4" w:space="0" w:color="auto"/>
              <w:right w:val="single" w:sz="4" w:space="0" w:color="auto"/>
            </w:tcBorders>
            <w:shd w:val="clear" w:color="auto" w:fill="auto"/>
            <w:noWrap/>
            <w:hideMark/>
          </w:tcPr>
          <w:p w14:paraId="6F34366A" w14:textId="77777777" w:rsidR="00A325C8" w:rsidRPr="00691ABD" w:rsidRDefault="00A325C8" w:rsidP="001E39EE">
            <w:pPr>
              <w:jc w:val="right"/>
              <w:rPr>
                <w:sz w:val="20"/>
                <w:szCs w:val="20"/>
                <w:lang w:val="fr-CA" w:eastAsia="en-CA"/>
              </w:rPr>
            </w:pPr>
            <w:r w:rsidRPr="00691ABD">
              <w:rPr>
                <w:sz w:val="20"/>
                <w:szCs w:val="20"/>
                <w:lang w:val="fr-CA" w:eastAsia="en-CA"/>
              </w:rPr>
              <w:t>100</w:t>
            </w:r>
          </w:p>
        </w:tc>
      </w:tr>
      <w:tr w:rsidR="00A325C8" w:rsidRPr="00691ABD" w14:paraId="48F87D18" w14:textId="77777777" w:rsidTr="00691ABD">
        <w:trPr>
          <w:trHeight w:val="81"/>
        </w:trPr>
        <w:tc>
          <w:tcPr>
            <w:tcW w:w="3828" w:type="dxa"/>
            <w:tcBorders>
              <w:top w:val="nil"/>
              <w:left w:val="single" w:sz="4" w:space="0" w:color="auto"/>
              <w:bottom w:val="single" w:sz="4" w:space="0" w:color="auto"/>
              <w:right w:val="single" w:sz="4" w:space="0" w:color="auto"/>
            </w:tcBorders>
            <w:shd w:val="clear" w:color="auto" w:fill="auto"/>
            <w:noWrap/>
            <w:hideMark/>
          </w:tcPr>
          <w:p w14:paraId="5FB629D6" w14:textId="77777777" w:rsidR="00A325C8" w:rsidRPr="00691ABD" w:rsidRDefault="00A325C8" w:rsidP="001E39EE">
            <w:pPr>
              <w:jc w:val="left"/>
              <w:rPr>
                <w:sz w:val="20"/>
                <w:szCs w:val="20"/>
                <w:lang w:val="fr-CA" w:eastAsia="en-CA"/>
              </w:rPr>
            </w:pPr>
            <w:r>
              <w:rPr>
                <w:sz w:val="20"/>
                <w:szCs w:val="20"/>
                <w:lang w:val="fr-CA" w:eastAsia="en-CA"/>
              </w:rPr>
              <w:t>Bénin</w:t>
            </w:r>
          </w:p>
        </w:tc>
        <w:tc>
          <w:tcPr>
            <w:tcW w:w="1295" w:type="dxa"/>
            <w:tcBorders>
              <w:top w:val="nil"/>
              <w:left w:val="nil"/>
              <w:bottom w:val="single" w:sz="4" w:space="0" w:color="auto"/>
              <w:right w:val="single" w:sz="4" w:space="0" w:color="auto"/>
            </w:tcBorders>
            <w:shd w:val="clear" w:color="auto" w:fill="auto"/>
            <w:noWrap/>
            <w:hideMark/>
          </w:tcPr>
          <w:p w14:paraId="6A6FE615" w14:textId="77777777" w:rsidR="00A325C8" w:rsidRPr="00691ABD" w:rsidRDefault="00A325C8" w:rsidP="001E39EE">
            <w:pPr>
              <w:jc w:val="right"/>
              <w:rPr>
                <w:sz w:val="20"/>
                <w:szCs w:val="20"/>
                <w:lang w:val="fr-CA" w:eastAsia="en-CA"/>
              </w:rPr>
            </w:pPr>
            <w:r w:rsidRPr="00691ABD">
              <w:rPr>
                <w:sz w:val="20"/>
                <w:szCs w:val="20"/>
                <w:lang w:val="fr-CA" w:eastAsia="en-CA"/>
              </w:rPr>
              <w:t>8</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61DAB0AF" w14:textId="77777777" w:rsidR="00A325C8" w:rsidRPr="00691ABD" w:rsidRDefault="00A325C8" w:rsidP="001E39EE">
            <w:pPr>
              <w:jc w:val="right"/>
              <w:rPr>
                <w:sz w:val="20"/>
                <w:szCs w:val="20"/>
                <w:lang w:val="fr-CA" w:eastAsia="en-CA"/>
              </w:rPr>
            </w:pPr>
            <w:r w:rsidRPr="00691ABD">
              <w:rPr>
                <w:sz w:val="20"/>
                <w:szCs w:val="20"/>
                <w:lang w:val="fr-CA" w:eastAsia="en-CA"/>
              </w:rPr>
              <w:t>565</w:t>
            </w:r>
            <w:r>
              <w:rPr>
                <w:sz w:val="20"/>
                <w:szCs w:val="20"/>
                <w:lang w:val="fr-CA" w:eastAsia="en-CA"/>
              </w:rPr>
              <w:t xml:space="preserve"> </w:t>
            </w:r>
            <w:r w:rsidRPr="00691ABD">
              <w:rPr>
                <w:sz w:val="20"/>
                <w:szCs w:val="20"/>
                <w:lang w:val="fr-CA" w:eastAsia="en-CA"/>
              </w:rPr>
              <w:t>828</w:t>
            </w:r>
          </w:p>
        </w:tc>
        <w:tc>
          <w:tcPr>
            <w:tcW w:w="1276" w:type="dxa"/>
            <w:tcBorders>
              <w:top w:val="nil"/>
              <w:left w:val="nil"/>
              <w:bottom w:val="single" w:sz="4" w:space="0" w:color="auto"/>
              <w:right w:val="single" w:sz="4" w:space="0" w:color="auto"/>
            </w:tcBorders>
            <w:shd w:val="clear" w:color="auto" w:fill="auto"/>
            <w:noWrap/>
            <w:hideMark/>
          </w:tcPr>
          <w:p w14:paraId="1DB9097C" w14:textId="77777777" w:rsidR="00A325C8" w:rsidRPr="00691ABD" w:rsidRDefault="00A325C8" w:rsidP="001E39EE">
            <w:pPr>
              <w:jc w:val="right"/>
              <w:rPr>
                <w:sz w:val="20"/>
                <w:szCs w:val="20"/>
                <w:lang w:val="fr-CA" w:eastAsia="en-CA"/>
              </w:rPr>
            </w:pPr>
            <w:r w:rsidRPr="00691ABD">
              <w:rPr>
                <w:sz w:val="20"/>
                <w:szCs w:val="20"/>
                <w:lang w:val="fr-CA" w:eastAsia="en-CA"/>
              </w:rPr>
              <w:t>565</w:t>
            </w:r>
            <w:r>
              <w:rPr>
                <w:sz w:val="20"/>
                <w:szCs w:val="20"/>
                <w:lang w:val="fr-CA" w:eastAsia="en-CA"/>
              </w:rPr>
              <w:t xml:space="preserve"> </w:t>
            </w:r>
            <w:r w:rsidRPr="00691ABD">
              <w:rPr>
                <w:sz w:val="20"/>
                <w:szCs w:val="20"/>
                <w:lang w:val="fr-CA" w:eastAsia="en-CA"/>
              </w:rPr>
              <w:t>819</w:t>
            </w:r>
          </w:p>
        </w:tc>
        <w:tc>
          <w:tcPr>
            <w:tcW w:w="1250" w:type="dxa"/>
            <w:tcBorders>
              <w:top w:val="nil"/>
              <w:left w:val="nil"/>
              <w:bottom w:val="single" w:sz="4" w:space="0" w:color="auto"/>
              <w:right w:val="single" w:sz="4" w:space="0" w:color="auto"/>
            </w:tcBorders>
            <w:shd w:val="clear" w:color="auto" w:fill="auto"/>
            <w:noWrap/>
            <w:hideMark/>
          </w:tcPr>
          <w:p w14:paraId="5EADA0B4" w14:textId="77777777" w:rsidR="00A325C8" w:rsidRPr="00691ABD" w:rsidRDefault="00A325C8" w:rsidP="001E39EE">
            <w:pPr>
              <w:jc w:val="right"/>
              <w:rPr>
                <w:sz w:val="20"/>
                <w:szCs w:val="20"/>
                <w:lang w:val="fr-CA" w:eastAsia="en-CA"/>
              </w:rPr>
            </w:pPr>
            <w:r w:rsidRPr="00691ABD">
              <w:rPr>
                <w:sz w:val="20"/>
                <w:szCs w:val="20"/>
                <w:lang w:val="fr-CA" w:eastAsia="en-CA"/>
              </w:rPr>
              <w:t>9</w:t>
            </w:r>
          </w:p>
        </w:tc>
        <w:tc>
          <w:tcPr>
            <w:tcW w:w="1050" w:type="dxa"/>
            <w:tcBorders>
              <w:top w:val="nil"/>
              <w:left w:val="nil"/>
              <w:bottom w:val="single" w:sz="4" w:space="0" w:color="auto"/>
              <w:right w:val="single" w:sz="4" w:space="0" w:color="auto"/>
            </w:tcBorders>
            <w:shd w:val="clear" w:color="auto" w:fill="auto"/>
            <w:noWrap/>
            <w:hideMark/>
          </w:tcPr>
          <w:p w14:paraId="45FAFE3E" w14:textId="77777777" w:rsidR="00A325C8" w:rsidRPr="00691ABD" w:rsidRDefault="00A325C8" w:rsidP="001E39EE">
            <w:pPr>
              <w:jc w:val="right"/>
              <w:rPr>
                <w:sz w:val="20"/>
                <w:szCs w:val="20"/>
                <w:lang w:val="fr-CA" w:eastAsia="en-CA"/>
              </w:rPr>
            </w:pPr>
            <w:r w:rsidRPr="00691ABD">
              <w:rPr>
                <w:sz w:val="20"/>
                <w:szCs w:val="20"/>
                <w:lang w:val="fr-CA" w:eastAsia="en-CA"/>
              </w:rPr>
              <w:t>100</w:t>
            </w:r>
          </w:p>
        </w:tc>
      </w:tr>
      <w:tr w:rsidR="00A325C8" w:rsidRPr="00691ABD" w14:paraId="6693502D" w14:textId="77777777" w:rsidTr="00691ABD">
        <w:trPr>
          <w:trHeight w:val="127"/>
        </w:trPr>
        <w:tc>
          <w:tcPr>
            <w:tcW w:w="3828" w:type="dxa"/>
            <w:tcBorders>
              <w:top w:val="nil"/>
              <w:left w:val="single" w:sz="4" w:space="0" w:color="auto"/>
              <w:bottom w:val="single" w:sz="4" w:space="0" w:color="auto"/>
              <w:right w:val="single" w:sz="4" w:space="0" w:color="auto"/>
            </w:tcBorders>
            <w:shd w:val="clear" w:color="auto" w:fill="auto"/>
            <w:noWrap/>
            <w:hideMark/>
          </w:tcPr>
          <w:p w14:paraId="7FE3E31F" w14:textId="77777777" w:rsidR="00A325C8" w:rsidRPr="00691ABD" w:rsidRDefault="00A325C8" w:rsidP="001E39EE">
            <w:pPr>
              <w:jc w:val="left"/>
              <w:rPr>
                <w:sz w:val="20"/>
                <w:szCs w:val="20"/>
                <w:lang w:val="fr-CA" w:eastAsia="en-CA"/>
              </w:rPr>
            </w:pPr>
            <w:r w:rsidRPr="00691ABD">
              <w:rPr>
                <w:sz w:val="20"/>
                <w:szCs w:val="20"/>
                <w:lang w:val="fr-CA" w:eastAsia="en-CA"/>
              </w:rPr>
              <w:t>Bh</w:t>
            </w:r>
            <w:r>
              <w:rPr>
                <w:sz w:val="20"/>
                <w:szCs w:val="20"/>
                <w:lang w:val="fr-CA" w:eastAsia="en-CA"/>
              </w:rPr>
              <w:t>o</w:t>
            </w:r>
            <w:r w:rsidRPr="00691ABD">
              <w:rPr>
                <w:sz w:val="20"/>
                <w:szCs w:val="20"/>
                <w:lang w:val="fr-CA" w:eastAsia="en-CA"/>
              </w:rPr>
              <w:t>utan</w:t>
            </w:r>
          </w:p>
        </w:tc>
        <w:tc>
          <w:tcPr>
            <w:tcW w:w="1295" w:type="dxa"/>
            <w:tcBorders>
              <w:top w:val="nil"/>
              <w:left w:val="nil"/>
              <w:bottom w:val="single" w:sz="4" w:space="0" w:color="auto"/>
              <w:right w:val="single" w:sz="4" w:space="0" w:color="auto"/>
            </w:tcBorders>
            <w:shd w:val="clear" w:color="auto" w:fill="auto"/>
            <w:noWrap/>
            <w:hideMark/>
          </w:tcPr>
          <w:p w14:paraId="648D218F"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154D4A30" w14:textId="77777777" w:rsidR="00A325C8" w:rsidRPr="00691ABD" w:rsidRDefault="00A325C8" w:rsidP="001E39EE">
            <w:pPr>
              <w:jc w:val="right"/>
              <w:rPr>
                <w:sz w:val="20"/>
                <w:szCs w:val="20"/>
                <w:lang w:val="fr-CA" w:eastAsia="en-CA"/>
              </w:rPr>
            </w:pPr>
            <w:r w:rsidRPr="00691ABD">
              <w:rPr>
                <w:sz w:val="20"/>
                <w:szCs w:val="20"/>
                <w:lang w:val="fr-CA" w:eastAsia="en-CA"/>
              </w:rPr>
              <w:t>423</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5123C1BE" w14:textId="77777777" w:rsidR="00A325C8" w:rsidRPr="00691ABD" w:rsidRDefault="00A325C8" w:rsidP="001E39EE">
            <w:pPr>
              <w:jc w:val="right"/>
              <w:rPr>
                <w:sz w:val="20"/>
                <w:szCs w:val="20"/>
                <w:lang w:val="fr-CA" w:eastAsia="en-CA"/>
              </w:rPr>
            </w:pPr>
            <w:r w:rsidRPr="00691ABD">
              <w:rPr>
                <w:sz w:val="20"/>
                <w:szCs w:val="20"/>
                <w:lang w:val="fr-CA" w:eastAsia="en-CA"/>
              </w:rPr>
              <w:t>384</w:t>
            </w:r>
            <w:r>
              <w:rPr>
                <w:sz w:val="20"/>
                <w:szCs w:val="20"/>
                <w:lang w:val="fr-CA" w:eastAsia="en-CA"/>
              </w:rPr>
              <w:t xml:space="preserve"> </w:t>
            </w:r>
            <w:r w:rsidRPr="00691ABD">
              <w:rPr>
                <w:sz w:val="20"/>
                <w:szCs w:val="20"/>
                <w:lang w:val="fr-CA" w:eastAsia="en-CA"/>
              </w:rPr>
              <w:t>955</w:t>
            </w:r>
          </w:p>
        </w:tc>
        <w:tc>
          <w:tcPr>
            <w:tcW w:w="1250" w:type="dxa"/>
            <w:tcBorders>
              <w:top w:val="nil"/>
              <w:left w:val="nil"/>
              <w:bottom w:val="single" w:sz="4" w:space="0" w:color="auto"/>
              <w:right w:val="single" w:sz="4" w:space="0" w:color="auto"/>
            </w:tcBorders>
            <w:shd w:val="clear" w:color="auto" w:fill="auto"/>
            <w:noWrap/>
            <w:hideMark/>
          </w:tcPr>
          <w:p w14:paraId="63CC799A" w14:textId="77777777" w:rsidR="00A325C8" w:rsidRPr="00691ABD" w:rsidRDefault="00A325C8" w:rsidP="001E39EE">
            <w:pPr>
              <w:jc w:val="right"/>
              <w:rPr>
                <w:sz w:val="20"/>
                <w:szCs w:val="20"/>
                <w:lang w:val="fr-CA" w:eastAsia="en-CA"/>
              </w:rPr>
            </w:pPr>
            <w:r w:rsidRPr="00691ABD">
              <w:rPr>
                <w:sz w:val="20"/>
                <w:szCs w:val="20"/>
                <w:lang w:val="fr-CA" w:eastAsia="en-CA"/>
              </w:rPr>
              <w:t>38</w:t>
            </w:r>
            <w:r>
              <w:rPr>
                <w:sz w:val="20"/>
                <w:szCs w:val="20"/>
                <w:lang w:val="fr-CA" w:eastAsia="en-CA"/>
              </w:rPr>
              <w:t xml:space="preserve"> </w:t>
            </w:r>
            <w:r w:rsidRPr="00691ABD">
              <w:rPr>
                <w:sz w:val="20"/>
                <w:szCs w:val="20"/>
                <w:lang w:val="fr-CA" w:eastAsia="en-CA"/>
              </w:rPr>
              <w:t>045</w:t>
            </w:r>
          </w:p>
        </w:tc>
        <w:tc>
          <w:tcPr>
            <w:tcW w:w="1050" w:type="dxa"/>
            <w:tcBorders>
              <w:top w:val="nil"/>
              <w:left w:val="nil"/>
              <w:bottom w:val="single" w:sz="4" w:space="0" w:color="auto"/>
              <w:right w:val="single" w:sz="4" w:space="0" w:color="auto"/>
            </w:tcBorders>
            <w:shd w:val="clear" w:color="auto" w:fill="auto"/>
            <w:noWrap/>
            <w:hideMark/>
          </w:tcPr>
          <w:p w14:paraId="3661F225" w14:textId="77777777" w:rsidR="00A325C8" w:rsidRPr="00691ABD" w:rsidRDefault="00A325C8" w:rsidP="001E39EE">
            <w:pPr>
              <w:jc w:val="right"/>
              <w:rPr>
                <w:sz w:val="20"/>
                <w:szCs w:val="20"/>
                <w:lang w:val="fr-CA" w:eastAsia="en-CA"/>
              </w:rPr>
            </w:pPr>
            <w:r w:rsidRPr="00691ABD">
              <w:rPr>
                <w:sz w:val="20"/>
                <w:szCs w:val="20"/>
                <w:lang w:val="fr-CA" w:eastAsia="en-CA"/>
              </w:rPr>
              <w:t>91</w:t>
            </w:r>
          </w:p>
        </w:tc>
      </w:tr>
      <w:tr w:rsidR="00A325C8" w:rsidRPr="00691ABD" w14:paraId="6A390163"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C77CD47" w14:textId="77777777" w:rsidR="00A325C8" w:rsidRPr="00691ABD" w:rsidRDefault="00A325C8" w:rsidP="003963ED">
            <w:pPr>
              <w:jc w:val="left"/>
              <w:rPr>
                <w:sz w:val="20"/>
                <w:szCs w:val="20"/>
                <w:lang w:val="fr-CA" w:eastAsia="en-CA"/>
              </w:rPr>
            </w:pPr>
            <w:r>
              <w:rPr>
                <w:sz w:val="20"/>
                <w:szCs w:val="20"/>
                <w:lang w:val="fr-CA" w:eastAsia="en-CA"/>
              </w:rPr>
              <w:t>Bolivie</w:t>
            </w:r>
            <w:r w:rsidRPr="00691ABD">
              <w:rPr>
                <w:sz w:val="20"/>
                <w:szCs w:val="20"/>
                <w:lang w:val="fr-CA" w:eastAsia="en-CA"/>
              </w:rPr>
              <w:t xml:space="preserve"> (</w:t>
            </w:r>
            <w:r>
              <w:rPr>
                <w:sz w:val="20"/>
                <w:szCs w:val="20"/>
                <w:lang w:val="fr-CA" w:eastAsia="en-CA"/>
              </w:rPr>
              <w:t>État plurinational de</w:t>
            </w:r>
            <w:r w:rsidRPr="00691ABD">
              <w:rPr>
                <w:sz w:val="20"/>
                <w:szCs w:val="20"/>
                <w:lang w:val="fr-CA" w:eastAsia="en-CA"/>
              </w:rPr>
              <w:t>)</w:t>
            </w:r>
          </w:p>
        </w:tc>
        <w:tc>
          <w:tcPr>
            <w:tcW w:w="1295" w:type="dxa"/>
            <w:tcBorders>
              <w:top w:val="nil"/>
              <w:left w:val="nil"/>
              <w:bottom w:val="single" w:sz="4" w:space="0" w:color="auto"/>
              <w:right w:val="single" w:sz="4" w:space="0" w:color="auto"/>
            </w:tcBorders>
            <w:shd w:val="clear" w:color="auto" w:fill="auto"/>
            <w:noWrap/>
            <w:hideMark/>
          </w:tcPr>
          <w:p w14:paraId="5B0AEB17"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5</w:t>
            </w:r>
          </w:p>
        </w:tc>
        <w:tc>
          <w:tcPr>
            <w:tcW w:w="1275" w:type="dxa"/>
            <w:tcBorders>
              <w:top w:val="nil"/>
              <w:left w:val="nil"/>
              <w:bottom w:val="single" w:sz="4" w:space="0" w:color="auto"/>
              <w:right w:val="single" w:sz="4" w:space="0" w:color="auto"/>
            </w:tcBorders>
            <w:shd w:val="clear" w:color="auto" w:fill="auto"/>
            <w:noWrap/>
            <w:hideMark/>
          </w:tcPr>
          <w:p w14:paraId="4CE9CA70" w14:textId="77777777" w:rsidR="00A325C8" w:rsidRPr="00691ABD" w:rsidRDefault="00A325C8" w:rsidP="001E39EE">
            <w:pPr>
              <w:jc w:val="right"/>
              <w:rPr>
                <w:sz w:val="20"/>
                <w:szCs w:val="20"/>
                <w:lang w:val="fr-CA" w:eastAsia="en-CA"/>
              </w:rPr>
            </w:pPr>
            <w:r w:rsidRPr="00691ABD">
              <w:rPr>
                <w:sz w:val="20"/>
                <w:szCs w:val="20"/>
                <w:lang w:val="fr-CA" w:eastAsia="en-CA"/>
              </w:rPr>
              <w:t>314</w:t>
            </w:r>
            <w:r>
              <w:rPr>
                <w:sz w:val="20"/>
                <w:szCs w:val="20"/>
                <w:lang w:val="fr-CA" w:eastAsia="en-CA"/>
              </w:rPr>
              <w:t xml:space="preserve"> </w:t>
            </w:r>
            <w:r w:rsidRPr="00691ABD">
              <w:rPr>
                <w:sz w:val="20"/>
                <w:szCs w:val="20"/>
                <w:lang w:val="fr-CA" w:eastAsia="en-CA"/>
              </w:rPr>
              <w:t>548</w:t>
            </w:r>
          </w:p>
        </w:tc>
        <w:tc>
          <w:tcPr>
            <w:tcW w:w="1276" w:type="dxa"/>
            <w:tcBorders>
              <w:top w:val="nil"/>
              <w:left w:val="nil"/>
              <w:bottom w:val="single" w:sz="4" w:space="0" w:color="auto"/>
              <w:right w:val="single" w:sz="4" w:space="0" w:color="auto"/>
            </w:tcBorders>
            <w:shd w:val="clear" w:color="auto" w:fill="auto"/>
            <w:noWrap/>
            <w:hideMark/>
          </w:tcPr>
          <w:p w14:paraId="400818E8" w14:textId="77777777" w:rsidR="00A325C8" w:rsidRPr="00691ABD" w:rsidRDefault="00A325C8" w:rsidP="001E39EE">
            <w:pPr>
              <w:jc w:val="right"/>
              <w:rPr>
                <w:sz w:val="20"/>
                <w:szCs w:val="20"/>
                <w:lang w:val="fr-CA" w:eastAsia="en-CA"/>
              </w:rPr>
            </w:pPr>
            <w:r w:rsidRPr="00691ABD">
              <w:rPr>
                <w:sz w:val="20"/>
                <w:szCs w:val="20"/>
                <w:lang w:val="fr-CA" w:eastAsia="en-CA"/>
              </w:rPr>
              <w:t>278</w:t>
            </w:r>
            <w:r>
              <w:rPr>
                <w:sz w:val="20"/>
                <w:szCs w:val="20"/>
                <w:lang w:val="fr-CA" w:eastAsia="en-CA"/>
              </w:rPr>
              <w:t xml:space="preserve"> </w:t>
            </w:r>
            <w:r w:rsidRPr="00691ABD">
              <w:rPr>
                <w:sz w:val="20"/>
                <w:szCs w:val="20"/>
                <w:lang w:val="fr-CA" w:eastAsia="en-CA"/>
              </w:rPr>
              <w:t>488</w:t>
            </w:r>
          </w:p>
        </w:tc>
        <w:tc>
          <w:tcPr>
            <w:tcW w:w="1250" w:type="dxa"/>
            <w:tcBorders>
              <w:top w:val="nil"/>
              <w:left w:val="nil"/>
              <w:bottom w:val="single" w:sz="4" w:space="0" w:color="auto"/>
              <w:right w:val="single" w:sz="4" w:space="0" w:color="auto"/>
            </w:tcBorders>
            <w:shd w:val="clear" w:color="auto" w:fill="auto"/>
            <w:noWrap/>
            <w:hideMark/>
          </w:tcPr>
          <w:p w14:paraId="11B05D8B" w14:textId="77777777" w:rsidR="00A325C8" w:rsidRPr="00691ABD" w:rsidRDefault="00A325C8" w:rsidP="001E39EE">
            <w:pPr>
              <w:jc w:val="right"/>
              <w:rPr>
                <w:sz w:val="20"/>
                <w:szCs w:val="20"/>
                <w:lang w:val="fr-CA" w:eastAsia="en-CA"/>
              </w:rPr>
            </w:pPr>
            <w:r w:rsidRPr="00691ABD">
              <w:rPr>
                <w:sz w:val="20"/>
                <w:szCs w:val="20"/>
                <w:lang w:val="fr-CA" w:eastAsia="en-CA"/>
              </w:rPr>
              <w:t>36</w:t>
            </w:r>
            <w:r>
              <w:rPr>
                <w:sz w:val="20"/>
                <w:szCs w:val="20"/>
                <w:lang w:val="fr-CA" w:eastAsia="en-CA"/>
              </w:rPr>
              <w:t xml:space="preserve"> </w:t>
            </w:r>
            <w:r w:rsidRPr="00691ABD">
              <w:rPr>
                <w:sz w:val="20"/>
                <w:szCs w:val="20"/>
                <w:lang w:val="fr-CA" w:eastAsia="en-CA"/>
              </w:rPr>
              <w:t>060</w:t>
            </w:r>
          </w:p>
        </w:tc>
        <w:tc>
          <w:tcPr>
            <w:tcW w:w="1050" w:type="dxa"/>
            <w:tcBorders>
              <w:top w:val="nil"/>
              <w:left w:val="nil"/>
              <w:bottom w:val="single" w:sz="4" w:space="0" w:color="auto"/>
              <w:right w:val="single" w:sz="4" w:space="0" w:color="auto"/>
            </w:tcBorders>
            <w:shd w:val="clear" w:color="auto" w:fill="auto"/>
            <w:noWrap/>
            <w:hideMark/>
          </w:tcPr>
          <w:p w14:paraId="36014822" w14:textId="77777777" w:rsidR="00A325C8" w:rsidRPr="00691ABD" w:rsidRDefault="00A325C8" w:rsidP="001E39EE">
            <w:pPr>
              <w:jc w:val="right"/>
              <w:rPr>
                <w:sz w:val="20"/>
                <w:szCs w:val="20"/>
                <w:lang w:val="fr-CA" w:eastAsia="en-CA"/>
              </w:rPr>
            </w:pPr>
            <w:r w:rsidRPr="00691ABD">
              <w:rPr>
                <w:sz w:val="20"/>
                <w:szCs w:val="20"/>
                <w:lang w:val="fr-CA" w:eastAsia="en-CA"/>
              </w:rPr>
              <w:t>89</w:t>
            </w:r>
          </w:p>
        </w:tc>
      </w:tr>
      <w:tr w:rsidR="00A325C8" w:rsidRPr="00691ABD" w14:paraId="13EFDCE2" w14:textId="77777777" w:rsidTr="00691ABD">
        <w:trPr>
          <w:trHeight w:val="77"/>
        </w:trPr>
        <w:tc>
          <w:tcPr>
            <w:tcW w:w="3828" w:type="dxa"/>
            <w:tcBorders>
              <w:top w:val="nil"/>
              <w:left w:val="single" w:sz="4" w:space="0" w:color="auto"/>
              <w:bottom w:val="single" w:sz="4" w:space="0" w:color="auto"/>
              <w:right w:val="single" w:sz="4" w:space="0" w:color="auto"/>
            </w:tcBorders>
            <w:shd w:val="clear" w:color="auto" w:fill="auto"/>
            <w:noWrap/>
            <w:hideMark/>
          </w:tcPr>
          <w:p w14:paraId="27F72648" w14:textId="77777777" w:rsidR="00A325C8" w:rsidRPr="00691ABD" w:rsidRDefault="00A325C8" w:rsidP="003963ED">
            <w:pPr>
              <w:jc w:val="left"/>
              <w:rPr>
                <w:sz w:val="20"/>
                <w:szCs w:val="20"/>
                <w:lang w:val="fr-CA" w:eastAsia="en-CA"/>
              </w:rPr>
            </w:pPr>
            <w:r w:rsidRPr="00691ABD">
              <w:rPr>
                <w:sz w:val="20"/>
                <w:szCs w:val="20"/>
                <w:lang w:val="fr-CA" w:eastAsia="en-CA"/>
              </w:rPr>
              <w:t>Bosni</w:t>
            </w:r>
            <w:r>
              <w:rPr>
                <w:sz w:val="20"/>
                <w:szCs w:val="20"/>
                <w:lang w:val="fr-CA" w:eastAsia="en-CA"/>
              </w:rPr>
              <w:t>e-Herzégovine</w:t>
            </w:r>
          </w:p>
        </w:tc>
        <w:tc>
          <w:tcPr>
            <w:tcW w:w="1295" w:type="dxa"/>
            <w:tcBorders>
              <w:top w:val="nil"/>
              <w:left w:val="nil"/>
              <w:bottom w:val="single" w:sz="4" w:space="0" w:color="auto"/>
              <w:right w:val="single" w:sz="4" w:space="0" w:color="auto"/>
            </w:tcBorders>
            <w:shd w:val="clear" w:color="auto" w:fill="auto"/>
            <w:noWrap/>
            <w:hideMark/>
          </w:tcPr>
          <w:p w14:paraId="4F846089" w14:textId="77777777" w:rsidR="00A325C8" w:rsidRPr="00691ABD" w:rsidRDefault="00A325C8" w:rsidP="001E39EE">
            <w:pPr>
              <w:jc w:val="right"/>
              <w:rPr>
                <w:sz w:val="20"/>
                <w:szCs w:val="20"/>
                <w:lang w:val="fr-CA" w:eastAsia="en-CA"/>
              </w:rPr>
            </w:pPr>
            <w:r w:rsidRPr="00691ABD">
              <w:rPr>
                <w:sz w:val="20"/>
                <w:szCs w:val="20"/>
                <w:lang w:val="fr-CA" w:eastAsia="en-CA"/>
              </w:rPr>
              <w:t>6</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24785372" w14:textId="77777777" w:rsidR="00A325C8" w:rsidRPr="00691ABD" w:rsidRDefault="00A325C8" w:rsidP="001E39EE">
            <w:pPr>
              <w:jc w:val="right"/>
              <w:rPr>
                <w:sz w:val="20"/>
                <w:szCs w:val="20"/>
                <w:lang w:val="fr-CA" w:eastAsia="en-CA"/>
              </w:rPr>
            </w:pPr>
            <w:r w:rsidRPr="00691ABD">
              <w:rPr>
                <w:sz w:val="20"/>
                <w:szCs w:val="20"/>
                <w:lang w:val="fr-CA" w:eastAsia="en-CA"/>
              </w:rPr>
              <w:t>908</w:t>
            </w:r>
            <w:r>
              <w:rPr>
                <w:sz w:val="20"/>
                <w:szCs w:val="20"/>
                <w:lang w:val="fr-CA" w:eastAsia="en-CA"/>
              </w:rPr>
              <w:t xml:space="preserve"> </w:t>
            </w:r>
            <w:r w:rsidRPr="00691ABD">
              <w:rPr>
                <w:sz w:val="20"/>
                <w:szCs w:val="20"/>
                <w:lang w:val="fr-CA" w:eastAsia="en-CA"/>
              </w:rPr>
              <w:t>645</w:t>
            </w:r>
          </w:p>
        </w:tc>
        <w:tc>
          <w:tcPr>
            <w:tcW w:w="1276" w:type="dxa"/>
            <w:tcBorders>
              <w:top w:val="nil"/>
              <w:left w:val="nil"/>
              <w:bottom w:val="single" w:sz="4" w:space="0" w:color="auto"/>
              <w:right w:val="single" w:sz="4" w:space="0" w:color="auto"/>
            </w:tcBorders>
            <w:shd w:val="clear" w:color="auto" w:fill="auto"/>
            <w:noWrap/>
            <w:hideMark/>
          </w:tcPr>
          <w:p w14:paraId="3725F091" w14:textId="77777777" w:rsidR="00A325C8" w:rsidRPr="00691ABD" w:rsidRDefault="00A325C8" w:rsidP="001E39EE">
            <w:pPr>
              <w:jc w:val="right"/>
              <w:rPr>
                <w:sz w:val="20"/>
                <w:szCs w:val="20"/>
                <w:lang w:val="fr-CA" w:eastAsia="en-CA"/>
              </w:rPr>
            </w:pPr>
            <w:r w:rsidRPr="00691ABD">
              <w:rPr>
                <w:sz w:val="20"/>
                <w:szCs w:val="20"/>
                <w:lang w:val="fr-CA" w:eastAsia="en-CA"/>
              </w:rPr>
              <w:t>851</w:t>
            </w:r>
            <w:r>
              <w:rPr>
                <w:sz w:val="20"/>
                <w:szCs w:val="20"/>
                <w:lang w:val="fr-CA" w:eastAsia="en-CA"/>
              </w:rPr>
              <w:t xml:space="preserve"> </w:t>
            </w:r>
            <w:r w:rsidRPr="00691ABD">
              <w:rPr>
                <w:sz w:val="20"/>
                <w:szCs w:val="20"/>
                <w:lang w:val="fr-CA" w:eastAsia="en-CA"/>
              </w:rPr>
              <w:t>833</w:t>
            </w:r>
          </w:p>
        </w:tc>
        <w:tc>
          <w:tcPr>
            <w:tcW w:w="1250" w:type="dxa"/>
            <w:tcBorders>
              <w:top w:val="nil"/>
              <w:left w:val="nil"/>
              <w:bottom w:val="single" w:sz="4" w:space="0" w:color="auto"/>
              <w:right w:val="single" w:sz="4" w:space="0" w:color="auto"/>
            </w:tcBorders>
            <w:shd w:val="clear" w:color="auto" w:fill="auto"/>
            <w:noWrap/>
            <w:hideMark/>
          </w:tcPr>
          <w:p w14:paraId="458AAE56" w14:textId="77777777" w:rsidR="00A325C8" w:rsidRPr="00691ABD" w:rsidRDefault="00A325C8" w:rsidP="001E39EE">
            <w:pPr>
              <w:jc w:val="right"/>
              <w:rPr>
                <w:sz w:val="20"/>
                <w:szCs w:val="20"/>
                <w:lang w:val="fr-CA" w:eastAsia="en-CA"/>
              </w:rPr>
            </w:pPr>
            <w:r w:rsidRPr="00691ABD">
              <w:rPr>
                <w:sz w:val="20"/>
                <w:szCs w:val="20"/>
                <w:lang w:val="fr-CA" w:eastAsia="en-CA"/>
              </w:rPr>
              <w:t>56</w:t>
            </w:r>
            <w:r>
              <w:rPr>
                <w:sz w:val="20"/>
                <w:szCs w:val="20"/>
                <w:lang w:val="fr-CA" w:eastAsia="en-CA"/>
              </w:rPr>
              <w:t xml:space="preserve"> </w:t>
            </w:r>
            <w:r w:rsidRPr="00691ABD">
              <w:rPr>
                <w:sz w:val="20"/>
                <w:szCs w:val="20"/>
                <w:lang w:val="fr-CA" w:eastAsia="en-CA"/>
              </w:rPr>
              <w:t>812</w:t>
            </w:r>
          </w:p>
        </w:tc>
        <w:tc>
          <w:tcPr>
            <w:tcW w:w="1050" w:type="dxa"/>
            <w:tcBorders>
              <w:top w:val="nil"/>
              <w:left w:val="nil"/>
              <w:bottom w:val="single" w:sz="4" w:space="0" w:color="auto"/>
              <w:right w:val="single" w:sz="4" w:space="0" w:color="auto"/>
            </w:tcBorders>
            <w:shd w:val="clear" w:color="auto" w:fill="auto"/>
            <w:noWrap/>
            <w:hideMark/>
          </w:tcPr>
          <w:p w14:paraId="744EF3E7" w14:textId="77777777" w:rsidR="00A325C8" w:rsidRPr="00691ABD" w:rsidRDefault="00A325C8" w:rsidP="001E39EE">
            <w:pPr>
              <w:jc w:val="right"/>
              <w:rPr>
                <w:sz w:val="20"/>
                <w:szCs w:val="20"/>
                <w:lang w:val="fr-CA" w:eastAsia="en-CA"/>
              </w:rPr>
            </w:pPr>
            <w:r w:rsidRPr="00691ABD">
              <w:rPr>
                <w:sz w:val="20"/>
                <w:szCs w:val="20"/>
                <w:lang w:val="fr-CA" w:eastAsia="en-CA"/>
              </w:rPr>
              <w:t>94</w:t>
            </w:r>
          </w:p>
        </w:tc>
      </w:tr>
      <w:tr w:rsidR="00A325C8" w:rsidRPr="00691ABD" w14:paraId="21B7D058" w14:textId="77777777" w:rsidTr="00691ABD">
        <w:trPr>
          <w:trHeight w:val="122"/>
        </w:trPr>
        <w:tc>
          <w:tcPr>
            <w:tcW w:w="3828" w:type="dxa"/>
            <w:tcBorders>
              <w:top w:val="nil"/>
              <w:left w:val="single" w:sz="4" w:space="0" w:color="auto"/>
              <w:bottom w:val="single" w:sz="4" w:space="0" w:color="auto"/>
              <w:right w:val="single" w:sz="4" w:space="0" w:color="auto"/>
            </w:tcBorders>
            <w:shd w:val="clear" w:color="auto" w:fill="auto"/>
            <w:noWrap/>
            <w:hideMark/>
          </w:tcPr>
          <w:p w14:paraId="73F9763B" w14:textId="77777777" w:rsidR="00A325C8" w:rsidRPr="00691ABD" w:rsidRDefault="00A325C8" w:rsidP="001E39EE">
            <w:pPr>
              <w:jc w:val="left"/>
              <w:rPr>
                <w:sz w:val="20"/>
                <w:szCs w:val="20"/>
                <w:lang w:val="fr-CA" w:eastAsia="en-CA"/>
              </w:rPr>
            </w:pPr>
            <w:r w:rsidRPr="00691ABD">
              <w:rPr>
                <w:sz w:val="20"/>
                <w:szCs w:val="20"/>
                <w:lang w:val="fr-CA" w:eastAsia="en-CA"/>
              </w:rPr>
              <w:t>Botswana</w:t>
            </w:r>
          </w:p>
        </w:tc>
        <w:tc>
          <w:tcPr>
            <w:tcW w:w="1295" w:type="dxa"/>
            <w:tcBorders>
              <w:top w:val="nil"/>
              <w:left w:val="nil"/>
              <w:bottom w:val="single" w:sz="4" w:space="0" w:color="auto"/>
              <w:right w:val="single" w:sz="4" w:space="0" w:color="auto"/>
            </w:tcBorders>
            <w:shd w:val="clear" w:color="auto" w:fill="auto"/>
            <w:noWrap/>
            <w:hideMark/>
          </w:tcPr>
          <w:p w14:paraId="4439B51D"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w:t>
            </w:r>
            <w:r w:rsidRPr="00691ABD">
              <w:rPr>
                <w:sz w:val="20"/>
                <w:szCs w:val="20"/>
                <w:lang w:val="fr-CA" w:eastAsia="en-CA"/>
              </w:rPr>
              <w:t>8</w:t>
            </w:r>
          </w:p>
        </w:tc>
        <w:tc>
          <w:tcPr>
            <w:tcW w:w="1275" w:type="dxa"/>
            <w:tcBorders>
              <w:top w:val="nil"/>
              <w:left w:val="nil"/>
              <w:bottom w:val="single" w:sz="4" w:space="0" w:color="auto"/>
              <w:right w:val="single" w:sz="4" w:space="0" w:color="auto"/>
            </w:tcBorders>
            <w:shd w:val="clear" w:color="auto" w:fill="auto"/>
            <w:noWrap/>
            <w:hideMark/>
          </w:tcPr>
          <w:p w14:paraId="74E5E0CA" w14:textId="77777777" w:rsidR="00A325C8" w:rsidRPr="00691ABD" w:rsidRDefault="00A325C8" w:rsidP="001E39EE">
            <w:pPr>
              <w:jc w:val="right"/>
              <w:rPr>
                <w:sz w:val="20"/>
                <w:szCs w:val="20"/>
                <w:lang w:val="fr-CA" w:eastAsia="en-CA"/>
              </w:rPr>
            </w:pPr>
            <w:r w:rsidRPr="00691ABD">
              <w:rPr>
                <w:sz w:val="20"/>
                <w:szCs w:val="20"/>
                <w:lang w:val="fr-CA" w:eastAsia="en-CA"/>
              </w:rPr>
              <w:t>810</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31ED9B9F" w14:textId="77777777" w:rsidR="00A325C8" w:rsidRPr="00691ABD" w:rsidRDefault="00A325C8" w:rsidP="001E39EE">
            <w:pPr>
              <w:jc w:val="right"/>
              <w:rPr>
                <w:sz w:val="20"/>
                <w:szCs w:val="20"/>
                <w:lang w:val="fr-CA" w:eastAsia="en-CA"/>
              </w:rPr>
            </w:pPr>
            <w:r w:rsidRPr="00691ABD">
              <w:rPr>
                <w:sz w:val="20"/>
                <w:szCs w:val="20"/>
                <w:lang w:val="fr-CA" w:eastAsia="en-CA"/>
              </w:rPr>
              <w:t>305</w:t>
            </w:r>
            <w:r>
              <w:rPr>
                <w:sz w:val="20"/>
                <w:szCs w:val="20"/>
                <w:lang w:val="fr-CA" w:eastAsia="en-CA"/>
              </w:rPr>
              <w:t xml:space="preserve"> </w:t>
            </w:r>
            <w:r w:rsidRPr="00691ABD">
              <w:rPr>
                <w:sz w:val="20"/>
                <w:szCs w:val="20"/>
                <w:lang w:val="fr-CA" w:eastAsia="en-CA"/>
              </w:rPr>
              <w:t>810</w:t>
            </w:r>
          </w:p>
        </w:tc>
        <w:tc>
          <w:tcPr>
            <w:tcW w:w="1250" w:type="dxa"/>
            <w:tcBorders>
              <w:top w:val="nil"/>
              <w:left w:val="nil"/>
              <w:bottom w:val="single" w:sz="4" w:space="0" w:color="auto"/>
              <w:right w:val="single" w:sz="4" w:space="0" w:color="auto"/>
            </w:tcBorders>
            <w:shd w:val="clear" w:color="auto" w:fill="auto"/>
            <w:noWrap/>
            <w:hideMark/>
          </w:tcPr>
          <w:p w14:paraId="0377EE85" w14:textId="77777777" w:rsidR="00A325C8" w:rsidRPr="00691ABD" w:rsidRDefault="00A325C8" w:rsidP="001E39EE">
            <w:pPr>
              <w:jc w:val="right"/>
              <w:rPr>
                <w:sz w:val="20"/>
                <w:szCs w:val="20"/>
                <w:lang w:val="fr-CA" w:eastAsia="en-CA"/>
              </w:rPr>
            </w:pPr>
            <w:r w:rsidRPr="00691ABD">
              <w:rPr>
                <w:sz w:val="20"/>
                <w:szCs w:val="20"/>
                <w:lang w:val="fr-CA" w:eastAsia="en-CA"/>
              </w:rPr>
              <w:t>504</w:t>
            </w:r>
            <w:r>
              <w:rPr>
                <w:sz w:val="20"/>
                <w:szCs w:val="20"/>
                <w:lang w:val="fr-CA" w:eastAsia="en-CA"/>
              </w:rPr>
              <w:t xml:space="preserve"> </w:t>
            </w:r>
            <w:r w:rsidRPr="00691ABD">
              <w:rPr>
                <w:sz w:val="20"/>
                <w:szCs w:val="20"/>
                <w:lang w:val="fr-CA" w:eastAsia="en-CA"/>
              </w:rPr>
              <w:t>190</w:t>
            </w:r>
          </w:p>
        </w:tc>
        <w:tc>
          <w:tcPr>
            <w:tcW w:w="1050" w:type="dxa"/>
            <w:tcBorders>
              <w:top w:val="nil"/>
              <w:left w:val="nil"/>
              <w:bottom w:val="single" w:sz="4" w:space="0" w:color="auto"/>
              <w:right w:val="single" w:sz="4" w:space="0" w:color="auto"/>
            </w:tcBorders>
            <w:shd w:val="clear" w:color="auto" w:fill="auto"/>
            <w:noWrap/>
            <w:hideMark/>
          </w:tcPr>
          <w:p w14:paraId="2B0609EF" w14:textId="77777777" w:rsidR="00A325C8" w:rsidRPr="00691ABD" w:rsidRDefault="00A325C8" w:rsidP="001E39EE">
            <w:pPr>
              <w:jc w:val="right"/>
              <w:rPr>
                <w:sz w:val="20"/>
                <w:szCs w:val="20"/>
                <w:lang w:val="fr-CA" w:eastAsia="en-CA"/>
              </w:rPr>
            </w:pPr>
            <w:r w:rsidRPr="00691ABD">
              <w:rPr>
                <w:sz w:val="20"/>
                <w:szCs w:val="20"/>
                <w:lang w:val="fr-CA" w:eastAsia="en-CA"/>
              </w:rPr>
              <w:t>38</w:t>
            </w:r>
          </w:p>
        </w:tc>
      </w:tr>
      <w:tr w:rsidR="00A325C8" w:rsidRPr="00691ABD" w14:paraId="6063F27E"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3C0947D" w14:textId="77777777" w:rsidR="00A325C8" w:rsidRPr="00691ABD" w:rsidRDefault="00A325C8" w:rsidP="001E39EE">
            <w:pPr>
              <w:jc w:val="left"/>
              <w:rPr>
                <w:sz w:val="20"/>
                <w:szCs w:val="20"/>
                <w:lang w:val="fr-CA" w:eastAsia="en-CA"/>
              </w:rPr>
            </w:pPr>
            <w:r>
              <w:rPr>
                <w:sz w:val="20"/>
                <w:szCs w:val="20"/>
                <w:lang w:val="fr-CA" w:eastAsia="en-CA"/>
              </w:rPr>
              <w:t>Brésil</w:t>
            </w:r>
          </w:p>
        </w:tc>
        <w:tc>
          <w:tcPr>
            <w:tcW w:w="1295" w:type="dxa"/>
            <w:tcBorders>
              <w:top w:val="nil"/>
              <w:left w:val="nil"/>
              <w:bottom w:val="single" w:sz="4" w:space="0" w:color="auto"/>
              <w:right w:val="single" w:sz="4" w:space="0" w:color="auto"/>
            </w:tcBorders>
            <w:shd w:val="clear" w:color="auto" w:fill="auto"/>
            <w:noWrap/>
            <w:hideMark/>
          </w:tcPr>
          <w:p w14:paraId="2E0D550E" w14:textId="77777777" w:rsidR="00A325C8" w:rsidRPr="00691ABD" w:rsidRDefault="00A325C8" w:rsidP="001E39EE">
            <w:pPr>
              <w:jc w:val="right"/>
              <w:rPr>
                <w:sz w:val="20"/>
                <w:szCs w:val="20"/>
                <w:lang w:val="fr-CA" w:eastAsia="en-CA"/>
              </w:rPr>
            </w:pPr>
            <w:r w:rsidRPr="00691ABD">
              <w:rPr>
                <w:sz w:val="20"/>
                <w:szCs w:val="20"/>
                <w:lang w:val="fr-CA" w:eastAsia="en-CA"/>
              </w:rPr>
              <w:t>485</w:t>
            </w:r>
            <w:r>
              <w:rPr>
                <w:sz w:val="20"/>
                <w:szCs w:val="20"/>
                <w:lang w:val="fr-CA" w:eastAsia="en-CA"/>
              </w:rPr>
              <w:t>,</w:t>
            </w:r>
            <w:r w:rsidRPr="00691ABD">
              <w:rPr>
                <w:sz w:val="20"/>
                <w:szCs w:val="20"/>
                <w:lang w:val="fr-CA" w:eastAsia="en-CA"/>
              </w:rPr>
              <w:t>9</w:t>
            </w:r>
          </w:p>
        </w:tc>
        <w:tc>
          <w:tcPr>
            <w:tcW w:w="1275" w:type="dxa"/>
            <w:tcBorders>
              <w:top w:val="nil"/>
              <w:left w:val="nil"/>
              <w:bottom w:val="single" w:sz="4" w:space="0" w:color="auto"/>
              <w:right w:val="single" w:sz="4" w:space="0" w:color="auto"/>
            </w:tcBorders>
            <w:shd w:val="clear" w:color="auto" w:fill="auto"/>
            <w:noWrap/>
            <w:hideMark/>
          </w:tcPr>
          <w:p w14:paraId="5084C52A" w14:textId="77777777" w:rsidR="00A325C8" w:rsidRPr="00691ABD" w:rsidRDefault="00A325C8" w:rsidP="001E39EE">
            <w:pPr>
              <w:jc w:val="right"/>
              <w:rPr>
                <w:sz w:val="20"/>
                <w:szCs w:val="20"/>
                <w:lang w:val="fr-CA" w:eastAsia="en-CA"/>
              </w:rPr>
            </w:pPr>
            <w:r w:rsidRPr="00691ABD">
              <w:rPr>
                <w:sz w:val="20"/>
                <w:szCs w:val="20"/>
                <w:lang w:val="fr-CA" w:eastAsia="en-CA"/>
              </w:rPr>
              <w:t>41</w:t>
            </w:r>
            <w:r>
              <w:rPr>
                <w:sz w:val="20"/>
                <w:szCs w:val="20"/>
                <w:lang w:val="fr-CA" w:eastAsia="en-CA"/>
              </w:rPr>
              <w:t xml:space="preserve"> </w:t>
            </w:r>
            <w:r w:rsidRPr="00691ABD">
              <w:rPr>
                <w:sz w:val="20"/>
                <w:szCs w:val="20"/>
                <w:lang w:val="fr-CA" w:eastAsia="en-CA"/>
              </w:rPr>
              <w:t>750</w:t>
            </w:r>
            <w:r>
              <w:rPr>
                <w:sz w:val="20"/>
                <w:szCs w:val="20"/>
                <w:lang w:val="fr-CA" w:eastAsia="en-CA"/>
              </w:rPr>
              <w:t xml:space="preserve"> </w:t>
            </w:r>
            <w:r w:rsidRPr="00691ABD">
              <w:rPr>
                <w:sz w:val="20"/>
                <w:szCs w:val="20"/>
                <w:lang w:val="fr-CA" w:eastAsia="en-CA"/>
              </w:rPr>
              <w:t>640</w:t>
            </w:r>
          </w:p>
        </w:tc>
        <w:tc>
          <w:tcPr>
            <w:tcW w:w="1276" w:type="dxa"/>
            <w:tcBorders>
              <w:top w:val="nil"/>
              <w:left w:val="nil"/>
              <w:bottom w:val="single" w:sz="4" w:space="0" w:color="auto"/>
              <w:right w:val="single" w:sz="4" w:space="0" w:color="auto"/>
            </w:tcBorders>
            <w:shd w:val="clear" w:color="auto" w:fill="auto"/>
            <w:noWrap/>
            <w:hideMark/>
          </w:tcPr>
          <w:p w14:paraId="108CB640" w14:textId="77777777" w:rsidR="00A325C8" w:rsidRPr="00691ABD" w:rsidRDefault="00A325C8" w:rsidP="001E39EE">
            <w:pPr>
              <w:jc w:val="right"/>
              <w:rPr>
                <w:sz w:val="20"/>
                <w:szCs w:val="20"/>
                <w:lang w:val="fr-CA" w:eastAsia="en-CA"/>
              </w:rPr>
            </w:pPr>
            <w:r w:rsidRPr="00691ABD">
              <w:rPr>
                <w:sz w:val="20"/>
                <w:szCs w:val="20"/>
                <w:lang w:val="fr-CA" w:eastAsia="en-CA"/>
              </w:rPr>
              <w:t>30</w:t>
            </w:r>
            <w:r>
              <w:rPr>
                <w:sz w:val="20"/>
                <w:szCs w:val="20"/>
                <w:lang w:val="fr-CA" w:eastAsia="en-CA"/>
              </w:rPr>
              <w:t xml:space="preserve"> </w:t>
            </w:r>
            <w:r w:rsidRPr="00691ABD">
              <w:rPr>
                <w:sz w:val="20"/>
                <w:szCs w:val="20"/>
                <w:lang w:val="fr-CA" w:eastAsia="en-CA"/>
              </w:rPr>
              <w:t>549</w:t>
            </w:r>
            <w:r>
              <w:rPr>
                <w:sz w:val="20"/>
                <w:szCs w:val="20"/>
                <w:lang w:val="fr-CA" w:eastAsia="en-CA"/>
              </w:rPr>
              <w:t xml:space="preserve"> </w:t>
            </w:r>
            <w:r w:rsidRPr="00691ABD">
              <w:rPr>
                <w:sz w:val="20"/>
                <w:szCs w:val="20"/>
                <w:lang w:val="fr-CA" w:eastAsia="en-CA"/>
              </w:rPr>
              <w:t>019</w:t>
            </w:r>
          </w:p>
        </w:tc>
        <w:tc>
          <w:tcPr>
            <w:tcW w:w="1250" w:type="dxa"/>
            <w:tcBorders>
              <w:top w:val="nil"/>
              <w:left w:val="nil"/>
              <w:bottom w:val="single" w:sz="4" w:space="0" w:color="auto"/>
              <w:right w:val="single" w:sz="4" w:space="0" w:color="auto"/>
            </w:tcBorders>
            <w:shd w:val="clear" w:color="auto" w:fill="auto"/>
            <w:noWrap/>
            <w:hideMark/>
          </w:tcPr>
          <w:p w14:paraId="01386E80" w14:textId="77777777" w:rsidR="00A325C8" w:rsidRPr="00691ABD" w:rsidRDefault="00A325C8" w:rsidP="001E39EE">
            <w:pPr>
              <w:jc w:val="right"/>
              <w:rPr>
                <w:sz w:val="20"/>
                <w:szCs w:val="20"/>
                <w:lang w:val="fr-CA" w:eastAsia="en-CA"/>
              </w:rPr>
            </w:pPr>
            <w:r w:rsidRPr="00691ABD">
              <w:rPr>
                <w:sz w:val="20"/>
                <w:szCs w:val="20"/>
                <w:lang w:val="fr-CA" w:eastAsia="en-CA"/>
              </w:rPr>
              <w:t>11</w:t>
            </w:r>
            <w:r>
              <w:rPr>
                <w:sz w:val="20"/>
                <w:szCs w:val="20"/>
                <w:lang w:val="fr-CA" w:eastAsia="en-CA"/>
              </w:rPr>
              <w:t xml:space="preserve"> </w:t>
            </w:r>
            <w:r w:rsidRPr="00691ABD">
              <w:rPr>
                <w:sz w:val="20"/>
                <w:szCs w:val="20"/>
                <w:lang w:val="fr-CA" w:eastAsia="en-CA"/>
              </w:rPr>
              <w:t>201</w:t>
            </w:r>
            <w:r>
              <w:rPr>
                <w:sz w:val="20"/>
                <w:szCs w:val="20"/>
                <w:lang w:val="fr-CA" w:eastAsia="en-CA"/>
              </w:rPr>
              <w:t xml:space="preserve"> </w:t>
            </w:r>
            <w:r w:rsidRPr="00691ABD">
              <w:rPr>
                <w:sz w:val="20"/>
                <w:szCs w:val="20"/>
                <w:lang w:val="fr-CA" w:eastAsia="en-CA"/>
              </w:rPr>
              <w:t>621</w:t>
            </w:r>
          </w:p>
        </w:tc>
        <w:tc>
          <w:tcPr>
            <w:tcW w:w="1050" w:type="dxa"/>
            <w:tcBorders>
              <w:top w:val="nil"/>
              <w:left w:val="nil"/>
              <w:bottom w:val="single" w:sz="4" w:space="0" w:color="auto"/>
              <w:right w:val="single" w:sz="4" w:space="0" w:color="auto"/>
            </w:tcBorders>
            <w:shd w:val="clear" w:color="auto" w:fill="auto"/>
            <w:noWrap/>
            <w:hideMark/>
          </w:tcPr>
          <w:p w14:paraId="6CF3CF48" w14:textId="77777777" w:rsidR="00A325C8" w:rsidRPr="00691ABD" w:rsidRDefault="00A325C8" w:rsidP="001E39EE">
            <w:pPr>
              <w:jc w:val="right"/>
              <w:rPr>
                <w:sz w:val="20"/>
                <w:szCs w:val="20"/>
                <w:lang w:val="fr-CA" w:eastAsia="en-CA"/>
              </w:rPr>
            </w:pPr>
            <w:r w:rsidRPr="00691ABD">
              <w:rPr>
                <w:sz w:val="20"/>
                <w:szCs w:val="20"/>
                <w:lang w:val="fr-CA" w:eastAsia="en-CA"/>
              </w:rPr>
              <w:t>73</w:t>
            </w:r>
          </w:p>
        </w:tc>
      </w:tr>
      <w:tr w:rsidR="00A325C8" w:rsidRPr="00691ABD" w14:paraId="77BC828E"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55AC262" w14:textId="77777777" w:rsidR="00A325C8" w:rsidRPr="00691ABD" w:rsidRDefault="00A325C8" w:rsidP="001E39EE">
            <w:pPr>
              <w:jc w:val="left"/>
              <w:rPr>
                <w:sz w:val="20"/>
                <w:szCs w:val="20"/>
                <w:lang w:val="fr-CA" w:eastAsia="en-CA"/>
              </w:rPr>
            </w:pPr>
            <w:r w:rsidRPr="00691ABD">
              <w:rPr>
                <w:sz w:val="20"/>
                <w:szCs w:val="20"/>
                <w:lang w:val="fr-CA" w:eastAsia="en-CA"/>
              </w:rPr>
              <w:t>Brunei Darussalam</w:t>
            </w:r>
          </w:p>
        </w:tc>
        <w:tc>
          <w:tcPr>
            <w:tcW w:w="1295" w:type="dxa"/>
            <w:tcBorders>
              <w:top w:val="nil"/>
              <w:left w:val="nil"/>
              <w:bottom w:val="single" w:sz="4" w:space="0" w:color="auto"/>
              <w:right w:val="single" w:sz="4" w:space="0" w:color="auto"/>
            </w:tcBorders>
            <w:shd w:val="clear" w:color="auto" w:fill="auto"/>
            <w:noWrap/>
            <w:hideMark/>
          </w:tcPr>
          <w:p w14:paraId="35E0180C"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8</w:t>
            </w:r>
          </w:p>
        </w:tc>
        <w:tc>
          <w:tcPr>
            <w:tcW w:w="1275" w:type="dxa"/>
            <w:tcBorders>
              <w:top w:val="nil"/>
              <w:left w:val="nil"/>
              <w:bottom w:val="single" w:sz="4" w:space="0" w:color="auto"/>
              <w:right w:val="single" w:sz="4" w:space="0" w:color="auto"/>
            </w:tcBorders>
            <w:shd w:val="clear" w:color="auto" w:fill="auto"/>
            <w:noWrap/>
            <w:hideMark/>
          </w:tcPr>
          <w:p w14:paraId="7107544E" w14:textId="77777777" w:rsidR="00A325C8" w:rsidRPr="00691ABD" w:rsidRDefault="00A325C8" w:rsidP="001E39EE">
            <w:pPr>
              <w:jc w:val="right"/>
              <w:rPr>
                <w:sz w:val="20"/>
                <w:szCs w:val="20"/>
                <w:lang w:val="fr-CA" w:eastAsia="en-CA"/>
              </w:rPr>
            </w:pPr>
            <w:r w:rsidRPr="00691ABD">
              <w:rPr>
                <w:sz w:val="20"/>
                <w:szCs w:val="20"/>
                <w:lang w:val="fr-CA" w:eastAsia="en-CA"/>
              </w:rPr>
              <w:t>475</w:t>
            </w:r>
            <w:r>
              <w:rPr>
                <w:sz w:val="20"/>
                <w:szCs w:val="20"/>
                <w:lang w:val="fr-CA" w:eastAsia="en-CA"/>
              </w:rPr>
              <w:t xml:space="preserve"> </w:t>
            </w:r>
            <w:r w:rsidRPr="00691ABD">
              <w:rPr>
                <w:sz w:val="20"/>
                <w:szCs w:val="20"/>
                <w:lang w:val="fr-CA" w:eastAsia="en-CA"/>
              </w:rPr>
              <w:t>100</w:t>
            </w:r>
          </w:p>
        </w:tc>
        <w:tc>
          <w:tcPr>
            <w:tcW w:w="1276" w:type="dxa"/>
            <w:tcBorders>
              <w:top w:val="nil"/>
              <w:left w:val="nil"/>
              <w:bottom w:val="single" w:sz="4" w:space="0" w:color="auto"/>
              <w:right w:val="single" w:sz="4" w:space="0" w:color="auto"/>
            </w:tcBorders>
            <w:shd w:val="clear" w:color="auto" w:fill="auto"/>
            <w:noWrap/>
            <w:hideMark/>
          </w:tcPr>
          <w:p w14:paraId="413A2D45" w14:textId="77777777" w:rsidR="00A325C8" w:rsidRPr="00691ABD" w:rsidRDefault="00A325C8" w:rsidP="001E39EE">
            <w:pPr>
              <w:jc w:val="right"/>
              <w:rPr>
                <w:sz w:val="20"/>
                <w:szCs w:val="20"/>
                <w:lang w:val="fr-CA" w:eastAsia="en-CA"/>
              </w:rPr>
            </w:pPr>
            <w:r w:rsidRPr="00691ABD">
              <w:rPr>
                <w:sz w:val="20"/>
                <w:szCs w:val="20"/>
                <w:lang w:val="fr-CA" w:eastAsia="en-CA"/>
              </w:rPr>
              <w:t>268</w:t>
            </w:r>
            <w:r>
              <w:rPr>
                <w:sz w:val="20"/>
                <w:szCs w:val="20"/>
                <w:lang w:val="fr-CA" w:eastAsia="en-CA"/>
              </w:rPr>
              <w:t xml:space="preserve"> </w:t>
            </w:r>
            <w:r w:rsidRPr="00691ABD">
              <w:rPr>
                <w:sz w:val="20"/>
                <w:szCs w:val="20"/>
                <w:lang w:val="fr-CA" w:eastAsia="en-CA"/>
              </w:rPr>
              <w:t>860</w:t>
            </w:r>
          </w:p>
        </w:tc>
        <w:tc>
          <w:tcPr>
            <w:tcW w:w="1250" w:type="dxa"/>
            <w:tcBorders>
              <w:top w:val="nil"/>
              <w:left w:val="nil"/>
              <w:bottom w:val="single" w:sz="4" w:space="0" w:color="auto"/>
              <w:right w:val="single" w:sz="4" w:space="0" w:color="auto"/>
            </w:tcBorders>
            <w:shd w:val="clear" w:color="auto" w:fill="auto"/>
            <w:noWrap/>
            <w:hideMark/>
          </w:tcPr>
          <w:p w14:paraId="6FE7907F" w14:textId="77777777" w:rsidR="00A325C8" w:rsidRPr="00691ABD" w:rsidRDefault="00A325C8" w:rsidP="001E39EE">
            <w:pPr>
              <w:jc w:val="right"/>
              <w:rPr>
                <w:sz w:val="20"/>
                <w:szCs w:val="20"/>
                <w:lang w:val="fr-CA" w:eastAsia="en-CA"/>
              </w:rPr>
            </w:pPr>
            <w:r w:rsidRPr="00691ABD">
              <w:rPr>
                <w:sz w:val="20"/>
                <w:szCs w:val="20"/>
                <w:lang w:val="fr-CA" w:eastAsia="en-CA"/>
              </w:rPr>
              <w:t>206</w:t>
            </w:r>
            <w:r>
              <w:rPr>
                <w:sz w:val="20"/>
                <w:szCs w:val="20"/>
                <w:lang w:val="fr-CA" w:eastAsia="en-CA"/>
              </w:rPr>
              <w:t xml:space="preserve"> </w:t>
            </w:r>
            <w:r w:rsidRPr="00691ABD">
              <w:rPr>
                <w:sz w:val="20"/>
                <w:szCs w:val="20"/>
                <w:lang w:val="fr-CA" w:eastAsia="en-CA"/>
              </w:rPr>
              <w:t>240</w:t>
            </w:r>
          </w:p>
        </w:tc>
        <w:tc>
          <w:tcPr>
            <w:tcW w:w="1050" w:type="dxa"/>
            <w:tcBorders>
              <w:top w:val="nil"/>
              <w:left w:val="nil"/>
              <w:bottom w:val="single" w:sz="4" w:space="0" w:color="auto"/>
              <w:right w:val="single" w:sz="4" w:space="0" w:color="auto"/>
            </w:tcBorders>
            <w:shd w:val="clear" w:color="auto" w:fill="auto"/>
            <w:noWrap/>
            <w:hideMark/>
          </w:tcPr>
          <w:p w14:paraId="219F4F93" w14:textId="77777777" w:rsidR="00A325C8" w:rsidRPr="00691ABD" w:rsidRDefault="00A325C8" w:rsidP="001E39EE">
            <w:pPr>
              <w:jc w:val="right"/>
              <w:rPr>
                <w:sz w:val="20"/>
                <w:szCs w:val="20"/>
                <w:lang w:val="fr-CA" w:eastAsia="en-CA"/>
              </w:rPr>
            </w:pPr>
            <w:r w:rsidRPr="00691ABD">
              <w:rPr>
                <w:sz w:val="20"/>
                <w:szCs w:val="20"/>
                <w:lang w:val="fr-CA" w:eastAsia="en-CA"/>
              </w:rPr>
              <w:t>57</w:t>
            </w:r>
          </w:p>
        </w:tc>
      </w:tr>
      <w:tr w:rsidR="00A325C8" w:rsidRPr="00691ABD" w14:paraId="49809487" w14:textId="77777777" w:rsidTr="00691ABD">
        <w:trPr>
          <w:trHeight w:val="105"/>
        </w:trPr>
        <w:tc>
          <w:tcPr>
            <w:tcW w:w="3828" w:type="dxa"/>
            <w:tcBorders>
              <w:top w:val="nil"/>
              <w:left w:val="single" w:sz="4" w:space="0" w:color="auto"/>
              <w:bottom w:val="single" w:sz="4" w:space="0" w:color="auto"/>
              <w:right w:val="single" w:sz="4" w:space="0" w:color="auto"/>
            </w:tcBorders>
            <w:shd w:val="clear" w:color="auto" w:fill="auto"/>
            <w:noWrap/>
            <w:hideMark/>
          </w:tcPr>
          <w:p w14:paraId="15E97EB8" w14:textId="77777777" w:rsidR="00A325C8" w:rsidRPr="00691ABD" w:rsidRDefault="00A325C8" w:rsidP="001E39EE">
            <w:pPr>
              <w:jc w:val="left"/>
              <w:rPr>
                <w:sz w:val="20"/>
                <w:szCs w:val="20"/>
                <w:lang w:val="fr-CA" w:eastAsia="en-CA"/>
              </w:rPr>
            </w:pPr>
            <w:r w:rsidRPr="00691ABD">
              <w:rPr>
                <w:sz w:val="20"/>
                <w:szCs w:val="20"/>
                <w:lang w:val="fr-CA" w:eastAsia="en-CA"/>
              </w:rPr>
              <w:t>Burkina Faso</w:t>
            </w:r>
          </w:p>
        </w:tc>
        <w:tc>
          <w:tcPr>
            <w:tcW w:w="1295" w:type="dxa"/>
            <w:tcBorders>
              <w:top w:val="nil"/>
              <w:left w:val="nil"/>
              <w:bottom w:val="single" w:sz="4" w:space="0" w:color="auto"/>
              <w:right w:val="single" w:sz="4" w:space="0" w:color="auto"/>
            </w:tcBorders>
            <w:shd w:val="clear" w:color="auto" w:fill="auto"/>
            <w:noWrap/>
            <w:hideMark/>
          </w:tcPr>
          <w:p w14:paraId="39AF1982"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w:t>
            </w:r>
            <w:r w:rsidRPr="00691ABD">
              <w:rPr>
                <w:sz w:val="20"/>
                <w:szCs w:val="20"/>
                <w:lang w:val="fr-CA" w:eastAsia="en-CA"/>
              </w:rPr>
              <w:t>9</w:t>
            </w:r>
          </w:p>
        </w:tc>
        <w:tc>
          <w:tcPr>
            <w:tcW w:w="1275" w:type="dxa"/>
            <w:tcBorders>
              <w:top w:val="nil"/>
              <w:left w:val="nil"/>
              <w:bottom w:val="single" w:sz="4" w:space="0" w:color="auto"/>
              <w:right w:val="single" w:sz="4" w:space="0" w:color="auto"/>
            </w:tcBorders>
            <w:shd w:val="clear" w:color="auto" w:fill="auto"/>
            <w:noWrap/>
            <w:hideMark/>
          </w:tcPr>
          <w:p w14:paraId="0D7260B4" w14:textId="77777777" w:rsidR="00A325C8" w:rsidRPr="00691ABD" w:rsidRDefault="00A325C8" w:rsidP="001E39EE">
            <w:pPr>
              <w:jc w:val="right"/>
              <w:rPr>
                <w:sz w:val="20"/>
                <w:szCs w:val="20"/>
                <w:lang w:val="fr-CA" w:eastAsia="en-CA"/>
              </w:rPr>
            </w:pPr>
            <w:r w:rsidRPr="00691ABD">
              <w:rPr>
                <w:sz w:val="20"/>
                <w:szCs w:val="20"/>
                <w:lang w:val="fr-CA" w:eastAsia="en-CA"/>
              </w:rPr>
              <w:t>628</w:t>
            </w:r>
            <w:r>
              <w:rPr>
                <w:sz w:val="20"/>
                <w:szCs w:val="20"/>
                <w:lang w:val="fr-CA" w:eastAsia="en-CA"/>
              </w:rPr>
              <w:t xml:space="preserve"> </w:t>
            </w:r>
            <w:r w:rsidRPr="00691ABD">
              <w:rPr>
                <w:sz w:val="20"/>
                <w:szCs w:val="20"/>
                <w:lang w:val="fr-CA" w:eastAsia="en-CA"/>
              </w:rPr>
              <w:t>630</w:t>
            </w:r>
          </w:p>
        </w:tc>
        <w:tc>
          <w:tcPr>
            <w:tcW w:w="1276" w:type="dxa"/>
            <w:tcBorders>
              <w:top w:val="nil"/>
              <w:left w:val="nil"/>
              <w:bottom w:val="single" w:sz="4" w:space="0" w:color="auto"/>
              <w:right w:val="single" w:sz="4" w:space="0" w:color="auto"/>
            </w:tcBorders>
            <w:shd w:val="clear" w:color="auto" w:fill="auto"/>
            <w:noWrap/>
            <w:hideMark/>
          </w:tcPr>
          <w:p w14:paraId="77F49003" w14:textId="77777777" w:rsidR="00A325C8" w:rsidRPr="00691ABD" w:rsidRDefault="00A325C8" w:rsidP="001E39EE">
            <w:pPr>
              <w:jc w:val="right"/>
              <w:rPr>
                <w:sz w:val="20"/>
                <w:szCs w:val="20"/>
                <w:lang w:val="fr-CA" w:eastAsia="en-CA"/>
              </w:rPr>
            </w:pPr>
            <w:r w:rsidRPr="00691ABD">
              <w:rPr>
                <w:sz w:val="20"/>
                <w:szCs w:val="20"/>
                <w:lang w:val="fr-CA" w:eastAsia="en-CA"/>
              </w:rPr>
              <w:t>557</w:t>
            </w:r>
            <w:r>
              <w:rPr>
                <w:sz w:val="20"/>
                <w:szCs w:val="20"/>
                <w:lang w:val="fr-CA" w:eastAsia="en-CA"/>
              </w:rPr>
              <w:t xml:space="preserve"> </w:t>
            </w:r>
            <w:r w:rsidRPr="00691ABD">
              <w:rPr>
                <w:sz w:val="20"/>
                <w:szCs w:val="20"/>
                <w:lang w:val="fr-CA" w:eastAsia="en-CA"/>
              </w:rPr>
              <w:t>072</w:t>
            </w:r>
          </w:p>
        </w:tc>
        <w:tc>
          <w:tcPr>
            <w:tcW w:w="1250" w:type="dxa"/>
            <w:tcBorders>
              <w:top w:val="nil"/>
              <w:left w:val="nil"/>
              <w:bottom w:val="single" w:sz="4" w:space="0" w:color="auto"/>
              <w:right w:val="single" w:sz="4" w:space="0" w:color="auto"/>
            </w:tcBorders>
            <w:shd w:val="clear" w:color="auto" w:fill="auto"/>
            <w:noWrap/>
            <w:hideMark/>
          </w:tcPr>
          <w:p w14:paraId="7C45ACE3" w14:textId="77777777" w:rsidR="00A325C8" w:rsidRPr="00691ABD" w:rsidRDefault="00A325C8" w:rsidP="001E39EE">
            <w:pPr>
              <w:jc w:val="right"/>
              <w:rPr>
                <w:sz w:val="20"/>
                <w:szCs w:val="20"/>
                <w:lang w:val="fr-CA" w:eastAsia="en-CA"/>
              </w:rPr>
            </w:pPr>
            <w:r w:rsidRPr="00691ABD">
              <w:rPr>
                <w:sz w:val="20"/>
                <w:szCs w:val="20"/>
                <w:lang w:val="fr-CA" w:eastAsia="en-CA"/>
              </w:rPr>
              <w:t>71</w:t>
            </w:r>
            <w:r>
              <w:rPr>
                <w:sz w:val="20"/>
                <w:szCs w:val="20"/>
                <w:lang w:val="fr-CA" w:eastAsia="en-CA"/>
              </w:rPr>
              <w:t xml:space="preserve"> </w:t>
            </w:r>
            <w:r w:rsidRPr="00691ABD">
              <w:rPr>
                <w:sz w:val="20"/>
                <w:szCs w:val="20"/>
                <w:lang w:val="fr-CA" w:eastAsia="en-CA"/>
              </w:rPr>
              <w:t>558</w:t>
            </w:r>
          </w:p>
        </w:tc>
        <w:tc>
          <w:tcPr>
            <w:tcW w:w="1050" w:type="dxa"/>
            <w:tcBorders>
              <w:top w:val="nil"/>
              <w:left w:val="nil"/>
              <w:bottom w:val="single" w:sz="4" w:space="0" w:color="auto"/>
              <w:right w:val="single" w:sz="4" w:space="0" w:color="auto"/>
            </w:tcBorders>
            <w:shd w:val="clear" w:color="auto" w:fill="auto"/>
            <w:noWrap/>
            <w:hideMark/>
          </w:tcPr>
          <w:p w14:paraId="18066C97" w14:textId="77777777" w:rsidR="00A325C8" w:rsidRPr="00691ABD" w:rsidRDefault="00A325C8" w:rsidP="001E39EE">
            <w:pPr>
              <w:jc w:val="right"/>
              <w:rPr>
                <w:sz w:val="20"/>
                <w:szCs w:val="20"/>
                <w:lang w:val="fr-CA" w:eastAsia="en-CA"/>
              </w:rPr>
            </w:pPr>
            <w:r w:rsidRPr="00691ABD">
              <w:rPr>
                <w:sz w:val="20"/>
                <w:szCs w:val="20"/>
                <w:lang w:val="fr-CA" w:eastAsia="en-CA"/>
              </w:rPr>
              <w:t>89</w:t>
            </w:r>
          </w:p>
        </w:tc>
      </w:tr>
      <w:tr w:rsidR="00A325C8" w:rsidRPr="00691ABD" w14:paraId="40F9D2D0"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4CED74E" w14:textId="77777777" w:rsidR="00A325C8" w:rsidRPr="00691ABD" w:rsidRDefault="00A325C8" w:rsidP="001E39EE">
            <w:pPr>
              <w:jc w:val="left"/>
              <w:rPr>
                <w:sz w:val="20"/>
                <w:szCs w:val="20"/>
                <w:lang w:val="fr-CA" w:eastAsia="en-CA"/>
              </w:rPr>
            </w:pPr>
            <w:r w:rsidRPr="00691ABD">
              <w:rPr>
                <w:sz w:val="20"/>
                <w:szCs w:val="20"/>
                <w:lang w:val="fr-CA" w:eastAsia="en-CA"/>
              </w:rPr>
              <w:t>Burundi</w:t>
            </w:r>
          </w:p>
        </w:tc>
        <w:tc>
          <w:tcPr>
            <w:tcW w:w="1295" w:type="dxa"/>
            <w:tcBorders>
              <w:top w:val="nil"/>
              <w:left w:val="nil"/>
              <w:bottom w:val="single" w:sz="4" w:space="0" w:color="auto"/>
              <w:right w:val="single" w:sz="4" w:space="0" w:color="auto"/>
            </w:tcBorders>
            <w:shd w:val="clear" w:color="auto" w:fill="auto"/>
            <w:noWrap/>
            <w:hideMark/>
          </w:tcPr>
          <w:p w14:paraId="6E26CA7D"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6133009D" w14:textId="77777777" w:rsidR="00A325C8" w:rsidRPr="00691ABD" w:rsidRDefault="00A325C8" w:rsidP="001E39EE">
            <w:pPr>
              <w:jc w:val="right"/>
              <w:rPr>
                <w:sz w:val="20"/>
                <w:szCs w:val="20"/>
                <w:lang w:val="fr-CA" w:eastAsia="en-CA"/>
              </w:rPr>
            </w:pPr>
            <w:r w:rsidRPr="00691ABD">
              <w:rPr>
                <w:sz w:val="20"/>
                <w:szCs w:val="20"/>
                <w:lang w:val="fr-CA" w:eastAsia="en-CA"/>
              </w:rPr>
              <w:t>296</w:t>
            </w:r>
            <w:r>
              <w:rPr>
                <w:sz w:val="20"/>
                <w:szCs w:val="20"/>
                <w:lang w:val="fr-CA" w:eastAsia="en-CA"/>
              </w:rPr>
              <w:t xml:space="preserve"> </w:t>
            </w:r>
            <w:r w:rsidRPr="00691ABD">
              <w:rPr>
                <w:sz w:val="20"/>
                <w:szCs w:val="20"/>
                <w:lang w:val="fr-CA" w:eastAsia="en-CA"/>
              </w:rPr>
              <w:t>844</w:t>
            </w:r>
          </w:p>
        </w:tc>
        <w:tc>
          <w:tcPr>
            <w:tcW w:w="1276" w:type="dxa"/>
            <w:tcBorders>
              <w:top w:val="nil"/>
              <w:left w:val="nil"/>
              <w:bottom w:val="single" w:sz="4" w:space="0" w:color="auto"/>
              <w:right w:val="single" w:sz="4" w:space="0" w:color="auto"/>
            </w:tcBorders>
            <w:shd w:val="clear" w:color="auto" w:fill="auto"/>
            <w:noWrap/>
            <w:hideMark/>
          </w:tcPr>
          <w:p w14:paraId="7CAB73C1" w14:textId="77777777" w:rsidR="00A325C8" w:rsidRPr="00691ABD" w:rsidRDefault="00A325C8" w:rsidP="001E39EE">
            <w:pPr>
              <w:jc w:val="right"/>
              <w:rPr>
                <w:sz w:val="20"/>
                <w:szCs w:val="20"/>
                <w:lang w:val="fr-CA" w:eastAsia="en-CA"/>
              </w:rPr>
            </w:pPr>
            <w:r w:rsidRPr="00691ABD">
              <w:rPr>
                <w:sz w:val="20"/>
                <w:szCs w:val="20"/>
                <w:lang w:val="fr-CA" w:eastAsia="en-CA"/>
              </w:rPr>
              <w:t>218</w:t>
            </w:r>
            <w:r>
              <w:rPr>
                <w:sz w:val="20"/>
                <w:szCs w:val="20"/>
                <w:lang w:val="fr-CA" w:eastAsia="en-CA"/>
              </w:rPr>
              <w:t xml:space="preserve"> </w:t>
            </w:r>
            <w:r w:rsidRPr="00691ABD">
              <w:rPr>
                <w:sz w:val="20"/>
                <w:szCs w:val="20"/>
                <w:lang w:val="fr-CA" w:eastAsia="en-CA"/>
              </w:rPr>
              <w:t>730</w:t>
            </w:r>
          </w:p>
        </w:tc>
        <w:tc>
          <w:tcPr>
            <w:tcW w:w="1250" w:type="dxa"/>
            <w:tcBorders>
              <w:top w:val="nil"/>
              <w:left w:val="nil"/>
              <w:bottom w:val="single" w:sz="4" w:space="0" w:color="auto"/>
              <w:right w:val="single" w:sz="4" w:space="0" w:color="auto"/>
            </w:tcBorders>
            <w:shd w:val="clear" w:color="auto" w:fill="auto"/>
            <w:noWrap/>
            <w:hideMark/>
          </w:tcPr>
          <w:p w14:paraId="5884A275" w14:textId="77777777" w:rsidR="00A325C8" w:rsidRPr="00691ABD" w:rsidRDefault="00A325C8" w:rsidP="001E39EE">
            <w:pPr>
              <w:jc w:val="right"/>
              <w:rPr>
                <w:sz w:val="20"/>
                <w:szCs w:val="20"/>
                <w:lang w:val="fr-CA" w:eastAsia="en-CA"/>
              </w:rPr>
            </w:pPr>
            <w:r w:rsidRPr="00691ABD">
              <w:rPr>
                <w:sz w:val="20"/>
                <w:szCs w:val="20"/>
                <w:lang w:val="fr-CA" w:eastAsia="en-CA"/>
              </w:rPr>
              <w:t>78</w:t>
            </w:r>
            <w:r>
              <w:rPr>
                <w:sz w:val="20"/>
                <w:szCs w:val="20"/>
                <w:lang w:val="fr-CA" w:eastAsia="en-CA"/>
              </w:rPr>
              <w:t xml:space="preserve"> </w:t>
            </w:r>
            <w:r w:rsidRPr="00691ABD">
              <w:rPr>
                <w:sz w:val="20"/>
                <w:szCs w:val="20"/>
                <w:lang w:val="fr-CA" w:eastAsia="en-CA"/>
              </w:rPr>
              <w:t>114</w:t>
            </w:r>
          </w:p>
        </w:tc>
        <w:tc>
          <w:tcPr>
            <w:tcW w:w="1050" w:type="dxa"/>
            <w:tcBorders>
              <w:top w:val="nil"/>
              <w:left w:val="nil"/>
              <w:bottom w:val="single" w:sz="4" w:space="0" w:color="auto"/>
              <w:right w:val="single" w:sz="4" w:space="0" w:color="auto"/>
            </w:tcBorders>
            <w:shd w:val="clear" w:color="auto" w:fill="auto"/>
            <w:noWrap/>
            <w:hideMark/>
          </w:tcPr>
          <w:p w14:paraId="73593958" w14:textId="77777777" w:rsidR="00A325C8" w:rsidRPr="00691ABD" w:rsidRDefault="00A325C8" w:rsidP="001E39EE">
            <w:pPr>
              <w:jc w:val="right"/>
              <w:rPr>
                <w:sz w:val="20"/>
                <w:szCs w:val="20"/>
                <w:lang w:val="fr-CA" w:eastAsia="en-CA"/>
              </w:rPr>
            </w:pPr>
            <w:r w:rsidRPr="00691ABD">
              <w:rPr>
                <w:sz w:val="20"/>
                <w:szCs w:val="20"/>
                <w:lang w:val="fr-CA" w:eastAsia="en-CA"/>
              </w:rPr>
              <w:t>74</w:t>
            </w:r>
          </w:p>
        </w:tc>
      </w:tr>
      <w:tr w:rsidR="00A325C8" w:rsidRPr="00691ABD" w14:paraId="0E51902B" w14:textId="77777777" w:rsidTr="00691ABD">
        <w:trPr>
          <w:trHeight w:val="146"/>
        </w:trPr>
        <w:tc>
          <w:tcPr>
            <w:tcW w:w="3828" w:type="dxa"/>
            <w:tcBorders>
              <w:top w:val="nil"/>
              <w:left w:val="single" w:sz="4" w:space="0" w:color="auto"/>
              <w:bottom w:val="single" w:sz="4" w:space="0" w:color="auto"/>
              <w:right w:val="single" w:sz="4" w:space="0" w:color="auto"/>
            </w:tcBorders>
            <w:shd w:val="clear" w:color="auto" w:fill="auto"/>
            <w:noWrap/>
            <w:hideMark/>
          </w:tcPr>
          <w:p w14:paraId="4B195A7E" w14:textId="77777777" w:rsidR="00A325C8" w:rsidRPr="00691ABD" w:rsidRDefault="00A325C8" w:rsidP="001E39EE">
            <w:pPr>
              <w:jc w:val="left"/>
              <w:rPr>
                <w:sz w:val="20"/>
                <w:szCs w:val="20"/>
                <w:lang w:val="fr-CA" w:eastAsia="en-CA"/>
              </w:rPr>
            </w:pPr>
            <w:r w:rsidRPr="00691ABD">
              <w:rPr>
                <w:sz w:val="20"/>
                <w:szCs w:val="20"/>
                <w:lang w:val="fr-CA" w:eastAsia="en-CA"/>
              </w:rPr>
              <w:t>Cabo Verde</w:t>
            </w:r>
          </w:p>
        </w:tc>
        <w:tc>
          <w:tcPr>
            <w:tcW w:w="1295" w:type="dxa"/>
            <w:tcBorders>
              <w:top w:val="nil"/>
              <w:left w:val="nil"/>
              <w:bottom w:val="single" w:sz="4" w:space="0" w:color="auto"/>
              <w:right w:val="single" w:sz="4" w:space="0" w:color="auto"/>
            </w:tcBorders>
            <w:shd w:val="clear" w:color="auto" w:fill="auto"/>
            <w:noWrap/>
            <w:hideMark/>
          </w:tcPr>
          <w:p w14:paraId="26B160F4"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7DE1278F" w14:textId="77777777" w:rsidR="00A325C8" w:rsidRPr="00691ABD" w:rsidRDefault="00A325C8" w:rsidP="001E39EE">
            <w:pPr>
              <w:jc w:val="right"/>
              <w:rPr>
                <w:sz w:val="20"/>
                <w:szCs w:val="20"/>
                <w:lang w:val="fr-CA" w:eastAsia="en-CA"/>
              </w:rPr>
            </w:pPr>
            <w:r w:rsidRPr="00691ABD">
              <w:rPr>
                <w:sz w:val="20"/>
                <w:szCs w:val="20"/>
                <w:lang w:val="fr-CA" w:eastAsia="en-CA"/>
              </w:rPr>
              <w:t>159</w:t>
            </w:r>
            <w:r>
              <w:rPr>
                <w:sz w:val="20"/>
                <w:szCs w:val="20"/>
                <w:lang w:val="fr-CA" w:eastAsia="en-CA"/>
              </w:rPr>
              <w:t xml:space="preserve"> </w:t>
            </w:r>
            <w:r w:rsidRPr="00691ABD">
              <w:rPr>
                <w:sz w:val="20"/>
                <w:szCs w:val="20"/>
                <w:lang w:val="fr-CA" w:eastAsia="en-CA"/>
              </w:rPr>
              <w:t>834</w:t>
            </w:r>
          </w:p>
        </w:tc>
        <w:tc>
          <w:tcPr>
            <w:tcW w:w="1276" w:type="dxa"/>
            <w:tcBorders>
              <w:top w:val="nil"/>
              <w:left w:val="nil"/>
              <w:bottom w:val="single" w:sz="4" w:space="0" w:color="auto"/>
              <w:right w:val="single" w:sz="4" w:space="0" w:color="auto"/>
            </w:tcBorders>
            <w:shd w:val="clear" w:color="auto" w:fill="auto"/>
            <w:noWrap/>
            <w:hideMark/>
          </w:tcPr>
          <w:p w14:paraId="41B79E9F" w14:textId="77777777" w:rsidR="00A325C8" w:rsidRPr="00691ABD" w:rsidRDefault="00A325C8" w:rsidP="001E39EE">
            <w:pPr>
              <w:jc w:val="right"/>
              <w:rPr>
                <w:sz w:val="20"/>
                <w:szCs w:val="20"/>
                <w:lang w:val="fr-CA" w:eastAsia="en-CA"/>
              </w:rPr>
            </w:pPr>
            <w:r w:rsidRPr="00691ABD">
              <w:rPr>
                <w:sz w:val="20"/>
                <w:szCs w:val="20"/>
                <w:lang w:val="fr-CA" w:eastAsia="en-CA"/>
              </w:rPr>
              <w:t>143</w:t>
            </w:r>
            <w:r>
              <w:rPr>
                <w:sz w:val="20"/>
                <w:szCs w:val="20"/>
                <w:lang w:val="fr-CA" w:eastAsia="en-CA"/>
              </w:rPr>
              <w:t xml:space="preserve"> </w:t>
            </w:r>
            <w:r w:rsidRPr="00691ABD">
              <w:rPr>
                <w:sz w:val="20"/>
                <w:szCs w:val="20"/>
                <w:lang w:val="fr-CA" w:eastAsia="en-CA"/>
              </w:rPr>
              <w:t>834</w:t>
            </w:r>
          </w:p>
        </w:tc>
        <w:tc>
          <w:tcPr>
            <w:tcW w:w="1250" w:type="dxa"/>
            <w:tcBorders>
              <w:top w:val="nil"/>
              <w:left w:val="nil"/>
              <w:bottom w:val="single" w:sz="4" w:space="0" w:color="auto"/>
              <w:right w:val="single" w:sz="4" w:space="0" w:color="auto"/>
            </w:tcBorders>
            <w:shd w:val="clear" w:color="auto" w:fill="auto"/>
            <w:noWrap/>
            <w:hideMark/>
          </w:tcPr>
          <w:p w14:paraId="3C4D1566" w14:textId="77777777" w:rsidR="00A325C8" w:rsidRPr="00691ABD" w:rsidRDefault="00A325C8" w:rsidP="001E39EE">
            <w:pPr>
              <w:jc w:val="right"/>
              <w:rPr>
                <w:sz w:val="20"/>
                <w:szCs w:val="20"/>
                <w:lang w:val="fr-CA" w:eastAsia="en-CA"/>
              </w:rPr>
            </w:pPr>
            <w:r w:rsidRPr="00691ABD">
              <w:rPr>
                <w:sz w:val="20"/>
                <w:szCs w:val="20"/>
                <w:lang w:val="fr-CA" w:eastAsia="en-CA"/>
              </w:rPr>
              <w:t>16</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743AC983" w14:textId="77777777" w:rsidR="00A325C8" w:rsidRPr="00691ABD" w:rsidRDefault="00A325C8" w:rsidP="001E39EE">
            <w:pPr>
              <w:jc w:val="right"/>
              <w:rPr>
                <w:sz w:val="20"/>
                <w:szCs w:val="20"/>
                <w:lang w:val="fr-CA" w:eastAsia="en-CA"/>
              </w:rPr>
            </w:pPr>
            <w:r w:rsidRPr="00691ABD">
              <w:rPr>
                <w:sz w:val="20"/>
                <w:szCs w:val="20"/>
                <w:lang w:val="fr-CA" w:eastAsia="en-CA"/>
              </w:rPr>
              <w:t>90</w:t>
            </w:r>
          </w:p>
        </w:tc>
      </w:tr>
      <w:tr w:rsidR="00A325C8" w:rsidRPr="00691ABD" w14:paraId="6CBF1637"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A14728C" w14:textId="77777777" w:rsidR="00A325C8" w:rsidRPr="00691ABD" w:rsidRDefault="00A325C8" w:rsidP="003963ED">
            <w:pPr>
              <w:jc w:val="left"/>
              <w:rPr>
                <w:sz w:val="20"/>
                <w:szCs w:val="20"/>
                <w:lang w:val="fr-CA" w:eastAsia="en-CA"/>
              </w:rPr>
            </w:pPr>
            <w:r w:rsidRPr="00691ABD">
              <w:rPr>
                <w:sz w:val="20"/>
                <w:szCs w:val="20"/>
                <w:lang w:val="fr-CA" w:eastAsia="en-CA"/>
              </w:rPr>
              <w:t>Cambod</w:t>
            </w:r>
            <w:r>
              <w:rPr>
                <w:sz w:val="20"/>
                <w:szCs w:val="20"/>
                <w:lang w:val="fr-CA" w:eastAsia="en-CA"/>
              </w:rPr>
              <w:t>ge</w:t>
            </w:r>
          </w:p>
        </w:tc>
        <w:tc>
          <w:tcPr>
            <w:tcW w:w="1295" w:type="dxa"/>
            <w:tcBorders>
              <w:top w:val="nil"/>
              <w:left w:val="nil"/>
              <w:bottom w:val="single" w:sz="4" w:space="0" w:color="auto"/>
              <w:right w:val="single" w:sz="4" w:space="0" w:color="auto"/>
            </w:tcBorders>
            <w:shd w:val="clear" w:color="auto" w:fill="auto"/>
            <w:noWrap/>
            <w:hideMark/>
          </w:tcPr>
          <w:p w14:paraId="2D7B5627"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w:t>
            </w:r>
            <w:r w:rsidRPr="00691ABD">
              <w:rPr>
                <w:sz w:val="20"/>
                <w:szCs w:val="20"/>
                <w:lang w:val="fr-CA" w:eastAsia="en-CA"/>
              </w:rPr>
              <w:t>9</w:t>
            </w:r>
          </w:p>
        </w:tc>
        <w:tc>
          <w:tcPr>
            <w:tcW w:w="1275" w:type="dxa"/>
            <w:tcBorders>
              <w:top w:val="nil"/>
              <w:left w:val="nil"/>
              <w:bottom w:val="single" w:sz="4" w:space="0" w:color="auto"/>
              <w:right w:val="single" w:sz="4" w:space="0" w:color="auto"/>
            </w:tcBorders>
            <w:shd w:val="clear" w:color="auto" w:fill="auto"/>
            <w:noWrap/>
            <w:hideMark/>
          </w:tcPr>
          <w:p w14:paraId="6FA4E238"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150</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23876632"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006</w:t>
            </w:r>
            <w:r>
              <w:rPr>
                <w:sz w:val="20"/>
                <w:szCs w:val="20"/>
                <w:lang w:val="fr-CA" w:eastAsia="en-CA"/>
              </w:rPr>
              <w:t xml:space="preserve"> </w:t>
            </w:r>
            <w:r w:rsidRPr="00691ABD">
              <w:rPr>
                <w:sz w:val="20"/>
                <w:szCs w:val="20"/>
                <w:lang w:val="fr-CA" w:eastAsia="en-CA"/>
              </w:rPr>
              <w:t>157</w:t>
            </w:r>
          </w:p>
        </w:tc>
        <w:tc>
          <w:tcPr>
            <w:tcW w:w="1250" w:type="dxa"/>
            <w:tcBorders>
              <w:top w:val="nil"/>
              <w:left w:val="nil"/>
              <w:bottom w:val="single" w:sz="4" w:space="0" w:color="auto"/>
              <w:right w:val="single" w:sz="4" w:space="0" w:color="auto"/>
            </w:tcBorders>
            <w:shd w:val="clear" w:color="auto" w:fill="auto"/>
            <w:noWrap/>
            <w:hideMark/>
          </w:tcPr>
          <w:p w14:paraId="1C685CB7" w14:textId="77777777" w:rsidR="00A325C8" w:rsidRPr="00691ABD" w:rsidRDefault="00A325C8" w:rsidP="001E39EE">
            <w:pPr>
              <w:jc w:val="right"/>
              <w:rPr>
                <w:sz w:val="20"/>
                <w:szCs w:val="20"/>
                <w:lang w:val="fr-CA" w:eastAsia="en-CA"/>
              </w:rPr>
            </w:pPr>
            <w:r w:rsidRPr="00691ABD">
              <w:rPr>
                <w:sz w:val="20"/>
                <w:szCs w:val="20"/>
                <w:lang w:val="fr-CA" w:eastAsia="en-CA"/>
              </w:rPr>
              <w:t>143</w:t>
            </w:r>
            <w:r>
              <w:rPr>
                <w:sz w:val="20"/>
                <w:szCs w:val="20"/>
                <w:lang w:val="fr-CA" w:eastAsia="en-CA"/>
              </w:rPr>
              <w:t xml:space="preserve"> </w:t>
            </w:r>
            <w:r w:rsidRPr="00691ABD">
              <w:rPr>
                <w:sz w:val="20"/>
                <w:szCs w:val="20"/>
                <w:lang w:val="fr-CA" w:eastAsia="en-CA"/>
              </w:rPr>
              <w:t>843</w:t>
            </w:r>
          </w:p>
        </w:tc>
        <w:tc>
          <w:tcPr>
            <w:tcW w:w="1050" w:type="dxa"/>
            <w:tcBorders>
              <w:top w:val="nil"/>
              <w:left w:val="nil"/>
              <w:bottom w:val="single" w:sz="4" w:space="0" w:color="auto"/>
              <w:right w:val="single" w:sz="4" w:space="0" w:color="auto"/>
            </w:tcBorders>
            <w:shd w:val="clear" w:color="auto" w:fill="auto"/>
            <w:noWrap/>
            <w:hideMark/>
          </w:tcPr>
          <w:p w14:paraId="6AB99612" w14:textId="77777777" w:rsidR="00A325C8" w:rsidRPr="00691ABD" w:rsidRDefault="00A325C8" w:rsidP="001E39EE">
            <w:pPr>
              <w:jc w:val="right"/>
              <w:rPr>
                <w:sz w:val="20"/>
                <w:szCs w:val="20"/>
                <w:lang w:val="fr-CA" w:eastAsia="en-CA"/>
              </w:rPr>
            </w:pPr>
            <w:r w:rsidRPr="00691ABD">
              <w:rPr>
                <w:sz w:val="20"/>
                <w:szCs w:val="20"/>
                <w:lang w:val="fr-CA" w:eastAsia="en-CA"/>
              </w:rPr>
              <w:t>87</w:t>
            </w:r>
          </w:p>
        </w:tc>
      </w:tr>
      <w:tr w:rsidR="00A325C8" w:rsidRPr="00691ABD" w14:paraId="50EF9787" w14:textId="77777777" w:rsidTr="00691ABD">
        <w:trPr>
          <w:trHeight w:val="101"/>
        </w:trPr>
        <w:tc>
          <w:tcPr>
            <w:tcW w:w="3828" w:type="dxa"/>
            <w:tcBorders>
              <w:top w:val="nil"/>
              <w:left w:val="single" w:sz="4" w:space="0" w:color="auto"/>
              <w:bottom w:val="single" w:sz="4" w:space="0" w:color="auto"/>
              <w:right w:val="single" w:sz="4" w:space="0" w:color="auto"/>
            </w:tcBorders>
            <w:shd w:val="clear" w:color="auto" w:fill="auto"/>
            <w:noWrap/>
            <w:hideMark/>
          </w:tcPr>
          <w:p w14:paraId="79C42879" w14:textId="77777777" w:rsidR="00A325C8" w:rsidRPr="00691ABD" w:rsidRDefault="00A325C8" w:rsidP="001E39EE">
            <w:pPr>
              <w:jc w:val="left"/>
              <w:rPr>
                <w:sz w:val="20"/>
                <w:szCs w:val="20"/>
                <w:lang w:val="fr-CA" w:eastAsia="en-CA"/>
              </w:rPr>
            </w:pPr>
            <w:r>
              <w:rPr>
                <w:sz w:val="20"/>
                <w:szCs w:val="20"/>
                <w:lang w:val="fr-CA" w:eastAsia="en-CA"/>
              </w:rPr>
              <w:t>Camerou</w:t>
            </w:r>
            <w:r w:rsidRPr="00691ABD">
              <w:rPr>
                <w:sz w:val="20"/>
                <w:szCs w:val="20"/>
                <w:lang w:val="fr-CA" w:eastAsia="en-CA"/>
              </w:rPr>
              <w:t>n</w:t>
            </w:r>
          </w:p>
        </w:tc>
        <w:tc>
          <w:tcPr>
            <w:tcW w:w="1295" w:type="dxa"/>
            <w:tcBorders>
              <w:top w:val="nil"/>
              <w:left w:val="nil"/>
              <w:bottom w:val="single" w:sz="4" w:space="0" w:color="auto"/>
              <w:right w:val="single" w:sz="4" w:space="0" w:color="auto"/>
            </w:tcBorders>
            <w:shd w:val="clear" w:color="auto" w:fill="auto"/>
            <w:noWrap/>
            <w:hideMark/>
          </w:tcPr>
          <w:p w14:paraId="7551AAC1" w14:textId="77777777" w:rsidR="00A325C8" w:rsidRPr="00691ABD" w:rsidRDefault="00A325C8" w:rsidP="001E39EE">
            <w:pPr>
              <w:jc w:val="right"/>
              <w:rPr>
                <w:sz w:val="20"/>
                <w:szCs w:val="20"/>
                <w:lang w:val="fr-CA" w:eastAsia="en-CA"/>
              </w:rPr>
            </w:pPr>
            <w:r w:rsidRPr="00691ABD">
              <w:rPr>
                <w:sz w:val="20"/>
                <w:szCs w:val="20"/>
                <w:lang w:val="fr-CA" w:eastAsia="en-CA"/>
              </w:rPr>
              <w:t>26</w:t>
            </w:r>
            <w:r>
              <w:rPr>
                <w:sz w:val="20"/>
                <w:szCs w:val="20"/>
                <w:lang w:val="fr-CA" w:eastAsia="en-CA"/>
              </w:rPr>
              <w:t>,</w:t>
            </w:r>
            <w:r w:rsidRPr="00691ABD">
              <w:rPr>
                <w:sz w:val="20"/>
                <w:szCs w:val="20"/>
                <w:lang w:val="fr-CA" w:eastAsia="en-CA"/>
              </w:rPr>
              <w:t>8</w:t>
            </w:r>
          </w:p>
        </w:tc>
        <w:tc>
          <w:tcPr>
            <w:tcW w:w="1275" w:type="dxa"/>
            <w:tcBorders>
              <w:top w:val="nil"/>
              <w:left w:val="nil"/>
              <w:bottom w:val="single" w:sz="4" w:space="0" w:color="auto"/>
              <w:right w:val="single" w:sz="4" w:space="0" w:color="auto"/>
            </w:tcBorders>
            <w:shd w:val="clear" w:color="auto" w:fill="auto"/>
            <w:noWrap/>
            <w:hideMark/>
          </w:tcPr>
          <w:p w14:paraId="5910B79B"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654</w:t>
            </w:r>
            <w:r>
              <w:rPr>
                <w:sz w:val="20"/>
                <w:szCs w:val="20"/>
                <w:lang w:val="fr-CA" w:eastAsia="en-CA"/>
              </w:rPr>
              <w:t xml:space="preserve"> </w:t>
            </w:r>
            <w:r w:rsidRPr="00691ABD">
              <w:rPr>
                <w:sz w:val="20"/>
                <w:szCs w:val="20"/>
                <w:lang w:val="fr-CA" w:eastAsia="en-CA"/>
              </w:rPr>
              <w:t>770</w:t>
            </w:r>
          </w:p>
        </w:tc>
        <w:tc>
          <w:tcPr>
            <w:tcW w:w="1276" w:type="dxa"/>
            <w:tcBorders>
              <w:top w:val="nil"/>
              <w:left w:val="nil"/>
              <w:bottom w:val="single" w:sz="4" w:space="0" w:color="auto"/>
              <w:right w:val="single" w:sz="4" w:space="0" w:color="auto"/>
            </w:tcBorders>
            <w:shd w:val="clear" w:color="auto" w:fill="auto"/>
            <w:noWrap/>
            <w:hideMark/>
          </w:tcPr>
          <w:p w14:paraId="71609B22"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190</w:t>
            </w:r>
            <w:r>
              <w:rPr>
                <w:sz w:val="20"/>
                <w:szCs w:val="20"/>
                <w:lang w:val="fr-CA" w:eastAsia="en-CA"/>
              </w:rPr>
              <w:t xml:space="preserve"> </w:t>
            </w:r>
            <w:r w:rsidRPr="00691ABD">
              <w:rPr>
                <w:sz w:val="20"/>
                <w:szCs w:val="20"/>
                <w:lang w:val="fr-CA" w:eastAsia="en-CA"/>
              </w:rPr>
              <w:t>130</w:t>
            </w:r>
          </w:p>
        </w:tc>
        <w:tc>
          <w:tcPr>
            <w:tcW w:w="1250" w:type="dxa"/>
            <w:tcBorders>
              <w:top w:val="nil"/>
              <w:left w:val="nil"/>
              <w:bottom w:val="single" w:sz="4" w:space="0" w:color="auto"/>
              <w:right w:val="single" w:sz="4" w:space="0" w:color="auto"/>
            </w:tcBorders>
            <w:shd w:val="clear" w:color="auto" w:fill="auto"/>
            <w:noWrap/>
            <w:hideMark/>
          </w:tcPr>
          <w:p w14:paraId="222C61C9" w14:textId="77777777" w:rsidR="00A325C8" w:rsidRPr="00691ABD" w:rsidRDefault="00A325C8" w:rsidP="001E39EE">
            <w:pPr>
              <w:jc w:val="right"/>
              <w:rPr>
                <w:sz w:val="20"/>
                <w:szCs w:val="20"/>
                <w:lang w:val="fr-CA" w:eastAsia="en-CA"/>
              </w:rPr>
            </w:pPr>
            <w:r w:rsidRPr="00691ABD">
              <w:rPr>
                <w:sz w:val="20"/>
                <w:szCs w:val="20"/>
                <w:lang w:val="fr-CA" w:eastAsia="en-CA"/>
              </w:rPr>
              <w:t>464</w:t>
            </w:r>
            <w:r>
              <w:rPr>
                <w:sz w:val="20"/>
                <w:szCs w:val="20"/>
                <w:lang w:val="fr-CA" w:eastAsia="en-CA"/>
              </w:rPr>
              <w:t xml:space="preserve"> </w:t>
            </w:r>
            <w:r w:rsidRPr="00691ABD">
              <w:rPr>
                <w:sz w:val="20"/>
                <w:szCs w:val="20"/>
                <w:lang w:val="fr-CA" w:eastAsia="en-CA"/>
              </w:rPr>
              <w:t>640</w:t>
            </w:r>
          </w:p>
        </w:tc>
        <w:tc>
          <w:tcPr>
            <w:tcW w:w="1050" w:type="dxa"/>
            <w:tcBorders>
              <w:top w:val="nil"/>
              <w:left w:val="nil"/>
              <w:bottom w:val="single" w:sz="4" w:space="0" w:color="auto"/>
              <w:right w:val="single" w:sz="4" w:space="0" w:color="auto"/>
            </w:tcBorders>
            <w:shd w:val="clear" w:color="auto" w:fill="auto"/>
            <w:noWrap/>
            <w:hideMark/>
          </w:tcPr>
          <w:p w14:paraId="1BB02E5E" w14:textId="77777777" w:rsidR="00A325C8" w:rsidRPr="00691ABD" w:rsidRDefault="00A325C8" w:rsidP="001E39EE">
            <w:pPr>
              <w:jc w:val="right"/>
              <w:rPr>
                <w:sz w:val="20"/>
                <w:szCs w:val="20"/>
                <w:lang w:val="fr-CA" w:eastAsia="en-CA"/>
              </w:rPr>
            </w:pPr>
            <w:r w:rsidRPr="00691ABD">
              <w:rPr>
                <w:sz w:val="20"/>
                <w:szCs w:val="20"/>
                <w:lang w:val="fr-CA" w:eastAsia="en-CA"/>
              </w:rPr>
              <w:t>72</w:t>
            </w:r>
          </w:p>
        </w:tc>
      </w:tr>
      <w:tr w:rsidR="00A325C8" w:rsidRPr="00691ABD" w14:paraId="61CCD034"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294E58C" w14:textId="77777777" w:rsidR="00A325C8" w:rsidRPr="00691ABD" w:rsidRDefault="00A325C8" w:rsidP="001E39EE">
            <w:pPr>
              <w:jc w:val="left"/>
              <w:rPr>
                <w:sz w:val="20"/>
                <w:szCs w:val="20"/>
                <w:lang w:val="fr-CA" w:eastAsia="en-CA"/>
              </w:rPr>
            </w:pPr>
            <w:r>
              <w:rPr>
                <w:sz w:val="20"/>
                <w:szCs w:val="20"/>
                <w:lang w:val="fr-CA" w:eastAsia="en-CA"/>
              </w:rPr>
              <w:t>Chili</w:t>
            </w:r>
          </w:p>
        </w:tc>
        <w:tc>
          <w:tcPr>
            <w:tcW w:w="1295" w:type="dxa"/>
            <w:tcBorders>
              <w:top w:val="nil"/>
              <w:left w:val="nil"/>
              <w:bottom w:val="single" w:sz="4" w:space="0" w:color="auto"/>
              <w:right w:val="single" w:sz="4" w:space="0" w:color="auto"/>
            </w:tcBorders>
            <w:shd w:val="clear" w:color="auto" w:fill="auto"/>
            <w:noWrap/>
            <w:hideMark/>
          </w:tcPr>
          <w:p w14:paraId="7536D49E" w14:textId="77777777" w:rsidR="00A325C8" w:rsidRPr="00691ABD" w:rsidRDefault="00A325C8" w:rsidP="001E39EE">
            <w:pPr>
              <w:jc w:val="right"/>
              <w:rPr>
                <w:sz w:val="20"/>
                <w:szCs w:val="20"/>
                <w:lang w:val="fr-CA" w:eastAsia="en-CA"/>
              </w:rPr>
            </w:pPr>
            <w:r w:rsidRPr="00691ABD">
              <w:rPr>
                <w:sz w:val="20"/>
                <w:szCs w:val="20"/>
                <w:lang w:val="fr-CA" w:eastAsia="en-CA"/>
              </w:rPr>
              <w:t>72</w:t>
            </w:r>
            <w:r>
              <w:rPr>
                <w:sz w:val="20"/>
                <w:szCs w:val="20"/>
                <w:lang w:val="fr-CA" w:eastAsia="en-CA"/>
              </w:rPr>
              <w:t>,</w:t>
            </w:r>
            <w:r w:rsidRPr="00691ABD">
              <w:rPr>
                <w:sz w:val="20"/>
                <w:szCs w:val="20"/>
                <w:lang w:val="fr-CA" w:eastAsia="en-CA"/>
              </w:rPr>
              <w:t>5</w:t>
            </w:r>
          </w:p>
        </w:tc>
        <w:tc>
          <w:tcPr>
            <w:tcW w:w="1275" w:type="dxa"/>
            <w:tcBorders>
              <w:top w:val="nil"/>
              <w:left w:val="nil"/>
              <w:bottom w:val="single" w:sz="4" w:space="0" w:color="auto"/>
              <w:right w:val="single" w:sz="4" w:space="0" w:color="auto"/>
            </w:tcBorders>
            <w:shd w:val="clear" w:color="auto" w:fill="auto"/>
            <w:noWrap/>
            <w:hideMark/>
          </w:tcPr>
          <w:p w14:paraId="5387AA68"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 xml:space="preserve"> </w:t>
            </w:r>
            <w:r w:rsidRPr="00691ABD">
              <w:rPr>
                <w:sz w:val="20"/>
                <w:szCs w:val="20"/>
                <w:lang w:val="fr-CA" w:eastAsia="en-CA"/>
              </w:rPr>
              <w:t>132</w:t>
            </w:r>
            <w:r>
              <w:rPr>
                <w:sz w:val="20"/>
                <w:szCs w:val="20"/>
                <w:lang w:val="fr-CA" w:eastAsia="en-CA"/>
              </w:rPr>
              <w:t xml:space="preserve"> </w:t>
            </w:r>
            <w:r w:rsidRPr="00691ABD">
              <w:rPr>
                <w:sz w:val="20"/>
                <w:szCs w:val="20"/>
                <w:lang w:val="fr-CA" w:eastAsia="en-CA"/>
              </w:rPr>
              <w:t>478</w:t>
            </w:r>
          </w:p>
        </w:tc>
        <w:tc>
          <w:tcPr>
            <w:tcW w:w="1276" w:type="dxa"/>
            <w:tcBorders>
              <w:top w:val="nil"/>
              <w:left w:val="nil"/>
              <w:bottom w:val="single" w:sz="4" w:space="0" w:color="auto"/>
              <w:right w:val="single" w:sz="4" w:space="0" w:color="auto"/>
            </w:tcBorders>
            <w:shd w:val="clear" w:color="auto" w:fill="auto"/>
            <w:noWrap/>
            <w:hideMark/>
          </w:tcPr>
          <w:p w14:paraId="16A13F1C"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 xml:space="preserve"> </w:t>
            </w:r>
            <w:r w:rsidRPr="00691ABD">
              <w:rPr>
                <w:sz w:val="20"/>
                <w:szCs w:val="20"/>
                <w:lang w:val="fr-CA" w:eastAsia="en-CA"/>
              </w:rPr>
              <w:t>843</w:t>
            </w:r>
            <w:r>
              <w:rPr>
                <w:sz w:val="20"/>
                <w:szCs w:val="20"/>
                <w:lang w:val="fr-CA" w:eastAsia="en-CA"/>
              </w:rPr>
              <w:t xml:space="preserve"> </w:t>
            </w:r>
            <w:r w:rsidRPr="00691ABD">
              <w:rPr>
                <w:sz w:val="20"/>
                <w:szCs w:val="20"/>
                <w:lang w:val="fr-CA" w:eastAsia="en-CA"/>
              </w:rPr>
              <w:t>194</w:t>
            </w:r>
          </w:p>
        </w:tc>
        <w:tc>
          <w:tcPr>
            <w:tcW w:w="1250" w:type="dxa"/>
            <w:tcBorders>
              <w:top w:val="nil"/>
              <w:left w:val="nil"/>
              <w:bottom w:val="single" w:sz="4" w:space="0" w:color="auto"/>
              <w:right w:val="single" w:sz="4" w:space="0" w:color="auto"/>
            </w:tcBorders>
            <w:shd w:val="clear" w:color="auto" w:fill="auto"/>
            <w:noWrap/>
            <w:hideMark/>
          </w:tcPr>
          <w:p w14:paraId="42FEDB28"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289</w:t>
            </w:r>
            <w:r>
              <w:rPr>
                <w:sz w:val="20"/>
                <w:szCs w:val="20"/>
                <w:lang w:val="fr-CA" w:eastAsia="en-CA"/>
              </w:rPr>
              <w:t xml:space="preserve"> </w:t>
            </w:r>
            <w:r w:rsidRPr="00691ABD">
              <w:rPr>
                <w:sz w:val="20"/>
                <w:szCs w:val="20"/>
                <w:lang w:val="fr-CA" w:eastAsia="en-CA"/>
              </w:rPr>
              <w:t>284</w:t>
            </w:r>
          </w:p>
        </w:tc>
        <w:tc>
          <w:tcPr>
            <w:tcW w:w="1050" w:type="dxa"/>
            <w:tcBorders>
              <w:top w:val="nil"/>
              <w:left w:val="nil"/>
              <w:bottom w:val="single" w:sz="4" w:space="0" w:color="auto"/>
              <w:right w:val="single" w:sz="4" w:space="0" w:color="auto"/>
            </w:tcBorders>
            <w:shd w:val="clear" w:color="auto" w:fill="auto"/>
            <w:noWrap/>
            <w:hideMark/>
          </w:tcPr>
          <w:p w14:paraId="462A5A08" w14:textId="77777777" w:rsidR="00A325C8" w:rsidRPr="00691ABD" w:rsidRDefault="00A325C8" w:rsidP="001E39EE">
            <w:pPr>
              <w:jc w:val="right"/>
              <w:rPr>
                <w:sz w:val="20"/>
                <w:szCs w:val="20"/>
                <w:lang w:val="fr-CA" w:eastAsia="en-CA"/>
              </w:rPr>
            </w:pPr>
            <w:r w:rsidRPr="00691ABD">
              <w:rPr>
                <w:sz w:val="20"/>
                <w:szCs w:val="20"/>
                <w:lang w:val="fr-CA" w:eastAsia="en-CA"/>
              </w:rPr>
              <w:t>75</w:t>
            </w:r>
          </w:p>
        </w:tc>
      </w:tr>
      <w:tr w:rsidR="00A325C8" w:rsidRPr="00691ABD" w14:paraId="565D329F" w14:textId="77777777" w:rsidTr="00691ABD">
        <w:trPr>
          <w:trHeight w:val="175"/>
        </w:trPr>
        <w:tc>
          <w:tcPr>
            <w:tcW w:w="3828" w:type="dxa"/>
            <w:tcBorders>
              <w:top w:val="nil"/>
              <w:left w:val="single" w:sz="4" w:space="0" w:color="auto"/>
              <w:bottom w:val="single" w:sz="4" w:space="0" w:color="auto"/>
              <w:right w:val="single" w:sz="4" w:space="0" w:color="auto"/>
            </w:tcBorders>
            <w:shd w:val="clear" w:color="auto" w:fill="auto"/>
            <w:noWrap/>
            <w:hideMark/>
          </w:tcPr>
          <w:p w14:paraId="095C38EE" w14:textId="77777777" w:rsidR="00A325C8" w:rsidRPr="00691ABD" w:rsidRDefault="00A325C8" w:rsidP="003963ED">
            <w:pPr>
              <w:jc w:val="left"/>
              <w:rPr>
                <w:sz w:val="20"/>
                <w:szCs w:val="20"/>
                <w:lang w:val="fr-CA" w:eastAsia="en-CA"/>
              </w:rPr>
            </w:pPr>
            <w:r w:rsidRPr="00691ABD">
              <w:rPr>
                <w:sz w:val="20"/>
                <w:szCs w:val="20"/>
                <w:lang w:val="fr-CA" w:eastAsia="en-CA"/>
              </w:rPr>
              <w:t>Chin</w:t>
            </w:r>
            <w:r>
              <w:rPr>
                <w:sz w:val="20"/>
                <w:szCs w:val="20"/>
                <w:lang w:val="fr-CA" w:eastAsia="en-CA"/>
              </w:rPr>
              <w:t>e</w:t>
            </w:r>
          </w:p>
        </w:tc>
        <w:tc>
          <w:tcPr>
            <w:tcW w:w="1295" w:type="dxa"/>
            <w:tcBorders>
              <w:top w:val="nil"/>
              <w:left w:val="nil"/>
              <w:bottom w:val="single" w:sz="4" w:space="0" w:color="auto"/>
              <w:right w:val="single" w:sz="4" w:space="0" w:color="auto"/>
            </w:tcBorders>
            <w:shd w:val="clear" w:color="auto" w:fill="auto"/>
            <w:noWrap/>
            <w:hideMark/>
          </w:tcPr>
          <w:p w14:paraId="3200B45D"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 xml:space="preserve"> </w:t>
            </w:r>
            <w:r w:rsidRPr="00691ABD">
              <w:rPr>
                <w:sz w:val="20"/>
                <w:szCs w:val="20"/>
                <w:lang w:val="fr-CA" w:eastAsia="en-CA"/>
              </w:rPr>
              <w:t>267</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60142C93" w14:textId="77777777" w:rsidR="00A325C8" w:rsidRPr="00691ABD" w:rsidRDefault="00A325C8" w:rsidP="001E39EE">
            <w:pPr>
              <w:jc w:val="right"/>
              <w:rPr>
                <w:sz w:val="20"/>
                <w:szCs w:val="20"/>
                <w:lang w:val="fr-CA" w:eastAsia="en-CA"/>
              </w:rPr>
            </w:pPr>
            <w:r w:rsidRPr="00691ABD">
              <w:rPr>
                <w:sz w:val="20"/>
                <w:szCs w:val="20"/>
                <w:lang w:val="fr-CA" w:eastAsia="en-CA"/>
              </w:rPr>
              <w:t>396</w:t>
            </w:r>
            <w:r>
              <w:rPr>
                <w:sz w:val="20"/>
                <w:szCs w:val="20"/>
                <w:lang w:val="fr-CA" w:eastAsia="en-CA"/>
              </w:rPr>
              <w:t xml:space="preserve"> </w:t>
            </w:r>
            <w:r w:rsidRPr="00691ABD">
              <w:rPr>
                <w:sz w:val="20"/>
                <w:szCs w:val="20"/>
                <w:lang w:val="fr-CA" w:eastAsia="en-CA"/>
              </w:rPr>
              <w:t>859</w:t>
            </w:r>
            <w:r>
              <w:rPr>
                <w:sz w:val="20"/>
                <w:szCs w:val="20"/>
                <w:lang w:val="fr-CA" w:eastAsia="en-CA"/>
              </w:rPr>
              <w:t xml:space="preserve"> </w:t>
            </w:r>
            <w:r w:rsidRPr="00691ABD">
              <w:rPr>
                <w:sz w:val="20"/>
                <w:szCs w:val="20"/>
                <w:lang w:val="fr-CA" w:eastAsia="en-CA"/>
              </w:rPr>
              <w:t>178</w:t>
            </w:r>
          </w:p>
        </w:tc>
        <w:tc>
          <w:tcPr>
            <w:tcW w:w="1276" w:type="dxa"/>
            <w:tcBorders>
              <w:top w:val="nil"/>
              <w:left w:val="nil"/>
              <w:bottom w:val="single" w:sz="4" w:space="0" w:color="auto"/>
              <w:right w:val="single" w:sz="4" w:space="0" w:color="auto"/>
            </w:tcBorders>
            <w:shd w:val="clear" w:color="auto" w:fill="auto"/>
            <w:noWrap/>
            <w:hideMark/>
          </w:tcPr>
          <w:p w14:paraId="00FEE69D" w14:textId="77777777" w:rsidR="00A325C8" w:rsidRPr="00691ABD" w:rsidRDefault="00A325C8" w:rsidP="001E39EE">
            <w:pPr>
              <w:jc w:val="right"/>
              <w:rPr>
                <w:sz w:val="20"/>
                <w:szCs w:val="20"/>
                <w:lang w:val="fr-CA" w:eastAsia="en-CA"/>
              </w:rPr>
            </w:pPr>
            <w:r w:rsidRPr="00691ABD">
              <w:rPr>
                <w:sz w:val="20"/>
                <w:szCs w:val="20"/>
                <w:lang w:val="fr-CA" w:eastAsia="en-CA"/>
              </w:rPr>
              <w:t>342</w:t>
            </w:r>
            <w:r>
              <w:rPr>
                <w:sz w:val="20"/>
                <w:szCs w:val="20"/>
                <w:lang w:val="fr-CA" w:eastAsia="en-CA"/>
              </w:rPr>
              <w:t xml:space="preserve"> </w:t>
            </w:r>
            <w:r w:rsidRPr="00691ABD">
              <w:rPr>
                <w:sz w:val="20"/>
                <w:szCs w:val="20"/>
                <w:lang w:val="fr-CA" w:eastAsia="en-CA"/>
              </w:rPr>
              <w:t>557</w:t>
            </w:r>
            <w:r>
              <w:rPr>
                <w:sz w:val="20"/>
                <w:szCs w:val="20"/>
                <w:lang w:val="fr-CA" w:eastAsia="en-CA"/>
              </w:rPr>
              <w:t xml:space="preserve"> </w:t>
            </w:r>
            <w:r w:rsidRPr="00691ABD">
              <w:rPr>
                <w:sz w:val="20"/>
                <w:szCs w:val="20"/>
                <w:lang w:val="fr-CA" w:eastAsia="en-CA"/>
              </w:rPr>
              <w:t>083</w:t>
            </w:r>
          </w:p>
        </w:tc>
        <w:tc>
          <w:tcPr>
            <w:tcW w:w="1250" w:type="dxa"/>
            <w:tcBorders>
              <w:top w:val="nil"/>
              <w:left w:val="nil"/>
              <w:bottom w:val="single" w:sz="4" w:space="0" w:color="auto"/>
              <w:right w:val="single" w:sz="4" w:space="0" w:color="auto"/>
            </w:tcBorders>
            <w:shd w:val="clear" w:color="auto" w:fill="auto"/>
            <w:noWrap/>
            <w:hideMark/>
          </w:tcPr>
          <w:p w14:paraId="4DE1B507" w14:textId="77777777" w:rsidR="00A325C8" w:rsidRPr="00691ABD" w:rsidRDefault="00A325C8" w:rsidP="001E39EE">
            <w:pPr>
              <w:jc w:val="right"/>
              <w:rPr>
                <w:sz w:val="20"/>
                <w:szCs w:val="20"/>
                <w:lang w:val="fr-CA" w:eastAsia="en-CA"/>
              </w:rPr>
            </w:pPr>
            <w:r w:rsidRPr="00691ABD">
              <w:rPr>
                <w:sz w:val="20"/>
                <w:szCs w:val="20"/>
                <w:lang w:val="fr-CA" w:eastAsia="en-CA"/>
              </w:rPr>
              <w:t>54</w:t>
            </w:r>
            <w:r>
              <w:rPr>
                <w:sz w:val="20"/>
                <w:szCs w:val="20"/>
                <w:lang w:val="fr-CA" w:eastAsia="en-CA"/>
              </w:rPr>
              <w:t xml:space="preserve"> </w:t>
            </w:r>
            <w:r w:rsidRPr="00691ABD">
              <w:rPr>
                <w:sz w:val="20"/>
                <w:szCs w:val="20"/>
                <w:lang w:val="fr-CA" w:eastAsia="en-CA"/>
              </w:rPr>
              <w:t>302</w:t>
            </w:r>
            <w:r>
              <w:rPr>
                <w:sz w:val="20"/>
                <w:szCs w:val="20"/>
                <w:lang w:val="fr-CA" w:eastAsia="en-CA"/>
              </w:rPr>
              <w:t xml:space="preserve"> </w:t>
            </w:r>
            <w:r w:rsidRPr="00691ABD">
              <w:rPr>
                <w:sz w:val="20"/>
                <w:szCs w:val="20"/>
                <w:lang w:val="fr-CA" w:eastAsia="en-CA"/>
              </w:rPr>
              <w:t>095</w:t>
            </w:r>
          </w:p>
        </w:tc>
        <w:tc>
          <w:tcPr>
            <w:tcW w:w="1050" w:type="dxa"/>
            <w:tcBorders>
              <w:top w:val="nil"/>
              <w:left w:val="nil"/>
              <w:bottom w:val="single" w:sz="4" w:space="0" w:color="auto"/>
              <w:right w:val="single" w:sz="4" w:space="0" w:color="auto"/>
            </w:tcBorders>
            <w:shd w:val="clear" w:color="auto" w:fill="auto"/>
            <w:noWrap/>
            <w:hideMark/>
          </w:tcPr>
          <w:p w14:paraId="66EABCE3" w14:textId="77777777" w:rsidR="00A325C8" w:rsidRPr="00691ABD" w:rsidRDefault="00A325C8" w:rsidP="001E39EE">
            <w:pPr>
              <w:jc w:val="right"/>
              <w:rPr>
                <w:sz w:val="20"/>
                <w:szCs w:val="20"/>
                <w:lang w:val="fr-CA" w:eastAsia="en-CA"/>
              </w:rPr>
            </w:pPr>
            <w:r w:rsidRPr="00691ABD">
              <w:rPr>
                <w:sz w:val="20"/>
                <w:szCs w:val="20"/>
                <w:lang w:val="fr-CA" w:eastAsia="en-CA"/>
              </w:rPr>
              <w:t>86</w:t>
            </w:r>
          </w:p>
        </w:tc>
      </w:tr>
      <w:tr w:rsidR="00A325C8" w:rsidRPr="00691ABD" w14:paraId="606EB244" w14:textId="77777777" w:rsidTr="00691ABD">
        <w:trPr>
          <w:trHeight w:val="78"/>
        </w:trPr>
        <w:tc>
          <w:tcPr>
            <w:tcW w:w="3828" w:type="dxa"/>
            <w:tcBorders>
              <w:top w:val="nil"/>
              <w:left w:val="single" w:sz="4" w:space="0" w:color="auto"/>
              <w:bottom w:val="single" w:sz="4" w:space="0" w:color="auto"/>
              <w:right w:val="single" w:sz="4" w:space="0" w:color="auto"/>
            </w:tcBorders>
            <w:shd w:val="clear" w:color="auto" w:fill="auto"/>
            <w:noWrap/>
            <w:hideMark/>
          </w:tcPr>
          <w:p w14:paraId="506BD5A7" w14:textId="77777777" w:rsidR="00A325C8" w:rsidRPr="00691ABD" w:rsidRDefault="00A325C8" w:rsidP="003963ED">
            <w:pPr>
              <w:jc w:val="left"/>
              <w:rPr>
                <w:sz w:val="20"/>
                <w:szCs w:val="20"/>
                <w:lang w:val="fr-CA" w:eastAsia="en-CA"/>
              </w:rPr>
            </w:pPr>
            <w:r w:rsidRPr="00691ABD">
              <w:rPr>
                <w:sz w:val="20"/>
                <w:szCs w:val="20"/>
                <w:lang w:val="fr-CA" w:eastAsia="en-CA"/>
              </w:rPr>
              <w:t>Colombi</w:t>
            </w:r>
            <w:r>
              <w:rPr>
                <w:sz w:val="20"/>
                <w:szCs w:val="20"/>
                <w:lang w:val="fr-CA" w:eastAsia="en-CA"/>
              </w:rPr>
              <w:t>e</w:t>
            </w:r>
          </w:p>
        </w:tc>
        <w:tc>
          <w:tcPr>
            <w:tcW w:w="1295" w:type="dxa"/>
            <w:tcBorders>
              <w:top w:val="nil"/>
              <w:left w:val="nil"/>
              <w:bottom w:val="single" w:sz="4" w:space="0" w:color="auto"/>
              <w:right w:val="single" w:sz="4" w:space="0" w:color="auto"/>
            </w:tcBorders>
            <w:shd w:val="clear" w:color="auto" w:fill="auto"/>
            <w:noWrap/>
            <w:hideMark/>
          </w:tcPr>
          <w:p w14:paraId="53F043FB" w14:textId="77777777" w:rsidR="00A325C8" w:rsidRPr="00691ABD" w:rsidRDefault="00A325C8" w:rsidP="001E39EE">
            <w:pPr>
              <w:jc w:val="right"/>
              <w:rPr>
                <w:sz w:val="20"/>
                <w:szCs w:val="20"/>
                <w:lang w:val="fr-CA" w:eastAsia="en-CA"/>
              </w:rPr>
            </w:pPr>
            <w:r w:rsidRPr="00691ABD">
              <w:rPr>
                <w:sz w:val="20"/>
                <w:szCs w:val="20"/>
                <w:lang w:val="fr-CA" w:eastAsia="en-CA"/>
              </w:rPr>
              <w:t>189</w:t>
            </w:r>
            <w:r>
              <w:rPr>
                <w:sz w:val="20"/>
                <w:szCs w:val="20"/>
                <w:lang w:val="fr-CA" w:eastAsia="en-CA"/>
              </w:rPr>
              <w:t>,</w:t>
            </w:r>
            <w:r w:rsidRPr="00691ABD">
              <w:rPr>
                <w:sz w:val="20"/>
                <w:szCs w:val="20"/>
                <w:lang w:val="fr-CA" w:eastAsia="en-CA"/>
              </w:rPr>
              <w:t>2</w:t>
            </w:r>
          </w:p>
        </w:tc>
        <w:tc>
          <w:tcPr>
            <w:tcW w:w="1275" w:type="dxa"/>
            <w:tcBorders>
              <w:top w:val="nil"/>
              <w:left w:val="nil"/>
              <w:bottom w:val="single" w:sz="4" w:space="0" w:color="auto"/>
              <w:right w:val="single" w:sz="4" w:space="0" w:color="auto"/>
            </w:tcBorders>
            <w:shd w:val="clear" w:color="auto" w:fill="auto"/>
            <w:noWrap/>
            <w:hideMark/>
          </w:tcPr>
          <w:p w14:paraId="436CC5A1" w14:textId="77777777" w:rsidR="00A325C8" w:rsidRPr="00691ABD" w:rsidRDefault="00A325C8" w:rsidP="001E39EE">
            <w:pPr>
              <w:jc w:val="right"/>
              <w:rPr>
                <w:sz w:val="20"/>
                <w:szCs w:val="20"/>
                <w:lang w:val="fr-CA" w:eastAsia="en-CA"/>
              </w:rPr>
            </w:pPr>
            <w:r w:rsidRPr="00691ABD">
              <w:rPr>
                <w:sz w:val="20"/>
                <w:szCs w:val="20"/>
                <w:lang w:val="fr-CA" w:eastAsia="en-CA"/>
              </w:rPr>
              <w:t>11</w:t>
            </w:r>
            <w:r>
              <w:rPr>
                <w:sz w:val="20"/>
                <w:szCs w:val="20"/>
                <w:lang w:val="fr-CA" w:eastAsia="en-CA"/>
              </w:rPr>
              <w:t xml:space="preserve"> </w:t>
            </w:r>
            <w:r w:rsidRPr="00691ABD">
              <w:rPr>
                <w:sz w:val="20"/>
                <w:szCs w:val="20"/>
                <w:lang w:val="fr-CA" w:eastAsia="en-CA"/>
              </w:rPr>
              <w:t>706</w:t>
            </w:r>
            <w:r>
              <w:rPr>
                <w:sz w:val="20"/>
                <w:szCs w:val="20"/>
                <w:lang w:val="fr-CA" w:eastAsia="en-CA"/>
              </w:rPr>
              <w:t xml:space="preserve"> </w:t>
            </w:r>
            <w:r w:rsidRPr="00691ABD">
              <w:rPr>
                <w:sz w:val="20"/>
                <w:szCs w:val="20"/>
                <w:lang w:val="fr-CA" w:eastAsia="en-CA"/>
              </w:rPr>
              <w:t>162</w:t>
            </w:r>
          </w:p>
        </w:tc>
        <w:tc>
          <w:tcPr>
            <w:tcW w:w="1276" w:type="dxa"/>
            <w:tcBorders>
              <w:top w:val="nil"/>
              <w:left w:val="nil"/>
              <w:bottom w:val="single" w:sz="4" w:space="0" w:color="auto"/>
              <w:right w:val="single" w:sz="4" w:space="0" w:color="auto"/>
            </w:tcBorders>
            <w:shd w:val="clear" w:color="auto" w:fill="auto"/>
            <w:noWrap/>
            <w:hideMark/>
          </w:tcPr>
          <w:p w14:paraId="3EE69C56" w14:textId="77777777" w:rsidR="00A325C8" w:rsidRPr="00691ABD" w:rsidRDefault="00A325C8" w:rsidP="001E39EE">
            <w:pPr>
              <w:jc w:val="right"/>
              <w:rPr>
                <w:sz w:val="20"/>
                <w:szCs w:val="20"/>
                <w:lang w:val="fr-CA" w:eastAsia="en-CA"/>
              </w:rPr>
            </w:pPr>
            <w:r w:rsidRPr="00691ABD">
              <w:rPr>
                <w:sz w:val="20"/>
                <w:szCs w:val="20"/>
                <w:lang w:val="fr-CA" w:eastAsia="en-CA"/>
              </w:rPr>
              <w:t>9</w:t>
            </w:r>
            <w:r>
              <w:rPr>
                <w:sz w:val="20"/>
                <w:szCs w:val="20"/>
                <w:lang w:val="fr-CA" w:eastAsia="en-CA"/>
              </w:rPr>
              <w:t xml:space="preserve"> </w:t>
            </w:r>
            <w:r w:rsidRPr="00691ABD">
              <w:rPr>
                <w:sz w:val="20"/>
                <w:szCs w:val="20"/>
                <w:lang w:val="fr-CA" w:eastAsia="en-CA"/>
              </w:rPr>
              <w:t>396</w:t>
            </w:r>
            <w:r>
              <w:rPr>
                <w:sz w:val="20"/>
                <w:szCs w:val="20"/>
                <w:lang w:val="fr-CA" w:eastAsia="en-CA"/>
              </w:rPr>
              <w:t xml:space="preserve"> </w:t>
            </w:r>
            <w:r w:rsidRPr="00691ABD">
              <w:rPr>
                <w:sz w:val="20"/>
                <w:szCs w:val="20"/>
                <w:lang w:val="fr-CA" w:eastAsia="en-CA"/>
              </w:rPr>
              <w:t>862</w:t>
            </w:r>
          </w:p>
        </w:tc>
        <w:tc>
          <w:tcPr>
            <w:tcW w:w="1250" w:type="dxa"/>
            <w:tcBorders>
              <w:top w:val="nil"/>
              <w:left w:val="nil"/>
              <w:bottom w:val="single" w:sz="4" w:space="0" w:color="auto"/>
              <w:right w:val="single" w:sz="4" w:space="0" w:color="auto"/>
            </w:tcBorders>
            <w:shd w:val="clear" w:color="auto" w:fill="auto"/>
            <w:noWrap/>
            <w:hideMark/>
          </w:tcPr>
          <w:p w14:paraId="300869D5"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309</w:t>
            </w:r>
            <w:r>
              <w:rPr>
                <w:sz w:val="20"/>
                <w:szCs w:val="20"/>
                <w:lang w:val="fr-CA" w:eastAsia="en-CA"/>
              </w:rPr>
              <w:t xml:space="preserve"> </w:t>
            </w:r>
            <w:r w:rsidRPr="00691ABD">
              <w:rPr>
                <w:sz w:val="20"/>
                <w:szCs w:val="20"/>
                <w:lang w:val="fr-CA" w:eastAsia="en-CA"/>
              </w:rPr>
              <w:t>300</w:t>
            </w:r>
          </w:p>
        </w:tc>
        <w:tc>
          <w:tcPr>
            <w:tcW w:w="1050" w:type="dxa"/>
            <w:tcBorders>
              <w:top w:val="nil"/>
              <w:left w:val="nil"/>
              <w:bottom w:val="single" w:sz="4" w:space="0" w:color="auto"/>
              <w:right w:val="single" w:sz="4" w:space="0" w:color="auto"/>
            </w:tcBorders>
            <w:shd w:val="clear" w:color="auto" w:fill="auto"/>
            <w:noWrap/>
            <w:hideMark/>
          </w:tcPr>
          <w:p w14:paraId="4DD0DB02" w14:textId="77777777" w:rsidR="00A325C8" w:rsidRPr="00691ABD" w:rsidRDefault="00A325C8" w:rsidP="001E39EE">
            <w:pPr>
              <w:jc w:val="right"/>
              <w:rPr>
                <w:sz w:val="20"/>
                <w:szCs w:val="20"/>
                <w:lang w:val="fr-CA" w:eastAsia="en-CA"/>
              </w:rPr>
            </w:pPr>
            <w:r w:rsidRPr="00691ABD">
              <w:rPr>
                <w:sz w:val="20"/>
                <w:szCs w:val="20"/>
                <w:lang w:val="fr-CA" w:eastAsia="en-CA"/>
              </w:rPr>
              <w:t>80</w:t>
            </w:r>
          </w:p>
        </w:tc>
      </w:tr>
      <w:tr w:rsidR="00A325C8" w:rsidRPr="00691ABD" w14:paraId="07DB18B0" w14:textId="77777777" w:rsidTr="00691ABD">
        <w:trPr>
          <w:trHeight w:val="125"/>
        </w:trPr>
        <w:tc>
          <w:tcPr>
            <w:tcW w:w="3828" w:type="dxa"/>
            <w:tcBorders>
              <w:top w:val="nil"/>
              <w:left w:val="single" w:sz="4" w:space="0" w:color="auto"/>
              <w:bottom w:val="single" w:sz="4" w:space="0" w:color="auto"/>
              <w:right w:val="single" w:sz="4" w:space="0" w:color="auto"/>
            </w:tcBorders>
            <w:shd w:val="clear" w:color="auto" w:fill="auto"/>
            <w:noWrap/>
            <w:hideMark/>
          </w:tcPr>
          <w:p w14:paraId="11B9D30B" w14:textId="77777777" w:rsidR="00A325C8" w:rsidRPr="00691ABD" w:rsidRDefault="00A325C8" w:rsidP="003963ED">
            <w:pPr>
              <w:jc w:val="left"/>
              <w:rPr>
                <w:sz w:val="20"/>
                <w:szCs w:val="20"/>
                <w:lang w:val="fr-CA" w:eastAsia="en-CA"/>
              </w:rPr>
            </w:pPr>
            <w:r w:rsidRPr="00691ABD">
              <w:rPr>
                <w:sz w:val="20"/>
                <w:szCs w:val="20"/>
                <w:lang w:val="fr-CA" w:eastAsia="en-CA"/>
              </w:rPr>
              <w:t>Comor</w:t>
            </w:r>
            <w:r>
              <w:rPr>
                <w:sz w:val="20"/>
                <w:szCs w:val="20"/>
                <w:lang w:val="fr-CA" w:eastAsia="en-CA"/>
              </w:rPr>
              <w:t>es</w:t>
            </w:r>
          </w:p>
        </w:tc>
        <w:tc>
          <w:tcPr>
            <w:tcW w:w="1295" w:type="dxa"/>
            <w:tcBorders>
              <w:top w:val="nil"/>
              <w:left w:val="nil"/>
              <w:bottom w:val="single" w:sz="4" w:space="0" w:color="auto"/>
              <w:right w:val="single" w:sz="4" w:space="0" w:color="auto"/>
            </w:tcBorders>
            <w:shd w:val="clear" w:color="auto" w:fill="auto"/>
            <w:noWrap/>
            <w:hideMark/>
          </w:tcPr>
          <w:p w14:paraId="20E1F589"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17954683" w14:textId="77777777" w:rsidR="00A325C8" w:rsidRPr="00691ABD" w:rsidRDefault="00A325C8" w:rsidP="001E39EE">
            <w:pPr>
              <w:jc w:val="right"/>
              <w:rPr>
                <w:sz w:val="20"/>
                <w:szCs w:val="20"/>
                <w:lang w:val="fr-CA" w:eastAsia="en-CA"/>
              </w:rPr>
            </w:pPr>
            <w:r w:rsidRPr="00691ABD">
              <w:rPr>
                <w:sz w:val="20"/>
                <w:szCs w:val="20"/>
                <w:lang w:val="fr-CA" w:eastAsia="en-CA"/>
              </w:rPr>
              <w:t>143</w:t>
            </w:r>
            <w:r>
              <w:rPr>
                <w:sz w:val="20"/>
                <w:szCs w:val="20"/>
                <w:lang w:val="fr-CA" w:eastAsia="en-CA"/>
              </w:rPr>
              <w:t xml:space="preserve"> </w:t>
            </w:r>
            <w:r w:rsidRPr="00691ABD">
              <w:rPr>
                <w:sz w:val="20"/>
                <w:szCs w:val="20"/>
                <w:lang w:val="fr-CA" w:eastAsia="en-CA"/>
              </w:rPr>
              <w:t>777</w:t>
            </w:r>
          </w:p>
        </w:tc>
        <w:tc>
          <w:tcPr>
            <w:tcW w:w="1276" w:type="dxa"/>
            <w:tcBorders>
              <w:top w:val="nil"/>
              <w:left w:val="nil"/>
              <w:bottom w:val="single" w:sz="4" w:space="0" w:color="auto"/>
              <w:right w:val="single" w:sz="4" w:space="0" w:color="auto"/>
            </w:tcBorders>
            <w:shd w:val="clear" w:color="auto" w:fill="auto"/>
            <w:noWrap/>
            <w:hideMark/>
          </w:tcPr>
          <w:p w14:paraId="54BEDCD7" w14:textId="77777777" w:rsidR="00A325C8" w:rsidRPr="00691ABD" w:rsidRDefault="00A325C8" w:rsidP="001E39EE">
            <w:pPr>
              <w:jc w:val="right"/>
              <w:rPr>
                <w:sz w:val="20"/>
                <w:szCs w:val="20"/>
                <w:lang w:val="fr-CA" w:eastAsia="en-CA"/>
              </w:rPr>
            </w:pPr>
            <w:r w:rsidRPr="00691ABD">
              <w:rPr>
                <w:sz w:val="20"/>
                <w:szCs w:val="20"/>
                <w:lang w:val="fr-CA" w:eastAsia="en-CA"/>
              </w:rPr>
              <w:t>128</w:t>
            </w:r>
            <w:r>
              <w:rPr>
                <w:sz w:val="20"/>
                <w:szCs w:val="20"/>
                <w:lang w:val="fr-CA" w:eastAsia="en-CA"/>
              </w:rPr>
              <w:t xml:space="preserve"> </w:t>
            </w:r>
            <w:r w:rsidRPr="00691ABD">
              <w:rPr>
                <w:sz w:val="20"/>
                <w:szCs w:val="20"/>
                <w:lang w:val="fr-CA" w:eastAsia="en-CA"/>
              </w:rPr>
              <w:t>464</w:t>
            </w:r>
          </w:p>
        </w:tc>
        <w:tc>
          <w:tcPr>
            <w:tcW w:w="1250" w:type="dxa"/>
            <w:tcBorders>
              <w:top w:val="nil"/>
              <w:left w:val="nil"/>
              <w:bottom w:val="single" w:sz="4" w:space="0" w:color="auto"/>
              <w:right w:val="single" w:sz="4" w:space="0" w:color="auto"/>
            </w:tcBorders>
            <w:shd w:val="clear" w:color="auto" w:fill="auto"/>
            <w:noWrap/>
            <w:hideMark/>
          </w:tcPr>
          <w:p w14:paraId="392B085C" w14:textId="77777777" w:rsidR="00A325C8" w:rsidRPr="00691ABD" w:rsidRDefault="00A325C8" w:rsidP="001E39EE">
            <w:pPr>
              <w:jc w:val="right"/>
              <w:rPr>
                <w:sz w:val="20"/>
                <w:szCs w:val="20"/>
                <w:lang w:val="fr-CA" w:eastAsia="en-CA"/>
              </w:rPr>
            </w:pPr>
            <w:r w:rsidRPr="00691ABD">
              <w:rPr>
                <w:sz w:val="20"/>
                <w:szCs w:val="20"/>
                <w:lang w:val="fr-CA" w:eastAsia="en-CA"/>
              </w:rPr>
              <w:t>15</w:t>
            </w:r>
            <w:r>
              <w:rPr>
                <w:sz w:val="20"/>
                <w:szCs w:val="20"/>
                <w:lang w:val="fr-CA" w:eastAsia="en-CA"/>
              </w:rPr>
              <w:t xml:space="preserve"> </w:t>
            </w:r>
            <w:r w:rsidRPr="00691ABD">
              <w:rPr>
                <w:sz w:val="20"/>
                <w:szCs w:val="20"/>
                <w:lang w:val="fr-CA" w:eastAsia="en-CA"/>
              </w:rPr>
              <w:t>313</w:t>
            </w:r>
          </w:p>
        </w:tc>
        <w:tc>
          <w:tcPr>
            <w:tcW w:w="1050" w:type="dxa"/>
            <w:tcBorders>
              <w:top w:val="nil"/>
              <w:left w:val="nil"/>
              <w:bottom w:val="single" w:sz="4" w:space="0" w:color="auto"/>
              <w:right w:val="single" w:sz="4" w:space="0" w:color="auto"/>
            </w:tcBorders>
            <w:shd w:val="clear" w:color="auto" w:fill="auto"/>
            <w:noWrap/>
            <w:hideMark/>
          </w:tcPr>
          <w:p w14:paraId="42EC8C9C" w14:textId="77777777" w:rsidR="00A325C8" w:rsidRPr="00691ABD" w:rsidRDefault="00A325C8" w:rsidP="001E39EE">
            <w:pPr>
              <w:jc w:val="right"/>
              <w:rPr>
                <w:sz w:val="20"/>
                <w:szCs w:val="20"/>
                <w:lang w:val="fr-CA" w:eastAsia="en-CA"/>
              </w:rPr>
            </w:pPr>
            <w:r w:rsidRPr="00691ABD">
              <w:rPr>
                <w:sz w:val="20"/>
                <w:szCs w:val="20"/>
                <w:lang w:val="fr-CA" w:eastAsia="en-CA"/>
              </w:rPr>
              <w:t>89</w:t>
            </w:r>
          </w:p>
        </w:tc>
      </w:tr>
      <w:tr w:rsidR="00A325C8" w:rsidRPr="00691ABD" w14:paraId="6563B8A8"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B4ECD82" w14:textId="77777777" w:rsidR="00A325C8" w:rsidRPr="00691ABD" w:rsidRDefault="00A325C8" w:rsidP="003963ED">
            <w:pPr>
              <w:jc w:val="left"/>
              <w:rPr>
                <w:sz w:val="20"/>
                <w:szCs w:val="20"/>
                <w:lang w:val="fr-CA" w:eastAsia="en-CA"/>
              </w:rPr>
            </w:pPr>
            <w:r>
              <w:rPr>
                <w:sz w:val="20"/>
                <w:szCs w:val="20"/>
                <w:lang w:val="fr-CA" w:eastAsia="en-CA"/>
              </w:rPr>
              <w:t xml:space="preserve">Congo </w:t>
            </w:r>
          </w:p>
        </w:tc>
        <w:tc>
          <w:tcPr>
            <w:tcW w:w="1295" w:type="dxa"/>
            <w:tcBorders>
              <w:top w:val="nil"/>
              <w:left w:val="nil"/>
              <w:bottom w:val="single" w:sz="4" w:space="0" w:color="auto"/>
              <w:right w:val="single" w:sz="4" w:space="0" w:color="auto"/>
            </w:tcBorders>
            <w:shd w:val="clear" w:color="auto" w:fill="auto"/>
            <w:noWrap/>
            <w:hideMark/>
          </w:tcPr>
          <w:p w14:paraId="192EEF90"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38A91A31" w14:textId="77777777" w:rsidR="00A325C8" w:rsidRPr="00691ABD" w:rsidRDefault="00A325C8" w:rsidP="001E39EE">
            <w:pPr>
              <w:jc w:val="right"/>
              <w:rPr>
                <w:sz w:val="20"/>
                <w:szCs w:val="20"/>
                <w:lang w:val="fr-CA" w:eastAsia="en-CA"/>
              </w:rPr>
            </w:pPr>
            <w:r w:rsidRPr="00691ABD">
              <w:rPr>
                <w:sz w:val="20"/>
                <w:szCs w:val="20"/>
                <w:lang w:val="fr-CA" w:eastAsia="en-CA"/>
              </w:rPr>
              <w:t>313</w:t>
            </w:r>
            <w:r>
              <w:rPr>
                <w:sz w:val="20"/>
                <w:szCs w:val="20"/>
                <w:lang w:val="fr-CA" w:eastAsia="en-CA"/>
              </w:rPr>
              <w:t xml:space="preserve"> </w:t>
            </w:r>
            <w:r w:rsidRPr="00691ABD">
              <w:rPr>
                <w:sz w:val="20"/>
                <w:szCs w:val="20"/>
                <w:lang w:val="fr-CA" w:eastAsia="en-CA"/>
              </w:rPr>
              <w:t>626</w:t>
            </w:r>
          </w:p>
        </w:tc>
        <w:tc>
          <w:tcPr>
            <w:tcW w:w="1276" w:type="dxa"/>
            <w:tcBorders>
              <w:top w:val="nil"/>
              <w:left w:val="nil"/>
              <w:bottom w:val="single" w:sz="4" w:space="0" w:color="auto"/>
              <w:right w:val="single" w:sz="4" w:space="0" w:color="auto"/>
            </w:tcBorders>
            <w:shd w:val="clear" w:color="auto" w:fill="auto"/>
            <w:noWrap/>
            <w:hideMark/>
          </w:tcPr>
          <w:p w14:paraId="4A5E8A17" w14:textId="77777777" w:rsidR="00A325C8" w:rsidRPr="00691ABD" w:rsidRDefault="00A325C8" w:rsidP="001E39EE">
            <w:pPr>
              <w:jc w:val="right"/>
              <w:rPr>
                <w:sz w:val="20"/>
                <w:szCs w:val="20"/>
                <w:lang w:val="fr-CA" w:eastAsia="en-CA"/>
              </w:rPr>
            </w:pPr>
            <w:r w:rsidRPr="00691ABD">
              <w:rPr>
                <w:sz w:val="20"/>
                <w:szCs w:val="20"/>
                <w:lang w:val="fr-CA" w:eastAsia="en-CA"/>
              </w:rPr>
              <w:t>240</w:t>
            </w:r>
            <w:r>
              <w:rPr>
                <w:sz w:val="20"/>
                <w:szCs w:val="20"/>
                <w:lang w:val="fr-CA" w:eastAsia="en-CA"/>
              </w:rPr>
              <w:t xml:space="preserve"> </w:t>
            </w:r>
            <w:r w:rsidRPr="00691ABD">
              <w:rPr>
                <w:sz w:val="20"/>
                <w:szCs w:val="20"/>
                <w:lang w:val="fr-CA" w:eastAsia="en-CA"/>
              </w:rPr>
              <w:t>222</w:t>
            </w:r>
          </w:p>
        </w:tc>
        <w:tc>
          <w:tcPr>
            <w:tcW w:w="1250" w:type="dxa"/>
            <w:tcBorders>
              <w:top w:val="nil"/>
              <w:left w:val="nil"/>
              <w:bottom w:val="single" w:sz="4" w:space="0" w:color="auto"/>
              <w:right w:val="single" w:sz="4" w:space="0" w:color="auto"/>
            </w:tcBorders>
            <w:shd w:val="clear" w:color="auto" w:fill="auto"/>
            <w:noWrap/>
            <w:hideMark/>
          </w:tcPr>
          <w:p w14:paraId="27E4685A" w14:textId="77777777" w:rsidR="00A325C8" w:rsidRPr="00691ABD" w:rsidRDefault="00A325C8" w:rsidP="001E39EE">
            <w:pPr>
              <w:jc w:val="right"/>
              <w:rPr>
                <w:sz w:val="20"/>
                <w:szCs w:val="20"/>
                <w:lang w:val="fr-CA" w:eastAsia="en-CA"/>
              </w:rPr>
            </w:pPr>
            <w:r w:rsidRPr="00691ABD">
              <w:rPr>
                <w:sz w:val="20"/>
                <w:szCs w:val="20"/>
                <w:lang w:val="fr-CA" w:eastAsia="en-CA"/>
              </w:rPr>
              <w:t>73</w:t>
            </w:r>
            <w:r>
              <w:rPr>
                <w:sz w:val="20"/>
                <w:szCs w:val="20"/>
                <w:lang w:val="fr-CA" w:eastAsia="en-CA"/>
              </w:rPr>
              <w:t xml:space="preserve"> </w:t>
            </w:r>
            <w:r w:rsidRPr="00691ABD">
              <w:rPr>
                <w:sz w:val="20"/>
                <w:szCs w:val="20"/>
                <w:lang w:val="fr-CA" w:eastAsia="en-CA"/>
              </w:rPr>
              <w:t>404</w:t>
            </w:r>
          </w:p>
        </w:tc>
        <w:tc>
          <w:tcPr>
            <w:tcW w:w="1050" w:type="dxa"/>
            <w:tcBorders>
              <w:top w:val="nil"/>
              <w:left w:val="nil"/>
              <w:bottom w:val="single" w:sz="4" w:space="0" w:color="auto"/>
              <w:right w:val="single" w:sz="4" w:space="0" w:color="auto"/>
            </w:tcBorders>
            <w:shd w:val="clear" w:color="auto" w:fill="auto"/>
            <w:noWrap/>
            <w:hideMark/>
          </w:tcPr>
          <w:p w14:paraId="00840FED" w14:textId="77777777" w:rsidR="00A325C8" w:rsidRPr="00691ABD" w:rsidRDefault="00A325C8" w:rsidP="001E39EE">
            <w:pPr>
              <w:jc w:val="right"/>
              <w:rPr>
                <w:sz w:val="20"/>
                <w:szCs w:val="20"/>
                <w:lang w:val="fr-CA" w:eastAsia="en-CA"/>
              </w:rPr>
            </w:pPr>
            <w:r w:rsidRPr="00691ABD">
              <w:rPr>
                <w:sz w:val="20"/>
                <w:szCs w:val="20"/>
                <w:lang w:val="fr-CA" w:eastAsia="en-CA"/>
              </w:rPr>
              <w:t>77</w:t>
            </w:r>
          </w:p>
        </w:tc>
      </w:tr>
      <w:tr w:rsidR="00A325C8" w:rsidRPr="00691ABD" w14:paraId="25E182B2"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DB002C3" w14:textId="77777777" w:rsidR="00A325C8" w:rsidRPr="00691ABD" w:rsidRDefault="00A325C8" w:rsidP="001E39EE">
            <w:pPr>
              <w:jc w:val="left"/>
              <w:rPr>
                <w:sz w:val="20"/>
                <w:szCs w:val="20"/>
                <w:lang w:val="fr-CA" w:eastAsia="en-CA"/>
              </w:rPr>
            </w:pPr>
            <w:r w:rsidRPr="00691ABD">
              <w:rPr>
                <w:sz w:val="20"/>
                <w:szCs w:val="20"/>
                <w:lang w:val="fr-CA" w:eastAsia="en-CA"/>
              </w:rPr>
              <w:t>Costa Rica</w:t>
            </w:r>
          </w:p>
        </w:tc>
        <w:tc>
          <w:tcPr>
            <w:tcW w:w="1295" w:type="dxa"/>
            <w:tcBorders>
              <w:top w:val="nil"/>
              <w:left w:val="nil"/>
              <w:bottom w:val="single" w:sz="4" w:space="0" w:color="auto"/>
              <w:right w:val="single" w:sz="4" w:space="0" w:color="auto"/>
            </w:tcBorders>
            <w:shd w:val="clear" w:color="auto" w:fill="auto"/>
            <w:noWrap/>
            <w:hideMark/>
          </w:tcPr>
          <w:p w14:paraId="2466D034" w14:textId="77777777" w:rsidR="00A325C8" w:rsidRPr="00691ABD" w:rsidRDefault="00A325C8" w:rsidP="001E39EE">
            <w:pPr>
              <w:jc w:val="right"/>
              <w:rPr>
                <w:sz w:val="20"/>
                <w:szCs w:val="20"/>
                <w:lang w:val="fr-CA" w:eastAsia="en-CA"/>
              </w:rPr>
            </w:pPr>
            <w:r w:rsidRPr="00691ABD">
              <w:rPr>
                <w:sz w:val="20"/>
                <w:szCs w:val="20"/>
                <w:lang w:val="fr-CA" w:eastAsia="en-CA"/>
              </w:rPr>
              <w:t>19</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174E1ACF"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341</w:t>
            </w:r>
            <w:r>
              <w:rPr>
                <w:sz w:val="20"/>
                <w:szCs w:val="20"/>
                <w:lang w:val="fr-CA" w:eastAsia="en-CA"/>
              </w:rPr>
              <w:t xml:space="preserve"> </w:t>
            </w:r>
            <w:r w:rsidRPr="00691ABD">
              <w:rPr>
                <w:sz w:val="20"/>
                <w:szCs w:val="20"/>
                <w:lang w:val="fr-CA" w:eastAsia="en-CA"/>
              </w:rPr>
              <w:t>299</w:t>
            </w:r>
          </w:p>
        </w:tc>
        <w:tc>
          <w:tcPr>
            <w:tcW w:w="1276" w:type="dxa"/>
            <w:tcBorders>
              <w:top w:val="nil"/>
              <w:left w:val="nil"/>
              <w:bottom w:val="single" w:sz="4" w:space="0" w:color="auto"/>
              <w:right w:val="single" w:sz="4" w:space="0" w:color="auto"/>
            </w:tcBorders>
            <w:shd w:val="clear" w:color="auto" w:fill="auto"/>
            <w:noWrap/>
            <w:hideMark/>
          </w:tcPr>
          <w:p w14:paraId="2A67285B"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135</w:t>
            </w:r>
            <w:r>
              <w:rPr>
                <w:sz w:val="20"/>
                <w:szCs w:val="20"/>
                <w:lang w:val="fr-CA" w:eastAsia="en-CA"/>
              </w:rPr>
              <w:t xml:space="preserve"> </w:t>
            </w:r>
            <w:r w:rsidRPr="00691ABD">
              <w:rPr>
                <w:sz w:val="20"/>
                <w:szCs w:val="20"/>
                <w:lang w:val="fr-CA" w:eastAsia="en-CA"/>
              </w:rPr>
              <w:t>110</w:t>
            </w:r>
          </w:p>
        </w:tc>
        <w:tc>
          <w:tcPr>
            <w:tcW w:w="1250" w:type="dxa"/>
            <w:tcBorders>
              <w:top w:val="nil"/>
              <w:left w:val="nil"/>
              <w:bottom w:val="single" w:sz="4" w:space="0" w:color="auto"/>
              <w:right w:val="single" w:sz="4" w:space="0" w:color="auto"/>
            </w:tcBorders>
            <w:shd w:val="clear" w:color="auto" w:fill="auto"/>
            <w:noWrap/>
            <w:hideMark/>
          </w:tcPr>
          <w:p w14:paraId="5283E487" w14:textId="77777777" w:rsidR="00A325C8" w:rsidRPr="00691ABD" w:rsidRDefault="00A325C8" w:rsidP="001E39EE">
            <w:pPr>
              <w:jc w:val="right"/>
              <w:rPr>
                <w:sz w:val="20"/>
                <w:szCs w:val="20"/>
                <w:lang w:val="fr-CA" w:eastAsia="en-CA"/>
              </w:rPr>
            </w:pPr>
            <w:r w:rsidRPr="00691ABD">
              <w:rPr>
                <w:sz w:val="20"/>
                <w:szCs w:val="20"/>
                <w:lang w:val="fr-CA" w:eastAsia="en-CA"/>
              </w:rPr>
              <w:t>206</w:t>
            </w:r>
            <w:r>
              <w:rPr>
                <w:sz w:val="20"/>
                <w:szCs w:val="20"/>
                <w:lang w:val="fr-CA" w:eastAsia="en-CA"/>
              </w:rPr>
              <w:t xml:space="preserve"> </w:t>
            </w:r>
            <w:r w:rsidRPr="00691ABD">
              <w:rPr>
                <w:sz w:val="20"/>
                <w:szCs w:val="20"/>
                <w:lang w:val="fr-CA" w:eastAsia="en-CA"/>
              </w:rPr>
              <w:t>189</w:t>
            </w:r>
          </w:p>
        </w:tc>
        <w:tc>
          <w:tcPr>
            <w:tcW w:w="1050" w:type="dxa"/>
            <w:tcBorders>
              <w:top w:val="nil"/>
              <w:left w:val="nil"/>
              <w:bottom w:val="single" w:sz="4" w:space="0" w:color="auto"/>
              <w:right w:val="single" w:sz="4" w:space="0" w:color="auto"/>
            </w:tcBorders>
            <w:shd w:val="clear" w:color="auto" w:fill="auto"/>
            <w:noWrap/>
            <w:hideMark/>
          </w:tcPr>
          <w:p w14:paraId="28E2F519" w14:textId="77777777" w:rsidR="00A325C8" w:rsidRPr="00691ABD" w:rsidRDefault="00A325C8" w:rsidP="001E39EE">
            <w:pPr>
              <w:jc w:val="right"/>
              <w:rPr>
                <w:sz w:val="20"/>
                <w:szCs w:val="20"/>
                <w:lang w:val="fr-CA" w:eastAsia="en-CA"/>
              </w:rPr>
            </w:pPr>
            <w:r w:rsidRPr="00691ABD">
              <w:rPr>
                <w:sz w:val="20"/>
                <w:szCs w:val="20"/>
                <w:lang w:val="fr-CA" w:eastAsia="en-CA"/>
              </w:rPr>
              <w:t>85</w:t>
            </w:r>
          </w:p>
        </w:tc>
      </w:tr>
      <w:tr w:rsidR="00A325C8" w:rsidRPr="00691ABD" w14:paraId="70F63BAD"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75FAC7F" w14:textId="594195DA" w:rsidR="00A325C8" w:rsidRPr="00691ABD" w:rsidRDefault="0015174E" w:rsidP="00331806">
            <w:pPr>
              <w:jc w:val="left"/>
              <w:rPr>
                <w:sz w:val="20"/>
                <w:szCs w:val="20"/>
                <w:lang w:val="fr-CA" w:eastAsia="en-CA"/>
              </w:rPr>
            </w:pPr>
            <w:r>
              <w:rPr>
                <w:sz w:val="20"/>
                <w:szCs w:val="20"/>
                <w:lang w:val="fr-CA" w:eastAsia="en-CA"/>
              </w:rPr>
              <w:t>Côte d</w:t>
            </w:r>
            <w:r w:rsidR="00A325C8" w:rsidRPr="00691ABD">
              <w:rPr>
                <w:sz w:val="20"/>
                <w:szCs w:val="20"/>
                <w:lang w:val="fr-CA" w:eastAsia="en-CA"/>
              </w:rPr>
              <w:t>'Ivoire</w:t>
            </w:r>
          </w:p>
        </w:tc>
        <w:tc>
          <w:tcPr>
            <w:tcW w:w="1295" w:type="dxa"/>
            <w:tcBorders>
              <w:top w:val="nil"/>
              <w:left w:val="nil"/>
              <w:bottom w:val="single" w:sz="4" w:space="0" w:color="auto"/>
              <w:right w:val="single" w:sz="4" w:space="0" w:color="auto"/>
            </w:tcBorders>
            <w:shd w:val="clear" w:color="auto" w:fill="auto"/>
            <w:noWrap/>
            <w:hideMark/>
          </w:tcPr>
          <w:p w14:paraId="0C696912" w14:textId="77777777" w:rsidR="00A325C8" w:rsidRPr="00691ABD" w:rsidRDefault="00A325C8" w:rsidP="001E39EE">
            <w:pPr>
              <w:jc w:val="right"/>
              <w:rPr>
                <w:sz w:val="20"/>
                <w:szCs w:val="20"/>
                <w:lang w:val="fr-CA" w:eastAsia="en-CA"/>
              </w:rPr>
            </w:pPr>
            <w:r w:rsidRPr="00691ABD">
              <w:rPr>
                <w:sz w:val="20"/>
                <w:szCs w:val="20"/>
                <w:lang w:val="fr-CA" w:eastAsia="en-CA"/>
              </w:rPr>
              <w:t>22</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42F07E5A"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638</w:t>
            </w:r>
            <w:r>
              <w:rPr>
                <w:sz w:val="20"/>
                <w:szCs w:val="20"/>
                <w:lang w:val="fr-CA" w:eastAsia="en-CA"/>
              </w:rPr>
              <w:t xml:space="preserve"> </w:t>
            </w:r>
            <w:r w:rsidRPr="00691ABD">
              <w:rPr>
                <w:sz w:val="20"/>
                <w:szCs w:val="20"/>
                <w:lang w:val="fr-CA" w:eastAsia="en-CA"/>
              </w:rPr>
              <w:t>362</w:t>
            </w:r>
          </w:p>
        </w:tc>
        <w:tc>
          <w:tcPr>
            <w:tcW w:w="1276" w:type="dxa"/>
            <w:tcBorders>
              <w:top w:val="nil"/>
              <w:left w:val="nil"/>
              <w:bottom w:val="single" w:sz="4" w:space="0" w:color="auto"/>
              <w:right w:val="single" w:sz="4" w:space="0" w:color="auto"/>
            </w:tcBorders>
            <w:shd w:val="clear" w:color="auto" w:fill="auto"/>
            <w:noWrap/>
            <w:hideMark/>
          </w:tcPr>
          <w:p w14:paraId="1F2C1FFC" w14:textId="77777777" w:rsidR="00A325C8" w:rsidRPr="00691ABD" w:rsidRDefault="00A325C8" w:rsidP="001E39EE">
            <w:pPr>
              <w:jc w:val="right"/>
              <w:rPr>
                <w:sz w:val="20"/>
                <w:szCs w:val="20"/>
                <w:lang w:val="fr-CA" w:eastAsia="en-CA"/>
              </w:rPr>
            </w:pPr>
            <w:r w:rsidRPr="00691ABD">
              <w:rPr>
                <w:sz w:val="20"/>
                <w:szCs w:val="20"/>
                <w:lang w:val="fr-CA" w:eastAsia="en-CA"/>
              </w:rPr>
              <w:t>657</w:t>
            </w:r>
            <w:r>
              <w:rPr>
                <w:sz w:val="20"/>
                <w:szCs w:val="20"/>
                <w:lang w:val="fr-CA" w:eastAsia="en-CA"/>
              </w:rPr>
              <w:t xml:space="preserve"> </w:t>
            </w:r>
            <w:r w:rsidRPr="00691ABD">
              <w:rPr>
                <w:sz w:val="20"/>
                <w:szCs w:val="20"/>
                <w:lang w:val="fr-CA" w:eastAsia="en-CA"/>
              </w:rPr>
              <w:t>767</w:t>
            </w:r>
          </w:p>
        </w:tc>
        <w:tc>
          <w:tcPr>
            <w:tcW w:w="1250" w:type="dxa"/>
            <w:tcBorders>
              <w:top w:val="nil"/>
              <w:left w:val="nil"/>
              <w:bottom w:val="single" w:sz="4" w:space="0" w:color="auto"/>
              <w:right w:val="single" w:sz="4" w:space="0" w:color="auto"/>
            </w:tcBorders>
            <w:shd w:val="clear" w:color="auto" w:fill="auto"/>
            <w:noWrap/>
            <w:hideMark/>
          </w:tcPr>
          <w:p w14:paraId="7AD3BF7D" w14:textId="77777777" w:rsidR="00A325C8" w:rsidRPr="00691ABD" w:rsidRDefault="00A325C8" w:rsidP="001E39EE">
            <w:pPr>
              <w:jc w:val="right"/>
              <w:rPr>
                <w:sz w:val="20"/>
                <w:szCs w:val="20"/>
                <w:lang w:val="fr-CA" w:eastAsia="en-CA"/>
              </w:rPr>
            </w:pPr>
            <w:r w:rsidRPr="00691ABD">
              <w:rPr>
                <w:sz w:val="20"/>
                <w:szCs w:val="20"/>
                <w:lang w:val="fr-CA" w:eastAsia="en-CA"/>
              </w:rPr>
              <w:t>980</w:t>
            </w:r>
            <w:r>
              <w:rPr>
                <w:sz w:val="20"/>
                <w:szCs w:val="20"/>
                <w:lang w:val="fr-CA" w:eastAsia="en-CA"/>
              </w:rPr>
              <w:t xml:space="preserve"> </w:t>
            </w:r>
            <w:r w:rsidRPr="00691ABD">
              <w:rPr>
                <w:sz w:val="20"/>
                <w:szCs w:val="20"/>
                <w:lang w:val="fr-CA" w:eastAsia="en-CA"/>
              </w:rPr>
              <w:t>595</w:t>
            </w:r>
          </w:p>
        </w:tc>
        <w:tc>
          <w:tcPr>
            <w:tcW w:w="1050" w:type="dxa"/>
            <w:tcBorders>
              <w:top w:val="nil"/>
              <w:left w:val="nil"/>
              <w:bottom w:val="single" w:sz="4" w:space="0" w:color="auto"/>
              <w:right w:val="single" w:sz="4" w:space="0" w:color="auto"/>
            </w:tcBorders>
            <w:shd w:val="clear" w:color="auto" w:fill="auto"/>
            <w:noWrap/>
            <w:hideMark/>
          </w:tcPr>
          <w:p w14:paraId="2866206A" w14:textId="77777777" w:rsidR="00A325C8" w:rsidRPr="00691ABD" w:rsidRDefault="00A325C8" w:rsidP="001E39EE">
            <w:pPr>
              <w:jc w:val="right"/>
              <w:rPr>
                <w:sz w:val="20"/>
                <w:szCs w:val="20"/>
                <w:lang w:val="fr-CA" w:eastAsia="en-CA"/>
              </w:rPr>
            </w:pPr>
            <w:r w:rsidRPr="00691ABD">
              <w:rPr>
                <w:sz w:val="20"/>
                <w:szCs w:val="20"/>
                <w:lang w:val="fr-CA" w:eastAsia="en-CA"/>
              </w:rPr>
              <w:t>40</w:t>
            </w:r>
          </w:p>
        </w:tc>
      </w:tr>
      <w:tr w:rsidR="00A325C8" w:rsidRPr="00691ABD" w14:paraId="4C3F3B1F" w14:textId="77777777" w:rsidTr="00691ABD">
        <w:trPr>
          <w:trHeight w:val="102"/>
        </w:trPr>
        <w:tc>
          <w:tcPr>
            <w:tcW w:w="3828" w:type="dxa"/>
            <w:tcBorders>
              <w:top w:val="nil"/>
              <w:left w:val="single" w:sz="4" w:space="0" w:color="auto"/>
              <w:bottom w:val="single" w:sz="4" w:space="0" w:color="auto"/>
              <w:right w:val="single" w:sz="4" w:space="0" w:color="auto"/>
            </w:tcBorders>
            <w:shd w:val="clear" w:color="auto" w:fill="auto"/>
            <w:noWrap/>
            <w:hideMark/>
          </w:tcPr>
          <w:p w14:paraId="315C4C64" w14:textId="77777777" w:rsidR="00A325C8" w:rsidRPr="00691ABD" w:rsidRDefault="00A325C8" w:rsidP="001E39EE">
            <w:pPr>
              <w:jc w:val="left"/>
              <w:rPr>
                <w:sz w:val="20"/>
                <w:szCs w:val="20"/>
                <w:lang w:val="fr-CA" w:eastAsia="en-CA"/>
              </w:rPr>
            </w:pPr>
            <w:r>
              <w:rPr>
                <w:sz w:val="20"/>
                <w:szCs w:val="20"/>
                <w:lang w:val="fr-CA" w:eastAsia="en-CA"/>
              </w:rPr>
              <w:t>Croatie</w:t>
            </w:r>
          </w:p>
        </w:tc>
        <w:tc>
          <w:tcPr>
            <w:tcW w:w="1295" w:type="dxa"/>
            <w:tcBorders>
              <w:top w:val="nil"/>
              <w:left w:val="nil"/>
              <w:bottom w:val="single" w:sz="4" w:space="0" w:color="auto"/>
              <w:right w:val="single" w:sz="4" w:space="0" w:color="auto"/>
            </w:tcBorders>
            <w:shd w:val="clear" w:color="auto" w:fill="auto"/>
            <w:noWrap/>
            <w:hideMark/>
          </w:tcPr>
          <w:p w14:paraId="3CEB6B93" w14:textId="77777777" w:rsidR="00A325C8" w:rsidRPr="00691ABD" w:rsidRDefault="00A325C8" w:rsidP="001E39EE">
            <w:pPr>
              <w:jc w:val="right"/>
              <w:rPr>
                <w:sz w:val="20"/>
                <w:szCs w:val="20"/>
                <w:lang w:val="fr-CA" w:eastAsia="en-CA"/>
              </w:rPr>
            </w:pPr>
            <w:r w:rsidRPr="00691ABD">
              <w:rPr>
                <w:sz w:val="20"/>
                <w:szCs w:val="20"/>
                <w:lang w:val="fr-CA" w:eastAsia="en-CA"/>
              </w:rPr>
              <w:t>8</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2E8AB8AD" w14:textId="77777777" w:rsidR="00A325C8" w:rsidRPr="00691ABD" w:rsidRDefault="00A325C8" w:rsidP="001E39EE">
            <w:pPr>
              <w:jc w:val="right"/>
              <w:rPr>
                <w:sz w:val="20"/>
                <w:szCs w:val="20"/>
                <w:lang w:val="fr-CA" w:eastAsia="en-CA"/>
              </w:rPr>
            </w:pPr>
            <w:r w:rsidRPr="00691ABD">
              <w:rPr>
                <w:sz w:val="20"/>
                <w:szCs w:val="20"/>
                <w:lang w:val="fr-CA" w:eastAsia="en-CA"/>
              </w:rPr>
              <w:t>804</w:t>
            </w:r>
            <w:r>
              <w:rPr>
                <w:sz w:val="20"/>
                <w:szCs w:val="20"/>
                <w:lang w:val="fr-CA" w:eastAsia="en-CA"/>
              </w:rPr>
              <w:t xml:space="preserve"> </w:t>
            </w:r>
            <w:r w:rsidRPr="00691ABD">
              <w:rPr>
                <w:sz w:val="20"/>
                <w:szCs w:val="20"/>
                <w:lang w:val="fr-CA" w:eastAsia="en-CA"/>
              </w:rPr>
              <w:t>104</w:t>
            </w:r>
          </w:p>
        </w:tc>
        <w:tc>
          <w:tcPr>
            <w:tcW w:w="1276" w:type="dxa"/>
            <w:tcBorders>
              <w:top w:val="nil"/>
              <w:left w:val="nil"/>
              <w:bottom w:val="single" w:sz="4" w:space="0" w:color="auto"/>
              <w:right w:val="single" w:sz="4" w:space="0" w:color="auto"/>
            </w:tcBorders>
            <w:shd w:val="clear" w:color="auto" w:fill="auto"/>
            <w:noWrap/>
            <w:hideMark/>
          </w:tcPr>
          <w:p w14:paraId="1ADB8943" w14:textId="77777777" w:rsidR="00A325C8" w:rsidRPr="00691ABD" w:rsidRDefault="00A325C8" w:rsidP="001E39EE">
            <w:pPr>
              <w:jc w:val="right"/>
              <w:rPr>
                <w:sz w:val="20"/>
                <w:szCs w:val="20"/>
                <w:lang w:val="fr-CA" w:eastAsia="en-CA"/>
              </w:rPr>
            </w:pPr>
            <w:r w:rsidRPr="00691ABD">
              <w:rPr>
                <w:sz w:val="20"/>
                <w:szCs w:val="20"/>
                <w:lang w:val="fr-CA" w:eastAsia="en-CA"/>
              </w:rPr>
              <w:t>804</w:t>
            </w:r>
            <w:r>
              <w:rPr>
                <w:sz w:val="20"/>
                <w:szCs w:val="20"/>
                <w:lang w:val="fr-CA" w:eastAsia="en-CA"/>
              </w:rPr>
              <w:t xml:space="preserve"> </w:t>
            </w:r>
            <w:r w:rsidRPr="00691ABD">
              <w:rPr>
                <w:sz w:val="20"/>
                <w:szCs w:val="20"/>
                <w:lang w:val="fr-CA" w:eastAsia="en-CA"/>
              </w:rPr>
              <w:t>104</w:t>
            </w:r>
          </w:p>
        </w:tc>
        <w:tc>
          <w:tcPr>
            <w:tcW w:w="1250" w:type="dxa"/>
            <w:tcBorders>
              <w:top w:val="nil"/>
              <w:left w:val="nil"/>
              <w:bottom w:val="single" w:sz="4" w:space="0" w:color="auto"/>
              <w:right w:val="single" w:sz="4" w:space="0" w:color="auto"/>
            </w:tcBorders>
            <w:shd w:val="clear" w:color="auto" w:fill="auto"/>
            <w:noWrap/>
            <w:hideMark/>
          </w:tcPr>
          <w:p w14:paraId="732D7C98" w14:textId="77777777" w:rsidR="00A325C8" w:rsidRPr="00691ABD" w:rsidRDefault="00A325C8" w:rsidP="001E39EE">
            <w:pPr>
              <w:jc w:val="right"/>
              <w:rPr>
                <w:sz w:val="20"/>
                <w:szCs w:val="20"/>
                <w:lang w:val="fr-CA" w:eastAsia="en-CA"/>
              </w:rPr>
            </w:pPr>
            <w:r w:rsidRPr="00691ABD">
              <w:rPr>
                <w:sz w:val="20"/>
                <w:szCs w:val="20"/>
                <w:lang w:val="fr-CA" w:eastAsia="en-CA"/>
              </w:rPr>
              <w:t>0</w:t>
            </w:r>
          </w:p>
        </w:tc>
        <w:tc>
          <w:tcPr>
            <w:tcW w:w="1050" w:type="dxa"/>
            <w:tcBorders>
              <w:top w:val="nil"/>
              <w:left w:val="nil"/>
              <w:bottom w:val="single" w:sz="4" w:space="0" w:color="auto"/>
              <w:right w:val="single" w:sz="4" w:space="0" w:color="auto"/>
            </w:tcBorders>
            <w:shd w:val="clear" w:color="auto" w:fill="auto"/>
            <w:noWrap/>
            <w:hideMark/>
          </w:tcPr>
          <w:p w14:paraId="3311C855" w14:textId="77777777" w:rsidR="00A325C8" w:rsidRPr="00691ABD" w:rsidRDefault="00A325C8" w:rsidP="001E39EE">
            <w:pPr>
              <w:jc w:val="right"/>
              <w:rPr>
                <w:sz w:val="20"/>
                <w:szCs w:val="20"/>
                <w:lang w:val="fr-CA" w:eastAsia="en-CA"/>
              </w:rPr>
            </w:pPr>
            <w:r w:rsidRPr="00691ABD">
              <w:rPr>
                <w:sz w:val="20"/>
                <w:szCs w:val="20"/>
                <w:lang w:val="fr-CA" w:eastAsia="en-CA"/>
              </w:rPr>
              <w:t>100</w:t>
            </w:r>
          </w:p>
        </w:tc>
      </w:tr>
      <w:tr w:rsidR="00A325C8" w:rsidRPr="00691ABD" w14:paraId="4ED11815"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0CBF0B9" w14:textId="77777777" w:rsidR="00A325C8" w:rsidRPr="00691ABD" w:rsidRDefault="00A325C8" w:rsidP="001E39EE">
            <w:pPr>
              <w:jc w:val="left"/>
              <w:rPr>
                <w:sz w:val="20"/>
                <w:szCs w:val="20"/>
                <w:lang w:val="fr-CA" w:eastAsia="en-CA"/>
              </w:rPr>
            </w:pPr>
            <w:r w:rsidRPr="00691ABD">
              <w:rPr>
                <w:sz w:val="20"/>
                <w:szCs w:val="20"/>
                <w:lang w:val="fr-CA" w:eastAsia="en-CA"/>
              </w:rPr>
              <w:t>Cuba</w:t>
            </w:r>
          </w:p>
        </w:tc>
        <w:tc>
          <w:tcPr>
            <w:tcW w:w="1295" w:type="dxa"/>
            <w:tcBorders>
              <w:top w:val="nil"/>
              <w:left w:val="nil"/>
              <w:bottom w:val="single" w:sz="4" w:space="0" w:color="auto"/>
              <w:right w:val="single" w:sz="4" w:space="0" w:color="auto"/>
            </w:tcBorders>
            <w:shd w:val="clear" w:color="auto" w:fill="auto"/>
            <w:noWrap/>
            <w:hideMark/>
          </w:tcPr>
          <w:p w14:paraId="1ADEC898" w14:textId="77777777" w:rsidR="00A325C8" w:rsidRPr="00691ABD" w:rsidRDefault="00A325C8" w:rsidP="001E39EE">
            <w:pPr>
              <w:jc w:val="right"/>
              <w:rPr>
                <w:sz w:val="20"/>
                <w:szCs w:val="20"/>
                <w:lang w:val="fr-CA" w:eastAsia="en-CA"/>
              </w:rPr>
            </w:pPr>
            <w:r w:rsidRPr="00691ABD">
              <w:rPr>
                <w:sz w:val="20"/>
                <w:szCs w:val="20"/>
                <w:lang w:val="fr-CA" w:eastAsia="en-CA"/>
              </w:rPr>
              <w:t>19</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6FC22B75"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007</w:t>
            </w:r>
            <w:r>
              <w:rPr>
                <w:sz w:val="20"/>
                <w:szCs w:val="20"/>
                <w:lang w:val="fr-CA" w:eastAsia="en-CA"/>
              </w:rPr>
              <w:t xml:space="preserve"> </w:t>
            </w:r>
            <w:r w:rsidRPr="00691ABD">
              <w:rPr>
                <w:sz w:val="20"/>
                <w:szCs w:val="20"/>
                <w:lang w:val="fr-CA" w:eastAsia="en-CA"/>
              </w:rPr>
              <w:t>527</w:t>
            </w:r>
          </w:p>
        </w:tc>
        <w:tc>
          <w:tcPr>
            <w:tcW w:w="1276" w:type="dxa"/>
            <w:tcBorders>
              <w:top w:val="nil"/>
              <w:left w:val="nil"/>
              <w:bottom w:val="single" w:sz="4" w:space="0" w:color="auto"/>
              <w:right w:val="single" w:sz="4" w:space="0" w:color="auto"/>
            </w:tcBorders>
            <w:shd w:val="clear" w:color="auto" w:fill="auto"/>
            <w:noWrap/>
            <w:hideMark/>
          </w:tcPr>
          <w:p w14:paraId="070A2935"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685</w:t>
            </w:r>
            <w:r>
              <w:rPr>
                <w:sz w:val="20"/>
                <w:szCs w:val="20"/>
                <w:lang w:val="fr-CA" w:eastAsia="en-CA"/>
              </w:rPr>
              <w:t xml:space="preserve"> </w:t>
            </w:r>
            <w:r w:rsidRPr="00691ABD">
              <w:rPr>
                <w:sz w:val="20"/>
                <w:szCs w:val="20"/>
                <w:lang w:val="fr-CA" w:eastAsia="en-CA"/>
              </w:rPr>
              <w:t>206</w:t>
            </w:r>
          </w:p>
        </w:tc>
        <w:tc>
          <w:tcPr>
            <w:tcW w:w="1250" w:type="dxa"/>
            <w:tcBorders>
              <w:top w:val="nil"/>
              <w:left w:val="nil"/>
              <w:bottom w:val="single" w:sz="4" w:space="0" w:color="auto"/>
              <w:right w:val="single" w:sz="4" w:space="0" w:color="auto"/>
            </w:tcBorders>
            <w:shd w:val="clear" w:color="auto" w:fill="auto"/>
            <w:noWrap/>
            <w:hideMark/>
          </w:tcPr>
          <w:p w14:paraId="2BDB99EA" w14:textId="77777777" w:rsidR="00A325C8" w:rsidRPr="00691ABD" w:rsidRDefault="00A325C8" w:rsidP="001E39EE">
            <w:pPr>
              <w:jc w:val="right"/>
              <w:rPr>
                <w:sz w:val="20"/>
                <w:szCs w:val="20"/>
                <w:lang w:val="fr-CA" w:eastAsia="en-CA"/>
              </w:rPr>
            </w:pPr>
            <w:r w:rsidRPr="00691ABD">
              <w:rPr>
                <w:sz w:val="20"/>
                <w:szCs w:val="20"/>
                <w:lang w:val="fr-CA" w:eastAsia="en-CA"/>
              </w:rPr>
              <w:t>322</w:t>
            </w:r>
            <w:r>
              <w:rPr>
                <w:sz w:val="20"/>
                <w:szCs w:val="20"/>
                <w:lang w:val="fr-CA" w:eastAsia="en-CA"/>
              </w:rPr>
              <w:t xml:space="preserve"> </w:t>
            </w:r>
            <w:r w:rsidRPr="00691ABD">
              <w:rPr>
                <w:sz w:val="20"/>
                <w:szCs w:val="20"/>
                <w:lang w:val="fr-CA" w:eastAsia="en-CA"/>
              </w:rPr>
              <w:t>321</w:t>
            </w:r>
          </w:p>
        </w:tc>
        <w:tc>
          <w:tcPr>
            <w:tcW w:w="1050" w:type="dxa"/>
            <w:tcBorders>
              <w:top w:val="nil"/>
              <w:left w:val="nil"/>
              <w:bottom w:val="single" w:sz="4" w:space="0" w:color="auto"/>
              <w:right w:val="single" w:sz="4" w:space="0" w:color="auto"/>
            </w:tcBorders>
            <w:shd w:val="clear" w:color="auto" w:fill="auto"/>
            <w:noWrap/>
            <w:hideMark/>
          </w:tcPr>
          <w:p w14:paraId="22AC80AC" w14:textId="77777777" w:rsidR="00A325C8" w:rsidRPr="00691ABD" w:rsidRDefault="00A325C8" w:rsidP="001E39EE">
            <w:pPr>
              <w:jc w:val="right"/>
              <w:rPr>
                <w:sz w:val="20"/>
                <w:szCs w:val="20"/>
                <w:lang w:val="fr-CA" w:eastAsia="en-CA"/>
              </w:rPr>
            </w:pPr>
            <w:r w:rsidRPr="00691ABD">
              <w:rPr>
                <w:sz w:val="20"/>
                <w:szCs w:val="20"/>
                <w:lang w:val="fr-CA" w:eastAsia="en-CA"/>
              </w:rPr>
              <w:t>84</w:t>
            </w:r>
          </w:p>
        </w:tc>
      </w:tr>
      <w:tr w:rsidR="00A325C8" w:rsidRPr="00691ABD" w14:paraId="146DC415"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695B00D" w14:textId="77777777" w:rsidR="00A325C8" w:rsidRPr="00691ABD" w:rsidRDefault="00A325C8" w:rsidP="001E39EE">
            <w:pPr>
              <w:jc w:val="left"/>
              <w:rPr>
                <w:sz w:val="20"/>
                <w:szCs w:val="20"/>
                <w:lang w:val="fr-CA" w:eastAsia="en-CA"/>
              </w:rPr>
            </w:pPr>
            <w:r w:rsidRPr="00691ABD">
              <w:rPr>
                <w:sz w:val="20"/>
                <w:szCs w:val="20"/>
                <w:lang w:val="fr-CA" w:eastAsia="en-CA"/>
              </w:rPr>
              <w:t>Djibouti</w:t>
            </w:r>
          </w:p>
        </w:tc>
        <w:tc>
          <w:tcPr>
            <w:tcW w:w="1295" w:type="dxa"/>
            <w:tcBorders>
              <w:top w:val="nil"/>
              <w:left w:val="nil"/>
              <w:bottom w:val="single" w:sz="4" w:space="0" w:color="auto"/>
              <w:right w:val="single" w:sz="4" w:space="0" w:color="auto"/>
            </w:tcBorders>
            <w:shd w:val="clear" w:color="auto" w:fill="auto"/>
            <w:noWrap/>
            <w:hideMark/>
          </w:tcPr>
          <w:p w14:paraId="778FB511"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2</w:t>
            </w:r>
          </w:p>
        </w:tc>
        <w:tc>
          <w:tcPr>
            <w:tcW w:w="1275" w:type="dxa"/>
            <w:tcBorders>
              <w:top w:val="nil"/>
              <w:left w:val="nil"/>
              <w:bottom w:val="single" w:sz="4" w:space="0" w:color="auto"/>
              <w:right w:val="single" w:sz="4" w:space="0" w:color="auto"/>
            </w:tcBorders>
            <w:shd w:val="clear" w:color="auto" w:fill="auto"/>
            <w:noWrap/>
            <w:hideMark/>
          </w:tcPr>
          <w:p w14:paraId="5F223EEA" w14:textId="77777777" w:rsidR="00A325C8" w:rsidRPr="00691ABD" w:rsidRDefault="00A325C8" w:rsidP="001E39EE">
            <w:pPr>
              <w:jc w:val="right"/>
              <w:rPr>
                <w:sz w:val="20"/>
                <w:szCs w:val="20"/>
                <w:lang w:val="fr-CA" w:eastAsia="en-CA"/>
              </w:rPr>
            </w:pPr>
            <w:r w:rsidRPr="00691ABD">
              <w:rPr>
                <w:sz w:val="20"/>
                <w:szCs w:val="20"/>
                <w:lang w:val="fr-CA" w:eastAsia="en-CA"/>
              </w:rPr>
              <w:t>143</w:t>
            </w:r>
            <w:r>
              <w:rPr>
                <w:sz w:val="20"/>
                <w:szCs w:val="20"/>
                <w:lang w:val="fr-CA" w:eastAsia="en-CA"/>
              </w:rPr>
              <w:t xml:space="preserve"> </w:t>
            </w:r>
            <w:r w:rsidRPr="00691ABD">
              <w:rPr>
                <w:sz w:val="20"/>
                <w:szCs w:val="20"/>
                <w:lang w:val="fr-CA" w:eastAsia="en-CA"/>
              </w:rPr>
              <w:t>500</w:t>
            </w:r>
          </w:p>
        </w:tc>
        <w:tc>
          <w:tcPr>
            <w:tcW w:w="1276" w:type="dxa"/>
            <w:tcBorders>
              <w:top w:val="nil"/>
              <w:left w:val="nil"/>
              <w:bottom w:val="single" w:sz="4" w:space="0" w:color="auto"/>
              <w:right w:val="single" w:sz="4" w:space="0" w:color="auto"/>
            </w:tcBorders>
            <w:shd w:val="clear" w:color="auto" w:fill="auto"/>
            <w:noWrap/>
            <w:hideMark/>
          </w:tcPr>
          <w:p w14:paraId="3FD48D05" w14:textId="77777777" w:rsidR="00A325C8" w:rsidRPr="00691ABD" w:rsidRDefault="00A325C8" w:rsidP="001E39EE">
            <w:pPr>
              <w:jc w:val="right"/>
              <w:rPr>
                <w:sz w:val="20"/>
                <w:szCs w:val="20"/>
                <w:lang w:val="fr-CA" w:eastAsia="en-CA"/>
              </w:rPr>
            </w:pPr>
            <w:r w:rsidRPr="00691ABD">
              <w:rPr>
                <w:sz w:val="20"/>
                <w:szCs w:val="20"/>
                <w:lang w:val="fr-CA" w:eastAsia="en-CA"/>
              </w:rPr>
              <w:t>99</w:t>
            </w:r>
            <w:r>
              <w:rPr>
                <w:sz w:val="20"/>
                <w:szCs w:val="20"/>
                <w:lang w:val="fr-CA" w:eastAsia="en-CA"/>
              </w:rPr>
              <w:t xml:space="preserve"> </w:t>
            </w:r>
            <w:r w:rsidRPr="00691ABD">
              <w:rPr>
                <w:sz w:val="20"/>
                <w:szCs w:val="20"/>
                <w:lang w:val="fr-CA" w:eastAsia="en-CA"/>
              </w:rPr>
              <w:t>500</w:t>
            </w:r>
          </w:p>
        </w:tc>
        <w:tc>
          <w:tcPr>
            <w:tcW w:w="1250" w:type="dxa"/>
            <w:tcBorders>
              <w:top w:val="nil"/>
              <w:left w:val="nil"/>
              <w:bottom w:val="single" w:sz="4" w:space="0" w:color="auto"/>
              <w:right w:val="single" w:sz="4" w:space="0" w:color="auto"/>
            </w:tcBorders>
            <w:shd w:val="clear" w:color="auto" w:fill="auto"/>
            <w:noWrap/>
            <w:hideMark/>
          </w:tcPr>
          <w:p w14:paraId="5832D5E0" w14:textId="77777777" w:rsidR="00A325C8" w:rsidRPr="00691ABD" w:rsidRDefault="00A325C8" w:rsidP="001E39EE">
            <w:pPr>
              <w:jc w:val="right"/>
              <w:rPr>
                <w:sz w:val="20"/>
                <w:szCs w:val="20"/>
                <w:lang w:val="fr-CA" w:eastAsia="en-CA"/>
              </w:rPr>
            </w:pPr>
            <w:r w:rsidRPr="00691ABD">
              <w:rPr>
                <w:sz w:val="20"/>
                <w:szCs w:val="20"/>
                <w:lang w:val="fr-CA" w:eastAsia="en-CA"/>
              </w:rPr>
              <w:t>44</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3143E325" w14:textId="77777777" w:rsidR="00A325C8" w:rsidRPr="00691ABD" w:rsidRDefault="00A325C8" w:rsidP="001E39EE">
            <w:pPr>
              <w:jc w:val="right"/>
              <w:rPr>
                <w:sz w:val="20"/>
                <w:szCs w:val="20"/>
                <w:lang w:val="fr-CA" w:eastAsia="en-CA"/>
              </w:rPr>
            </w:pPr>
            <w:r w:rsidRPr="00691ABD">
              <w:rPr>
                <w:sz w:val="20"/>
                <w:szCs w:val="20"/>
                <w:lang w:val="fr-CA" w:eastAsia="en-CA"/>
              </w:rPr>
              <w:t>69</w:t>
            </w:r>
          </w:p>
        </w:tc>
      </w:tr>
      <w:tr w:rsidR="00A325C8" w:rsidRPr="00691ABD" w14:paraId="65264926"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2081199" w14:textId="77777777" w:rsidR="00A325C8" w:rsidRPr="00691ABD" w:rsidRDefault="00A325C8" w:rsidP="001E39EE">
            <w:pPr>
              <w:jc w:val="left"/>
              <w:rPr>
                <w:sz w:val="20"/>
                <w:szCs w:val="20"/>
                <w:lang w:val="fr-CA" w:eastAsia="en-CA"/>
              </w:rPr>
            </w:pPr>
            <w:r>
              <w:rPr>
                <w:sz w:val="20"/>
                <w:szCs w:val="20"/>
                <w:lang w:val="fr-CA" w:eastAsia="en-CA"/>
              </w:rPr>
              <w:t>Dominique</w:t>
            </w:r>
          </w:p>
        </w:tc>
        <w:tc>
          <w:tcPr>
            <w:tcW w:w="1295" w:type="dxa"/>
            <w:tcBorders>
              <w:top w:val="nil"/>
              <w:left w:val="nil"/>
              <w:bottom w:val="single" w:sz="4" w:space="0" w:color="auto"/>
              <w:right w:val="single" w:sz="4" w:space="0" w:color="auto"/>
            </w:tcBorders>
            <w:shd w:val="clear" w:color="auto" w:fill="auto"/>
            <w:noWrap/>
            <w:hideMark/>
          </w:tcPr>
          <w:p w14:paraId="1A980EB9"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56799783" w14:textId="77777777" w:rsidR="00A325C8" w:rsidRPr="00691ABD" w:rsidRDefault="00A325C8" w:rsidP="001E39EE">
            <w:pPr>
              <w:jc w:val="right"/>
              <w:rPr>
                <w:sz w:val="20"/>
                <w:szCs w:val="20"/>
                <w:lang w:val="fr-CA" w:eastAsia="en-CA"/>
              </w:rPr>
            </w:pPr>
            <w:r w:rsidRPr="00691ABD">
              <w:rPr>
                <w:sz w:val="20"/>
                <w:szCs w:val="20"/>
                <w:lang w:val="fr-CA" w:eastAsia="en-CA"/>
              </w:rPr>
              <w:t>148</w:t>
            </w:r>
            <w:r>
              <w:rPr>
                <w:sz w:val="20"/>
                <w:szCs w:val="20"/>
                <w:lang w:val="fr-CA" w:eastAsia="en-CA"/>
              </w:rPr>
              <w:t xml:space="preserve"> </w:t>
            </w:r>
            <w:r w:rsidRPr="00691ABD">
              <w:rPr>
                <w:sz w:val="20"/>
                <w:szCs w:val="20"/>
                <w:lang w:val="fr-CA" w:eastAsia="en-CA"/>
              </w:rPr>
              <w:t>050</w:t>
            </w:r>
          </w:p>
        </w:tc>
        <w:tc>
          <w:tcPr>
            <w:tcW w:w="1276" w:type="dxa"/>
            <w:tcBorders>
              <w:top w:val="nil"/>
              <w:left w:val="nil"/>
              <w:bottom w:val="single" w:sz="4" w:space="0" w:color="auto"/>
              <w:right w:val="single" w:sz="4" w:space="0" w:color="auto"/>
            </w:tcBorders>
            <w:shd w:val="clear" w:color="auto" w:fill="auto"/>
            <w:noWrap/>
            <w:hideMark/>
          </w:tcPr>
          <w:p w14:paraId="11B6614C" w14:textId="77777777" w:rsidR="00A325C8" w:rsidRPr="00691ABD" w:rsidRDefault="00A325C8" w:rsidP="001E39EE">
            <w:pPr>
              <w:jc w:val="right"/>
              <w:rPr>
                <w:sz w:val="20"/>
                <w:szCs w:val="20"/>
                <w:lang w:val="fr-CA" w:eastAsia="en-CA"/>
              </w:rPr>
            </w:pPr>
            <w:r w:rsidRPr="00691ABD">
              <w:rPr>
                <w:sz w:val="20"/>
                <w:szCs w:val="20"/>
                <w:lang w:val="fr-CA" w:eastAsia="en-CA"/>
              </w:rPr>
              <w:t>10</w:t>
            </w:r>
            <w:r>
              <w:rPr>
                <w:sz w:val="20"/>
                <w:szCs w:val="20"/>
                <w:lang w:val="fr-CA" w:eastAsia="en-CA"/>
              </w:rPr>
              <w:t xml:space="preserve"> </w:t>
            </w:r>
            <w:r w:rsidRPr="00691ABD">
              <w:rPr>
                <w:sz w:val="20"/>
                <w:szCs w:val="20"/>
                <w:lang w:val="fr-CA" w:eastAsia="en-CA"/>
              </w:rPr>
              <w:t>026</w:t>
            </w:r>
          </w:p>
        </w:tc>
        <w:tc>
          <w:tcPr>
            <w:tcW w:w="1250" w:type="dxa"/>
            <w:tcBorders>
              <w:top w:val="nil"/>
              <w:left w:val="nil"/>
              <w:bottom w:val="single" w:sz="4" w:space="0" w:color="auto"/>
              <w:right w:val="single" w:sz="4" w:space="0" w:color="auto"/>
            </w:tcBorders>
            <w:shd w:val="clear" w:color="auto" w:fill="auto"/>
            <w:noWrap/>
            <w:hideMark/>
          </w:tcPr>
          <w:p w14:paraId="1CBF58E2" w14:textId="77777777" w:rsidR="00A325C8" w:rsidRPr="00691ABD" w:rsidRDefault="00A325C8" w:rsidP="001E39EE">
            <w:pPr>
              <w:jc w:val="right"/>
              <w:rPr>
                <w:sz w:val="20"/>
                <w:szCs w:val="20"/>
                <w:lang w:val="fr-CA" w:eastAsia="en-CA"/>
              </w:rPr>
            </w:pPr>
            <w:r w:rsidRPr="00691ABD">
              <w:rPr>
                <w:sz w:val="20"/>
                <w:szCs w:val="20"/>
                <w:lang w:val="fr-CA" w:eastAsia="en-CA"/>
              </w:rPr>
              <w:t>138</w:t>
            </w:r>
            <w:r>
              <w:rPr>
                <w:sz w:val="20"/>
                <w:szCs w:val="20"/>
                <w:lang w:val="fr-CA" w:eastAsia="en-CA"/>
              </w:rPr>
              <w:t xml:space="preserve"> </w:t>
            </w:r>
            <w:r w:rsidRPr="00691ABD">
              <w:rPr>
                <w:sz w:val="20"/>
                <w:szCs w:val="20"/>
                <w:lang w:val="fr-CA" w:eastAsia="en-CA"/>
              </w:rPr>
              <w:t>024</w:t>
            </w:r>
          </w:p>
        </w:tc>
        <w:tc>
          <w:tcPr>
            <w:tcW w:w="1050" w:type="dxa"/>
            <w:tcBorders>
              <w:top w:val="nil"/>
              <w:left w:val="nil"/>
              <w:bottom w:val="single" w:sz="4" w:space="0" w:color="auto"/>
              <w:right w:val="single" w:sz="4" w:space="0" w:color="auto"/>
            </w:tcBorders>
            <w:shd w:val="clear" w:color="auto" w:fill="auto"/>
            <w:noWrap/>
            <w:hideMark/>
          </w:tcPr>
          <w:p w14:paraId="73C19962" w14:textId="77777777" w:rsidR="00A325C8" w:rsidRPr="00691ABD" w:rsidRDefault="00A325C8" w:rsidP="001E39EE">
            <w:pPr>
              <w:jc w:val="right"/>
              <w:rPr>
                <w:sz w:val="20"/>
                <w:szCs w:val="20"/>
                <w:lang w:val="fr-CA" w:eastAsia="en-CA"/>
              </w:rPr>
            </w:pPr>
            <w:r w:rsidRPr="00691ABD">
              <w:rPr>
                <w:sz w:val="20"/>
                <w:szCs w:val="20"/>
                <w:lang w:val="fr-CA" w:eastAsia="en-CA"/>
              </w:rPr>
              <w:t>7</w:t>
            </w:r>
          </w:p>
        </w:tc>
      </w:tr>
      <w:tr w:rsidR="00A325C8" w:rsidRPr="00691ABD" w14:paraId="56F431DE" w14:textId="77777777" w:rsidTr="00691ABD">
        <w:trPr>
          <w:trHeight w:val="67"/>
        </w:trPr>
        <w:tc>
          <w:tcPr>
            <w:tcW w:w="3828" w:type="dxa"/>
            <w:tcBorders>
              <w:top w:val="nil"/>
              <w:left w:val="single" w:sz="4" w:space="0" w:color="auto"/>
              <w:bottom w:val="single" w:sz="4" w:space="0" w:color="auto"/>
              <w:right w:val="single" w:sz="4" w:space="0" w:color="auto"/>
            </w:tcBorders>
            <w:shd w:val="clear" w:color="auto" w:fill="auto"/>
            <w:noWrap/>
            <w:hideMark/>
          </w:tcPr>
          <w:p w14:paraId="08D11D16" w14:textId="77777777" w:rsidR="00A325C8" w:rsidRPr="00691ABD" w:rsidRDefault="00A325C8" w:rsidP="001E39EE">
            <w:pPr>
              <w:jc w:val="left"/>
              <w:rPr>
                <w:sz w:val="20"/>
                <w:szCs w:val="20"/>
                <w:lang w:val="fr-CA" w:eastAsia="en-CA"/>
              </w:rPr>
            </w:pPr>
            <w:r>
              <w:rPr>
                <w:sz w:val="20"/>
                <w:szCs w:val="20"/>
                <w:lang w:val="fr-CA" w:eastAsia="en-CA"/>
              </w:rPr>
              <w:t>Égypte</w:t>
            </w:r>
          </w:p>
        </w:tc>
        <w:tc>
          <w:tcPr>
            <w:tcW w:w="1295" w:type="dxa"/>
            <w:tcBorders>
              <w:top w:val="nil"/>
              <w:left w:val="nil"/>
              <w:bottom w:val="single" w:sz="4" w:space="0" w:color="auto"/>
              <w:right w:val="single" w:sz="4" w:space="0" w:color="auto"/>
            </w:tcBorders>
            <w:shd w:val="clear" w:color="auto" w:fill="auto"/>
            <w:noWrap/>
            <w:hideMark/>
          </w:tcPr>
          <w:p w14:paraId="59558625" w14:textId="77777777" w:rsidR="00A325C8" w:rsidRPr="00691ABD" w:rsidRDefault="00A325C8" w:rsidP="001E39EE">
            <w:pPr>
              <w:jc w:val="right"/>
              <w:rPr>
                <w:sz w:val="20"/>
                <w:szCs w:val="20"/>
                <w:lang w:val="fr-CA" w:eastAsia="en-CA"/>
              </w:rPr>
            </w:pPr>
            <w:r w:rsidRPr="00691ABD">
              <w:rPr>
                <w:sz w:val="20"/>
                <w:szCs w:val="20"/>
                <w:lang w:val="fr-CA" w:eastAsia="en-CA"/>
              </w:rPr>
              <w:t>281</w:t>
            </w:r>
            <w:r>
              <w:rPr>
                <w:sz w:val="20"/>
                <w:szCs w:val="20"/>
                <w:lang w:val="fr-CA" w:eastAsia="en-CA"/>
              </w:rPr>
              <w:t>,</w:t>
            </w:r>
            <w:r w:rsidRPr="00691ABD">
              <w:rPr>
                <w:sz w:val="20"/>
                <w:szCs w:val="20"/>
                <w:lang w:val="fr-CA" w:eastAsia="en-CA"/>
              </w:rPr>
              <w:t>7</w:t>
            </w:r>
          </w:p>
        </w:tc>
        <w:tc>
          <w:tcPr>
            <w:tcW w:w="1275" w:type="dxa"/>
            <w:tcBorders>
              <w:top w:val="nil"/>
              <w:left w:val="nil"/>
              <w:bottom w:val="single" w:sz="4" w:space="0" w:color="auto"/>
              <w:right w:val="single" w:sz="4" w:space="0" w:color="auto"/>
            </w:tcBorders>
            <w:shd w:val="clear" w:color="auto" w:fill="auto"/>
            <w:noWrap/>
            <w:hideMark/>
          </w:tcPr>
          <w:p w14:paraId="41081946" w14:textId="77777777" w:rsidR="00A325C8" w:rsidRPr="00691ABD" w:rsidRDefault="00A325C8" w:rsidP="001E39EE">
            <w:pPr>
              <w:jc w:val="right"/>
              <w:rPr>
                <w:sz w:val="20"/>
                <w:szCs w:val="20"/>
                <w:lang w:val="fr-CA" w:eastAsia="en-CA"/>
              </w:rPr>
            </w:pPr>
            <w:r w:rsidRPr="00691ABD">
              <w:rPr>
                <w:sz w:val="20"/>
                <w:szCs w:val="20"/>
                <w:lang w:val="fr-CA" w:eastAsia="en-CA"/>
              </w:rPr>
              <w:t>19</w:t>
            </w:r>
            <w:r>
              <w:rPr>
                <w:sz w:val="20"/>
                <w:szCs w:val="20"/>
                <w:lang w:val="fr-CA" w:eastAsia="en-CA"/>
              </w:rPr>
              <w:t xml:space="preserve"> </w:t>
            </w:r>
            <w:r w:rsidRPr="00691ABD">
              <w:rPr>
                <w:sz w:val="20"/>
                <w:szCs w:val="20"/>
                <w:lang w:val="fr-CA" w:eastAsia="en-CA"/>
              </w:rPr>
              <w:t>971</w:t>
            </w:r>
            <w:r>
              <w:rPr>
                <w:sz w:val="20"/>
                <w:szCs w:val="20"/>
                <w:lang w:val="fr-CA" w:eastAsia="en-CA"/>
              </w:rPr>
              <w:t xml:space="preserve"> </w:t>
            </w:r>
            <w:r w:rsidRPr="00691ABD">
              <w:rPr>
                <w:sz w:val="20"/>
                <w:szCs w:val="20"/>
                <w:lang w:val="fr-CA" w:eastAsia="en-CA"/>
              </w:rPr>
              <w:t>454</w:t>
            </w:r>
          </w:p>
        </w:tc>
        <w:tc>
          <w:tcPr>
            <w:tcW w:w="1276" w:type="dxa"/>
            <w:tcBorders>
              <w:top w:val="nil"/>
              <w:left w:val="nil"/>
              <w:bottom w:val="single" w:sz="4" w:space="0" w:color="auto"/>
              <w:right w:val="single" w:sz="4" w:space="0" w:color="auto"/>
            </w:tcBorders>
            <w:shd w:val="clear" w:color="auto" w:fill="auto"/>
            <w:noWrap/>
            <w:hideMark/>
          </w:tcPr>
          <w:p w14:paraId="6EBE787B" w14:textId="77777777" w:rsidR="00A325C8" w:rsidRPr="00691ABD" w:rsidRDefault="00A325C8" w:rsidP="001E39EE">
            <w:pPr>
              <w:jc w:val="right"/>
              <w:rPr>
                <w:sz w:val="20"/>
                <w:szCs w:val="20"/>
                <w:lang w:val="fr-CA" w:eastAsia="en-CA"/>
              </w:rPr>
            </w:pPr>
            <w:r w:rsidRPr="00691ABD">
              <w:rPr>
                <w:sz w:val="20"/>
                <w:szCs w:val="20"/>
                <w:lang w:val="fr-CA" w:eastAsia="en-CA"/>
              </w:rPr>
              <w:t>9</w:t>
            </w:r>
            <w:r>
              <w:rPr>
                <w:sz w:val="20"/>
                <w:szCs w:val="20"/>
                <w:lang w:val="fr-CA" w:eastAsia="en-CA"/>
              </w:rPr>
              <w:t xml:space="preserve"> </w:t>
            </w:r>
            <w:r w:rsidRPr="00691ABD">
              <w:rPr>
                <w:sz w:val="20"/>
                <w:szCs w:val="20"/>
                <w:lang w:val="fr-CA" w:eastAsia="en-CA"/>
              </w:rPr>
              <w:t>770</w:t>
            </w:r>
            <w:r>
              <w:rPr>
                <w:sz w:val="20"/>
                <w:szCs w:val="20"/>
                <w:lang w:val="fr-CA" w:eastAsia="en-CA"/>
              </w:rPr>
              <w:t xml:space="preserve"> </w:t>
            </w:r>
            <w:r w:rsidRPr="00691ABD">
              <w:rPr>
                <w:sz w:val="20"/>
                <w:szCs w:val="20"/>
                <w:lang w:val="fr-CA" w:eastAsia="en-CA"/>
              </w:rPr>
              <w:t>055</w:t>
            </w:r>
          </w:p>
        </w:tc>
        <w:tc>
          <w:tcPr>
            <w:tcW w:w="1250" w:type="dxa"/>
            <w:tcBorders>
              <w:top w:val="nil"/>
              <w:left w:val="nil"/>
              <w:bottom w:val="single" w:sz="4" w:space="0" w:color="auto"/>
              <w:right w:val="single" w:sz="4" w:space="0" w:color="auto"/>
            </w:tcBorders>
            <w:shd w:val="clear" w:color="auto" w:fill="auto"/>
            <w:noWrap/>
            <w:hideMark/>
          </w:tcPr>
          <w:p w14:paraId="1C20EFA9" w14:textId="77777777" w:rsidR="00A325C8" w:rsidRPr="00691ABD" w:rsidRDefault="00A325C8" w:rsidP="001E39EE">
            <w:pPr>
              <w:jc w:val="right"/>
              <w:rPr>
                <w:sz w:val="20"/>
                <w:szCs w:val="20"/>
                <w:lang w:val="fr-CA" w:eastAsia="en-CA"/>
              </w:rPr>
            </w:pPr>
            <w:r w:rsidRPr="00691ABD">
              <w:rPr>
                <w:sz w:val="20"/>
                <w:szCs w:val="20"/>
                <w:lang w:val="fr-CA" w:eastAsia="en-CA"/>
              </w:rPr>
              <w:t>10</w:t>
            </w:r>
            <w:r>
              <w:rPr>
                <w:sz w:val="20"/>
                <w:szCs w:val="20"/>
                <w:lang w:val="fr-CA" w:eastAsia="en-CA"/>
              </w:rPr>
              <w:t xml:space="preserve"> </w:t>
            </w:r>
            <w:r w:rsidRPr="00691ABD">
              <w:rPr>
                <w:sz w:val="20"/>
                <w:szCs w:val="20"/>
                <w:lang w:val="fr-CA" w:eastAsia="en-CA"/>
              </w:rPr>
              <w:t>201</w:t>
            </w:r>
            <w:r>
              <w:rPr>
                <w:sz w:val="20"/>
                <w:szCs w:val="20"/>
                <w:lang w:val="fr-CA" w:eastAsia="en-CA"/>
              </w:rPr>
              <w:t xml:space="preserve"> </w:t>
            </w:r>
            <w:r w:rsidRPr="00691ABD">
              <w:rPr>
                <w:sz w:val="20"/>
                <w:szCs w:val="20"/>
                <w:lang w:val="fr-CA" w:eastAsia="en-CA"/>
              </w:rPr>
              <w:t>398</w:t>
            </w:r>
          </w:p>
        </w:tc>
        <w:tc>
          <w:tcPr>
            <w:tcW w:w="1050" w:type="dxa"/>
            <w:tcBorders>
              <w:top w:val="nil"/>
              <w:left w:val="nil"/>
              <w:bottom w:val="single" w:sz="4" w:space="0" w:color="auto"/>
              <w:right w:val="single" w:sz="4" w:space="0" w:color="auto"/>
            </w:tcBorders>
            <w:shd w:val="clear" w:color="auto" w:fill="auto"/>
            <w:noWrap/>
            <w:hideMark/>
          </w:tcPr>
          <w:p w14:paraId="3696EC4E" w14:textId="77777777" w:rsidR="00A325C8" w:rsidRPr="00691ABD" w:rsidRDefault="00A325C8" w:rsidP="001E39EE">
            <w:pPr>
              <w:jc w:val="right"/>
              <w:rPr>
                <w:sz w:val="20"/>
                <w:szCs w:val="20"/>
                <w:lang w:val="fr-CA" w:eastAsia="en-CA"/>
              </w:rPr>
            </w:pPr>
            <w:r w:rsidRPr="00691ABD">
              <w:rPr>
                <w:sz w:val="20"/>
                <w:szCs w:val="20"/>
                <w:lang w:val="fr-CA" w:eastAsia="en-CA"/>
              </w:rPr>
              <w:t>49</w:t>
            </w:r>
          </w:p>
        </w:tc>
      </w:tr>
      <w:tr w:rsidR="00A325C8" w:rsidRPr="00691ABD" w14:paraId="441D829E"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12A0110" w14:textId="77777777" w:rsidR="00A325C8" w:rsidRPr="00691ABD" w:rsidRDefault="00A325C8" w:rsidP="001E39EE">
            <w:pPr>
              <w:jc w:val="left"/>
              <w:rPr>
                <w:sz w:val="20"/>
                <w:szCs w:val="20"/>
                <w:lang w:val="fr-CA" w:eastAsia="en-CA"/>
              </w:rPr>
            </w:pPr>
            <w:r w:rsidRPr="00691ABD">
              <w:rPr>
                <w:sz w:val="20"/>
                <w:szCs w:val="20"/>
                <w:lang w:val="fr-CA" w:eastAsia="en-CA"/>
              </w:rPr>
              <w:t>El Salvador</w:t>
            </w:r>
          </w:p>
        </w:tc>
        <w:tc>
          <w:tcPr>
            <w:tcW w:w="1295" w:type="dxa"/>
            <w:tcBorders>
              <w:top w:val="nil"/>
              <w:left w:val="nil"/>
              <w:bottom w:val="single" w:sz="4" w:space="0" w:color="auto"/>
              <w:right w:val="single" w:sz="4" w:space="0" w:color="auto"/>
            </w:tcBorders>
            <w:shd w:val="clear" w:color="auto" w:fill="auto"/>
            <w:noWrap/>
            <w:hideMark/>
          </w:tcPr>
          <w:p w14:paraId="7377C6D5" w14:textId="77777777" w:rsidR="00A325C8" w:rsidRPr="00691ABD" w:rsidRDefault="00A325C8" w:rsidP="001E39EE">
            <w:pPr>
              <w:jc w:val="right"/>
              <w:rPr>
                <w:sz w:val="20"/>
                <w:szCs w:val="20"/>
                <w:lang w:val="fr-CA" w:eastAsia="en-CA"/>
              </w:rPr>
            </w:pPr>
            <w:r w:rsidRPr="00691ABD">
              <w:rPr>
                <w:sz w:val="20"/>
                <w:szCs w:val="20"/>
                <w:lang w:val="fr-CA" w:eastAsia="en-CA"/>
              </w:rPr>
              <w:t>8</w:t>
            </w:r>
            <w:r>
              <w:rPr>
                <w:sz w:val="20"/>
                <w:szCs w:val="20"/>
                <w:lang w:val="fr-CA" w:eastAsia="en-CA"/>
              </w:rPr>
              <w:t>,</w:t>
            </w:r>
            <w:r w:rsidRPr="00691ABD">
              <w:rPr>
                <w:sz w:val="20"/>
                <w:szCs w:val="20"/>
                <w:lang w:val="fr-CA" w:eastAsia="en-CA"/>
              </w:rPr>
              <w:t>8</w:t>
            </w:r>
          </w:p>
        </w:tc>
        <w:tc>
          <w:tcPr>
            <w:tcW w:w="1275" w:type="dxa"/>
            <w:tcBorders>
              <w:top w:val="nil"/>
              <w:left w:val="nil"/>
              <w:bottom w:val="single" w:sz="4" w:space="0" w:color="auto"/>
              <w:right w:val="single" w:sz="4" w:space="0" w:color="auto"/>
            </w:tcBorders>
            <w:shd w:val="clear" w:color="auto" w:fill="auto"/>
            <w:noWrap/>
            <w:hideMark/>
          </w:tcPr>
          <w:p w14:paraId="5513DBAE"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072</w:t>
            </w:r>
            <w:r>
              <w:rPr>
                <w:sz w:val="20"/>
                <w:szCs w:val="20"/>
                <w:lang w:val="fr-CA" w:eastAsia="en-CA"/>
              </w:rPr>
              <w:t xml:space="preserve"> </w:t>
            </w:r>
            <w:r w:rsidRPr="00691ABD">
              <w:rPr>
                <w:sz w:val="20"/>
                <w:szCs w:val="20"/>
                <w:lang w:val="fr-CA" w:eastAsia="en-CA"/>
              </w:rPr>
              <w:t>601</w:t>
            </w:r>
          </w:p>
        </w:tc>
        <w:tc>
          <w:tcPr>
            <w:tcW w:w="1276" w:type="dxa"/>
            <w:tcBorders>
              <w:top w:val="nil"/>
              <w:left w:val="nil"/>
              <w:bottom w:val="single" w:sz="4" w:space="0" w:color="auto"/>
              <w:right w:val="single" w:sz="4" w:space="0" w:color="auto"/>
            </w:tcBorders>
            <w:shd w:val="clear" w:color="auto" w:fill="auto"/>
            <w:noWrap/>
            <w:hideMark/>
          </w:tcPr>
          <w:p w14:paraId="75DF7740" w14:textId="77777777" w:rsidR="00A325C8" w:rsidRPr="00691ABD" w:rsidRDefault="00A325C8" w:rsidP="001E39EE">
            <w:pPr>
              <w:jc w:val="right"/>
              <w:rPr>
                <w:sz w:val="20"/>
                <w:szCs w:val="20"/>
                <w:lang w:val="fr-CA" w:eastAsia="en-CA"/>
              </w:rPr>
            </w:pPr>
            <w:r w:rsidRPr="00691ABD">
              <w:rPr>
                <w:sz w:val="20"/>
                <w:szCs w:val="20"/>
                <w:lang w:val="fr-CA" w:eastAsia="en-CA"/>
              </w:rPr>
              <w:t>884</w:t>
            </w:r>
            <w:r>
              <w:rPr>
                <w:sz w:val="20"/>
                <w:szCs w:val="20"/>
                <w:lang w:val="fr-CA" w:eastAsia="en-CA"/>
              </w:rPr>
              <w:t xml:space="preserve"> </w:t>
            </w:r>
            <w:r w:rsidRPr="00691ABD">
              <w:rPr>
                <w:sz w:val="20"/>
                <w:szCs w:val="20"/>
                <w:lang w:val="fr-CA" w:eastAsia="en-CA"/>
              </w:rPr>
              <w:t>745</w:t>
            </w:r>
          </w:p>
        </w:tc>
        <w:tc>
          <w:tcPr>
            <w:tcW w:w="1250" w:type="dxa"/>
            <w:tcBorders>
              <w:top w:val="nil"/>
              <w:left w:val="nil"/>
              <w:bottom w:val="single" w:sz="4" w:space="0" w:color="auto"/>
              <w:right w:val="single" w:sz="4" w:space="0" w:color="auto"/>
            </w:tcBorders>
            <w:shd w:val="clear" w:color="auto" w:fill="auto"/>
            <w:noWrap/>
            <w:hideMark/>
          </w:tcPr>
          <w:p w14:paraId="18EED8AD" w14:textId="77777777" w:rsidR="00A325C8" w:rsidRPr="00691ABD" w:rsidRDefault="00A325C8" w:rsidP="001E39EE">
            <w:pPr>
              <w:jc w:val="right"/>
              <w:rPr>
                <w:sz w:val="20"/>
                <w:szCs w:val="20"/>
                <w:lang w:val="fr-CA" w:eastAsia="en-CA"/>
              </w:rPr>
            </w:pPr>
            <w:r w:rsidRPr="00691ABD">
              <w:rPr>
                <w:sz w:val="20"/>
                <w:szCs w:val="20"/>
                <w:lang w:val="fr-CA" w:eastAsia="en-CA"/>
              </w:rPr>
              <w:t>187</w:t>
            </w:r>
            <w:r>
              <w:rPr>
                <w:sz w:val="20"/>
                <w:szCs w:val="20"/>
                <w:lang w:val="fr-CA" w:eastAsia="en-CA"/>
              </w:rPr>
              <w:t xml:space="preserve"> </w:t>
            </w:r>
            <w:r w:rsidRPr="00691ABD">
              <w:rPr>
                <w:sz w:val="20"/>
                <w:szCs w:val="20"/>
                <w:lang w:val="fr-CA" w:eastAsia="en-CA"/>
              </w:rPr>
              <w:t>856</w:t>
            </w:r>
          </w:p>
        </w:tc>
        <w:tc>
          <w:tcPr>
            <w:tcW w:w="1050" w:type="dxa"/>
            <w:tcBorders>
              <w:top w:val="nil"/>
              <w:left w:val="nil"/>
              <w:bottom w:val="single" w:sz="4" w:space="0" w:color="auto"/>
              <w:right w:val="single" w:sz="4" w:space="0" w:color="auto"/>
            </w:tcBorders>
            <w:shd w:val="clear" w:color="auto" w:fill="auto"/>
            <w:noWrap/>
            <w:hideMark/>
          </w:tcPr>
          <w:p w14:paraId="1DFB133B" w14:textId="77777777" w:rsidR="00A325C8" w:rsidRPr="00691ABD" w:rsidRDefault="00A325C8" w:rsidP="001E39EE">
            <w:pPr>
              <w:jc w:val="right"/>
              <w:rPr>
                <w:sz w:val="20"/>
                <w:szCs w:val="20"/>
                <w:lang w:val="fr-CA" w:eastAsia="en-CA"/>
              </w:rPr>
            </w:pPr>
            <w:r w:rsidRPr="00691ABD">
              <w:rPr>
                <w:sz w:val="20"/>
                <w:szCs w:val="20"/>
                <w:lang w:val="fr-CA" w:eastAsia="en-CA"/>
              </w:rPr>
              <w:t>82</w:t>
            </w:r>
          </w:p>
        </w:tc>
      </w:tr>
      <w:tr w:rsidR="00A325C8" w:rsidRPr="00691ABD" w14:paraId="2EA90E5F"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B28CC7A" w14:textId="77777777" w:rsidR="00A325C8" w:rsidRPr="00691ABD" w:rsidRDefault="00A325C8" w:rsidP="001E39EE">
            <w:pPr>
              <w:jc w:val="left"/>
              <w:rPr>
                <w:sz w:val="20"/>
                <w:szCs w:val="20"/>
                <w:lang w:val="fr-CA" w:eastAsia="en-CA"/>
              </w:rPr>
            </w:pPr>
            <w:r>
              <w:rPr>
                <w:sz w:val="20"/>
                <w:szCs w:val="20"/>
                <w:lang w:val="fr-CA" w:eastAsia="en-CA"/>
              </w:rPr>
              <w:t>Équateur</w:t>
            </w:r>
          </w:p>
        </w:tc>
        <w:tc>
          <w:tcPr>
            <w:tcW w:w="1295" w:type="dxa"/>
            <w:tcBorders>
              <w:top w:val="nil"/>
              <w:left w:val="nil"/>
              <w:bottom w:val="single" w:sz="4" w:space="0" w:color="auto"/>
              <w:right w:val="single" w:sz="4" w:space="0" w:color="auto"/>
            </w:tcBorders>
            <w:shd w:val="clear" w:color="auto" w:fill="auto"/>
            <w:noWrap/>
            <w:hideMark/>
          </w:tcPr>
          <w:p w14:paraId="27393F6F" w14:textId="77777777" w:rsidR="00A325C8" w:rsidRPr="00691ABD" w:rsidRDefault="00A325C8" w:rsidP="001E39EE">
            <w:pPr>
              <w:jc w:val="right"/>
              <w:rPr>
                <w:sz w:val="20"/>
                <w:szCs w:val="20"/>
                <w:lang w:val="fr-CA" w:eastAsia="en-CA"/>
              </w:rPr>
            </w:pPr>
            <w:r w:rsidRPr="00691ABD">
              <w:rPr>
                <w:sz w:val="20"/>
                <w:szCs w:val="20"/>
                <w:lang w:val="fr-CA" w:eastAsia="en-CA"/>
              </w:rPr>
              <w:t>28</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5A435A5E"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681</w:t>
            </w:r>
            <w:r>
              <w:rPr>
                <w:sz w:val="20"/>
                <w:szCs w:val="20"/>
                <w:lang w:val="fr-CA" w:eastAsia="en-CA"/>
              </w:rPr>
              <w:t xml:space="preserve"> </w:t>
            </w:r>
            <w:r w:rsidRPr="00691ABD">
              <w:rPr>
                <w:sz w:val="20"/>
                <w:szCs w:val="20"/>
                <w:lang w:val="fr-CA" w:eastAsia="en-CA"/>
              </w:rPr>
              <w:t>406</w:t>
            </w:r>
          </w:p>
        </w:tc>
        <w:tc>
          <w:tcPr>
            <w:tcW w:w="1276" w:type="dxa"/>
            <w:tcBorders>
              <w:top w:val="nil"/>
              <w:left w:val="nil"/>
              <w:bottom w:val="single" w:sz="4" w:space="0" w:color="auto"/>
              <w:right w:val="single" w:sz="4" w:space="0" w:color="auto"/>
            </w:tcBorders>
            <w:shd w:val="clear" w:color="auto" w:fill="auto"/>
            <w:noWrap/>
            <w:hideMark/>
          </w:tcPr>
          <w:p w14:paraId="64EEA834"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050</w:t>
            </w:r>
            <w:r>
              <w:rPr>
                <w:sz w:val="20"/>
                <w:szCs w:val="20"/>
                <w:lang w:val="fr-CA" w:eastAsia="en-CA"/>
              </w:rPr>
              <w:t xml:space="preserve"> </w:t>
            </w:r>
            <w:r w:rsidRPr="00691ABD">
              <w:rPr>
                <w:sz w:val="20"/>
                <w:szCs w:val="20"/>
                <w:lang w:val="fr-CA" w:eastAsia="en-CA"/>
              </w:rPr>
              <w:t>936</w:t>
            </w:r>
          </w:p>
        </w:tc>
        <w:tc>
          <w:tcPr>
            <w:tcW w:w="1250" w:type="dxa"/>
            <w:tcBorders>
              <w:top w:val="nil"/>
              <w:left w:val="nil"/>
              <w:bottom w:val="single" w:sz="4" w:space="0" w:color="auto"/>
              <w:right w:val="single" w:sz="4" w:space="0" w:color="auto"/>
            </w:tcBorders>
            <w:shd w:val="clear" w:color="auto" w:fill="auto"/>
            <w:noWrap/>
            <w:hideMark/>
          </w:tcPr>
          <w:p w14:paraId="32B7CDD9" w14:textId="77777777" w:rsidR="00A325C8" w:rsidRPr="00691ABD" w:rsidRDefault="00A325C8" w:rsidP="001E39EE">
            <w:pPr>
              <w:jc w:val="right"/>
              <w:rPr>
                <w:sz w:val="20"/>
                <w:szCs w:val="20"/>
                <w:lang w:val="fr-CA" w:eastAsia="en-CA"/>
              </w:rPr>
            </w:pPr>
            <w:r w:rsidRPr="00691ABD">
              <w:rPr>
                <w:sz w:val="20"/>
                <w:szCs w:val="20"/>
                <w:lang w:val="fr-CA" w:eastAsia="en-CA"/>
              </w:rPr>
              <w:t>630</w:t>
            </w:r>
            <w:r>
              <w:rPr>
                <w:sz w:val="20"/>
                <w:szCs w:val="20"/>
                <w:lang w:val="fr-CA" w:eastAsia="en-CA"/>
              </w:rPr>
              <w:t xml:space="preserve"> </w:t>
            </w:r>
            <w:r w:rsidRPr="00691ABD">
              <w:rPr>
                <w:sz w:val="20"/>
                <w:szCs w:val="20"/>
                <w:lang w:val="fr-CA" w:eastAsia="en-CA"/>
              </w:rPr>
              <w:t>469</w:t>
            </w:r>
          </w:p>
        </w:tc>
        <w:tc>
          <w:tcPr>
            <w:tcW w:w="1050" w:type="dxa"/>
            <w:tcBorders>
              <w:top w:val="nil"/>
              <w:left w:val="nil"/>
              <w:bottom w:val="single" w:sz="4" w:space="0" w:color="auto"/>
              <w:right w:val="single" w:sz="4" w:space="0" w:color="auto"/>
            </w:tcBorders>
            <w:shd w:val="clear" w:color="auto" w:fill="auto"/>
            <w:noWrap/>
            <w:hideMark/>
          </w:tcPr>
          <w:p w14:paraId="5060DA71" w14:textId="77777777" w:rsidR="00A325C8" w:rsidRPr="00691ABD" w:rsidRDefault="00A325C8" w:rsidP="001E39EE">
            <w:pPr>
              <w:jc w:val="right"/>
              <w:rPr>
                <w:sz w:val="20"/>
                <w:szCs w:val="20"/>
                <w:lang w:val="fr-CA" w:eastAsia="en-CA"/>
              </w:rPr>
            </w:pPr>
            <w:r w:rsidRPr="00691ABD">
              <w:rPr>
                <w:sz w:val="20"/>
                <w:szCs w:val="20"/>
                <w:lang w:val="fr-CA" w:eastAsia="en-CA"/>
              </w:rPr>
              <w:t>76</w:t>
            </w:r>
          </w:p>
        </w:tc>
      </w:tr>
      <w:tr w:rsidR="00A325C8" w:rsidRPr="00691ABD" w14:paraId="0524BE1F"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6992CE1" w14:textId="77777777" w:rsidR="00A325C8" w:rsidRPr="00691ABD" w:rsidRDefault="00A325C8" w:rsidP="001E39EE">
            <w:pPr>
              <w:jc w:val="left"/>
              <w:rPr>
                <w:sz w:val="20"/>
                <w:szCs w:val="20"/>
                <w:lang w:val="fr-CA" w:eastAsia="en-CA"/>
              </w:rPr>
            </w:pPr>
            <w:r>
              <w:rPr>
                <w:sz w:val="20"/>
                <w:szCs w:val="20"/>
                <w:lang w:val="fr-CA" w:eastAsia="en-CA"/>
              </w:rPr>
              <w:t>Érythrée</w:t>
            </w:r>
          </w:p>
        </w:tc>
        <w:tc>
          <w:tcPr>
            <w:tcW w:w="1295" w:type="dxa"/>
            <w:tcBorders>
              <w:top w:val="nil"/>
              <w:left w:val="nil"/>
              <w:bottom w:val="single" w:sz="4" w:space="0" w:color="auto"/>
              <w:right w:val="single" w:sz="4" w:space="0" w:color="auto"/>
            </w:tcBorders>
            <w:shd w:val="clear" w:color="auto" w:fill="auto"/>
            <w:noWrap/>
            <w:hideMark/>
          </w:tcPr>
          <w:p w14:paraId="5D5B6976"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16E9B6C6" w14:textId="77777777" w:rsidR="00A325C8" w:rsidRPr="00691ABD" w:rsidRDefault="00A325C8" w:rsidP="001E39EE">
            <w:pPr>
              <w:jc w:val="right"/>
              <w:rPr>
                <w:sz w:val="20"/>
                <w:szCs w:val="20"/>
                <w:lang w:val="fr-CA" w:eastAsia="en-CA"/>
              </w:rPr>
            </w:pPr>
            <w:r w:rsidRPr="00691ABD">
              <w:rPr>
                <w:sz w:val="20"/>
                <w:szCs w:val="20"/>
                <w:lang w:val="fr-CA" w:eastAsia="en-CA"/>
              </w:rPr>
              <w:t>209</w:t>
            </w:r>
            <w:r>
              <w:rPr>
                <w:sz w:val="20"/>
                <w:szCs w:val="20"/>
                <w:lang w:val="fr-CA" w:eastAsia="en-CA"/>
              </w:rPr>
              <w:t xml:space="preserve"> </w:t>
            </w:r>
            <w:r w:rsidRPr="00691ABD">
              <w:rPr>
                <w:sz w:val="20"/>
                <w:szCs w:val="20"/>
                <w:lang w:val="fr-CA" w:eastAsia="en-CA"/>
              </w:rPr>
              <w:t>559</w:t>
            </w:r>
          </w:p>
        </w:tc>
        <w:tc>
          <w:tcPr>
            <w:tcW w:w="1276" w:type="dxa"/>
            <w:tcBorders>
              <w:top w:val="nil"/>
              <w:left w:val="nil"/>
              <w:bottom w:val="single" w:sz="4" w:space="0" w:color="auto"/>
              <w:right w:val="single" w:sz="4" w:space="0" w:color="auto"/>
            </w:tcBorders>
            <w:shd w:val="clear" w:color="auto" w:fill="auto"/>
            <w:noWrap/>
            <w:hideMark/>
          </w:tcPr>
          <w:p w14:paraId="1F159AC8" w14:textId="77777777" w:rsidR="00A325C8" w:rsidRPr="00691ABD" w:rsidRDefault="00A325C8" w:rsidP="001E39EE">
            <w:pPr>
              <w:jc w:val="right"/>
              <w:rPr>
                <w:sz w:val="20"/>
                <w:szCs w:val="20"/>
                <w:lang w:val="fr-CA" w:eastAsia="en-CA"/>
              </w:rPr>
            </w:pPr>
            <w:r w:rsidRPr="00691ABD">
              <w:rPr>
                <w:sz w:val="20"/>
                <w:szCs w:val="20"/>
                <w:lang w:val="fr-CA" w:eastAsia="en-CA"/>
              </w:rPr>
              <w:t>188</w:t>
            </w:r>
            <w:r>
              <w:rPr>
                <w:sz w:val="20"/>
                <w:szCs w:val="20"/>
                <w:lang w:val="fr-CA" w:eastAsia="en-CA"/>
              </w:rPr>
              <w:t xml:space="preserve"> </w:t>
            </w:r>
            <w:r w:rsidRPr="00691ABD">
              <w:rPr>
                <w:sz w:val="20"/>
                <w:szCs w:val="20"/>
                <w:lang w:val="fr-CA" w:eastAsia="en-CA"/>
              </w:rPr>
              <w:t>559</w:t>
            </w:r>
          </w:p>
        </w:tc>
        <w:tc>
          <w:tcPr>
            <w:tcW w:w="1250" w:type="dxa"/>
            <w:tcBorders>
              <w:top w:val="nil"/>
              <w:left w:val="nil"/>
              <w:bottom w:val="single" w:sz="4" w:space="0" w:color="auto"/>
              <w:right w:val="single" w:sz="4" w:space="0" w:color="auto"/>
            </w:tcBorders>
            <w:shd w:val="clear" w:color="auto" w:fill="auto"/>
            <w:noWrap/>
            <w:hideMark/>
          </w:tcPr>
          <w:p w14:paraId="1ADF9DC3" w14:textId="77777777" w:rsidR="00A325C8" w:rsidRPr="00691ABD" w:rsidRDefault="00A325C8" w:rsidP="001E39EE">
            <w:pPr>
              <w:jc w:val="right"/>
              <w:rPr>
                <w:sz w:val="20"/>
                <w:szCs w:val="20"/>
                <w:lang w:val="fr-CA" w:eastAsia="en-CA"/>
              </w:rPr>
            </w:pPr>
            <w:r w:rsidRPr="00691ABD">
              <w:rPr>
                <w:sz w:val="20"/>
                <w:szCs w:val="20"/>
                <w:lang w:val="fr-CA" w:eastAsia="en-CA"/>
              </w:rPr>
              <w:t>21</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0FB3F0AC" w14:textId="77777777" w:rsidR="00A325C8" w:rsidRPr="00691ABD" w:rsidRDefault="00A325C8" w:rsidP="001E39EE">
            <w:pPr>
              <w:jc w:val="right"/>
              <w:rPr>
                <w:sz w:val="20"/>
                <w:szCs w:val="20"/>
                <w:lang w:val="fr-CA" w:eastAsia="en-CA"/>
              </w:rPr>
            </w:pPr>
            <w:r w:rsidRPr="00691ABD">
              <w:rPr>
                <w:sz w:val="20"/>
                <w:szCs w:val="20"/>
                <w:lang w:val="fr-CA" w:eastAsia="en-CA"/>
              </w:rPr>
              <w:t>90</w:t>
            </w:r>
          </w:p>
        </w:tc>
      </w:tr>
      <w:tr w:rsidR="00A325C8" w:rsidRPr="00691ABD" w14:paraId="676BBBEA" w14:textId="77777777" w:rsidTr="00691ABD">
        <w:trPr>
          <w:trHeight w:val="264"/>
        </w:trPr>
        <w:tc>
          <w:tcPr>
            <w:tcW w:w="3828" w:type="dxa"/>
            <w:tcBorders>
              <w:top w:val="nil"/>
              <w:left w:val="single" w:sz="4" w:space="0" w:color="auto"/>
              <w:bottom w:val="single" w:sz="4" w:space="0" w:color="auto"/>
              <w:right w:val="single" w:sz="4" w:space="0" w:color="auto"/>
            </w:tcBorders>
            <w:shd w:val="clear" w:color="auto" w:fill="auto"/>
            <w:noWrap/>
            <w:hideMark/>
          </w:tcPr>
          <w:p w14:paraId="6D9E513F" w14:textId="77777777" w:rsidR="00A325C8" w:rsidRPr="00691ABD" w:rsidRDefault="00A325C8" w:rsidP="002418E7">
            <w:pPr>
              <w:jc w:val="left"/>
              <w:rPr>
                <w:sz w:val="20"/>
                <w:szCs w:val="20"/>
                <w:lang w:val="fr-CA" w:eastAsia="en-CA"/>
              </w:rPr>
            </w:pPr>
            <w:r w:rsidRPr="00691ABD">
              <w:rPr>
                <w:sz w:val="20"/>
                <w:szCs w:val="20"/>
                <w:lang w:val="fr-CA" w:eastAsia="en-CA"/>
              </w:rPr>
              <w:t>Eswatini (</w:t>
            </w:r>
            <w:r>
              <w:rPr>
                <w:sz w:val="20"/>
                <w:szCs w:val="20"/>
                <w:lang w:val="fr-CA" w:eastAsia="en-CA"/>
              </w:rPr>
              <w:t>Royaume d’</w:t>
            </w:r>
            <w:r w:rsidRPr="00691ABD">
              <w:rPr>
                <w:sz w:val="20"/>
                <w:szCs w:val="20"/>
                <w:lang w:val="fr-CA" w:eastAsia="en-CA"/>
              </w:rPr>
              <w:t>)</w:t>
            </w:r>
          </w:p>
        </w:tc>
        <w:tc>
          <w:tcPr>
            <w:tcW w:w="1295" w:type="dxa"/>
            <w:tcBorders>
              <w:top w:val="nil"/>
              <w:left w:val="nil"/>
              <w:bottom w:val="single" w:sz="4" w:space="0" w:color="auto"/>
              <w:right w:val="single" w:sz="4" w:space="0" w:color="auto"/>
            </w:tcBorders>
            <w:shd w:val="clear" w:color="auto" w:fill="auto"/>
            <w:noWrap/>
            <w:hideMark/>
          </w:tcPr>
          <w:p w14:paraId="6D9FE19C" w14:textId="77777777" w:rsidR="00A325C8" w:rsidRPr="00691ABD" w:rsidRDefault="00A325C8" w:rsidP="001E39EE">
            <w:pPr>
              <w:jc w:val="right"/>
              <w:rPr>
                <w:sz w:val="20"/>
                <w:szCs w:val="20"/>
                <w:lang w:val="fr-CA" w:eastAsia="en-CA"/>
              </w:rPr>
            </w:pPr>
            <w:r w:rsidRPr="00691ABD">
              <w:rPr>
                <w:sz w:val="20"/>
                <w:szCs w:val="20"/>
                <w:lang w:val="fr-CA" w:eastAsia="en-CA"/>
              </w:rPr>
              <w:t>8</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299F041A" w14:textId="77777777" w:rsidR="00A325C8" w:rsidRPr="00691ABD" w:rsidRDefault="00A325C8" w:rsidP="001E39EE">
            <w:pPr>
              <w:jc w:val="right"/>
              <w:rPr>
                <w:sz w:val="20"/>
                <w:szCs w:val="20"/>
                <w:lang w:val="fr-CA" w:eastAsia="en-CA"/>
              </w:rPr>
            </w:pPr>
            <w:r w:rsidRPr="00691ABD">
              <w:rPr>
                <w:sz w:val="20"/>
                <w:szCs w:val="20"/>
                <w:lang w:val="fr-CA" w:eastAsia="en-CA"/>
              </w:rPr>
              <w:t>971</w:t>
            </w:r>
            <w:r>
              <w:rPr>
                <w:sz w:val="20"/>
                <w:szCs w:val="20"/>
                <w:lang w:val="fr-CA" w:eastAsia="en-CA"/>
              </w:rPr>
              <w:t xml:space="preserve"> </w:t>
            </w:r>
            <w:r w:rsidRPr="00691ABD">
              <w:rPr>
                <w:sz w:val="20"/>
                <w:szCs w:val="20"/>
                <w:lang w:val="fr-CA" w:eastAsia="en-CA"/>
              </w:rPr>
              <w:t>931</w:t>
            </w:r>
          </w:p>
        </w:tc>
        <w:tc>
          <w:tcPr>
            <w:tcW w:w="1276" w:type="dxa"/>
            <w:tcBorders>
              <w:top w:val="nil"/>
              <w:left w:val="nil"/>
              <w:bottom w:val="single" w:sz="4" w:space="0" w:color="auto"/>
              <w:right w:val="single" w:sz="4" w:space="0" w:color="auto"/>
            </w:tcBorders>
            <w:shd w:val="clear" w:color="auto" w:fill="auto"/>
            <w:noWrap/>
            <w:hideMark/>
          </w:tcPr>
          <w:p w14:paraId="546D189C" w14:textId="77777777" w:rsidR="00A325C8" w:rsidRPr="00691ABD" w:rsidRDefault="00A325C8" w:rsidP="001E39EE">
            <w:pPr>
              <w:jc w:val="right"/>
              <w:rPr>
                <w:sz w:val="20"/>
                <w:szCs w:val="20"/>
                <w:lang w:val="fr-CA" w:eastAsia="en-CA"/>
              </w:rPr>
            </w:pPr>
            <w:r w:rsidRPr="00691ABD">
              <w:rPr>
                <w:sz w:val="20"/>
                <w:szCs w:val="20"/>
                <w:lang w:val="fr-CA" w:eastAsia="en-CA"/>
              </w:rPr>
              <w:t>821</w:t>
            </w:r>
            <w:r>
              <w:rPr>
                <w:sz w:val="20"/>
                <w:szCs w:val="20"/>
                <w:lang w:val="fr-CA" w:eastAsia="en-CA"/>
              </w:rPr>
              <w:t xml:space="preserve"> </w:t>
            </w:r>
            <w:r w:rsidRPr="00691ABD">
              <w:rPr>
                <w:sz w:val="20"/>
                <w:szCs w:val="20"/>
                <w:lang w:val="fr-CA" w:eastAsia="en-CA"/>
              </w:rPr>
              <w:t>931</w:t>
            </w:r>
          </w:p>
        </w:tc>
        <w:tc>
          <w:tcPr>
            <w:tcW w:w="1250" w:type="dxa"/>
            <w:tcBorders>
              <w:top w:val="nil"/>
              <w:left w:val="nil"/>
              <w:bottom w:val="single" w:sz="4" w:space="0" w:color="auto"/>
              <w:right w:val="single" w:sz="4" w:space="0" w:color="auto"/>
            </w:tcBorders>
            <w:shd w:val="clear" w:color="auto" w:fill="auto"/>
            <w:noWrap/>
            <w:hideMark/>
          </w:tcPr>
          <w:p w14:paraId="7855F73A" w14:textId="77777777" w:rsidR="00A325C8" w:rsidRPr="00691ABD" w:rsidRDefault="00A325C8" w:rsidP="001E39EE">
            <w:pPr>
              <w:jc w:val="right"/>
              <w:rPr>
                <w:sz w:val="20"/>
                <w:szCs w:val="20"/>
                <w:lang w:val="fr-CA" w:eastAsia="en-CA"/>
              </w:rPr>
            </w:pPr>
            <w:r w:rsidRPr="00691ABD">
              <w:rPr>
                <w:sz w:val="20"/>
                <w:szCs w:val="20"/>
                <w:lang w:val="fr-CA" w:eastAsia="en-CA"/>
              </w:rPr>
              <w:t>150</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14FA751E" w14:textId="77777777" w:rsidR="00A325C8" w:rsidRPr="00691ABD" w:rsidRDefault="00A325C8" w:rsidP="001E39EE">
            <w:pPr>
              <w:jc w:val="right"/>
              <w:rPr>
                <w:sz w:val="20"/>
                <w:szCs w:val="20"/>
                <w:lang w:val="fr-CA" w:eastAsia="en-CA"/>
              </w:rPr>
            </w:pPr>
            <w:r w:rsidRPr="00691ABD">
              <w:rPr>
                <w:sz w:val="20"/>
                <w:szCs w:val="20"/>
                <w:lang w:val="fr-CA" w:eastAsia="en-CA"/>
              </w:rPr>
              <w:t>85</w:t>
            </w:r>
          </w:p>
        </w:tc>
      </w:tr>
      <w:tr w:rsidR="00A325C8" w:rsidRPr="00691ABD" w14:paraId="0F1B8585" w14:textId="77777777" w:rsidTr="00691ABD">
        <w:trPr>
          <w:trHeight w:val="111"/>
        </w:trPr>
        <w:tc>
          <w:tcPr>
            <w:tcW w:w="3828" w:type="dxa"/>
            <w:tcBorders>
              <w:top w:val="nil"/>
              <w:left w:val="single" w:sz="4" w:space="0" w:color="auto"/>
              <w:bottom w:val="single" w:sz="4" w:space="0" w:color="auto"/>
              <w:right w:val="single" w:sz="4" w:space="0" w:color="auto"/>
            </w:tcBorders>
            <w:shd w:val="clear" w:color="auto" w:fill="auto"/>
            <w:noWrap/>
            <w:hideMark/>
          </w:tcPr>
          <w:p w14:paraId="2B14ECCE" w14:textId="77777777" w:rsidR="00A325C8" w:rsidRPr="00691ABD" w:rsidRDefault="00A325C8" w:rsidP="001E39EE">
            <w:pPr>
              <w:jc w:val="left"/>
              <w:rPr>
                <w:sz w:val="20"/>
                <w:szCs w:val="20"/>
                <w:lang w:val="fr-CA" w:eastAsia="en-CA"/>
              </w:rPr>
            </w:pPr>
            <w:r>
              <w:rPr>
                <w:sz w:val="20"/>
                <w:szCs w:val="20"/>
                <w:lang w:val="fr-CA" w:eastAsia="en-CA"/>
              </w:rPr>
              <w:t>Éthiopie</w:t>
            </w:r>
          </w:p>
        </w:tc>
        <w:tc>
          <w:tcPr>
            <w:tcW w:w="1295" w:type="dxa"/>
            <w:tcBorders>
              <w:top w:val="nil"/>
              <w:left w:val="nil"/>
              <w:bottom w:val="single" w:sz="4" w:space="0" w:color="auto"/>
              <w:right w:val="single" w:sz="4" w:space="0" w:color="auto"/>
            </w:tcBorders>
            <w:shd w:val="clear" w:color="auto" w:fill="auto"/>
            <w:noWrap/>
            <w:hideMark/>
          </w:tcPr>
          <w:p w14:paraId="5CCD6AC8"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9</w:t>
            </w:r>
          </w:p>
        </w:tc>
        <w:tc>
          <w:tcPr>
            <w:tcW w:w="1275" w:type="dxa"/>
            <w:tcBorders>
              <w:top w:val="nil"/>
              <w:left w:val="nil"/>
              <w:bottom w:val="single" w:sz="4" w:space="0" w:color="auto"/>
              <w:right w:val="single" w:sz="4" w:space="0" w:color="auto"/>
            </w:tcBorders>
            <w:shd w:val="clear" w:color="auto" w:fill="auto"/>
            <w:noWrap/>
            <w:hideMark/>
          </w:tcPr>
          <w:p w14:paraId="4F867397" w14:textId="77777777" w:rsidR="00A325C8" w:rsidRPr="00691ABD" w:rsidRDefault="00A325C8" w:rsidP="001E39EE">
            <w:pPr>
              <w:jc w:val="right"/>
              <w:rPr>
                <w:sz w:val="20"/>
                <w:szCs w:val="20"/>
                <w:lang w:val="fr-CA" w:eastAsia="en-CA"/>
              </w:rPr>
            </w:pPr>
            <w:r w:rsidRPr="00691ABD">
              <w:rPr>
                <w:sz w:val="20"/>
                <w:szCs w:val="20"/>
                <w:lang w:val="fr-CA" w:eastAsia="en-CA"/>
              </w:rPr>
              <w:t>314</w:t>
            </w:r>
            <w:r>
              <w:rPr>
                <w:sz w:val="20"/>
                <w:szCs w:val="20"/>
                <w:lang w:val="fr-CA" w:eastAsia="en-CA"/>
              </w:rPr>
              <w:t xml:space="preserve"> </w:t>
            </w:r>
            <w:r w:rsidRPr="00691ABD">
              <w:rPr>
                <w:sz w:val="20"/>
                <w:szCs w:val="20"/>
                <w:lang w:val="fr-CA" w:eastAsia="en-CA"/>
              </w:rPr>
              <w:t>771</w:t>
            </w:r>
          </w:p>
        </w:tc>
        <w:tc>
          <w:tcPr>
            <w:tcW w:w="1276" w:type="dxa"/>
            <w:tcBorders>
              <w:top w:val="nil"/>
              <w:left w:val="nil"/>
              <w:bottom w:val="single" w:sz="4" w:space="0" w:color="auto"/>
              <w:right w:val="single" w:sz="4" w:space="0" w:color="auto"/>
            </w:tcBorders>
            <w:shd w:val="clear" w:color="auto" w:fill="auto"/>
            <w:noWrap/>
            <w:hideMark/>
          </w:tcPr>
          <w:p w14:paraId="740D4823" w14:textId="77777777" w:rsidR="00A325C8" w:rsidRPr="00691ABD" w:rsidRDefault="00A325C8" w:rsidP="001E39EE">
            <w:pPr>
              <w:jc w:val="right"/>
              <w:rPr>
                <w:sz w:val="20"/>
                <w:szCs w:val="20"/>
                <w:lang w:val="fr-CA" w:eastAsia="en-CA"/>
              </w:rPr>
            </w:pPr>
            <w:r w:rsidRPr="00691ABD">
              <w:rPr>
                <w:sz w:val="20"/>
                <w:szCs w:val="20"/>
                <w:lang w:val="fr-CA" w:eastAsia="en-CA"/>
              </w:rPr>
              <w:t>182</w:t>
            </w:r>
            <w:r>
              <w:rPr>
                <w:sz w:val="20"/>
                <w:szCs w:val="20"/>
                <w:lang w:val="fr-CA" w:eastAsia="en-CA"/>
              </w:rPr>
              <w:t xml:space="preserve"> </w:t>
            </w:r>
            <w:r w:rsidRPr="00691ABD">
              <w:rPr>
                <w:sz w:val="20"/>
                <w:szCs w:val="20"/>
                <w:lang w:val="fr-CA" w:eastAsia="en-CA"/>
              </w:rPr>
              <w:t>191</w:t>
            </w:r>
          </w:p>
        </w:tc>
        <w:tc>
          <w:tcPr>
            <w:tcW w:w="1250" w:type="dxa"/>
            <w:tcBorders>
              <w:top w:val="nil"/>
              <w:left w:val="nil"/>
              <w:bottom w:val="single" w:sz="4" w:space="0" w:color="auto"/>
              <w:right w:val="single" w:sz="4" w:space="0" w:color="auto"/>
            </w:tcBorders>
            <w:shd w:val="clear" w:color="auto" w:fill="auto"/>
            <w:noWrap/>
            <w:hideMark/>
          </w:tcPr>
          <w:p w14:paraId="3C955037" w14:textId="77777777" w:rsidR="00A325C8" w:rsidRPr="00691ABD" w:rsidRDefault="00A325C8" w:rsidP="001E39EE">
            <w:pPr>
              <w:jc w:val="right"/>
              <w:rPr>
                <w:sz w:val="20"/>
                <w:szCs w:val="20"/>
                <w:lang w:val="fr-CA" w:eastAsia="en-CA"/>
              </w:rPr>
            </w:pPr>
            <w:r w:rsidRPr="00691ABD">
              <w:rPr>
                <w:sz w:val="20"/>
                <w:szCs w:val="20"/>
                <w:lang w:val="fr-CA" w:eastAsia="en-CA"/>
              </w:rPr>
              <w:t>132</w:t>
            </w:r>
            <w:r>
              <w:rPr>
                <w:sz w:val="20"/>
                <w:szCs w:val="20"/>
                <w:lang w:val="fr-CA" w:eastAsia="en-CA"/>
              </w:rPr>
              <w:t xml:space="preserve"> </w:t>
            </w:r>
            <w:r w:rsidRPr="00691ABD">
              <w:rPr>
                <w:sz w:val="20"/>
                <w:szCs w:val="20"/>
                <w:lang w:val="fr-CA" w:eastAsia="en-CA"/>
              </w:rPr>
              <w:t>580</w:t>
            </w:r>
          </w:p>
        </w:tc>
        <w:tc>
          <w:tcPr>
            <w:tcW w:w="1050" w:type="dxa"/>
            <w:tcBorders>
              <w:top w:val="nil"/>
              <w:left w:val="nil"/>
              <w:bottom w:val="single" w:sz="4" w:space="0" w:color="auto"/>
              <w:right w:val="single" w:sz="4" w:space="0" w:color="auto"/>
            </w:tcBorders>
            <w:shd w:val="clear" w:color="auto" w:fill="auto"/>
            <w:noWrap/>
            <w:hideMark/>
          </w:tcPr>
          <w:p w14:paraId="47331E3B" w14:textId="77777777" w:rsidR="00A325C8" w:rsidRPr="00691ABD" w:rsidRDefault="00A325C8" w:rsidP="001E39EE">
            <w:pPr>
              <w:jc w:val="right"/>
              <w:rPr>
                <w:sz w:val="20"/>
                <w:szCs w:val="20"/>
                <w:lang w:val="fr-CA" w:eastAsia="en-CA"/>
              </w:rPr>
            </w:pPr>
            <w:r w:rsidRPr="00691ABD">
              <w:rPr>
                <w:sz w:val="20"/>
                <w:szCs w:val="20"/>
                <w:lang w:val="fr-CA" w:eastAsia="en-CA"/>
              </w:rPr>
              <w:t>58</w:t>
            </w:r>
          </w:p>
        </w:tc>
      </w:tr>
      <w:tr w:rsidR="00A325C8" w:rsidRPr="00691ABD" w14:paraId="765F195F" w14:textId="77777777" w:rsidTr="00691ABD">
        <w:trPr>
          <w:trHeight w:val="167"/>
        </w:trPr>
        <w:tc>
          <w:tcPr>
            <w:tcW w:w="3828" w:type="dxa"/>
            <w:tcBorders>
              <w:top w:val="nil"/>
              <w:left w:val="single" w:sz="4" w:space="0" w:color="auto"/>
              <w:bottom w:val="single" w:sz="4" w:space="0" w:color="auto"/>
              <w:right w:val="single" w:sz="4" w:space="0" w:color="auto"/>
            </w:tcBorders>
            <w:shd w:val="clear" w:color="auto" w:fill="auto"/>
            <w:noWrap/>
            <w:hideMark/>
          </w:tcPr>
          <w:p w14:paraId="2DDDE8C1" w14:textId="77777777" w:rsidR="00A325C8" w:rsidRPr="00691ABD" w:rsidRDefault="00A325C8" w:rsidP="001E39EE">
            <w:pPr>
              <w:jc w:val="left"/>
              <w:rPr>
                <w:sz w:val="20"/>
                <w:szCs w:val="20"/>
                <w:lang w:val="fr-CA" w:eastAsia="en-CA"/>
              </w:rPr>
            </w:pPr>
            <w:r w:rsidRPr="00691ABD">
              <w:rPr>
                <w:sz w:val="20"/>
                <w:szCs w:val="20"/>
                <w:lang w:val="fr-CA" w:eastAsia="en-CA"/>
              </w:rPr>
              <w:t>Fi</w:t>
            </w:r>
            <w:r>
              <w:rPr>
                <w:sz w:val="20"/>
                <w:szCs w:val="20"/>
                <w:lang w:val="fr-CA" w:eastAsia="en-CA"/>
              </w:rPr>
              <w:t>d</w:t>
            </w:r>
            <w:r w:rsidRPr="00691ABD">
              <w:rPr>
                <w:sz w:val="20"/>
                <w:szCs w:val="20"/>
                <w:lang w:val="fr-CA" w:eastAsia="en-CA"/>
              </w:rPr>
              <w:t>ji</w:t>
            </w:r>
          </w:p>
        </w:tc>
        <w:tc>
          <w:tcPr>
            <w:tcW w:w="1295" w:type="dxa"/>
            <w:tcBorders>
              <w:top w:val="nil"/>
              <w:left w:val="nil"/>
              <w:bottom w:val="single" w:sz="4" w:space="0" w:color="auto"/>
              <w:right w:val="single" w:sz="4" w:space="0" w:color="auto"/>
            </w:tcBorders>
            <w:shd w:val="clear" w:color="auto" w:fill="auto"/>
            <w:noWrap/>
            <w:hideMark/>
          </w:tcPr>
          <w:p w14:paraId="3536F8C0"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18F19FEA" w14:textId="77777777" w:rsidR="00A325C8" w:rsidRPr="00691ABD" w:rsidRDefault="00A325C8" w:rsidP="001E39EE">
            <w:pPr>
              <w:jc w:val="right"/>
              <w:rPr>
                <w:sz w:val="20"/>
                <w:szCs w:val="20"/>
                <w:lang w:val="fr-CA" w:eastAsia="en-CA"/>
              </w:rPr>
            </w:pPr>
            <w:r w:rsidRPr="00691ABD">
              <w:rPr>
                <w:sz w:val="20"/>
                <w:szCs w:val="20"/>
                <w:lang w:val="fr-CA" w:eastAsia="en-CA"/>
              </w:rPr>
              <w:t>315</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08909666" w14:textId="77777777" w:rsidR="00A325C8" w:rsidRPr="00691ABD" w:rsidRDefault="00A325C8" w:rsidP="001E39EE">
            <w:pPr>
              <w:jc w:val="right"/>
              <w:rPr>
                <w:sz w:val="20"/>
                <w:szCs w:val="20"/>
                <w:lang w:val="fr-CA" w:eastAsia="en-CA"/>
              </w:rPr>
            </w:pPr>
            <w:r w:rsidRPr="00691ABD">
              <w:rPr>
                <w:sz w:val="20"/>
                <w:szCs w:val="20"/>
                <w:lang w:val="fr-CA" w:eastAsia="en-CA"/>
              </w:rPr>
              <w:t>259</w:t>
            </w:r>
            <w:r>
              <w:rPr>
                <w:sz w:val="20"/>
                <w:szCs w:val="20"/>
                <w:lang w:val="fr-CA" w:eastAsia="en-CA"/>
              </w:rPr>
              <w:t xml:space="preserve"> </w:t>
            </w:r>
            <w:r w:rsidRPr="00691ABD">
              <w:rPr>
                <w:sz w:val="20"/>
                <w:szCs w:val="20"/>
                <w:lang w:val="fr-CA" w:eastAsia="en-CA"/>
              </w:rPr>
              <w:t>289</w:t>
            </w:r>
          </w:p>
        </w:tc>
        <w:tc>
          <w:tcPr>
            <w:tcW w:w="1250" w:type="dxa"/>
            <w:tcBorders>
              <w:top w:val="nil"/>
              <w:left w:val="nil"/>
              <w:bottom w:val="single" w:sz="4" w:space="0" w:color="auto"/>
              <w:right w:val="single" w:sz="4" w:space="0" w:color="auto"/>
            </w:tcBorders>
            <w:shd w:val="clear" w:color="auto" w:fill="auto"/>
            <w:noWrap/>
            <w:hideMark/>
          </w:tcPr>
          <w:p w14:paraId="2DE677FC" w14:textId="77777777" w:rsidR="00A325C8" w:rsidRPr="00691ABD" w:rsidRDefault="00A325C8" w:rsidP="001E39EE">
            <w:pPr>
              <w:jc w:val="right"/>
              <w:rPr>
                <w:sz w:val="20"/>
                <w:szCs w:val="20"/>
                <w:lang w:val="fr-CA" w:eastAsia="en-CA"/>
              </w:rPr>
            </w:pPr>
            <w:r w:rsidRPr="00691ABD">
              <w:rPr>
                <w:sz w:val="20"/>
                <w:szCs w:val="20"/>
                <w:lang w:val="fr-CA" w:eastAsia="en-CA"/>
              </w:rPr>
              <w:t>55</w:t>
            </w:r>
            <w:r>
              <w:rPr>
                <w:sz w:val="20"/>
                <w:szCs w:val="20"/>
                <w:lang w:val="fr-CA" w:eastAsia="en-CA"/>
              </w:rPr>
              <w:t xml:space="preserve"> </w:t>
            </w:r>
            <w:r w:rsidRPr="00691ABD">
              <w:rPr>
                <w:sz w:val="20"/>
                <w:szCs w:val="20"/>
                <w:lang w:val="fr-CA" w:eastAsia="en-CA"/>
              </w:rPr>
              <w:t>711</w:t>
            </w:r>
          </w:p>
        </w:tc>
        <w:tc>
          <w:tcPr>
            <w:tcW w:w="1050" w:type="dxa"/>
            <w:tcBorders>
              <w:top w:val="nil"/>
              <w:left w:val="nil"/>
              <w:bottom w:val="single" w:sz="4" w:space="0" w:color="auto"/>
              <w:right w:val="single" w:sz="4" w:space="0" w:color="auto"/>
            </w:tcBorders>
            <w:shd w:val="clear" w:color="auto" w:fill="auto"/>
            <w:noWrap/>
            <w:hideMark/>
          </w:tcPr>
          <w:p w14:paraId="7D95C979" w14:textId="77777777" w:rsidR="00A325C8" w:rsidRPr="00691ABD" w:rsidRDefault="00A325C8" w:rsidP="001E39EE">
            <w:pPr>
              <w:jc w:val="right"/>
              <w:rPr>
                <w:sz w:val="20"/>
                <w:szCs w:val="20"/>
                <w:lang w:val="fr-CA" w:eastAsia="en-CA"/>
              </w:rPr>
            </w:pPr>
            <w:r w:rsidRPr="00691ABD">
              <w:rPr>
                <w:sz w:val="20"/>
                <w:szCs w:val="20"/>
                <w:lang w:val="fr-CA" w:eastAsia="en-CA"/>
              </w:rPr>
              <w:t>82</w:t>
            </w:r>
          </w:p>
        </w:tc>
      </w:tr>
      <w:tr w:rsidR="00A325C8" w:rsidRPr="00691ABD" w14:paraId="628AC3FA" w14:textId="77777777" w:rsidTr="00691ABD">
        <w:trPr>
          <w:trHeight w:val="198"/>
        </w:trPr>
        <w:tc>
          <w:tcPr>
            <w:tcW w:w="3828" w:type="dxa"/>
            <w:tcBorders>
              <w:top w:val="nil"/>
              <w:left w:val="single" w:sz="4" w:space="0" w:color="auto"/>
              <w:bottom w:val="single" w:sz="4" w:space="0" w:color="auto"/>
              <w:right w:val="single" w:sz="4" w:space="0" w:color="auto"/>
            </w:tcBorders>
            <w:shd w:val="clear" w:color="auto" w:fill="auto"/>
            <w:noWrap/>
            <w:hideMark/>
          </w:tcPr>
          <w:p w14:paraId="395D3970" w14:textId="77777777" w:rsidR="00A325C8" w:rsidRPr="00691ABD" w:rsidRDefault="00A325C8" w:rsidP="001E39EE">
            <w:pPr>
              <w:jc w:val="left"/>
              <w:rPr>
                <w:sz w:val="20"/>
                <w:szCs w:val="20"/>
                <w:lang w:val="fr-CA" w:eastAsia="en-CA"/>
              </w:rPr>
            </w:pPr>
            <w:r w:rsidRPr="00691ABD">
              <w:rPr>
                <w:sz w:val="20"/>
                <w:szCs w:val="20"/>
                <w:lang w:val="fr-CA" w:eastAsia="en-CA"/>
              </w:rPr>
              <w:t>Gabon</w:t>
            </w:r>
          </w:p>
        </w:tc>
        <w:tc>
          <w:tcPr>
            <w:tcW w:w="1295" w:type="dxa"/>
            <w:tcBorders>
              <w:top w:val="nil"/>
              <w:left w:val="nil"/>
              <w:bottom w:val="single" w:sz="4" w:space="0" w:color="auto"/>
              <w:right w:val="single" w:sz="4" w:space="0" w:color="auto"/>
            </w:tcBorders>
            <w:shd w:val="clear" w:color="auto" w:fill="auto"/>
            <w:noWrap/>
            <w:hideMark/>
          </w:tcPr>
          <w:p w14:paraId="48715521" w14:textId="77777777" w:rsidR="00A325C8" w:rsidRPr="00691ABD" w:rsidRDefault="00A325C8" w:rsidP="001E39EE">
            <w:pPr>
              <w:jc w:val="right"/>
              <w:rPr>
                <w:sz w:val="20"/>
                <w:szCs w:val="20"/>
                <w:lang w:val="fr-CA" w:eastAsia="en-CA"/>
              </w:rPr>
            </w:pPr>
            <w:r w:rsidRPr="00691ABD">
              <w:rPr>
                <w:sz w:val="20"/>
                <w:szCs w:val="20"/>
                <w:lang w:val="fr-CA" w:eastAsia="en-CA"/>
              </w:rPr>
              <w:t>10</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3EDBABDB" w14:textId="77777777" w:rsidR="00A325C8" w:rsidRPr="00691ABD" w:rsidRDefault="00A325C8" w:rsidP="001E39EE">
            <w:pPr>
              <w:jc w:val="right"/>
              <w:rPr>
                <w:sz w:val="20"/>
                <w:szCs w:val="20"/>
                <w:lang w:val="fr-CA" w:eastAsia="en-CA"/>
              </w:rPr>
            </w:pPr>
            <w:r w:rsidRPr="00691ABD">
              <w:rPr>
                <w:sz w:val="20"/>
                <w:szCs w:val="20"/>
                <w:lang w:val="fr-CA" w:eastAsia="en-CA"/>
              </w:rPr>
              <w:t>480</w:t>
            </w:r>
            <w:r>
              <w:rPr>
                <w:sz w:val="20"/>
                <w:szCs w:val="20"/>
                <w:lang w:val="fr-CA" w:eastAsia="en-CA"/>
              </w:rPr>
              <w:t xml:space="preserve"> </w:t>
            </w:r>
            <w:r w:rsidRPr="00691ABD">
              <w:rPr>
                <w:sz w:val="20"/>
                <w:szCs w:val="20"/>
                <w:lang w:val="fr-CA" w:eastAsia="en-CA"/>
              </w:rPr>
              <w:t>883</w:t>
            </w:r>
          </w:p>
        </w:tc>
        <w:tc>
          <w:tcPr>
            <w:tcW w:w="1276" w:type="dxa"/>
            <w:tcBorders>
              <w:top w:val="nil"/>
              <w:left w:val="nil"/>
              <w:bottom w:val="single" w:sz="4" w:space="0" w:color="auto"/>
              <w:right w:val="single" w:sz="4" w:space="0" w:color="auto"/>
            </w:tcBorders>
            <w:shd w:val="clear" w:color="auto" w:fill="auto"/>
            <w:noWrap/>
            <w:hideMark/>
          </w:tcPr>
          <w:p w14:paraId="0C5CB45F" w14:textId="77777777" w:rsidR="00A325C8" w:rsidRPr="00691ABD" w:rsidRDefault="00A325C8" w:rsidP="001E39EE">
            <w:pPr>
              <w:jc w:val="right"/>
              <w:rPr>
                <w:sz w:val="20"/>
                <w:szCs w:val="20"/>
                <w:lang w:val="fr-CA" w:eastAsia="en-CA"/>
              </w:rPr>
            </w:pPr>
            <w:r w:rsidRPr="00691ABD">
              <w:rPr>
                <w:sz w:val="20"/>
                <w:szCs w:val="20"/>
                <w:lang w:val="fr-CA" w:eastAsia="en-CA"/>
              </w:rPr>
              <w:t>396</w:t>
            </w:r>
            <w:r>
              <w:rPr>
                <w:sz w:val="20"/>
                <w:szCs w:val="20"/>
                <w:lang w:val="fr-CA" w:eastAsia="en-CA"/>
              </w:rPr>
              <w:t xml:space="preserve"> </w:t>
            </w:r>
            <w:r w:rsidRPr="00691ABD">
              <w:rPr>
                <w:sz w:val="20"/>
                <w:szCs w:val="20"/>
                <w:lang w:val="fr-CA" w:eastAsia="en-CA"/>
              </w:rPr>
              <w:t>423</w:t>
            </w:r>
          </w:p>
        </w:tc>
        <w:tc>
          <w:tcPr>
            <w:tcW w:w="1250" w:type="dxa"/>
            <w:tcBorders>
              <w:top w:val="nil"/>
              <w:left w:val="nil"/>
              <w:bottom w:val="single" w:sz="4" w:space="0" w:color="auto"/>
              <w:right w:val="single" w:sz="4" w:space="0" w:color="auto"/>
            </w:tcBorders>
            <w:shd w:val="clear" w:color="auto" w:fill="auto"/>
            <w:noWrap/>
            <w:hideMark/>
          </w:tcPr>
          <w:p w14:paraId="5B8062BF" w14:textId="77777777" w:rsidR="00A325C8" w:rsidRPr="00691ABD" w:rsidRDefault="00A325C8" w:rsidP="001E39EE">
            <w:pPr>
              <w:jc w:val="right"/>
              <w:rPr>
                <w:sz w:val="20"/>
                <w:szCs w:val="20"/>
                <w:lang w:val="fr-CA" w:eastAsia="en-CA"/>
              </w:rPr>
            </w:pPr>
            <w:r w:rsidRPr="00691ABD">
              <w:rPr>
                <w:sz w:val="20"/>
                <w:szCs w:val="20"/>
                <w:lang w:val="fr-CA" w:eastAsia="en-CA"/>
              </w:rPr>
              <w:t>84</w:t>
            </w:r>
            <w:r>
              <w:rPr>
                <w:sz w:val="20"/>
                <w:szCs w:val="20"/>
                <w:lang w:val="fr-CA" w:eastAsia="en-CA"/>
              </w:rPr>
              <w:t xml:space="preserve"> </w:t>
            </w:r>
            <w:r w:rsidRPr="00691ABD">
              <w:rPr>
                <w:sz w:val="20"/>
                <w:szCs w:val="20"/>
                <w:lang w:val="fr-CA" w:eastAsia="en-CA"/>
              </w:rPr>
              <w:t>460</w:t>
            </w:r>
          </w:p>
        </w:tc>
        <w:tc>
          <w:tcPr>
            <w:tcW w:w="1050" w:type="dxa"/>
            <w:tcBorders>
              <w:top w:val="nil"/>
              <w:left w:val="nil"/>
              <w:bottom w:val="single" w:sz="4" w:space="0" w:color="auto"/>
              <w:right w:val="single" w:sz="4" w:space="0" w:color="auto"/>
            </w:tcBorders>
            <w:shd w:val="clear" w:color="auto" w:fill="auto"/>
            <w:noWrap/>
            <w:hideMark/>
          </w:tcPr>
          <w:p w14:paraId="6759291A" w14:textId="77777777" w:rsidR="00A325C8" w:rsidRPr="00691ABD" w:rsidRDefault="00A325C8" w:rsidP="001E39EE">
            <w:pPr>
              <w:jc w:val="right"/>
              <w:rPr>
                <w:sz w:val="20"/>
                <w:szCs w:val="20"/>
                <w:lang w:val="fr-CA" w:eastAsia="en-CA"/>
              </w:rPr>
            </w:pPr>
            <w:r w:rsidRPr="00691ABD">
              <w:rPr>
                <w:sz w:val="20"/>
                <w:szCs w:val="20"/>
                <w:lang w:val="fr-CA" w:eastAsia="en-CA"/>
              </w:rPr>
              <w:t>82</w:t>
            </w:r>
          </w:p>
        </w:tc>
      </w:tr>
      <w:tr w:rsidR="00A325C8" w:rsidRPr="00691ABD" w14:paraId="0D04D7E5" w14:textId="77777777" w:rsidTr="00691ABD">
        <w:trPr>
          <w:trHeight w:val="103"/>
        </w:trPr>
        <w:tc>
          <w:tcPr>
            <w:tcW w:w="3828" w:type="dxa"/>
            <w:tcBorders>
              <w:top w:val="nil"/>
              <w:left w:val="single" w:sz="4" w:space="0" w:color="auto"/>
              <w:bottom w:val="single" w:sz="4" w:space="0" w:color="auto"/>
              <w:right w:val="single" w:sz="4" w:space="0" w:color="auto"/>
            </w:tcBorders>
            <w:shd w:val="clear" w:color="auto" w:fill="auto"/>
            <w:noWrap/>
            <w:hideMark/>
          </w:tcPr>
          <w:p w14:paraId="008D3F7E" w14:textId="77777777" w:rsidR="00A325C8" w:rsidRPr="00691ABD" w:rsidRDefault="00A325C8" w:rsidP="002418E7">
            <w:pPr>
              <w:jc w:val="left"/>
              <w:rPr>
                <w:sz w:val="20"/>
                <w:szCs w:val="20"/>
                <w:lang w:val="fr-CA" w:eastAsia="en-CA"/>
              </w:rPr>
            </w:pPr>
            <w:r w:rsidRPr="00691ABD">
              <w:rPr>
                <w:sz w:val="20"/>
                <w:szCs w:val="20"/>
                <w:lang w:val="fr-CA" w:eastAsia="en-CA"/>
              </w:rPr>
              <w:t>Gambi</w:t>
            </w:r>
            <w:r>
              <w:rPr>
                <w:sz w:val="20"/>
                <w:szCs w:val="20"/>
                <w:lang w:val="fr-CA" w:eastAsia="en-CA"/>
              </w:rPr>
              <w:t>e</w:t>
            </w:r>
          </w:p>
        </w:tc>
        <w:tc>
          <w:tcPr>
            <w:tcW w:w="1295" w:type="dxa"/>
            <w:tcBorders>
              <w:top w:val="nil"/>
              <w:left w:val="nil"/>
              <w:bottom w:val="single" w:sz="4" w:space="0" w:color="auto"/>
              <w:right w:val="single" w:sz="4" w:space="0" w:color="auto"/>
            </w:tcBorders>
            <w:shd w:val="clear" w:color="auto" w:fill="auto"/>
            <w:noWrap/>
            <w:hideMark/>
          </w:tcPr>
          <w:p w14:paraId="45C966F1"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5A7EFECC" w14:textId="77777777" w:rsidR="00A325C8" w:rsidRPr="00691ABD" w:rsidRDefault="00A325C8" w:rsidP="001E39EE">
            <w:pPr>
              <w:jc w:val="right"/>
              <w:rPr>
                <w:sz w:val="20"/>
                <w:szCs w:val="20"/>
                <w:lang w:val="fr-CA" w:eastAsia="en-CA"/>
              </w:rPr>
            </w:pPr>
            <w:r w:rsidRPr="00691ABD">
              <w:rPr>
                <w:sz w:val="20"/>
                <w:szCs w:val="20"/>
                <w:lang w:val="fr-CA" w:eastAsia="en-CA"/>
              </w:rPr>
              <w:t>399</w:t>
            </w:r>
            <w:r>
              <w:rPr>
                <w:sz w:val="20"/>
                <w:szCs w:val="20"/>
                <w:lang w:val="fr-CA" w:eastAsia="en-CA"/>
              </w:rPr>
              <w:t xml:space="preserve"> </w:t>
            </w:r>
            <w:r w:rsidRPr="00691ABD">
              <w:rPr>
                <w:sz w:val="20"/>
                <w:szCs w:val="20"/>
                <w:lang w:val="fr-CA" w:eastAsia="en-CA"/>
              </w:rPr>
              <w:t>497</w:t>
            </w:r>
          </w:p>
        </w:tc>
        <w:tc>
          <w:tcPr>
            <w:tcW w:w="1276" w:type="dxa"/>
            <w:tcBorders>
              <w:top w:val="nil"/>
              <w:left w:val="nil"/>
              <w:bottom w:val="single" w:sz="4" w:space="0" w:color="auto"/>
              <w:right w:val="single" w:sz="4" w:space="0" w:color="auto"/>
            </w:tcBorders>
            <w:shd w:val="clear" w:color="auto" w:fill="auto"/>
            <w:noWrap/>
            <w:hideMark/>
          </w:tcPr>
          <w:p w14:paraId="5501B5D8" w14:textId="77777777" w:rsidR="00A325C8" w:rsidRPr="00691ABD" w:rsidRDefault="00A325C8" w:rsidP="001E39EE">
            <w:pPr>
              <w:jc w:val="right"/>
              <w:rPr>
                <w:sz w:val="20"/>
                <w:szCs w:val="20"/>
                <w:lang w:val="fr-CA" w:eastAsia="en-CA"/>
              </w:rPr>
            </w:pPr>
            <w:r w:rsidRPr="00691ABD">
              <w:rPr>
                <w:sz w:val="20"/>
                <w:szCs w:val="20"/>
                <w:lang w:val="fr-CA" w:eastAsia="en-CA"/>
              </w:rPr>
              <w:t>178</w:t>
            </w:r>
            <w:r>
              <w:rPr>
                <w:sz w:val="20"/>
                <w:szCs w:val="20"/>
                <w:lang w:val="fr-CA" w:eastAsia="en-CA"/>
              </w:rPr>
              <w:t xml:space="preserve"> </w:t>
            </w:r>
            <w:r w:rsidRPr="00691ABD">
              <w:rPr>
                <w:sz w:val="20"/>
                <w:szCs w:val="20"/>
                <w:lang w:val="fr-CA" w:eastAsia="en-CA"/>
              </w:rPr>
              <w:t>776</w:t>
            </w:r>
          </w:p>
        </w:tc>
        <w:tc>
          <w:tcPr>
            <w:tcW w:w="1250" w:type="dxa"/>
            <w:tcBorders>
              <w:top w:val="nil"/>
              <w:left w:val="nil"/>
              <w:bottom w:val="single" w:sz="4" w:space="0" w:color="auto"/>
              <w:right w:val="single" w:sz="4" w:space="0" w:color="auto"/>
            </w:tcBorders>
            <w:shd w:val="clear" w:color="auto" w:fill="auto"/>
            <w:noWrap/>
            <w:hideMark/>
          </w:tcPr>
          <w:p w14:paraId="3DAA023A" w14:textId="77777777" w:rsidR="00A325C8" w:rsidRPr="00691ABD" w:rsidRDefault="00A325C8" w:rsidP="001E39EE">
            <w:pPr>
              <w:jc w:val="right"/>
              <w:rPr>
                <w:sz w:val="20"/>
                <w:szCs w:val="20"/>
                <w:lang w:val="fr-CA" w:eastAsia="en-CA"/>
              </w:rPr>
            </w:pPr>
            <w:r w:rsidRPr="00691ABD">
              <w:rPr>
                <w:sz w:val="20"/>
                <w:szCs w:val="20"/>
                <w:lang w:val="fr-CA" w:eastAsia="en-CA"/>
              </w:rPr>
              <w:t>220</w:t>
            </w:r>
            <w:r>
              <w:rPr>
                <w:sz w:val="20"/>
                <w:szCs w:val="20"/>
                <w:lang w:val="fr-CA" w:eastAsia="en-CA"/>
              </w:rPr>
              <w:t xml:space="preserve"> </w:t>
            </w:r>
            <w:r w:rsidRPr="00691ABD">
              <w:rPr>
                <w:sz w:val="20"/>
                <w:szCs w:val="20"/>
                <w:lang w:val="fr-CA" w:eastAsia="en-CA"/>
              </w:rPr>
              <w:t>721</w:t>
            </w:r>
          </w:p>
        </w:tc>
        <w:tc>
          <w:tcPr>
            <w:tcW w:w="1050" w:type="dxa"/>
            <w:tcBorders>
              <w:top w:val="nil"/>
              <w:left w:val="nil"/>
              <w:bottom w:val="single" w:sz="4" w:space="0" w:color="auto"/>
              <w:right w:val="single" w:sz="4" w:space="0" w:color="auto"/>
            </w:tcBorders>
            <w:shd w:val="clear" w:color="auto" w:fill="auto"/>
            <w:noWrap/>
            <w:hideMark/>
          </w:tcPr>
          <w:p w14:paraId="3E242DFB" w14:textId="77777777" w:rsidR="00A325C8" w:rsidRPr="00691ABD" w:rsidRDefault="00A325C8" w:rsidP="001E39EE">
            <w:pPr>
              <w:jc w:val="right"/>
              <w:rPr>
                <w:sz w:val="20"/>
                <w:szCs w:val="20"/>
                <w:lang w:val="fr-CA" w:eastAsia="en-CA"/>
              </w:rPr>
            </w:pPr>
            <w:r w:rsidRPr="00691ABD">
              <w:rPr>
                <w:sz w:val="20"/>
                <w:szCs w:val="20"/>
                <w:lang w:val="fr-CA" w:eastAsia="en-CA"/>
              </w:rPr>
              <w:t>45</w:t>
            </w:r>
          </w:p>
        </w:tc>
      </w:tr>
      <w:tr w:rsidR="00A325C8" w:rsidRPr="00691ABD" w14:paraId="29F7E4B2" w14:textId="77777777" w:rsidTr="00691ABD">
        <w:trPr>
          <w:trHeight w:val="149"/>
        </w:trPr>
        <w:tc>
          <w:tcPr>
            <w:tcW w:w="3828" w:type="dxa"/>
            <w:tcBorders>
              <w:top w:val="nil"/>
              <w:left w:val="single" w:sz="4" w:space="0" w:color="auto"/>
              <w:bottom w:val="single" w:sz="4" w:space="0" w:color="auto"/>
              <w:right w:val="single" w:sz="4" w:space="0" w:color="auto"/>
            </w:tcBorders>
            <w:shd w:val="clear" w:color="auto" w:fill="auto"/>
            <w:noWrap/>
            <w:hideMark/>
          </w:tcPr>
          <w:p w14:paraId="0DDB1A47" w14:textId="77777777" w:rsidR="00A325C8" w:rsidRPr="00691ABD" w:rsidRDefault="00A325C8" w:rsidP="001E39EE">
            <w:pPr>
              <w:jc w:val="left"/>
              <w:rPr>
                <w:sz w:val="20"/>
                <w:szCs w:val="20"/>
                <w:lang w:val="fr-CA" w:eastAsia="en-CA"/>
              </w:rPr>
            </w:pPr>
            <w:r>
              <w:rPr>
                <w:sz w:val="20"/>
                <w:szCs w:val="20"/>
                <w:lang w:val="fr-CA" w:eastAsia="en-CA"/>
              </w:rPr>
              <w:lastRenderedPageBreak/>
              <w:t>Géorgie</w:t>
            </w:r>
          </w:p>
        </w:tc>
        <w:tc>
          <w:tcPr>
            <w:tcW w:w="1295" w:type="dxa"/>
            <w:tcBorders>
              <w:top w:val="nil"/>
              <w:left w:val="nil"/>
              <w:bottom w:val="single" w:sz="4" w:space="0" w:color="auto"/>
              <w:right w:val="single" w:sz="4" w:space="0" w:color="auto"/>
            </w:tcBorders>
            <w:shd w:val="clear" w:color="auto" w:fill="auto"/>
            <w:noWrap/>
            <w:hideMark/>
          </w:tcPr>
          <w:p w14:paraId="298BBE1B"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7108E101" w14:textId="77777777" w:rsidR="00A325C8" w:rsidRPr="00691ABD" w:rsidRDefault="00A325C8" w:rsidP="001E39EE">
            <w:pPr>
              <w:jc w:val="right"/>
              <w:rPr>
                <w:sz w:val="20"/>
                <w:szCs w:val="20"/>
                <w:lang w:val="fr-CA" w:eastAsia="en-CA"/>
              </w:rPr>
            </w:pPr>
            <w:r w:rsidRPr="00691ABD">
              <w:rPr>
                <w:sz w:val="20"/>
                <w:szCs w:val="20"/>
                <w:lang w:val="fr-CA" w:eastAsia="en-CA"/>
              </w:rPr>
              <w:t>500</w:t>
            </w:r>
            <w:r>
              <w:rPr>
                <w:sz w:val="20"/>
                <w:szCs w:val="20"/>
                <w:lang w:val="fr-CA" w:eastAsia="en-CA"/>
              </w:rPr>
              <w:t xml:space="preserve"> </w:t>
            </w:r>
            <w:r w:rsidRPr="00691ABD">
              <w:rPr>
                <w:sz w:val="20"/>
                <w:szCs w:val="20"/>
                <w:lang w:val="fr-CA" w:eastAsia="en-CA"/>
              </w:rPr>
              <w:t>900</w:t>
            </w:r>
          </w:p>
        </w:tc>
        <w:tc>
          <w:tcPr>
            <w:tcW w:w="1276" w:type="dxa"/>
            <w:tcBorders>
              <w:top w:val="nil"/>
              <w:left w:val="nil"/>
              <w:bottom w:val="single" w:sz="4" w:space="0" w:color="auto"/>
              <w:right w:val="single" w:sz="4" w:space="0" w:color="auto"/>
            </w:tcBorders>
            <w:shd w:val="clear" w:color="auto" w:fill="auto"/>
            <w:noWrap/>
            <w:hideMark/>
          </w:tcPr>
          <w:p w14:paraId="7CACE356" w14:textId="77777777" w:rsidR="00A325C8" w:rsidRPr="00691ABD" w:rsidRDefault="00A325C8" w:rsidP="001E39EE">
            <w:pPr>
              <w:jc w:val="right"/>
              <w:rPr>
                <w:sz w:val="20"/>
                <w:szCs w:val="20"/>
                <w:lang w:val="fr-CA" w:eastAsia="en-CA"/>
              </w:rPr>
            </w:pPr>
            <w:r w:rsidRPr="00691ABD">
              <w:rPr>
                <w:sz w:val="20"/>
                <w:szCs w:val="20"/>
                <w:lang w:val="fr-CA" w:eastAsia="en-CA"/>
              </w:rPr>
              <w:t>368</w:t>
            </w:r>
            <w:r>
              <w:rPr>
                <w:sz w:val="20"/>
                <w:szCs w:val="20"/>
                <w:lang w:val="fr-CA" w:eastAsia="en-CA"/>
              </w:rPr>
              <w:t xml:space="preserve"> </w:t>
            </w:r>
            <w:r w:rsidRPr="00691ABD">
              <w:rPr>
                <w:sz w:val="20"/>
                <w:szCs w:val="20"/>
                <w:lang w:val="fr-CA" w:eastAsia="en-CA"/>
              </w:rPr>
              <w:t>329</w:t>
            </w:r>
          </w:p>
        </w:tc>
        <w:tc>
          <w:tcPr>
            <w:tcW w:w="1250" w:type="dxa"/>
            <w:tcBorders>
              <w:top w:val="nil"/>
              <w:left w:val="nil"/>
              <w:bottom w:val="single" w:sz="4" w:space="0" w:color="auto"/>
              <w:right w:val="single" w:sz="4" w:space="0" w:color="auto"/>
            </w:tcBorders>
            <w:shd w:val="clear" w:color="auto" w:fill="auto"/>
            <w:noWrap/>
            <w:hideMark/>
          </w:tcPr>
          <w:p w14:paraId="0F9A63BD" w14:textId="77777777" w:rsidR="00A325C8" w:rsidRPr="00691ABD" w:rsidRDefault="00A325C8" w:rsidP="001E39EE">
            <w:pPr>
              <w:jc w:val="right"/>
              <w:rPr>
                <w:sz w:val="20"/>
                <w:szCs w:val="20"/>
                <w:lang w:val="fr-CA" w:eastAsia="en-CA"/>
              </w:rPr>
            </w:pPr>
            <w:r w:rsidRPr="00691ABD">
              <w:rPr>
                <w:sz w:val="20"/>
                <w:szCs w:val="20"/>
                <w:lang w:val="fr-CA" w:eastAsia="en-CA"/>
              </w:rPr>
              <w:t>132</w:t>
            </w:r>
            <w:r>
              <w:rPr>
                <w:sz w:val="20"/>
                <w:szCs w:val="20"/>
                <w:lang w:val="fr-CA" w:eastAsia="en-CA"/>
              </w:rPr>
              <w:t xml:space="preserve"> </w:t>
            </w:r>
            <w:r w:rsidRPr="00691ABD">
              <w:rPr>
                <w:sz w:val="20"/>
                <w:szCs w:val="20"/>
                <w:lang w:val="fr-CA" w:eastAsia="en-CA"/>
              </w:rPr>
              <w:t>571</w:t>
            </w:r>
          </w:p>
        </w:tc>
        <w:tc>
          <w:tcPr>
            <w:tcW w:w="1050" w:type="dxa"/>
            <w:tcBorders>
              <w:top w:val="nil"/>
              <w:left w:val="nil"/>
              <w:bottom w:val="single" w:sz="4" w:space="0" w:color="auto"/>
              <w:right w:val="single" w:sz="4" w:space="0" w:color="auto"/>
            </w:tcBorders>
            <w:shd w:val="clear" w:color="auto" w:fill="auto"/>
            <w:noWrap/>
            <w:hideMark/>
          </w:tcPr>
          <w:p w14:paraId="30F10920" w14:textId="77777777" w:rsidR="00A325C8" w:rsidRPr="00691ABD" w:rsidRDefault="00A325C8" w:rsidP="001E39EE">
            <w:pPr>
              <w:jc w:val="right"/>
              <w:rPr>
                <w:sz w:val="20"/>
                <w:szCs w:val="20"/>
                <w:lang w:val="fr-CA" w:eastAsia="en-CA"/>
              </w:rPr>
            </w:pPr>
            <w:r w:rsidRPr="00691ABD">
              <w:rPr>
                <w:sz w:val="20"/>
                <w:szCs w:val="20"/>
                <w:lang w:val="fr-CA" w:eastAsia="en-CA"/>
              </w:rPr>
              <w:t>74</w:t>
            </w:r>
          </w:p>
        </w:tc>
      </w:tr>
      <w:tr w:rsidR="00A325C8" w:rsidRPr="00691ABD" w14:paraId="036A1F18" w14:textId="77777777" w:rsidTr="00691ABD">
        <w:trPr>
          <w:trHeight w:val="194"/>
        </w:trPr>
        <w:tc>
          <w:tcPr>
            <w:tcW w:w="3828" w:type="dxa"/>
            <w:tcBorders>
              <w:top w:val="nil"/>
              <w:left w:val="single" w:sz="4" w:space="0" w:color="auto"/>
              <w:bottom w:val="single" w:sz="4" w:space="0" w:color="auto"/>
              <w:right w:val="single" w:sz="4" w:space="0" w:color="auto"/>
            </w:tcBorders>
            <w:shd w:val="clear" w:color="auto" w:fill="auto"/>
            <w:noWrap/>
            <w:hideMark/>
          </w:tcPr>
          <w:p w14:paraId="260D52DD" w14:textId="77777777" w:rsidR="00A325C8" w:rsidRPr="00691ABD" w:rsidRDefault="00A325C8" w:rsidP="001E39EE">
            <w:pPr>
              <w:jc w:val="left"/>
              <w:rPr>
                <w:sz w:val="20"/>
                <w:szCs w:val="20"/>
                <w:lang w:val="fr-CA" w:eastAsia="en-CA"/>
              </w:rPr>
            </w:pPr>
            <w:r w:rsidRPr="00691ABD">
              <w:rPr>
                <w:sz w:val="20"/>
                <w:szCs w:val="20"/>
                <w:lang w:val="fr-CA" w:eastAsia="en-CA"/>
              </w:rPr>
              <w:t>Ghana</w:t>
            </w:r>
          </w:p>
        </w:tc>
        <w:tc>
          <w:tcPr>
            <w:tcW w:w="1295" w:type="dxa"/>
            <w:tcBorders>
              <w:top w:val="nil"/>
              <w:left w:val="nil"/>
              <w:bottom w:val="single" w:sz="4" w:space="0" w:color="auto"/>
              <w:right w:val="single" w:sz="4" w:space="0" w:color="auto"/>
            </w:tcBorders>
            <w:shd w:val="clear" w:color="auto" w:fill="auto"/>
            <w:noWrap/>
            <w:hideMark/>
          </w:tcPr>
          <w:p w14:paraId="6830A5B9" w14:textId="77777777" w:rsidR="00A325C8" w:rsidRPr="00691ABD" w:rsidRDefault="00A325C8" w:rsidP="001E39EE">
            <w:pPr>
              <w:jc w:val="right"/>
              <w:rPr>
                <w:sz w:val="20"/>
                <w:szCs w:val="20"/>
                <w:lang w:val="fr-CA" w:eastAsia="en-CA"/>
              </w:rPr>
            </w:pPr>
            <w:r w:rsidRPr="00691ABD">
              <w:rPr>
                <w:sz w:val="20"/>
                <w:szCs w:val="20"/>
                <w:lang w:val="fr-CA" w:eastAsia="en-CA"/>
              </w:rPr>
              <w:t>26</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2D52A850"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356</w:t>
            </w:r>
            <w:r>
              <w:rPr>
                <w:sz w:val="20"/>
                <w:szCs w:val="20"/>
                <w:lang w:val="fr-CA" w:eastAsia="en-CA"/>
              </w:rPr>
              <w:t xml:space="preserve"> </w:t>
            </w:r>
            <w:r w:rsidRPr="00691ABD">
              <w:rPr>
                <w:sz w:val="20"/>
                <w:szCs w:val="20"/>
                <w:lang w:val="fr-CA" w:eastAsia="en-CA"/>
              </w:rPr>
              <w:t>311</w:t>
            </w:r>
          </w:p>
        </w:tc>
        <w:tc>
          <w:tcPr>
            <w:tcW w:w="1276" w:type="dxa"/>
            <w:tcBorders>
              <w:top w:val="nil"/>
              <w:left w:val="nil"/>
              <w:bottom w:val="single" w:sz="4" w:space="0" w:color="auto"/>
              <w:right w:val="single" w:sz="4" w:space="0" w:color="auto"/>
            </w:tcBorders>
            <w:shd w:val="clear" w:color="auto" w:fill="auto"/>
            <w:noWrap/>
            <w:hideMark/>
          </w:tcPr>
          <w:p w14:paraId="570FD370"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180</w:t>
            </w:r>
            <w:r>
              <w:rPr>
                <w:sz w:val="20"/>
                <w:szCs w:val="20"/>
                <w:lang w:val="fr-CA" w:eastAsia="en-CA"/>
              </w:rPr>
              <w:t xml:space="preserve"> </w:t>
            </w:r>
            <w:r w:rsidRPr="00691ABD">
              <w:rPr>
                <w:sz w:val="20"/>
                <w:szCs w:val="20"/>
                <w:lang w:val="fr-CA" w:eastAsia="en-CA"/>
              </w:rPr>
              <w:t>952</w:t>
            </w:r>
          </w:p>
        </w:tc>
        <w:tc>
          <w:tcPr>
            <w:tcW w:w="1250" w:type="dxa"/>
            <w:tcBorders>
              <w:top w:val="nil"/>
              <w:left w:val="nil"/>
              <w:bottom w:val="single" w:sz="4" w:space="0" w:color="auto"/>
              <w:right w:val="single" w:sz="4" w:space="0" w:color="auto"/>
            </w:tcBorders>
            <w:shd w:val="clear" w:color="auto" w:fill="auto"/>
            <w:noWrap/>
            <w:hideMark/>
          </w:tcPr>
          <w:p w14:paraId="152F4961" w14:textId="77777777" w:rsidR="00A325C8" w:rsidRPr="00691ABD" w:rsidRDefault="00A325C8" w:rsidP="001E39EE">
            <w:pPr>
              <w:jc w:val="right"/>
              <w:rPr>
                <w:sz w:val="20"/>
                <w:szCs w:val="20"/>
                <w:lang w:val="fr-CA" w:eastAsia="en-CA"/>
              </w:rPr>
            </w:pPr>
            <w:r w:rsidRPr="00691ABD">
              <w:rPr>
                <w:sz w:val="20"/>
                <w:szCs w:val="20"/>
                <w:lang w:val="fr-CA" w:eastAsia="en-CA"/>
              </w:rPr>
              <w:t>175</w:t>
            </w:r>
            <w:r>
              <w:rPr>
                <w:sz w:val="20"/>
                <w:szCs w:val="20"/>
                <w:lang w:val="fr-CA" w:eastAsia="en-CA"/>
              </w:rPr>
              <w:t xml:space="preserve"> </w:t>
            </w:r>
            <w:r w:rsidRPr="00691ABD">
              <w:rPr>
                <w:sz w:val="20"/>
                <w:szCs w:val="20"/>
                <w:lang w:val="fr-CA" w:eastAsia="en-CA"/>
              </w:rPr>
              <w:t>359</w:t>
            </w:r>
          </w:p>
        </w:tc>
        <w:tc>
          <w:tcPr>
            <w:tcW w:w="1050" w:type="dxa"/>
            <w:tcBorders>
              <w:top w:val="nil"/>
              <w:left w:val="nil"/>
              <w:bottom w:val="single" w:sz="4" w:space="0" w:color="auto"/>
              <w:right w:val="single" w:sz="4" w:space="0" w:color="auto"/>
            </w:tcBorders>
            <w:shd w:val="clear" w:color="auto" w:fill="auto"/>
            <w:noWrap/>
            <w:hideMark/>
          </w:tcPr>
          <w:p w14:paraId="521ED1F9" w14:textId="77777777" w:rsidR="00A325C8" w:rsidRPr="00691ABD" w:rsidRDefault="00A325C8" w:rsidP="001E39EE">
            <w:pPr>
              <w:jc w:val="right"/>
              <w:rPr>
                <w:sz w:val="20"/>
                <w:szCs w:val="20"/>
                <w:lang w:val="fr-CA" w:eastAsia="en-CA"/>
              </w:rPr>
            </w:pPr>
            <w:r w:rsidRPr="00691ABD">
              <w:rPr>
                <w:sz w:val="20"/>
                <w:szCs w:val="20"/>
                <w:lang w:val="fr-CA" w:eastAsia="en-CA"/>
              </w:rPr>
              <w:t>87</w:t>
            </w:r>
          </w:p>
        </w:tc>
      </w:tr>
      <w:tr w:rsidR="00A325C8" w:rsidRPr="00691ABD" w14:paraId="174AF3DD" w14:textId="77777777" w:rsidTr="00691ABD">
        <w:trPr>
          <w:trHeight w:val="99"/>
        </w:trPr>
        <w:tc>
          <w:tcPr>
            <w:tcW w:w="3828" w:type="dxa"/>
            <w:tcBorders>
              <w:top w:val="nil"/>
              <w:left w:val="single" w:sz="4" w:space="0" w:color="auto"/>
              <w:bottom w:val="single" w:sz="4" w:space="0" w:color="auto"/>
              <w:right w:val="single" w:sz="4" w:space="0" w:color="auto"/>
            </w:tcBorders>
            <w:shd w:val="clear" w:color="auto" w:fill="auto"/>
            <w:noWrap/>
            <w:hideMark/>
          </w:tcPr>
          <w:p w14:paraId="193782D6" w14:textId="77777777" w:rsidR="00A325C8" w:rsidRPr="00691ABD" w:rsidRDefault="00A325C8" w:rsidP="001E39EE">
            <w:pPr>
              <w:jc w:val="left"/>
              <w:rPr>
                <w:sz w:val="20"/>
                <w:szCs w:val="20"/>
                <w:lang w:val="fr-CA" w:eastAsia="en-CA"/>
              </w:rPr>
            </w:pPr>
            <w:r>
              <w:rPr>
                <w:sz w:val="20"/>
                <w:szCs w:val="20"/>
                <w:lang w:val="fr-CA" w:eastAsia="en-CA"/>
              </w:rPr>
              <w:t>Grenade</w:t>
            </w:r>
          </w:p>
        </w:tc>
        <w:tc>
          <w:tcPr>
            <w:tcW w:w="1295" w:type="dxa"/>
            <w:tcBorders>
              <w:top w:val="nil"/>
              <w:left w:val="nil"/>
              <w:bottom w:val="single" w:sz="4" w:space="0" w:color="auto"/>
              <w:right w:val="single" w:sz="4" w:space="0" w:color="auto"/>
            </w:tcBorders>
            <w:shd w:val="clear" w:color="auto" w:fill="auto"/>
            <w:noWrap/>
            <w:hideMark/>
          </w:tcPr>
          <w:p w14:paraId="01A2F82E"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6417A52C" w14:textId="77777777" w:rsidR="00A325C8" w:rsidRPr="00691ABD" w:rsidRDefault="00A325C8" w:rsidP="001E39EE">
            <w:pPr>
              <w:jc w:val="right"/>
              <w:rPr>
                <w:sz w:val="20"/>
                <w:szCs w:val="20"/>
                <w:lang w:val="fr-CA" w:eastAsia="en-CA"/>
              </w:rPr>
            </w:pPr>
            <w:r w:rsidRPr="00691ABD">
              <w:rPr>
                <w:sz w:val="20"/>
                <w:szCs w:val="20"/>
                <w:lang w:val="fr-CA" w:eastAsia="en-CA"/>
              </w:rPr>
              <w:t>189</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7A28661E" w14:textId="77777777" w:rsidR="00A325C8" w:rsidRPr="00691ABD" w:rsidRDefault="00A325C8" w:rsidP="001E39EE">
            <w:pPr>
              <w:jc w:val="right"/>
              <w:rPr>
                <w:sz w:val="20"/>
                <w:szCs w:val="20"/>
                <w:lang w:val="fr-CA" w:eastAsia="en-CA"/>
              </w:rPr>
            </w:pPr>
            <w:r w:rsidRPr="00691ABD">
              <w:rPr>
                <w:sz w:val="20"/>
                <w:szCs w:val="20"/>
                <w:lang w:val="fr-CA" w:eastAsia="en-CA"/>
              </w:rPr>
              <w:t>174</w:t>
            </w:r>
            <w:r>
              <w:rPr>
                <w:sz w:val="20"/>
                <w:szCs w:val="20"/>
                <w:lang w:val="fr-CA" w:eastAsia="en-CA"/>
              </w:rPr>
              <w:t xml:space="preserve"> </w:t>
            </w:r>
            <w:r w:rsidRPr="00691ABD">
              <w:rPr>
                <w:sz w:val="20"/>
                <w:szCs w:val="20"/>
                <w:lang w:val="fr-CA" w:eastAsia="en-CA"/>
              </w:rPr>
              <w:t>389</w:t>
            </w:r>
          </w:p>
        </w:tc>
        <w:tc>
          <w:tcPr>
            <w:tcW w:w="1250" w:type="dxa"/>
            <w:tcBorders>
              <w:top w:val="nil"/>
              <w:left w:val="nil"/>
              <w:bottom w:val="single" w:sz="4" w:space="0" w:color="auto"/>
              <w:right w:val="single" w:sz="4" w:space="0" w:color="auto"/>
            </w:tcBorders>
            <w:shd w:val="clear" w:color="auto" w:fill="auto"/>
            <w:noWrap/>
            <w:hideMark/>
          </w:tcPr>
          <w:p w14:paraId="7AE29018" w14:textId="77777777" w:rsidR="00A325C8" w:rsidRPr="00691ABD" w:rsidRDefault="00A325C8" w:rsidP="001E39EE">
            <w:pPr>
              <w:jc w:val="right"/>
              <w:rPr>
                <w:sz w:val="20"/>
                <w:szCs w:val="20"/>
                <w:lang w:val="fr-CA" w:eastAsia="en-CA"/>
              </w:rPr>
            </w:pPr>
            <w:r w:rsidRPr="00691ABD">
              <w:rPr>
                <w:sz w:val="20"/>
                <w:szCs w:val="20"/>
                <w:lang w:val="fr-CA" w:eastAsia="en-CA"/>
              </w:rPr>
              <w:t>14</w:t>
            </w:r>
            <w:r>
              <w:rPr>
                <w:sz w:val="20"/>
                <w:szCs w:val="20"/>
                <w:lang w:val="fr-CA" w:eastAsia="en-CA"/>
              </w:rPr>
              <w:t xml:space="preserve"> </w:t>
            </w:r>
            <w:r w:rsidRPr="00691ABD">
              <w:rPr>
                <w:sz w:val="20"/>
                <w:szCs w:val="20"/>
                <w:lang w:val="fr-CA" w:eastAsia="en-CA"/>
              </w:rPr>
              <w:t>611</w:t>
            </w:r>
          </w:p>
        </w:tc>
        <w:tc>
          <w:tcPr>
            <w:tcW w:w="1050" w:type="dxa"/>
            <w:tcBorders>
              <w:top w:val="nil"/>
              <w:left w:val="nil"/>
              <w:bottom w:val="single" w:sz="4" w:space="0" w:color="auto"/>
              <w:right w:val="single" w:sz="4" w:space="0" w:color="auto"/>
            </w:tcBorders>
            <w:shd w:val="clear" w:color="auto" w:fill="auto"/>
            <w:noWrap/>
            <w:hideMark/>
          </w:tcPr>
          <w:p w14:paraId="60BEEB04" w14:textId="77777777" w:rsidR="00A325C8" w:rsidRPr="00691ABD" w:rsidRDefault="00A325C8" w:rsidP="001E39EE">
            <w:pPr>
              <w:jc w:val="right"/>
              <w:rPr>
                <w:sz w:val="20"/>
                <w:szCs w:val="20"/>
                <w:lang w:val="fr-CA" w:eastAsia="en-CA"/>
              </w:rPr>
            </w:pPr>
            <w:r w:rsidRPr="00691ABD">
              <w:rPr>
                <w:sz w:val="20"/>
                <w:szCs w:val="20"/>
                <w:lang w:val="fr-CA" w:eastAsia="en-CA"/>
              </w:rPr>
              <w:t>92</w:t>
            </w:r>
          </w:p>
        </w:tc>
      </w:tr>
      <w:tr w:rsidR="00A325C8" w:rsidRPr="00691ABD" w14:paraId="5DE7301B"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17A1EFB" w14:textId="77777777" w:rsidR="00A325C8" w:rsidRPr="00691ABD" w:rsidRDefault="00A325C8" w:rsidP="001E39EE">
            <w:pPr>
              <w:jc w:val="left"/>
              <w:rPr>
                <w:sz w:val="20"/>
                <w:szCs w:val="20"/>
                <w:lang w:val="fr-CA" w:eastAsia="en-CA"/>
              </w:rPr>
            </w:pPr>
            <w:r w:rsidRPr="00691ABD">
              <w:rPr>
                <w:sz w:val="20"/>
                <w:szCs w:val="20"/>
                <w:lang w:val="fr-CA" w:eastAsia="en-CA"/>
              </w:rPr>
              <w:t>Guatemala</w:t>
            </w:r>
          </w:p>
        </w:tc>
        <w:tc>
          <w:tcPr>
            <w:tcW w:w="1295" w:type="dxa"/>
            <w:tcBorders>
              <w:top w:val="nil"/>
              <w:left w:val="nil"/>
              <w:bottom w:val="single" w:sz="4" w:space="0" w:color="auto"/>
              <w:right w:val="single" w:sz="4" w:space="0" w:color="auto"/>
            </w:tcBorders>
            <w:shd w:val="clear" w:color="auto" w:fill="auto"/>
            <w:noWrap/>
            <w:hideMark/>
          </w:tcPr>
          <w:p w14:paraId="350357C7"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5C4B49E7" w14:textId="77777777" w:rsidR="00A325C8" w:rsidRPr="00691ABD" w:rsidRDefault="00A325C8" w:rsidP="001E39EE">
            <w:pPr>
              <w:jc w:val="right"/>
              <w:rPr>
                <w:sz w:val="20"/>
                <w:szCs w:val="20"/>
                <w:lang w:val="fr-CA" w:eastAsia="en-CA"/>
              </w:rPr>
            </w:pPr>
            <w:r w:rsidRPr="00691ABD">
              <w:rPr>
                <w:sz w:val="20"/>
                <w:szCs w:val="20"/>
                <w:lang w:val="fr-CA" w:eastAsia="en-CA"/>
              </w:rPr>
              <w:t>597</w:t>
            </w:r>
            <w:r>
              <w:rPr>
                <w:sz w:val="20"/>
                <w:szCs w:val="20"/>
                <w:lang w:val="fr-CA" w:eastAsia="en-CA"/>
              </w:rPr>
              <w:t xml:space="preserve"> </w:t>
            </w:r>
            <w:r w:rsidRPr="00691ABD">
              <w:rPr>
                <w:sz w:val="20"/>
                <w:szCs w:val="20"/>
                <w:lang w:val="fr-CA" w:eastAsia="en-CA"/>
              </w:rPr>
              <w:t>663</w:t>
            </w:r>
          </w:p>
        </w:tc>
        <w:tc>
          <w:tcPr>
            <w:tcW w:w="1276" w:type="dxa"/>
            <w:tcBorders>
              <w:top w:val="nil"/>
              <w:left w:val="nil"/>
              <w:bottom w:val="single" w:sz="4" w:space="0" w:color="auto"/>
              <w:right w:val="single" w:sz="4" w:space="0" w:color="auto"/>
            </w:tcBorders>
            <w:shd w:val="clear" w:color="auto" w:fill="auto"/>
            <w:noWrap/>
            <w:hideMark/>
          </w:tcPr>
          <w:p w14:paraId="4F5F103D" w14:textId="77777777" w:rsidR="00A325C8" w:rsidRPr="00691ABD" w:rsidRDefault="00A325C8" w:rsidP="001E39EE">
            <w:pPr>
              <w:jc w:val="right"/>
              <w:rPr>
                <w:sz w:val="20"/>
                <w:szCs w:val="20"/>
                <w:lang w:val="fr-CA" w:eastAsia="en-CA"/>
              </w:rPr>
            </w:pPr>
            <w:r w:rsidRPr="00691ABD">
              <w:rPr>
                <w:sz w:val="20"/>
                <w:szCs w:val="20"/>
                <w:lang w:val="fr-CA" w:eastAsia="en-CA"/>
              </w:rPr>
              <w:t>366</w:t>
            </w:r>
            <w:r>
              <w:rPr>
                <w:sz w:val="20"/>
                <w:szCs w:val="20"/>
                <w:lang w:val="fr-CA" w:eastAsia="en-CA"/>
              </w:rPr>
              <w:t xml:space="preserve"> </w:t>
            </w:r>
            <w:r w:rsidRPr="00691ABD">
              <w:rPr>
                <w:sz w:val="20"/>
                <w:szCs w:val="20"/>
                <w:lang w:val="fr-CA" w:eastAsia="en-CA"/>
              </w:rPr>
              <w:t>544</w:t>
            </w:r>
          </w:p>
        </w:tc>
        <w:tc>
          <w:tcPr>
            <w:tcW w:w="1250" w:type="dxa"/>
            <w:tcBorders>
              <w:top w:val="nil"/>
              <w:left w:val="nil"/>
              <w:bottom w:val="single" w:sz="4" w:space="0" w:color="auto"/>
              <w:right w:val="single" w:sz="4" w:space="0" w:color="auto"/>
            </w:tcBorders>
            <w:shd w:val="clear" w:color="auto" w:fill="auto"/>
            <w:noWrap/>
            <w:hideMark/>
          </w:tcPr>
          <w:p w14:paraId="0CFECE87" w14:textId="77777777" w:rsidR="00A325C8" w:rsidRPr="00691ABD" w:rsidRDefault="00A325C8" w:rsidP="001E39EE">
            <w:pPr>
              <w:jc w:val="right"/>
              <w:rPr>
                <w:sz w:val="20"/>
                <w:szCs w:val="20"/>
                <w:lang w:val="fr-CA" w:eastAsia="en-CA"/>
              </w:rPr>
            </w:pPr>
            <w:r w:rsidRPr="00691ABD">
              <w:rPr>
                <w:sz w:val="20"/>
                <w:szCs w:val="20"/>
                <w:lang w:val="fr-CA" w:eastAsia="en-CA"/>
              </w:rPr>
              <w:t>231</w:t>
            </w:r>
            <w:r>
              <w:rPr>
                <w:sz w:val="20"/>
                <w:szCs w:val="20"/>
                <w:lang w:val="fr-CA" w:eastAsia="en-CA"/>
              </w:rPr>
              <w:t xml:space="preserve"> </w:t>
            </w:r>
            <w:r w:rsidRPr="00691ABD">
              <w:rPr>
                <w:sz w:val="20"/>
                <w:szCs w:val="20"/>
                <w:lang w:val="fr-CA" w:eastAsia="en-CA"/>
              </w:rPr>
              <w:t>119</w:t>
            </w:r>
          </w:p>
        </w:tc>
        <w:tc>
          <w:tcPr>
            <w:tcW w:w="1050" w:type="dxa"/>
            <w:tcBorders>
              <w:top w:val="nil"/>
              <w:left w:val="nil"/>
              <w:bottom w:val="single" w:sz="4" w:space="0" w:color="auto"/>
              <w:right w:val="single" w:sz="4" w:space="0" w:color="auto"/>
            </w:tcBorders>
            <w:shd w:val="clear" w:color="auto" w:fill="auto"/>
            <w:noWrap/>
            <w:hideMark/>
          </w:tcPr>
          <w:p w14:paraId="2645C6C5" w14:textId="77777777" w:rsidR="00A325C8" w:rsidRPr="00691ABD" w:rsidRDefault="00A325C8" w:rsidP="001E39EE">
            <w:pPr>
              <w:jc w:val="right"/>
              <w:rPr>
                <w:sz w:val="20"/>
                <w:szCs w:val="20"/>
                <w:lang w:val="fr-CA" w:eastAsia="en-CA"/>
              </w:rPr>
            </w:pPr>
            <w:r w:rsidRPr="00691ABD">
              <w:rPr>
                <w:sz w:val="20"/>
                <w:szCs w:val="20"/>
                <w:lang w:val="fr-CA" w:eastAsia="en-CA"/>
              </w:rPr>
              <w:t>61</w:t>
            </w:r>
          </w:p>
        </w:tc>
      </w:tr>
      <w:tr w:rsidR="00A325C8" w:rsidRPr="00691ABD" w14:paraId="294DFA4D"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92D7306" w14:textId="77777777" w:rsidR="00A325C8" w:rsidRPr="00691ABD" w:rsidRDefault="00A325C8" w:rsidP="001E39EE">
            <w:pPr>
              <w:jc w:val="left"/>
              <w:rPr>
                <w:sz w:val="20"/>
                <w:szCs w:val="20"/>
                <w:lang w:val="fr-CA" w:eastAsia="en-CA"/>
              </w:rPr>
            </w:pPr>
            <w:r>
              <w:rPr>
                <w:sz w:val="20"/>
                <w:szCs w:val="20"/>
                <w:lang w:val="fr-CA" w:eastAsia="en-CA"/>
              </w:rPr>
              <w:t>Guinée</w:t>
            </w:r>
          </w:p>
        </w:tc>
        <w:tc>
          <w:tcPr>
            <w:tcW w:w="1295" w:type="dxa"/>
            <w:tcBorders>
              <w:top w:val="nil"/>
              <w:left w:val="nil"/>
              <w:bottom w:val="single" w:sz="4" w:space="0" w:color="auto"/>
              <w:right w:val="single" w:sz="4" w:space="0" w:color="auto"/>
            </w:tcBorders>
            <w:shd w:val="clear" w:color="auto" w:fill="auto"/>
            <w:noWrap/>
            <w:hideMark/>
          </w:tcPr>
          <w:p w14:paraId="2FA26048"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03547F5B" w14:textId="77777777" w:rsidR="00A325C8" w:rsidRPr="00691ABD" w:rsidRDefault="00A325C8" w:rsidP="001E39EE">
            <w:pPr>
              <w:jc w:val="right"/>
              <w:rPr>
                <w:sz w:val="20"/>
                <w:szCs w:val="20"/>
                <w:lang w:val="fr-CA" w:eastAsia="en-CA"/>
              </w:rPr>
            </w:pPr>
            <w:r w:rsidRPr="00691ABD">
              <w:rPr>
                <w:sz w:val="20"/>
                <w:szCs w:val="20"/>
                <w:lang w:val="fr-CA" w:eastAsia="en-CA"/>
              </w:rPr>
              <w:t>523</w:t>
            </w:r>
            <w:r>
              <w:rPr>
                <w:sz w:val="20"/>
                <w:szCs w:val="20"/>
                <w:lang w:val="fr-CA" w:eastAsia="en-CA"/>
              </w:rPr>
              <w:t xml:space="preserve"> </w:t>
            </w:r>
            <w:r w:rsidRPr="00691ABD">
              <w:rPr>
                <w:sz w:val="20"/>
                <w:szCs w:val="20"/>
                <w:lang w:val="fr-CA" w:eastAsia="en-CA"/>
              </w:rPr>
              <w:t>053</w:t>
            </w:r>
          </w:p>
        </w:tc>
        <w:tc>
          <w:tcPr>
            <w:tcW w:w="1276" w:type="dxa"/>
            <w:tcBorders>
              <w:top w:val="nil"/>
              <w:left w:val="nil"/>
              <w:bottom w:val="single" w:sz="4" w:space="0" w:color="auto"/>
              <w:right w:val="single" w:sz="4" w:space="0" w:color="auto"/>
            </w:tcBorders>
            <w:shd w:val="clear" w:color="auto" w:fill="auto"/>
            <w:noWrap/>
            <w:hideMark/>
          </w:tcPr>
          <w:p w14:paraId="5BA66753" w14:textId="77777777" w:rsidR="00A325C8" w:rsidRPr="00691ABD" w:rsidRDefault="00A325C8" w:rsidP="001E39EE">
            <w:pPr>
              <w:jc w:val="right"/>
              <w:rPr>
                <w:sz w:val="20"/>
                <w:szCs w:val="20"/>
                <w:lang w:val="fr-CA" w:eastAsia="en-CA"/>
              </w:rPr>
            </w:pPr>
            <w:r w:rsidRPr="00691ABD">
              <w:rPr>
                <w:sz w:val="20"/>
                <w:szCs w:val="20"/>
                <w:lang w:val="fr-CA" w:eastAsia="en-CA"/>
              </w:rPr>
              <w:t>298</w:t>
            </w:r>
            <w:r>
              <w:rPr>
                <w:sz w:val="20"/>
                <w:szCs w:val="20"/>
                <w:lang w:val="fr-CA" w:eastAsia="en-CA"/>
              </w:rPr>
              <w:t xml:space="preserve"> </w:t>
            </w:r>
            <w:r w:rsidRPr="00691ABD">
              <w:rPr>
                <w:sz w:val="20"/>
                <w:szCs w:val="20"/>
                <w:lang w:val="fr-CA" w:eastAsia="en-CA"/>
              </w:rPr>
              <w:t>053</w:t>
            </w:r>
          </w:p>
        </w:tc>
        <w:tc>
          <w:tcPr>
            <w:tcW w:w="1250" w:type="dxa"/>
            <w:tcBorders>
              <w:top w:val="nil"/>
              <w:left w:val="nil"/>
              <w:bottom w:val="single" w:sz="4" w:space="0" w:color="auto"/>
              <w:right w:val="single" w:sz="4" w:space="0" w:color="auto"/>
            </w:tcBorders>
            <w:shd w:val="clear" w:color="auto" w:fill="auto"/>
            <w:noWrap/>
            <w:hideMark/>
          </w:tcPr>
          <w:p w14:paraId="19D6CDDF" w14:textId="77777777" w:rsidR="00A325C8" w:rsidRPr="00691ABD" w:rsidRDefault="00A325C8" w:rsidP="001E39EE">
            <w:pPr>
              <w:jc w:val="right"/>
              <w:rPr>
                <w:sz w:val="20"/>
                <w:szCs w:val="20"/>
                <w:lang w:val="fr-CA" w:eastAsia="en-CA"/>
              </w:rPr>
            </w:pPr>
            <w:r w:rsidRPr="00691ABD">
              <w:rPr>
                <w:sz w:val="20"/>
                <w:szCs w:val="20"/>
                <w:lang w:val="fr-CA" w:eastAsia="en-CA"/>
              </w:rPr>
              <w:t>225</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60A4B203" w14:textId="77777777" w:rsidR="00A325C8" w:rsidRPr="00691ABD" w:rsidRDefault="00A325C8" w:rsidP="001E39EE">
            <w:pPr>
              <w:jc w:val="right"/>
              <w:rPr>
                <w:sz w:val="20"/>
                <w:szCs w:val="20"/>
                <w:lang w:val="fr-CA" w:eastAsia="en-CA"/>
              </w:rPr>
            </w:pPr>
            <w:r w:rsidRPr="00691ABD">
              <w:rPr>
                <w:sz w:val="20"/>
                <w:szCs w:val="20"/>
                <w:lang w:val="fr-CA" w:eastAsia="en-CA"/>
              </w:rPr>
              <w:t>57</w:t>
            </w:r>
          </w:p>
        </w:tc>
      </w:tr>
      <w:tr w:rsidR="00A325C8" w:rsidRPr="00691ABD" w14:paraId="134A4679"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F883450" w14:textId="77777777" w:rsidR="00A325C8" w:rsidRPr="00691ABD" w:rsidRDefault="00A325C8" w:rsidP="001E39EE">
            <w:pPr>
              <w:jc w:val="left"/>
              <w:rPr>
                <w:sz w:val="20"/>
                <w:szCs w:val="20"/>
                <w:lang w:val="fr-CA" w:eastAsia="en-CA"/>
              </w:rPr>
            </w:pPr>
            <w:r>
              <w:rPr>
                <w:sz w:val="20"/>
                <w:szCs w:val="20"/>
                <w:lang w:val="fr-CA" w:eastAsia="en-CA"/>
              </w:rPr>
              <w:t>Guinée équatoriale</w:t>
            </w:r>
          </w:p>
        </w:tc>
        <w:tc>
          <w:tcPr>
            <w:tcW w:w="1295" w:type="dxa"/>
            <w:tcBorders>
              <w:top w:val="nil"/>
              <w:left w:val="nil"/>
              <w:bottom w:val="single" w:sz="4" w:space="0" w:color="auto"/>
              <w:right w:val="single" w:sz="4" w:space="0" w:color="auto"/>
            </w:tcBorders>
            <w:shd w:val="clear" w:color="auto" w:fill="auto"/>
            <w:noWrap/>
            <w:hideMark/>
          </w:tcPr>
          <w:p w14:paraId="174BC0D3"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9</w:t>
            </w:r>
          </w:p>
        </w:tc>
        <w:tc>
          <w:tcPr>
            <w:tcW w:w="1275" w:type="dxa"/>
            <w:tcBorders>
              <w:top w:val="nil"/>
              <w:left w:val="nil"/>
              <w:bottom w:val="single" w:sz="4" w:space="0" w:color="auto"/>
              <w:right w:val="single" w:sz="4" w:space="0" w:color="auto"/>
            </w:tcBorders>
            <w:shd w:val="clear" w:color="auto" w:fill="auto"/>
            <w:noWrap/>
            <w:hideMark/>
          </w:tcPr>
          <w:p w14:paraId="5031175F" w14:textId="77777777" w:rsidR="00A325C8" w:rsidRPr="00691ABD" w:rsidRDefault="00A325C8" w:rsidP="001E39EE">
            <w:pPr>
              <w:jc w:val="right"/>
              <w:rPr>
                <w:sz w:val="20"/>
                <w:szCs w:val="20"/>
                <w:lang w:val="fr-CA" w:eastAsia="en-CA"/>
              </w:rPr>
            </w:pPr>
            <w:r w:rsidRPr="00691ABD">
              <w:rPr>
                <w:sz w:val="20"/>
                <w:szCs w:val="20"/>
                <w:lang w:val="fr-CA" w:eastAsia="en-CA"/>
              </w:rPr>
              <w:t>249</w:t>
            </w:r>
            <w:r>
              <w:rPr>
                <w:sz w:val="20"/>
                <w:szCs w:val="20"/>
                <w:lang w:val="fr-CA" w:eastAsia="en-CA"/>
              </w:rPr>
              <w:t xml:space="preserve"> </w:t>
            </w:r>
            <w:r w:rsidRPr="00691ABD">
              <w:rPr>
                <w:sz w:val="20"/>
                <w:szCs w:val="20"/>
                <w:lang w:val="fr-CA" w:eastAsia="en-CA"/>
              </w:rPr>
              <w:t>962</w:t>
            </w:r>
          </w:p>
        </w:tc>
        <w:tc>
          <w:tcPr>
            <w:tcW w:w="1276" w:type="dxa"/>
            <w:tcBorders>
              <w:top w:val="nil"/>
              <w:left w:val="nil"/>
              <w:bottom w:val="single" w:sz="4" w:space="0" w:color="auto"/>
              <w:right w:val="single" w:sz="4" w:space="0" w:color="auto"/>
            </w:tcBorders>
            <w:shd w:val="clear" w:color="auto" w:fill="auto"/>
            <w:noWrap/>
            <w:hideMark/>
          </w:tcPr>
          <w:p w14:paraId="065A849C" w14:textId="77777777" w:rsidR="00A325C8" w:rsidRPr="00691ABD" w:rsidRDefault="00A325C8" w:rsidP="001E39EE">
            <w:pPr>
              <w:jc w:val="right"/>
              <w:rPr>
                <w:sz w:val="20"/>
                <w:szCs w:val="20"/>
                <w:lang w:val="fr-CA" w:eastAsia="en-CA"/>
              </w:rPr>
            </w:pPr>
            <w:r w:rsidRPr="00691ABD">
              <w:rPr>
                <w:sz w:val="20"/>
                <w:szCs w:val="20"/>
                <w:lang w:val="fr-CA" w:eastAsia="en-CA"/>
              </w:rPr>
              <w:t>238</w:t>
            </w:r>
            <w:r>
              <w:rPr>
                <w:sz w:val="20"/>
                <w:szCs w:val="20"/>
                <w:lang w:val="fr-CA" w:eastAsia="en-CA"/>
              </w:rPr>
              <w:t xml:space="preserve"> </w:t>
            </w:r>
            <w:r w:rsidRPr="00691ABD">
              <w:rPr>
                <w:sz w:val="20"/>
                <w:szCs w:val="20"/>
                <w:lang w:val="fr-CA" w:eastAsia="en-CA"/>
              </w:rPr>
              <w:t>600</w:t>
            </w:r>
          </w:p>
        </w:tc>
        <w:tc>
          <w:tcPr>
            <w:tcW w:w="1250" w:type="dxa"/>
            <w:tcBorders>
              <w:top w:val="nil"/>
              <w:left w:val="nil"/>
              <w:bottom w:val="single" w:sz="4" w:space="0" w:color="auto"/>
              <w:right w:val="single" w:sz="4" w:space="0" w:color="auto"/>
            </w:tcBorders>
            <w:shd w:val="clear" w:color="auto" w:fill="auto"/>
            <w:noWrap/>
            <w:hideMark/>
          </w:tcPr>
          <w:p w14:paraId="599E1A21" w14:textId="77777777" w:rsidR="00A325C8" w:rsidRPr="00691ABD" w:rsidRDefault="00A325C8" w:rsidP="001E39EE">
            <w:pPr>
              <w:jc w:val="right"/>
              <w:rPr>
                <w:sz w:val="20"/>
                <w:szCs w:val="20"/>
                <w:lang w:val="fr-CA" w:eastAsia="en-CA"/>
              </w:rPr>
            </w:pPr>
            <w:r w:rsidRPr="00691ABD">
              <w:rPr>
                <w:sz w:val="20"/>
                <w:szCs w:val="20"/>
                <w:lang w:val="fr-CA" w:eastAsia="en-CA"/>
              </w:rPr>
              <w:t>11</w:t>
            </w:r>
            <w:r>
              <w:rPr>
                <w:sz w:val="20"/>
                <w:szCs w:val="20"/>
                <w:lang w:val="fr-CA" w:eastAsia="en-CA"/>
              </w:rPr>
              <w:t xml:space="preserve"> </w:t>
            </w:r>
            <w:r w:rsidRPr="00691ABD">
              <w:rPr>
                <w:sz w:val="20"/>
                <w:szCs w:val="20"/>
                <w:lang w:val="fr-CA" w:eastAsia="en-CA"/>
              </w:rPr>
              <w:t>361</w:t>
            </w:r>
          </w:p>
        </w:tc>
        <w:tc>
          <w:tcPr>
            <w:tcW w:w="1050" w:type="dxa"/>
            <w:tcBorders>
              <w:top w:val="nil"/>
              <w:left w:val="nil"/>
              <w:bottom w:val="single" w:sz="4" w:space="0" w:color="auto"/>
              <w:right w:val="single" w:sz="4" w:space="0" w:color="auto"/>
            </w:tcBorders>
            <w:shd w:val="clear" w:color="auto" w:fill="auto"/>
            <w:noWrap/>
            <w:hideMark/>
          </w:tcPr>
          <w:p w14:paraId="215D4C71" w14:textId="77777777" w:rsidR="00A325C8" w:rsidRPr="00691ABD" w:rsidRDefault="00A325C8" w:rsidP="001E39EE">
            <w:pPr>
              <w:jc w:val="right"/>
              <w:rPr>
                <w:sz w:val="20"/>
                <w:szCs w:val="20"/>
                <w:lang w:val="fr-CA" w:eastAsia="en-CA"/>
              </w:rPr>
            </w:pPr>
            <w:r w:rsidRPr="00691ABD">
              <w:rPr>
                <w:sz w:val="20"/>
                <w:szCs w:val="20"/>
                <w:lang w:val="fr-CA" w:eastAsia="en-CA"/>
              </w:rPr>
              <w:t>95</w:t>
            </w:r>
          </w:p>
        </w:tc>
      </w:tr>
      <w:tr w:rsidR="00A325C8" w:rsidRPr="00691ABD" w14:paraId="3D96FB39" w14:textId="77777777" w:rsidTr="00691ABD">
        <w:trPr>
          <w:trHeight w:val="81"/>
        </w:trPr>
        <w:tc>
          <w:tcPr>
            <w:tcW w:w="3828" w:type="dxa"/>
            <w:tcBorders>
              <w:top w:val="nil"/>
              <w:left w:val="single" w:sz="4" w:space="0" w:color="auto"/>
              <w:bottom w:val="single" w:sz="4" w:space="0" w:color="auto"/>
              <w:right w:val="single" w:sz="4" w:space="0" w:color="auto"/>
            </w:tcBorders>
            <w:shd w:val="clear" w:color="auto" w:fill="auto"/>
            <w:noWrap/>
            <w:hideMark/>
          </w:tcPr>
          <w:p w14:paraId="237E4502" w14:textId="77777777" w:rsidR="00A325C8" w:rsidRPr="00691ABD" w:rsidRDefault="00A325C8" w:rsidP="001E39EE">
            <w:pPr>
              <w:jc w:val="left"/>
              <w:rPr>
                <w:sz w:val="20"/>
                <w:szCs w:val="20"/>
                <w:lang w:val="fr-CA" w:eastAsia="en-CA"/>
              </w:rPr>
            </w:pPr>
            <w:r>
              <w:rPr>
                <w:sz w:val="20"/>
                <w:szCs w:val="20"/>
                <w:lang w:val="fr-CA" w:eastAsia="en-CA"/>
              </w:rPr>
              <w:t>Guinée</w:t>
            </w:r>
            <w:r w:rsidRPr="00691ABD">
              <w:rPr>
                <w:sz w:val="20"/>
                <w:szCs w:val="20"/>
                <w:lang w:val="fr-CA" w:eastAsia="en-CA"/>
              </w:rPr>
              <w:t>-Bissau</w:t>
            </w:r>
          </w:p>
        </w:tc>
        <w:tc>
          <w:tcPr>
            <w:tcW w:w="1295" w:type="dxa"/>
            <w:tcBorders>
              <w:top w:val="nil"/>
              <w:left w:val="nil"/>
              <w:bottom w:val="single" w:sz="4" w:space="0" w:color="auto"/>
              <w:right w:val="single" w:sz="4" w:space="0" w:color="auto"/>
            </w:tcBorders>
            <w:shd w:val="clear" w:color="auto" w:fill="auto"/>
            <w:noWrap/>
            <w:hideMark/>
          </w:tcPr>
          <w:p w14:paraId="3E2A2848"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725821BA" w14:textId="77777777" w:rsidR="00A325C8" w:rsidRPr="00691ABD" w:rsidRDefault="00A325C8" w:rsidP="001E39EE">
            <w:pPr>
              <w:jc w:val="right"/>
              <w:rPr>
                <w:sz w:val="20"/>
                <w:szCs w:val="20"/>
                <w:lang w:val="fr-CA" w:eastAsia="en-CA"/>
              </w:rPr>
            </w:pPr>
            <w:r w:rsidRPr="00691ABD">
              <w:rPr>
                <w:sz w:val="20"/>
                <w:szCs w:val="20"/>
                <w:lang w:val="fr-CA" w:eastAsia="en-CA"/>
              </w:rPr>
              <w:t>278</w:t>
            </w:r>
            <w:r>
              <w:rPr>
                <w:sz w:val="20"/>
                <w:szCs w:val="20"/>
                <w:lang w:val="fr-CA" w:eastAsia="en-CA"/>
              </w:rPr>
              <w:t xml:space="preserve"> </w:t>
            </w:r>
            <w:r w:rsidRPr="00691ABD">
              <w:rPr>
                <w:sz w:val="20"/>
                <w:szCs w:val="20"/>
                <w:lang w:val="fr-CA" w:eastAsia="en-CA"/>
              </w:rPr>
              <w:t>999</w:t>
            </w:r>
          </w:p>
        </w:tc>
        <w:tc>
          <w:tcPr>
            <w:tcW w:w="1276" w:type="dxa"/>
            <w:tcBorders>
              <w:top w:val="nil"/>
              <w:left w:val="nil"/>
              <w:bottom w:val="single" w:sz="4" w:space="0" w:color="auto"/>
              <w:right w:val="single" w:sz="4" w:space="0" w:color="auto"/>
            </w:tcBorders>
            <w:shd w:val="clear" w:color="auto" w:fill="auto"/>
            <w:noWrap/>
            <w:hideMark/>
          </w:tcPr>
          <w:p w14:paraId="3A12D907" w14:textId="77777777" w:rsidR="00A325C8" w:rsidRPr="00691ABD" w:rsidRDefault="00A325C8" w:rsidP="001E39EE">
            <w:pPr>
              <w:jc w:val="right"/>
              <w:rPr>
                <w:sz w:val="20"/>
                <w:szCs w:val="20"/>
                <w:lang w:val="fr-CA" w:eastAsia="en-CA"/>
              </w:rPr>
            </w:pPr>
            <w:r w:rsidRPr="00691ABD">
              <w:rPr>
                <w:sz w:val="20"/>
                <w:szCs w:val="20"/>
                <w:lang w:val="fr-CA" w:eastAsia="en-CA"/>
              </w:rPr>
              <w:t>221</w:t>
            </w:r>
            <w:r>
              <w:rPr>
                <w:sz w:val="20"/>
                <w:szCs w:val="20"/>
                <w:lang w:val="fr-CA" w:eastAsia="en-CA"/>
              </w:rPr>
              <w:t xml:space="preserve"> </w:t>
            </w:r>
            <w:r w:rsidRPr="00691ABD">
              <w:rPr>
                <w:sz w:val="20"/>
                <w:szCs w:val="20"/>
                <w:lang w:val="fr-CA" w:eastAsia="en-CA"/>
              </w:rPr>
              <w:t>035</w:t>
            </w:r>
          </w:p>
        </w:tc>
        <w:tc>
          <w:tcPr>
            <w:tcW w:w="1250" w:type="dxa"/>
            <w:tcBorders>
              <w:top w:val="nil"/>
              <w:left w:val="nil"/>
              <w:bottom w:val="single" w:sz="4" w:space="0" w:color="auto"/>
              <w:right w:val="single" w:sz="4" w:space="0" w:color="auto"/>
            </w:tcBorders>
            <w:shd w:val="clear" w:color="auto" w:fill="auto"/>
            <w:noWrap/>
            <w:hideMark/>
          </w:tcPr>
          <w:p w14:paraId="001CB026" w14:textId="77777777" w:rsidR="00A325C8" w:rsidRPr="00691ABD" w:rsidRDefault="00A325C8" w:rsidP="001E39EE">
            <w:pPr>
              <w:jc w:val="right"/>
              <w:rPr>
                <w:sz w:val="20"/>
                <w:szCs w:val="20"/>
                <w:lang w:val="fr-CA" w:eastAsia="en-CA"/>
              </w:rPr>
            </w:pPr>
            <w:r w:rsidRPr="00691ABD">
              <w:rPr>
                <w:sz w:val="20"/>
                <w:szCs w:val="20"/>
                <w:lang w:val="fr-CA" w:eastAsia="en-CA"/>
              </w:rPr>
              <w:t>57</w:t>
            </w:r>
            <w:r>
              <w:rPr>
                <w:sz w:val="20"/>
                <w:szCs w:val="20"/>
                <w:lang w:val="fr-CA" w:eastAsia="en-CA"/>
              </w:rPr>
              <w:t xml:space="preserve"> </w:t>
            </w:r>
            <w:r w:rsidRPr="00691ABD">
              <w:rPr>
                <w:sz w:val="20"/>
                <w:szCs w:val="20"/>
                <w:lang w:val="fr-CA" w:eastAsia="en-CA"/>
              </w:rPr>
              <w:t>963</w:t>
            </w:r>
          </w:p>
        </w:tc>
        <w:tc>
          <w:tcPr>
            <w:tcW w:w="1050" w:type="dxa"/>
            <w:tcBorders>
              <w:top w:val="nil"/>
              <w:left w:val="nil"/>
              <w:bottom w:val="single" w:sz="4" w:space="0" w:color="auto"/>
              <w:right w:val="single" w:sz="4" w:space="0" w:color="auto"/>
            </w:tcBorders>
            <w:shd w:val="clear" w:color="auto" w:fill="auto"/>
            <w:noWrap/>
            <w:hideMark/>
          </w:tcPr>
          <w:p w14:paraId="679E43AC" w14:textId="77777777" w:rsidR="00A325C8" w:rsidRPr="00691ABD" w:rsidRDefault="00A325C8" w:rsidP="001E39EE">
            <w:pPr>
              <w:jc w:val="right"/>
              <w:rPr>
                <w:sz w:val="20"/>
                <w:szCs w:val="20"/>
                <w:lang w:val="fr-CA" w:eastAsia="en-CA"/>
              </w:rPr>
            </w:pPr>
            <w:r w:rsidRPr="00691ABD">
              <w:rPr>
                <w:sz w:val="20"/>
                <w:szCs w:val="20"/>
                <w:lang w:val="fr-CA" w:eastAsia="en-CA"/>
              </w:rPr>
              <w:t>79</w:t>
            </w:r>
          </w:p>
        </w:tc>
      </w:tr>
      <w:tr w:rsidR="00A325C8" w:rsidRPr="00691ABD" w14:paraId="00E451E0" w14:textId="77777777" w:rsidTr="00691ABD">
        <w:trPr>
          <w:trHeight w:val="126"/>
        </w:trPr>
        <w:tc>
          <w:tcPr>
            <w:tcW w:w="3828" w:type="dxa"/>
            <w:tcBorders>
              <w:top w:val="nil"/>
              <w:left w:val="single" w:sz="4" w:space="0" w:color="auto"/>
              <w:bottom w:val="single" w:sz="4" w:space="0" w:color="auto"/>
              <w:right w:val="single" w:sz="4" w:space="0" w:color="auto"/>
            </w:tcBorders>
            <w:shd w:val="clear" w:color="auto" w:fill="auto"/>
            <w:noWrap/>
            <w:hideMark/>
          </w:tcPr>
          <w:p w14:paraId="6430847C" w14:textId="77777777" w:rsidR="00A325C8" w:rsidRPr="00691ABD" w:rsidRDefault="00A325C8" w:rsidP="001E39EE">
            <w:pPr>
              <w:jc w:val="left"/>
              <w:rPr>
                <w:sz w:val="20"/>
                <w:szCs w:val="20"/>
                <w:lang w:val="fr-CA" w:eastAsia="en-CA"/>
              </w:rPr>
            </w:pPr>
            <w:r w:rsidRPr="00691ABD">
              <w:rPr>
                <w:sz w:val="20"/>
                <w:szCs w:val="20"/>
                <w:lang w:val="fr-CA" w:eastAsia="en-CA"/>
              </w:rPr>
              <w:t>Guyana</w:t>
            </w:r>
          </w:p>
        </w:tc>
        <w:tc>
          <w:tcPr>
            <w:tcW w:w="1295" w:type="dxa"/>
            <w:tcBorders>
              <w:top w:val="nil"/>
              <w:left w:val="nil"/>
              <w:bottom w:val="single" w:sz="4" w:space="0" w:color="auto"/>
              <w:right w:val="single" w:sz="4" w:space="0" w:color="auto"/>
            </w:tcBorders>
            <w:shd w:val="clear" w:color="auto" w:fill="auto"/>
            <w:noWrap/>
            <w:hideMark/>
          </w:tcPr>
          <w:p w14:paraId="34576D87"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7</w:t>
            </w:r>
          </w:p>
        </w:tc>
        <w:tc>
          <w:tcPr>
            <w:tcW w:w="1275" w:type="dxa"/>
            <w:tcBorders>
              <w:top w:val="nil"/>
              <w:left w:val="nil"/>
              <w:bottom w:val="single" w:sz="4" w:space="0" w:color="auto"/>
              <w:right w:val="single" w:sz="4" w:space="0" w:color="auto"/>
            </w:tcBorders>
            <w:shd w:val="clear" w:color="auto" w:fill="auto"/>
            <w:noWrap/>
            <w:hideMark/>
          </w:tcPr>
          <w:p w14:paraId="19119DC6" w14:textId="77777777" w:rsidR="00A325C8" w:rsidRPr="00691ABD" w:rsidRDefault="00A325C8" w:rsidP="001E39EE">
            <w:pPr>
              <w:jc w:val="right"/>
              <w:rPr>
                <w:sz w:val="20"/>
                <w:szCs w:val="20"/>
                <w:lang w:val="fr-CA" w:eastAsia="en-CA"/>
              </w:rPr>
            </w:pPr>
            <w:r w:rsidRPr="00691ABD">
              <w:rPr>
                <w:sz w:val="20"/>
                <w:szCs w:val="20"/>
                <w:lang w:val="fr-CA" w:eastAsia="en-CA"/>
              </w:rPr>
              <w:t>412</w:t>
            </w:r>
            <w:r>
              <w:rPr>
                <w:sz w:val="20"/>
                <w:szCs w:val="20"/>
                <w:lang w:val="fr-CA" w:eastAsia="en-CA"/>
              </w:rPr>
              <w:t xml:space="preserve"> </w:t>
            </w:r>
            <w:r w:rsidRPr="00691ABD">
              <w:rPr>
                <w:sz w:val="20"/>
                <w:szCs w:val="20"/>
                <w:lang w:val="fr-CA" w:eastAsia="en-CA"/>
              </w:rPr>
              <w:t>995</w:t>
            </w:r>
          </w:p>
        </w:tc>
        <w:tc>
          <w:tcPr>
            <w:tcW w:w="1276" w:type="dxa"/>
            <w:tcBorders>
              <w:top w:val="nil"/>
              <w:left w:val="nil"/>
              <w:bottom w:val="single" w:sz="4" w:space="0" w:color="auto"/>
              <w:right w:val="single" w:sz="4" w:space="0" w:color="auto"/>
            </w:tcBorders>
            <w:shd w:val="clear" w:color="auto" w:fill="auto"/>
            <w:noWrap/>
            <w:hideMark/>
          </w:tcPr>
          <w:p w14:paraId="53DE8494" w14:textId="77777777" w:rsidR="00A325C8" w:rsidRPr="00691ABD" w:rsidRDefault="00A325C8" w:rsidP="001E39EE">
            <w:pPr>
              <w:jc w:val="right"/>
              <w:rPr>
                <w:sz w:val="20"/>
                <w:szCs w:val="20"/>
                <w:lang w:val="fr-CA" w:eastAsia="en-CA"/>
              </w:rPr>
            </w:pPr>
            <w:r w:rsidRPr="00691ABD">
              <w:rPr>
                <w:sz w:val="20"/>
                <w:szCs w:val="20"/>
                <w:lang w:val="fr-CA" w:eastAsia="en-CA"/>
              </w:rPr>
              <w:t>226</w:t>
            </w:r>
            <w:r>
              <w:rPr>
                <w:sz w:val="20"/>
                <w:szCs w:val="20"/>
                <w:lang w:val="fr-CA" w:eastAsia="en-CA"/>
              </w:rPr>
              <w:t xml:space="preserve"> </w:t>
            </w:r>
            <w:r w:rsidRPr="00691ABD">
              <w:rPr>
                <w:sz w:val="20"/>
                <w:szCs w:val="20"/>
                <w:lang w:val="fr-CA" w:eastAsia="en-CA"/>
              </w:rPr>
              <w:t>739</w:t>
            </w:r>
          </w:p>
        </w:tc>
        <w:tc>
          <w:tcPr>
            <w:tcW w:w="1250" w:type="dxa"/>
            <w:tcBorders>
              <w:top w:val="nil"/>
              <w:left w:val="nil"/>
              <w:bottom w:val="single" w:sz="4" w:space="0" w:color="auto"/>
              <w:right w:val="single" w:sz="4" w:space="0" w:color="auto"/>
            </w:tcBorders>
            <w:shd w:val="clear" w:color="auto" w:fill="auto"/>
            <w:noWrap/>
            <w:hideMark/>
          </w:tcPr>
          <w:p w14:paraId="1A90FED4" w14:textId="77777777" w:rsidR="00A325C8" w:rsidRPr="00691ABD" w:rsidRDefault="00A325C8" w:rsidP="001E39EE">
            <w:pPr>
              <w:jc w:val="right"/>
              <w:rPr>
                <w:sz w:val="20"/>
                <w:szCs w:val="20"/>
                <w:lang w:val="fr-CA" w:eastAsia="en-CA"/>
              </w:rPr>
            </w:pPr>
            <w:r w:rsidRPr="00691ABD">
              <w:rPr>
                <w:sz w:val="20"/>
                <w:szCs w:val="20"/>
                <w:lang w:val="fr-CA" w:eastAsia="en-CA"/>
              </w:rPr>
              <w:t>186</w:t>
            </w:r>
            <w:r>
              <w:rPr>
                <w:sz w:val="20"/>
                <w:szCs w:val="20"/>
                <w:lang w:val="fr-CA" w:eastAsia="en-CA"/>
              </w:rPr>
              <w:t xml:space="preserve"> </w:t>
            </w:r>
            <w:r w:rsidRPr="00691ABD">
              <w:rPr>
                <w:sz w:val="20"/>
                <w:szCs w:val="20"/>
                <w:lang w:val="fr-CA" w:eastAsia="en-CA"/>
              </w:rPr>
              <w:t>256</w:t>
            </w:r>
          </w:p>
        </w:tc>
        <w:tc>
          <w:tcPr>
            <w:tcW w:w="1050" w:type="dxa"/>
            <w:tcBorders>
              <w:top w:val="nil"/>
              <w:left w:val="nil"/>
              <w:bottom w:val="single" w:sz="4" w:space="0" w:color="auto"/>
              <w:right w:val="single" w:sz="4" w:space="0" w:color="auto"/>
            </w:tcBorders>
            <w:shd w:val="clear" w:color="auto" w:fill="auto"/>
            <w:noWrap/>
            <w:hideMark/>
          </w:tcPr>
          <w:p w14:paraId="478CD56B" w14:textId="77777777" w:rsidR="00A325C8" w:rsidRPr="00691ABD" w:rsidRDefault="00A325C8" w:rsidP="001E39EE">
            <w:pPr>
              <w:jc w:val="right"/>
              <w:rPr>
                <w:sz w:val="20"/>
                <w:szCs w:val="20"/>
                <w:lang w:val="fr-CA" w:eastAsia="en-CA"/>
              </w:rPr>
            </w:pPr>
            <w:r w:rsidRPr="00691ABD">
              <w:rPr>
                <w:sz w:val="20"/>
                <w:szCs w:val="20"/>
                <w:lang w:val="fr-CA" w:eastAsia="en-CA"/>
              </w:rPr>
              <w:t>55</w:t>
            </w:r>
          </w:p>
        </w:tc>
      </w:tr>
      <w:tr w:rsidR="00A325C8" w:rsidRPr="00691ABD" w14:paraId="2D8B9105"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225B658" w14:textId="77777777" w:rsidR="00A325C8" w:rsidRPr="00691ABD" w:rsidRDefault="00A325C8" w:rsidP="001E39EE">
            <w:pPr>
              <w:jc w:val="left"/>
              <w:rPr>
                <w:sz w:val="20"/>
                <w:szCs w:val="20"/>
                <w:lang w:val="fr-CA" w:eastAsia="en-CA"/>
              </w:rPr>
            </w:pPr>
            <w:r>
              <w:rPr>
                <w:sz w:val="20"/>
                <w:szCs w:val="20"/>
                <w:lang w:val="fr-CA" w:eastAsia="en-CA"/>
              </w:rPr>
              <w:t>Haï</w:t>
            </w:r>
            <w:r w:rsidRPr="00691ABD">
              <w:rPr>
                <w:sz w:val="20"/>
                <w:szCs w:val="20"/>
                <w:lang w:val="fr-CA" w:eastAsia="en-CA"/>
              </w:rPr>
              <w:t>ti</w:t>
            </w:r>
          </w:p>
        </w:tc>
        <w:tc>
          <w:tcPr>
            <w:tcW w:w="1295" w:type="dxa"/>
            <w:tcBorders>
              <w:top w:val="nil"/>
              <w:left w:val="nil"/>
              <w:bottom w:val="single" w:sz="4" w:space="0" w:color="auto"/>
              <w:right w:val="single" w:sz="4" w:space="0" w:color="auto"/>
            </w:tcBorders>
            <w:shd w:val="clear" w:color="auto" w:fill="auto"/>
            <w:noWrap/>
            <w:hideMark/>
          </w:tcPr>
          <w:p w14:paraId="0BD1421D"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75E1FFF0" w14:textId="77777777" w:rsidR="00A325C8" w:rsidRPr="00691ABD" w:rsidRDefault="00A325C8" w:rsidP="001E39EE">
            <w:pPr>
              <w:jc w:val="right"/>
              <w:rPr>
                <w:sz w:val="20"/>
                <w:szCs w:val="20"/>
                <w:lang w:val="fr-CA" w:eastAsia="en-CA"/>
              </w:rPr>
            </w:pPr>
            <w:r w:rsidRPr="00691ABD">
              <w:rPr>
                <w:sz w:val="20"/>
                <w:szCs w:val="20"/>
                <w:lang w:val="fr-CA" w:eastAsia="en-CA"/>
              </w:rPr>
              <w:t>167</w:t>
            </w:r>
            <w:r>
              <w:rPr>
                <w:sz w:val="20"/>
                <w:szCs w:val="20"/>
                <w:lang w:val="fr-CA" w:eastAsia="en-CA"/>
              </w:rPr>
              <w:t xml:space="preserve"> </w:t>
            </w:r>
            <w:r w:rsidRPr="00691ABD">
              <w:rPr>
                <w:sz w:val="20"/>
                <w:szCs w:val="20"/>
                <w:lang w:val="fr-CA" w:eastAsia="en-CA"/>
              </w:rPr>
              <w:t>119</w:t>
            </w:r>
          </w:p>
        </w:tc>
        <w:tc>
          <w:tcPr>
            <w:tcW w:w="1276" w:type="dxa"/>
            <w:tcBorders>
              <w:top w:val="nil"/>
              <w:left w:val="nil"/>
              <w:bottom w:val="single" w:sz="4" w:space="0" w:color="auto"/>
              <w:right w:val="single" w:sz="4" w:space="0" w:color="auto"/>
            </w:tcBorders>
            <w:shd w:val="clear" w:color="auto" w:fill="auto"/>
            <w:noWrap/>
            <w:hideMark/>
          </w:tcPr>
          <w:p w14:paraId="7A249D3C" w14:textId="77777777" w:rsidR="00A325C8" w:rsidRPr="00691ABD" w:rsidRDefault="00A325C8" w:rsidP="001E39EE">
            <w:pPr>
              <w:jc w:val="right"/>
              <w:rPr>
                <w:sz w:val="20"/>
                <w:szCs w:val="20"/>
                <w:lang w:val="fr-CA" w:eastAsia="en-CA"/>
              </w:rPr>
            </w:pPr>
            <w:r w:rsidRPr="00691ABD">
              <w:rPr>
                <w:sz w:val="20"/>
                <w:szCs w:val="20"/>
                <w:lang w:val="fr-CA" w:eastAsia="en-CA"/>
              </w:rPr>
              <w:t>105</w:t>
            </w:r>
            <w:r>
              <w:rPr>
                <w:sz w:val="20"/>
                <w:szCs w:val="20"/>
                <w:lang w:val="fr-CA" w:eastAsia="en-CA"/>
              </w:rPr>
              <w:t xml:space="preserve"> </w:t>
            </w:r>
            <w:r w:rsidRPr="00691ABD">
              <w:rPr>
                <w:sz w:val="20"/>
                <w:szCs w:val="20"/>
                <w:lang w:val="fr-CA" w:eastAsia="en-CA"/>
              </w:rPr>
              <w:t>093</w:t>
            </w:r>
          </w:p>
        </w:tc>
        <w:tc>
          <w:tcPr>
            <w:tcW w:w="1250" w:type="dxa"/>
            <w:tcBorders>
              <w:top w:val="nil"/>
              <w:left w:val="nil"/>
              <w:bottom w:val="single" w:sz="4" w:space="0" w:color="auto"/>
              <w:right w:val="single" w:sz="4" w:space="0" w:color="auto"/>
            </w:tcBorders>
            <w:shd w:val="clear" w:color="auto" w:fill="auto"/>
            <w:noWrap/>
            <w:hideMark/>
          </w:tcPr>
          <w:p w14:paraId="69B0FB29" w14:textId="77777777" w:rsidR="00A325C8" w:rsidRPr="00691ABD" w:rsidRDefault="00A325C8" w:rsidP="001E39EE">
            <w:pPr>
              <w:jc w:val="right"/>
              <w:rPr>
                <w:sz w:val="20"/>
                <w:szCs w:val="20"/>
                <w:lang w:val="fr-CA" w:eastAsia="en-CA"/>
              </w:rPr>
            </w:pPr>
            <w:r w:rsidRPr="00691ABD">
              <w:rPr>
                <w:sz w:val="20"/>
                <w:szCs w:val="20"/>
                <w:lang w:val="fr-CA" w:eastAsia="en-CA"/>
              </w:rPr>
              <w:t>62</w:t>
            </w:r>
            <w:r>
              <w:rPr>
                <w:sz w:val="20"/>
                <w:szCs w:val="20"/>
                <w:lang w:val="fr-CA" w:eastAsia="en-CA"/>
              </w:rPr>
              <w:t xml:space="preserve"> </w:t>
            </w:r>
            <w:r w:rsidRPr="00691ABD">
              <w:rPr>
                <w:sz w:val="20"/>
                <w:szCs w:val="20"/>
                <w:lang w:val="fr-CA" w:eastAsia="en-CA"/>
              </w:rPr>
              <w:t>027</w:t>
            </w:r>
          </w:p>
        </w:tc>
        <w:tc>
          <w:tcPr>
            <w:tcW w:w="1050" w:type="dxa"/>
            <w:tcBorders>
              <w:top w:val="nil"/>
              <w:left w:val="nil"/>
              <w:bottom w:val="single" w:sz="4" w:space="0" w:color="auto"/>
              <w:right w:val="single" w:sz="4" w:space="0" w:color="auto"/>
            </w:tcBorders>
            <w:shd w:val="clear" w:color="auto" w:fill="auto"/>
            <w:noWrap/>
            <w:hideMark/>
          </w:tcPr>
          <w:p w14:paraId="45A0312E" w14:textId="77777777" w:rsidR="00A325C8" w:rsidRPr="00691ABD" w:rsidRDefault="00A325C8" w:rsidP="001E39EE">
            <w:pPr>
              <w:jc w:val="right"/>
              <w:rPr>
                <w:sz w:val="20"/>
                <w:szCs w:val="20"/>
                <w:lang w:val="fr-CA" w:eastAsia="en-CA"/>
              </w:rPr>
            </w:pPr>
            <w:r w:rsidRPr="00691ABD">
              <w:rPr>
                <w:sz w:val="20"/>
                <w:szCs w:val="20"/>
                <w:lang w:val="fr-CA" w:eastAsia="en-CA"/>
              </w:rPr>
              <w:t>63</w:t>
            </w:r>
          </w:p>
        </w:tc>
      </w:tr>
      <w:tr w:rsidR="00A325C8" w:rsidRPr="00691ABD" w14:paraId="6CB7C28F" w14:textId="77777777" w:rsidTr="00691ABD">
        <w:trPr>
          <w:trHeight w:val="76"/>
        </w:trPr>
        <w:tc>
          <w:tcPr>
            <w:tcW w:w="3828" w:type="dxa"/>
            <w:tcBorders>
              <w:top w:val="nil"/>
              <w:left w:val="single" w:sz="4" w:space="0" w:color="auto"/>
              <w:bottom w:val="single" w:sz="4" w:space="0" w:color="auto"/>
              <w:right w:val="single" w:sz="4" w:space="0" w:color="auto"/>
            </w:tcBorders>
            <w:shd w:val="clear" w:color="auto" w:fill="auto"/>
            <w:noWrap/>
            <w:hideMark/>
          </w:tcPr>
          <w:p w14:paraId="5E474874" w14:textId="77777777" w:rsidR="00A325C8" w:rsidRPr="00691ABD" w:rsidRDefault="00A325C8" w:rsidP="001E39EE">
            <w:pPr>
              <w:jc w:val="left"/>
              <w:rPr>
                <w:sz w:val="20"/>
                <w:szCs w:val="20"/>
                <w:lang w:val="fr-CA" w:eastAsia="en-CA"/>
              </w:rPr>
            </w:pPr>
            <w:r w:rsidRPr="00691ABD">
              <w:rPr>
                <w:sz w:val="20"/>
                <w:szCs w:val="20"/>
                <w:lang w:val="fr-CA" w:eastAsia="en-CA"/>
              </w:rPr>
              <w:t>Honduras</w:t>
            </w:r>
          </w:p>
        </w:tc>
        <w:tc>
          <w:tcPr>
            <w:tcW w:w="1295" w:type="dxa"/>
            <w:tcBorders>
              <w:top w:val="nil"/>
              <w:left w:val="nil"/>
              <w:bottom w:val="single" w:sz="4" w:space="0" w:color="auto"/>
              <w:right w:val="single" w:sz="4" w:space="0" w:color="auto"/>
            </w:tcBorders>
            <w:shd w:val="clear" w:color="auto" w:fill="auto"/>
            <w:noWrap/>
            <w:hideMark/>
          </w:tcPr>
          <w:p w14:paraId="6FB36999" w14:textId="77777777" w:rsidR="00A325C8" w:rsidRPr="00691ABD" w:rsidRDefault="00A325C8" w:rsidP="001E39EE">
            <w:pPr>
              <w:jc w:val="right"/>
              <w:rPr>
                <w:sz w:val="20"/>
                <w:szCs w:val="20"/>
                <w:lang w:val="fr-CA" w:eastAsia="en-CA"/>
              </w:rPr>
            </w:pPr>
            <w:r w:rsidRPr="00691ABD">
              <w:rPr>
                <w:sz w:val="20"/>
                <w:szCs w:val="20"/>
                <w:lang w:val="fr-CA" w:eastAsia="en-CA"/>
              </w:rPr>
              <w:t>8</w:t>
            </w:r>
            <w:r>
              <w:rPr>
                <w:sz w:val="20"/>
                <w:szCs w:val="20"/>
                <w:lang w:val="fr-CA" w:eastAsia="en-CA"/>
              </w:rPr>
              <w:t>,</w:t>
            </w:r>
            <w:r w:rsidRPr="00691ABD">
              <w:rPr>
                <w:sz w:val="20"/>
                <w:szCs w:val="20"/>
                <w:lang w:val="fr-CA" w:eastAsia="en-CA"/>
              </w:rPr>
              <w:t>8</w:t>
            </w:r>
          </w:p>
        </w:tc>
        <w:tc>
          <w:tcPr>
            <w:tcW w:w="1275" w:type="dxa"/>
            <w:tcBorders>
              <w:top w:val="nil"/>
              <w:left w:val="nil"/>
              <w:bottom w:val="single" w:sz="4" w:space="0" w:color="auto"/>
              <w:right w:val="single" w:sz="4" w:space="0" w:color="auto"/>
            </w:tcBorders>
            <w:shd w:val="clear" w:color="auto" w:fill="auto"/>
            <w:noWrap/>
            <w:hideMark/>
          </w:tcPr>
          <w:p w14:paraId="50E6FC28" w14:textId="77777777" w:rsidR="00A325C8" w:rsidRPr="00691ABD" w:rsidRDefault="00A325C8" w:rsidP="001E39EE">
            <w:pPr>
              <w:jc w:val="right"/>
              <w:rPr>
                <w:sz w:val="20"/>
                <w:szCs w:val="20"/>
                <w:lang w:val="fr-CA" w:eastAsia="en-CA"/>
              </w:rPr>
            </w:pPr>
            <w:r w:rsidRPr="00691ABD">
              <w:rPr>
                <w:sz w:val="20"/>
                <w:szCs w:val="20"/>
                <w:lang w:val="fr-CA" w:eastAsia="en-CA"/>
              </w:rPr>
              <w:t>841</w:t>
            </w:r>
            <w:r>
              <w:rPr>
                <w:sz w:val="20"/>
                <w:szCs w:val="20"/>
                <w:lang w:val="fr-CA" w:eastAsia="en-CA"/>
              </w:rPr>
              <w:t xml:space="preserve"> </w:t>
            </w:r>
            <w:r w:rsidRPr="00691ABD">
              <w:rPr>
                <w:sz w:val="20"/>
                <w:szCs w:val="20"/>
                <w:lang w:val="fr-CA" w:eastAsia="en-CA"/>
              </w:rPr>
              <w:t>455</w:t>
            </w:r>
          </w:p>
        </w:tc>
        <w:tc>
          <w:tcPr>
            <w:tcW w:w="1276" w:type="dxa"/>
            <w:tcBorders>
              <w:top w:val="nil"/>
              <w:left w:val="nil"/>
              <w:bottom w:val="single" w:sz="4" w:space="0" w:color="auto"/>
              <w:right w:val="single" w:sz="4" w:space="0" w:color="auto"/>
            </w:tcBorders>
            <w:shd w:val="clear" w:color="auto" w:fill="auto"/>
            <w:noWrap/>
            <w:hideMark/>
          </w:tcPr>
          <w:p w14:paraId="486461D3" w14:textId="77777777" w:rsidR="00A325C8" w:rsidRPr="00691ABD" w:rsidRDefault="00A325C8" w:rsidP="001E39EE">
            <w:pPr>
              <w:jc w:val="right"/>
              <w:rPr>
                <w:sz w:val="20"/>
                <w:szCs w:val="20"/>
                <w:lang w:val="fr-CA" w:eastAsia="en-CA"/>
              </w:rPr>
            </w:pPr>
            <w:r w:rsidRPr="00691ABD">
              <w:rPr>
                <w:sz w:val="20"/>
                <w:szCs w:val="20"/>
                <w:lang w:val="fr-CA" w:eastAsia="en-CA"/>
              </w:rPr>
              <w:t>526</w:t>
            </w:r>
            <w:r>
              <w:rPr>
                <w:sz w:val="20"/>
                <w:szCs w:val="20"/>
                <w:lang w:val="fr-CA" w:eastAsia="en-CA"/>
              </w:rPr>
              <w:t xml:space="preserve"> </w:t>
            </w:r>
            <w:r w:rsidRPr="00691ABD">
              <w:rPr>
                <w:sz w:val="20"/>
                <w:szCs w:val="20"/>
                <w:lang w:val="fr-CA" w:eastAsia="en-CA"/>
              </w:rPr>
              <w:t>077</w:t>
            </w:r>
          </w:p>
        </w:tc>
        <w:tc>
          <w:tcPr>
            <w:tcW w:w="1250" w:type="dxa"/>
            <w:tcBorders>
              <w:top w:val="nil"/>
              <w:left w:val="nil"/>
              <w:bottom w:val="single" w:sz="4" w:space="0" w:color="auto"/>
              <w:right w:val="single" w:sz="4" w:space="0" w:color="auto"/>
            </w:tcBorders>
            <w:shd w:val="clear" w:color="auto" w:fill="auto"/>
            <w:noWrap/>
            <w:hideMark/>
          </w:tcPr>
          <w:p w14:paraId="4E09A695" w14:textId="77777777" w:rsidR="00A325C8" w:rsidRPr="00691ABD" w:rsidRDefault="00A325C8" w:rsidP="001E39EE">
            <w:pPr>
              <w:jc w:val="right"/>
              <w:rPr>
                <w:sz w:val="20"/>
                <w:szCs w:val="20"/>
                <w:lang w:val="fr-CA" w:eastAsia="en-CA"/>
              </w:rPr>
            </w:pPr>
            <w:r w:rsidRPr="00691ABD">
              <w:rPr>
                <w:sz w:val="20"/>
                <w:szCs w:val="20"/>
                <w:lang w:val="fr-CA" w:eastAsia="en-CA"/>
              </w:rPr>
              <w:t>315</w:t>
            </w:r>
            <w:r>
              <w:rPr>
                <w:sz w:val="20"/>
                <w:szCs w:val="20"/>
                <w:lang w:val="fr-CA" w:eastAsia="en-CA"/>
              </w:rPr>
              <w:t xml:space="preserve"> </w:t>
            </w:r>
            <w:r w:rsidRPr="00691ABD">
              <w:rPr>
                <w:sz w:val="20"/>
                <w:szCs w:val="20"/>
                <w:lang w:val="fr-CA" w:eastAsia="en-CA"/>
              </w:rPr>
              <w:t>378</w:t>
            </w:r>
          </w:p>
        </w:tc>
        <w:tc>
          <w:tcPr>
            <w:tcW w:w="1050" w:type="dxa"/>
            <w:tcBorders>
              <w:top w:val="nil"/>
              <w:left w:val="nil"/>
              <w:bottom w:val="single" w:sz="4" w:space="0" w:color="auto"/>
              <w:right w:val="single" w:sz="4" w:space="0" w:color="auto"/>
            </w:tcBorders>
            <w:shd w:val="clear" w:color="auto" w:fill="auto"/>
            <w:noWrap/>
            <w:hideMark/>
          </w:tcPr>
          <w:p w14:paraId="63486E2E" w14:textId="77777777" w:rsidR="00A325C8" w:rsidRPr="00691ABD" w:rsidRDefault="00A325C8" w:rsidP="001E39EE">
            <w:pPr>
              <w:jc w:val="right"/>
              <w:rPr>
                <w:sz w:val="20"/>
                <w:szCs w:val="20"/>
                <w:lang w:val="fr-CA" w:eastAsia="en-CA"/>
              </w:rPr>
            </w:pPr>
            <w:r w:rsidRPr="00691ABD">
              <w:rPr>
                <w:sz w:val="20"/>
                <w:szCs w:val="20"/>
                <w:lang w:val="fr-CA" w:eastAsia="en-CA"/>
              </w:rPr>
              <w:t>63</w:t>
            </w:r>
          </w:p>
        </w:tc>
      </w:tr>
      <w:tr w:rsidR="00A325C8" w:rsidRPr="00691ABD" w14:paraId="6E13137F" w14:textId="77777777" w:rsidTr="00691ABD">
        <w:trPr>
          <w:trHeight w:val="107"/>
        </w:trPr>
        <w:tc>
          <w:tcPr>
            <w:tcW w:w="3828" w:type="dxa"/>
            <w:tcBorders>
              <w:top w:val="nil"/>
              <w:left w:val="single" w:sz="4" w:space="0" w:color="auto"/>
              <w:bottom w:val="single" w:sz="4" w:space="0" w:color="auto"/>
              <w:right w:val="single" w:sz="4" w:space="0" w:color="auto"/>
            </w:tcBorders>
            <w:shd w:val="clear" w:color="auto" w:fill="auto"/>
            <w:noWrap/>
            <w:hideMark/>
          </w:tcPr>
          <w:p w14:paraId="60AFDEB5" w14:textId="77777777" w:rsidR="00A325C8" w:rsidRPr="00691ABD" w:rsidRDefault="00A325C8" w:rsidP="001E39EE">
            <w:pPr>
              <w:jc w:val="left"/>
              <w:rPr>
                <w:sz w:val="20"/>
                <w:szCs w:val="20"/>
                <w:lang w:val="fr-CA" w:eastAsia="en-CA"/>
              </w:rPr>
            </w:pPr>
            <w:r>
              <w:rPr>
                <w:sz w:val="20"/>
                <w:szCs w:val="20"/>
                <w:lang w:val="fr-CA" w:eastAsia="en-CA"/>
              </w:rPr>
              <w:t>Îles Cook</w:t>
            </w:r>
          </w:p>
        </w:tc>
        <w:tc>
          <w:tcPr>
            <w:tcW w:w="1295" w:type="dxa"/>
            <w:tcBorders>
              <w:top w:val="nil"/>
              <w:left w:val="nil"/>
              <w:bottom w:val="single" w:sz="4" w:space="0" w:color="auto"/>
              <w:right w:val="single" w:sz="4" w:space="0" w:color="auto"/>
            </w:tcBorders>
            <w:shd w:val="clear" w:color="auto" w:fill="auto"/>
            <w:noWrap/>
            <w:hideMark/>
          </w:tcPr>
          <w:p w14:paraId="55FFC235"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4FCA6024" w14:textId="77777777" w:rsidR="00A325C8" w:rsidRPr="00691ABD" w:rsidRDefault="00A325C8" w:rsidP="001E39EE">
            <w:pPr>
              <w:jc w:val="right"/>
              <w:rPr>
                <w:sz w:val="20"/>
                <w:szCs w:val="20"/>
                <w:lang w:val="fr-CA" w:eastAsia="en-CA"/>
              </w:rPr>
            </w:pPr>
            <w:r w:rsidRPr="00691ABD">
              <w:rPr>
                <w:sz w:val="20"/>
                <w:szCs w:val="20"/>
                <w:lang w:val="fr-CA" w:eastAsia="en-CA"/>
              </w:rPr>
              <w:t>264</w:t>
            </w:r>
            <w:r>
              <w:rPr>
                <w:sz w:val="20"/>
                <w:szCs w:val="20"/>
                <w:lang w:val="fr-CA" w:eastAsia="en-CA"/>
              </w:rPr>
              <w:t xml:space="preserve"> </w:t>
            </w:r>
            <w:r w:rsidRPr="00691ABD">
              <w:rPr>
                <w:sz w:val="20"/>
                <w:szCs w:val="20"/>
                <w:lang w:val="fr-CA" w:eastAsia="en-CA"/>
              </w:rPr>
              <w:t>050</w:t>
            </w:r>
          </w:p>
        </w:tc>
        <w:tc>
          <w:tcPr>
            <w:tcW w:w="1276" w:type="dxa"/>
            <w:tcBorders>
              <w:top w:val="nil"/>
              <w:left w:val="nil"/>
              <w:bottom w:val="single" w:sz="4" w:space="0" w:color="auto"/>
              <w:right w:val="single" w:sz="4" w:space="0" w:color="auto"/>
            </w:tcBorders>
            <w:shd w:val="clear" w:color="auto" w:fill="auto"/>
            <w:noWrap/>
            <w:hideMark/>
          </w:tcPr>
          <w:p w14:paraId="21D72CB5" w14:textId="77777777" w:rsidR="00A325C8" w:rsidRPr="00691ABD" w:rsidRDefault="00A325C8" w:rsidP="001E39EE">
            <w:pPr>
              <w:jc w:val="right"/>
              <w:rPr>
                <w:sz w:val="20"/>
                <w:szCs w:val="20"/>
                <w:lang w:val="fr-CA" w:eastAsia="en-CA"/>
              </w:rPr>
            </w:pPr>
            <w:r w:rsidRPr="00691ABD">
              <w:rPr>
                <w:sz w:val="20"/>
                <w:szCs w:val="20"/>
                <w:lang w:val="fr-CA" w:eastAsia="en-CA"/>
              </w:rPr>
              <w:t>73</w:t>
            </w:r>
            <w:r>
              <w:rPr>
                <w:sz w:val="20"/>
                <w:szCs w:val="20"/>
                <w:lang w:val="fr-CA" w:eastAsia="en-CA"/>
              </w:rPr>
              <w:t xml:space="preserve"> </w:t>
            </w:r>
            <w:r w:rsidRPr="00691ABD">
              <w:rPr>
                <w:sz w:val="20"/>
                <w:szCs w:val="20"/>
                <w:lang w:val="fr-CA" w:eastAsia="en-CA"/>
              </w:rPr>
              <w:t>750</w:t>
            </w:r>
          </w:p>
        </w:tc>
        <w:tc>
          <w:tcPr>
            <w:tcW w:w="1250" w:type="dxa"/>
            <w:tcBorders>
              <w:top w:val="nil"/>
              <w:left w:val="nil"/>
              <w:bottom w:val="single" w:sz="4" w:space="0" w:color="auto"/>
              <w:right w:val="single" w:sz="4" w:space="0" w:color="auto"/>
            </w:tcBorders>
            <w:shd w:val="clear" w:color="auto" w:fill="auto"/>
            <w:noWrap/>
            <w:hideMark/>
          </w:tcPr>
          <w:p w14:paraId="56DAD73F" w14:textId="77777777" w:rsidR="00A325C8" w:rsidRPr="00691ABD" w:rsidRDefault="00A325C8" w:rsidP="001E39EE">
            <w:pPr>
              <w:jc w:val="right"/>
              <w:rPr>
                <w:sz w:val="20"/>
                <w:szCs w:val="20"/>
                <w:lang w:val="fr-CA" w:eastAsia="en-CA"/>
              </w:rPr>
            </w:pPr>
            <w:r w:rsidRPr="00691ABD">
              <w:rPr>
                <w:sz w:val="20"/>
                <w:szCs w:val="20"/>
                <w:lang w:val="fr-CA" w:eastAsia="en-CA"/>
              </w:rPr>
              <w:t>190</w:t>
            </w:r>
            <w:r>
              <w:rPr>
                <w:sz w:val="20"/>
                <w:szCs w:val="20"/>
                <w:lang w:val="fr-CA" w:eastAsia="en-CA"/>
              </w:rPr>
              <w:t xml:space="preserve"> </w:t>
            </w:r>
            <w:r w:rsidRPr="00691ABD">
              <w:rPr>
                <w:sz w:val="20"/>
                <w:szCs w:val="20"/>
                <w:lang w:val="fr-CA" w:eastAsia="en-CA"/>
              </w:rPr>
              <w:t>300</w:t>
            </w:r>
          </w:p>
        </w:tc>
        <w:tc>
          <w:tcPr>
            <w:tcW w:w="1050" w:type="dxa"/>
            <w:tcBorders>
              <w:top w:val="nil"/>
              <w:left w:val="nil"/>
              <w:bottom w:val="single" w:sz="4" w:space="0" w:color="auto"/>
              <w:right w:val="single" w:sz="4" w:space="0" w:color="auto"/>
            </w:tcBorders>
            <w:shd w:val="clear" w:color="auto" w:fill="auto"/>
            <w:noWrap/>
            <w:hideMark/>
          </w:tcPr>
          <w:p w14:paraId="24806E45" w14:textId="77777777" w:rsidR="00A325C8" w:rsidRPr="00691ABD" w:rsidRDefault="00A325C8" w:rsidP="001E39EE">
            <w:pPr>
              <w:jc w:val="right"/>
              <w:rPr>
                <w:sz w:val="20"/>
                <w:szCs w:val="20"/>
                <w:lang w:val="fr-CA" w:eastAsia="en-CA"/>
              </w:rPr>
            </w:pPr>
            <w:r w:rsidRPr="00691ABD">
              <w:rPr>
                <w:sz w:val="20"/>
                <w:szCs w:val="20"/>
                <w:lang w:val="fr-CA" w:eastAsia="en-CA"/>
              </w:rPr>
              <w:t>28</w:t>
            </w:r>
          </w:p>
        </w:tc>
      </w:tr>
      <w:tr w:rsidR="00A325C8" w:rsidRPr="00691ABD" w14:paraId="44B1FD80"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CDFE572" w14:textId="77777777" w:rsidR="00A325C8" w:rsidRPr="00691ABD" w:rsidRDefault="00A325C8" w:rsidP="001E39EE">
            <w:pPr>
              <w:jc w:val="left"/>
              <w:rPr>
                <w:sz w:val="20"/>
                <w:szCs w:val="20"/>
                <w:lang w:val="fr-CA" w:eastAsia="en-CA"/>
              </w:rPr>
            </w:pPr>
            <w:r>
              <w:rPr>
                <w:sz w:val="20"/>
                <w:szCs w:val="20"/>
                <w:lang w:val="fr-CA" w:eastAsia="en-CA"/>
              </w:rPr>
              <w:t>Îles Marshall</w:t>
            </w:r>
          </w:p>
        </w:tc>
        <w:tc>
          <w:tcPr>
            <w:tcW w:w="1295" w:type="dxa"/>
            <w:tcBorders>
              <w:top w:val="nil"/>
              <w:left w:val="nil"/>
              <w:bottom w:val="single" w:sz="4" w:space="0" w:color="auto"/>
              <w:right w:val="single" w:sz="4" w:space="0" w:color="auto"/>
            </w:tcBorders>
            <w:shd w:val="clear" w:color="auto" w:fill="auto"/>
            <w:noWrap/>
            <w:hideMark/>
          </w:tcPr>
          <w:p w14:paraId="64723F6C"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2</w:t>
            </w:r>
          </w:p>
        </w:tc>
        <w:tc>
          <w:tcPr>
            <w:tcW w:w="1275" w:type="dxa"/>
            <w:tcBorders>
              <w:top w:val="nil"/>
              <w:left w:val="nil"/>
              <w:bottom w:val="single" w:sz="4" w:space="0" w:color="auto"/>
              <w:right w:val="single" w:sz="4" w:space="0" w:color="auto"/>
            </w:tcBorders>
            <w:shd w:val="clear" w:color="auto" w:fill="auto"/>
            <w:noWrap/>
            <w:hideMark/>
          </w:tcPr>
          <w:p w14:paraId="0DF7F990" w14:textId="77777777" w:rsidR="00A325C8" w:rsidRPr="00691ABD" w:rsidRDefault="00A325C8" w:rsidP="001E39EE">
            <w:pPr>
              <w:jc w:val="right"/>
              <w:rPr>
                <w:sz w:val="20"/>
                <w:szCs w:val="20"/>
                <w:lang w:val="fr-CA" w:eastAsia="en-CA"/>
              </w:rPr>
            </w:pPr>
            <w:r w:rsidRPr="00691ABD">
              <w:rPr>
                <w:sz w:val="20"/>
                <w:szCs w:val="20"/>
                <w:lang w:val="fr-CA" w:eastAsia="en-CA"/>
              </w:rPr>
              <w:t>187</w:t>
            </w:r>
            <w:r>
              <w:rPr>
                <w:sz w:val="20"/>
                <w:szCs w:val="20"/>
                <w:lang w:val="fr-CA" w:eastAsia="en-CA"/>
              </w:rPr>
              <w:t xml:space="preserve"> </w:t>
            </w:r>
            <w:r w:rsidRPr="00691ABD">
              <w:rPr>
                <w:sz w:val="20"/>
                <w:szCs w:val="20"/>
                <w:lang w:val="fr-CA" w:eastAsia="en-CA"/>
              </w:rPr>
              <w:t>200</w:t>
            </w:r>
          </w:p>
        </w:tc>
        <w:tc>
          <w:tcPr>
            <w:tcW w:w="1276" w:type="dxa"/>
            <w:tcBorders>
              <w:top w:val="nil"/>
              <w:left w:val="nil"/>
              <w:bottom w:val="single" w:sz="4" w:space="0" w:color="auto"/>
              <w:right w:val="single" w:sz="4" w:space="0" w:color="auto"/>
            </w:tcBorders>
            <w:shd w:val="clear" w:color="auto" w:fill="auto"/>
            <w:noWrap/>
            <w:hideMark/>
          </w:tcPr>
          <w:p w14:paraId="7D2DCF4B" w14:textId="77777777" w:rsidR="00A325C8" w:rsidRPr="00691ABD" w:rsidRDefault="00A325C8" w:rsidP="001E39EE">
            <w:pPr>
              <w:jc w:val="right"/>
              <w:rPr>
                <w:sz w:val="20"/>
                <w:szCs w:val="20"/>
                <w:lang w:val="fr-CA" w:eastAsia="en-CA"/>
              </w:rPr>
            </w:pPr>
            <w:r w:rsidRPr="00691ABD">
              <w:rPr>
                <w:sz w:val="20"/>
                <w:szCs w:val="20"/>
                <w:lang w:val="fr-CA" w:eastAsia="en-CA"/>
              </w:rPr>
              <w:t>86</w:t>
            </w:r>
            <w:r>
              <w:rPr>
                <w:sz w:val="20"/>
                <w:szCs w:val="20"/>
                <w:lang w:val="fr-CA" w:eastAsia="en-CA"/>
              </w:rPr>
              <w:t xml:space="preserve"> </w:t>
            </w:r>
            <w:r w:rsidRPr="00691ABD">
              <w:rPr>
                <w:sz w:val="20"/>
                <w:szCs w:val="20"/>
                <w:lang w:val="fr-CA" w:eastAsia="en-CA"/>
              </w:rPr>
              <w:t>545</w:t>
            </w:r>
          </w:p>
        </w:tc>
        <w:tc>
          <w:tcPr>
            <w:tcW w:w="1250" w:type="dxa"/>
            <w:tcBorders>
              <w:top w:val="nil"/>
              <w:left w:val="nil"/>
              <w:bottom w:val="single" w:sz="4" w:space="0" w:color="auto"/>
              <w:right w:val="single" w:sz="4" w:space="0" w:color="auto"/>
            </w:tcBorders>
            <w:shd w:val="clear" w:color="auto" w:fill="auto"/>
            <w:noWrap/>
            <w:hideMark/>
          </w:tcPr>
          <w:p w14:paraId="6176631C" w14:textId="77777777" w:rsidR="00A325C8" w:rsidRPr="00691ABD" w:rsidRDefault="00A325C8" w:rsidP="001E39EE">
            <w:pPr>
              <w:jc w:val="right"/>
              <w:rPr>
                <w:sz w:val="20"/>
                <w:szCs w:val="20"/>
                <w:lang w:val="fr-CA" w:eastAsia="en-CA"/>
              </w:rPr>
            </w:pPr>
            <w:r w:rsidRPr="00691ABD">
              <w:rPr>
                <w:sz w:val="20"/>
                <w:szCs w:val="20"/>
                <w:lang w:val="fr-CA" w:eastAsia="en-CA"/>
              </w:rPr>
              <w:t>100</w:t>
            </w:r>
            <w:r>
              <w:rPr>
                <w:sz w:val="20"/>
                <w:szCs w:val="20"/>
                <w:lang w:val="fr-CA" w:eastAsia="en-CA"/>
              </w:rPr>
              <w:t xml:space="preserve"> </w:t>
            </w:r>
            <w:r w:rsidRPr="00691ABD">
              <w:rPr>
                <w:sz w:val="20"/>
                <w:szCs w:val="20"/>
                <w:lang w:val="fr-CA" w:eastAsia="en-CA"/>
              </w:rPr>
              <w:t>655</w:t>
            </w:r>
          </w:p>
        </w:tc>
        <w:tc>
          <w:tcPr>
            <w:tcW w:w="1050" w:type="dxa"/>
            <w:tcBorders>
              <w:top w:val="nil"/>
              <w:left w:val="nil"/>
              <w:bottom w:val="single" w:sz="4" w:space="0" w:color="auto"/>
              <w:right w:val="single" w:sz="4" w:space="0" w:color="auto"/>
            </w:tcBorders>
            <w:shd w:val="clear" w:color="auto" w:fill="auto"/>
            <w:noWrap/>
            <w:hideMark/>
          </w:tcPr>
          <w:p w14:paraId="15C5148C" w14:textId="77777777" w:rsidR="00A325C8" w:rsidRPr="00691ABD" w:rsidRDefault="00A325C8" w:rsidP="001E39EE">
            <w:pPr>
              <w:jc w:val="right"/>
              <w:rPr>
                <w:sz w:val="20"/>
                <w:szCs w:val="20"/>
                <w:lang w:val="fr-CA" w:eastAsia="en-CA"/>
              </w:rPr>
            </w:pPr>
            <w:r w:rsidRPr="00691ABD">
              <w:rPr>
                <w:sz w:val="20"/>
                <w:szCs w:val="20"/>
                <w:lang w:val="fr-CA" w:eastAsia="en-CA"/>
              </w:rPr>
              <w:t>46</w:t>
            </w:r>
          </w:p>
        </w:tc>
      </w:tr>
      <w:tr w:rsidR="00A325C8" w:rsidRPr="00691ABD" w14:paraId="14B2ECBE"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B56EBA4" w14:textId="77777777" w:rsidR="00A325C8" w:rsidRPr="00691ABD" w:rsidRDefault="00A325C8" w:rsidP="001E39EE">
            <w:pPr>
              <w:jc w:val="left"/>
              <w:rPr>
                <w:sz w:val="20"/>
                <w:szCs w:val="20"/>
                <w:lang w:val="fr-CA" w:eastAsia="en-CA"/>
              </w:rPr>
            </w:pPr>
            <w:r>
              <w:rPr>
                <w:sz w:val="20"/>
                <w:szCs w:val="20"/>
                <w:lang w:val="fr-CA" w:eastAsia="en-CA"/>
              </w:rPr>
              <w:t>Îles Salomon</w:t>
            </w:r>
          </w:p>
        </w:tc>
        <w:tc>
          <w:tcPr>
            <w:tcW w:w="1295" w:type="dxa"/>
            <w:tcBorders>
              <w:top w:val="nil"/>
              <w:left w:val="nil"/>
              <w:bottom w:val="single" w:sz="4" w:space="0" w:color="auto"/>
              <w:right w:val="single" w:sz="4" w:space="0" w:color="auto"/>
            </w:tcBorders>
            <w:shd w:val="clear" w:color="auto" w:fill="auto"/>
            <w:noWrap/>
            <w:hideMark/>
          </w:tcPr>
          <w:p w14:paraId="509AF21B"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8</w:t>
            </w:r>
          </w:p>
        </w:tc>
        <w:tc>
          <w:tcPr>
            <w:tcW w:w="1275" w:type="dxa"/>
            <w:tcBorders>
              <w:top w:val="nil"/>
              <w:left w:val="nil"/>
              <w:bottom w:val="single" w:sz="4" w:space="0" w:color="auto"/>
              <w:right w:val="single" w:sz="4" w:space="0" w:color="auto"/>
            </w:tcBorders>
            <w:shd w:val="clear" w:color="auto" w:fill="auto"/>
            <w:noWrap/>
            <w:hideMark/>
          </w:tcPr>
          <w:p w14:paraId="6346D5A4" w14:textId="77777777" w:rsidR="00A325C8" w:rsidRPr="00691ABD" w:rsidRDefault="00A325C8" w:rsidP="001E39EE">
            <w:pPr>
              <w:jc w:val="right"/>
              <w:rPr>
                <w:sz w:val="20"/>
                <w:szCs w:val="20"/>
                <w:lang w:val="fr-CA" w:eastAsia="en-CA"/>
              </w:rPr>
            </w:pPr>
            <w:r w:rsidRPr="00691ABD">
              <w:rPr>
                <w:sz w:val="20"/>
                <w:szCs w:val="20"/>
                <w:lang w:val="fr-CA" w:eastAsia="en-CA"/>
              </w:rPr>
              <w:t>466</w:t>
            </w:r>
            <w:r>
              <w:rPr>
                <w:sz w:val="20"/>
                <w:szCs w:val="20"/>
                <w:lang w:val="fr-CA" w:eastAsia="en-CA"/>
              </w:rPr>
              <w:t xml:space="preserve"> </w:t>
            </w:r>
            <w:r w:rsidRPr="00691ABD">
              <w:rPr>
                <w:sz w:val="20"/>
                <w:szCs w:val="20"/>
                <w:lang w:val="fr-CA" w:eastAsia="en-CA"/>
              </w:rPr>
              <w:t>250</w:t>
            </w:r>
          </w:p>
        </w:tc>
        <w:tc>
          <w:tcPr>
            <w:tcW w:w="1276" w:type="dxa"/>
            <w:tcBorders>
              <w:top w:val="nil"/>
              <w:left w:val="nil"/>
              <w:bottom w:val="single" w:sz="4" w:space="0" w:color="auto"/>
              <w:right w:val="single" w:sz="4" w:space="0" w:color="auto"/>
            </w:tcBorders>
            <w:shd w:val="clear" w:color="auto" w:fill="auto"/>
            <w:noWrap/>
            <w:hideMark/>
          </w:tcPr>
          <w:p w14:paraId="2F7EDAA2" w14:textId="77777777" w:rsidR="00A325C8" w:rsidRPr="00691ABD" w:rsidRDefault="00A325C8" w:rsidP="001E39EE">
            <w:pPr>
              <w:jc w:val="right"/>
              <w:rPr>
                <w:sz w:val="20"/>
                <w:szCs w:val="20"/>
                <w:lang w:val="fr-CA" w:eastAsia="en-CA"/>
              </w:rPr>
            </w:pPr>
            <w:r w:rsidRPr="00691ABD">
              <w:rPr>
                <w:sz w:val="20"/>
                <w:szCs w:val="20"/>
                <w:lang w:val="fr-CA" w:eastAsia="en-CA"/>
              </w:rPr>
              <w:t>148</w:t>
            </w:r>
            <w:r>
              <w:rPr>
                <w:sz w:val="20"/>
                <w:szCs w:val="20"/>
                <w:lang w:val="fr-CA" w:eastAsia="en-CA"/>
              </w:rPr>
              <w:t xml:space="preserve"> </w:t>
            </w:r>
            <w:r w:rsidRPr="00691ABD">
              <w:rPr>
                <w:sz w:val="20"/>
                <w:szCs w:val="20"/>
                <w:lang w:val="fr-CA" w:eastAsia="en-CA"/>
              </w:rPr>
              <w:t>250</w:t>
            </w:r>
          </w:p>
        </w:tc>
        <w:tc>
          <w:tcPr>
            <w:tcW w:w="1250" w:type="dxa"/>
            <w:tcBorders>
              <w:top w:val="nil"/>
              <w:left w:val="nil"/>
              <w:bottom w:val="single" w:sz="4" w:space="0" w:color="auto"/>
              <w:right w:val="single" w:sz="4" w:space="0" w:color="auto"/>
            </w:tcBorders>
            <w:shd w:val="clear" w:color="auto" w:fill="auto"/>
            <w:noWrap/>
            <w:hideMark/>
          </w:tcPr>
          <w:p w14:paraId="30963B77" w14:textId="77777777" w:rsidR="00A325C8" w:rsidRPr="00691ABD" w:rsidRDefault="00A325C8" w:rsidP="001E39EE">
            <w:pPr>
              <w:jc w:val="right"/>
              <w:rPr>
                <w:sz w:val="20"/>
                <w:szCs w:val="20"/>
                <w:lang w:val="fr-CA" w:eastAsia="en-CA"/>
              </w:rPr>
            </w:pPr>
            <w:r w:rsidRPr="00691ABD">
              <w:rPr>
                <w:sz w:val="20"/>
                <w:szCs w:val="20"/>
                <w:lang w:val="fr-CA" w:eastAsia="en-CA"/>
              </w:rPr>
              <w:t>318</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0E740A11" w14:textId="77777777" w:rsidR="00A325C8" w:rsidRPr="00691ABD" w:rsidRDefault="00A325C8" w:rsidP="001E39EE">
            <w:pPr>
              <w:jc w:val="right"/>
              <w:rPr>
                <w:sz w:val="20"/>
                <w:szCs w:val="20"/>
                <w:lang w:val="fr-CA" w:eastAsia="en-CA"/>
              </w:rPr>
            </w:pPr>
            <w:r w:rsidRPr="00691ABD">
              <w:rPr>
                <w:sz w:val="20"/>
                <w:szCs w:val="20"/>
                <w:lang w:val="fr-CA" w:eastAsia="en-CA"/>
              </w:rPr>
              <w:t>32</w:t>
            </w:r>
          </w:p>
        </w:tc>
      </w:tr>
      <w:tr w:rsidR="00A325C8" w:rsidRPr="00691ABD" w14:paraId="37CF31BA" w14:textId="77777777" w:rsidTr="00691ABD">
        <w:trPr>
          <w:trHeight w:val="109"/>
        </w:trPr>
        <w:tc>
          <w:tcPr>
            <w:tcW w:w="3828" w:type="dxa"/>
            <w:tcBorders>
              <w:top w:val="nil"/>
              <w:left w:val="single" w:sz="4" w:space="0" w:color="auto"/>
              <w:bottom w:val="single" w:sz="4" w:space="0" w:color="auto"/>
              <w:right w:val="single" w:sz="4" w:space="0" w:color="auto"/>
            </w:tcBorders>
            <w:shd w:val="clear" w:color="auto" w:fill="auto"/>
            <w:noWrap/>
            <w:hideMark/>
          </w:tcPr>
          <w:p w14:paraId="2F310233" w14:textId="77777777" w:rsidR="00A325C8" w:rsidRPr="00691ABD" w:rsidRDefault="00A325C8" w:rsidP="001E39EE">
            <w:pPr>
              <w:jc w:val="left"/>
              <w:rPr>
                <w:sz w:val="20"/>
                <w:szCs w:val="20"/>
                <w:lang w:val="fr-CA" w:eastAsia="en-CA"/>
              </w:rPr>
            </w:pPr>
            <w:r>
              <w:rPr>
                <w:sz w:val="20"/>
                <w:szCs w:val="20"/>
                <w:lang w:val="fr-CA" w:eastAsia="en-CA"/>
              </w:rPr>
              <w:t>Inde</w:t>
            </w:r>
          </w:p>
        </w:tc>
        <w:tc>
          <w:tcPr>
            <w:tcW w:w="1295" w:type="dxa"/>
            <w:tcBorders>
              <w:top w:val="nil"/>
              <w:left w:val="nil"/>
              <w:bottom w:val="single" w:sz="4" w:space="0" w:color="auto"/>
              <w:right w:val="single" w:sz="4" w:space="0" w:color="auto"/>
            </w:tcBorders>
            <w:shd w:val="clear" w:color="auto" w:fill="auto"/>
            <w:noWrap/>
            <w:hideMark/>
          </w:tcPr>
          <w:p w14:paraId="062E3BD1"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067</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36B979DF" w14:textId="77777777" w:rsidR="00A325C8" w:rsidRPr="00691ABD" w:rsidRDefault="00A325C8" w:rsidP="001E39EE">
            <w:pPr>
              <w:jc w:val="right"/>
              <w:rPr>
                <w:sz w:val="20"/>
                <w:szCs w:val="20"/>
                <w:lang w:val="fr-CA" w:eastAsia="en-CA"/>
              </w:rPr>
            </w:pPr>
            <w:r w:rsidRPr="00691ABD">
              <w:rPr>
                <w:sz w:val="20"/>
                <w:szCs w:val="20"/>
                <w:lang w:val="fr-CA" w:eastAsia="en-CA"/>
              </w:rPr>
              <w:t>57</w:t>
            </w:r>
            <w:r>
              <w:rPr>
                <w:sz w:val="20"/>
                <w:szCs w:val="20"/>
                <w:lang w:val="fr-CA" w:eastAsia="en-CA"/>
              </w:rPr>
              <w:t xml:space="preserve"> </w:t>
            </w:r>
            <w:r w:rsidRPr="00691ABD">
              <w:rPr>
                <w:sz w:val="20"/>
                <w:szCs w:val="20"/>
                <w:lang w:val="fr-CA" w:eastAsia="en-CA"/>
              </w:rPr>
              <w:t>607</w:t>
            </w:r>
            <w:r>
              <w:rPr>
                <w:sz w:val="20"/>
                <w:szCs w:val="20"/>
                <w:lang w:val="fr-CA" w:eastAsia="en-CA"/>
              </w:rPr>
              <w:t xml:space="preserve"> </w:t>
            </w:r>
            <w:r w:rsidRPr="00691ABD">
              <w:rPr>
                <w:sz w:val="20"/>
                <w:szCs w:val="20"/>
                <w:lang w:val="fr-CA" w:eastAsia="en-CA"/>
              </w:rPr>
              <w:t>652</w:t>
            </w:r>
          </w:p>
        </w:tc>
        <w:tc>
          <w:tcPr>
            <w:tcW w:w="1276" w:type="dxa"/>
            <w:tcBorders>
              <w:top w:val="nil"/>
              <w:left w:val="nil"/>
              <w:bottom w:val="single" w:sz="4" w:space="0" w:color="auto"/>
              <w:right w:val="single" w:sz="4" w:space="0" w:color="auto"/>
            </w:tcBorders>
            <w:shd w:val="clear" w:color="auto" w:fill="auto"/>
            <w:noWrap/>
            <w:hideMark/>
          </w:tcPr>
          <w:p w14:paraId="04853BA7" w14:textId="77777777" w:rsidR="00A325C8" w:rsidRPr="00691ABD" w:rsidRDefault="00A325C8" w:rsidP="001E39EE">
            <w:pPr>
              <w:jc w:val="right"/>
              <w:rPr>
                <w:sz w:val="20"/>
                <w:szCs w:val="20"/>
                <w:lang w:val="fr-CA" w:eastAsia="en-CA"/>
              </w:rPr>
            </w:pPr>
            <w:r w:rsidRPr="00691ABD">
              <w:rPr>
                <w:sz w:val="20"/>
                <w:szCs w:val="20"/>
                <w:lang w:val="fr-CA" w:eastAsia="en-CA"/>
              </w:rPr>
              <w:t>32</w:t>
            </w:r>
            <w:r>
              <w:rPr>
                <w:sz w:val="20"/>
                <w:szCs w:val="20"/>
                <w:lang w:val="fr-CA" w:eastAsia="en-CA"/>
              </w:rPr>
              <w:t xml:space="preserve"> </w:t>
            </w:r>
            <w:r w:rsidRPr="00691ABD">
              <w:rPr>
                <w:sz w:val="20"/>
                <w:szCs w:val="20"/>
                <w:lang w:val="fr-CA" w:eastAsia="en-CA"/>
              </w:rPr>
              <w:t>522</w:t>
            </w:r>
            <w:r>
              <w:rPr>
                <w:sz w:val="20"/>
                <w:szCs w:val="20"/>
                <w:lang w:val="fr-CA" w:eastAsia="en-CA"/>
              </w:rPr>
              <w:t xml:space="preserve"> </w:t>
            </w:r>
            <w:r w:rsidRPr="00691ABD">
              <w:rPr>
                <w:sz w:val="20"/>
                <w:szCs w:val="20"/>
                <w:lang w:val="fr-CA" w:eastAsia="en-CA"/>
              </w:rPr>
              <w:t>283</w:t>
            </w:r>
          </w:p>
        </w:tc>
        <w:tc>
          <w:tcPr>
            <w:tcW w:w="1250" w:type="dxa"/>
            <w:tcBorders>
              <w:top w:val="nil"/>
              <w:left w:val="nil"/>
              <w:bottom w:val="single" w:sz="4" w:space="0" w:color="auto"/>
              <w:right w:val="single" w:sz="4" w:space="0" w:color="auto"/>
            </w:tcBorders>
            <w:shd w:val="clear" w:color="auto" w:fill="auto"/>
            <w:noWrap/>
            <w:hideMark/>
          </w:tcPr>
          <w:p w14:paraId="064E2EC4" w14:textId="77777777" w:rsidR="00A325C8" w:rsidRPr="00691ABD" w:rsidRDefault="00A325C8" w:rsidP="001E39EE">
            <w:pPr>
              <w:jc w:val="right"/>
              <w:rPr>
                <w:sz w:val="20"/>
                <w:szCs w:val="20"/>
                <w:lang w:val="fr-CA" w:eastAsia="en-CA"/>
              </w:rPr>
            </w:pPr>
            <w:r w:rsidRPr="00691ABD">
              <w:rPr>
                <w:sz w:val="20"/>
                <w:szCs w:val="20"/>
                <w:lang w:val="fr-CA" w:eastAsia="en-CA"/>
              </w:rPr>
              <w:t>25</w:t>
            </w:r>
            <w:r>
              <w:rPr>
                <w:sz w:val="20"/>
                <w:szCs w:val="20"/>
                <w:lang w:val="fr-CA" w:eastAsia="en-CA"/>
              </w:rPr>
              <w:t xml:space="preserve"> </w:t>
            </w:r>
            <w:r w:rsidRPr="00691ABD">
              <w:rPr>
                <w:sz w:val="20"/>
                <w:szCs w:val="20"/>
                <w:lang w:val="fr-CA" w:eastAsia="en-CA"/>
              </w:rPr>
              <w:t>085</w:t>
            </w:r>
            <w:r>
              <w:rPr>
                <w:sz w:val="20"/>
                <w:szCs w:val="20"/>
                <w:lang w:val="fr-CA" w:eastAsia="en-CA"/>
              </w:rPr>
              <w:t xml:space="preserve"> </w:t>
            </w:r>
            <w:r w:rsidRPr="00691ABD">
              <w:rPr>
                <w:sz w:val="20"/>
                <w:szCs w:val="20"/>
                <w:lang w:val="fr-CA" w:eastAsia="en-CA"/>
              </w:rPr>
              <w:t>369</w:t>
            </w:r>
          </w:p>
        </w:tc>
        <w:tc>
          <w:tcPr>
            <w:tcW w:w="1050" w:type="dxa"/>
            <w:tcBorders>
              <w:top w:val="nil"/>
              <w:left w:val="nil"/>
              <w:bottom w:val="single" w:sz="4" w:space="0" w:color="auto"/>
              <w:right w:val="single" w:sz="4" w:space="0" w:color="auto"/>
            </w:tcBorders>
            <w:shd w:val="clear" w:color="auto" w:fill="auto"/>
            <w:noWrap/>
            <w:hideMark/>
          </w:tcPr>
          <w:p w14:paraId="0064D86B" w14:textId="77777777" w:rsidR="00A325C8" w:rsidRPr="00691ABD" w:rsidRDefault="00A325C8" w:rsidP="001E39EE">
            <w:pPr>
              <w:jc w:val="right"/>
              <w:rPr>
                <w:sz w:val="20"/>
                <w:szCs w:val="20"/>
                <w:lang w:val="fr-CA" w:eastAsia="en-CA"/>
              </w:rPr>
            </w:pPr>
            <w:r w:rsidRPr="00691ABD">
              <w:rPr>
                <w:sz w:val="20"/>
                <w:szCs w:val="20"/>
                <w:lang w:val="fr-CA" w:eastAsia="en-CA"/>
              </w:rPr>
              <w:t>56</w:t>
            </w:r>
          </w:p>
        </w:tc>
      </w:tr>
      <w:tr w:rsidR="00A325C8" w:rsidRPr="00691ABD" w14:paraId="56275961"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2B37089" w14:textId="77777777" w:rsidR="00A325C8" w:rsidRPr="00691ABD" w:rsidRDefault="00A325C8" w:rsidP="002418E7">
            <w:pPr>
              <w:jc w:val="left"/>
              <w:rPr>
                <w:sz w:val="20"/>
                <w:szCs w:val="20"/>
                <w:lang w:val="fr-CA" w:eastAsia="en-CA"/>
              </w:rPr>
            </w:pPr>
            <w:r w:rsidRPr="00691ABD">
              <w:rPr>
                <w:sz w:val="20"/>
                <w:szCs w:val="20"/>
                <w:lang w:val="fr-CA" w:eastAsia="en-CA"/>
              </w:rPr>
              <w:t>Indon</w:t>
            </w:r>
            <w:r>
              <w:rPr>
                <w:sz w:val="20"/>
                <w:szCs w:val="20"/>
                <w:lang w:val="fr-CA" w:eastAsia="en-CA"/>
              </w:rPr>
              <w:t>ésie</w:t>
            </w:r>
          </w:p>
        </w:tc>
        <w:tc>
          <w:tcPr>
            <w:tcW w:w="1295" w:type="dxa"/>
            <w:tcBorders>
              <w:top w:val="nil"/>
              <w:left w:val="nil"/>
              <w:bottom w:val="single" w:sz="4" w:space="0" w:color="auto"/>
              <w:right w:val="single" w:sz="4" w:space="0" w:color="auto"/>
            </w:tcBorders>
            <w:shd w:val="clear" w:color="auto" w:fill="auto"/>
            <w:noWrap/>
            <w:hideMark/>
          </w:tcPr>
          <w:p w14:paraId="58F0EFF7" w14:textId="77777777" w:rsidR="00A325C8" w:rsidRPr="00691ABD" w:rsidRDefault="00A325C8" w:rsidP="001E39EE">
            <w:pPr>
              <w:jc w:val="right"/>
              <w:rPr>
                <w:sz w:val="20"/>
                <w:szCs w:val="20"/>
                <w:lang w:val="fr-CA" w:eastAsia="en-CA"/>
              </w:rPr>
            </w:pPr>
            <w:r w:rsidRPr="00691ABD">
              <w:rPr>
                <w:sz w:val="20"/>
                <w:szCs w:val="20"/>
                <w:lang w:val="fr-CA" w:eastAsia="en-CA"/>
              </w:rPr>
              <w:t>176</w:t>
            </w:r>
            <w:r>
              <w:rPr>
                <w:sz w:val="20"/>
                <w:szCs w:val="20"/>
                <w:lang w:val="fr-CA" w:eastAsia="en-CA"/>
              </w:rPr>
              <w:t>,</w:t>
            </w:r>
            <w:r w:rsidRPr="00691ABD">
              <w:rPr>
                <w:sz w:val="20"/>
                <w:szCs w:val="20"/>
                <w:lang w:val="fr-CA" w:eastAsia="en-CA"/>
              </w:rPr>
              <w:t>9</w:t>
            </w:r>
          </w:p>
        </w:tc>
        <w:tc>
          <w:tcPr>
            <w:tcW w:w="1275" w:type="dxa"/>
            <w:tcBorders>
              <w:top w:val="nil"/>
              <w:left w:val="nil"/>
              <w:bottom w:val="single" w:sz="4" w:space="0" w:color="auto"/>
              <w:right w:val="single" w:sz="4" w:space="0" w:color="auto"/>
            </w:tcBorders>
            <w:shd w:val="clear" w:color="auto" w:fill="auto"/>
            <w:noWrap/>
            <w:hideMark/>
          </w:tcPr>
          <w:p w14:paraId="2E32B96A" w14:textId="77777777" w:rsidR="00A325C8" w:rsidRPr="00691ABD" w:rsidRDefault="00A325C8" w:rsidP="001E39EE">
            <w:pPr>
              <w:jc w:val="right"/>
              <w:rPr>
                <w:sz w:val="20"/>
                <w:szCs w:val="20"/>
                <w:lang w:val="fr-CA" w:eastAsia="en-CA"/>
              </w:rPr>
            </w:pPr>
            <w:r w:rsidRPr="00691ABD">
              <w:rPr>
                <w:sz w:val="20"/>
                <w:szCs w:val="20"/>
                <w:lang w:val="fr-CA" w:eastAsia="en-CA"/>
              </w:rPr>
              <w:t>14</w:t>
            </w:r>
            <w:r>
              <w:rPr>
                <w:sz w:val="20"/>
                <w:szCs w:val="20"/>
                <w:lang w:val="fr-CA" w:eastAsia="en-CA"/>
              </w:rPr>
              <w:t xml:space="preserve"> </w:t>
            </w:r>
            <w:r w:rsidRPr="00691ABD">
              <w:rPr>
                <w:sz w:val="20"/>
                <w:szCs w:val="20"/>
                <w:lang w:val="fr-CA" w:eastAsia="en-CA"/>
              </w:rPr>
              <w:t>757</w:t>
            </w:r>
            <w:r>
              <w:rPr>
                <w:sz w:val="20"/>
                <w:szCs w:val="20"/>
                <w:lang w:val="fr-CA" w:eastAsia="en-CA"/>
              </w:rPr>
              <w:t xml:space="preserve"> </w:t>
            </w:r>
            <w:r w:rsidRPr="00691ABD">
              <w:rPr>
                <w:sz w:val="20"/>
                <w:szCs w:val="20"/>
                <w:lang w:val="fr-CA" w:eastAsia="en-CA"/>
              </w:rPr>
              <w:t>354</w:t>
            </w:r>
          </w:p>
        </w:tc>
        <w:tc>
          <w:tcPr>
            <w:tcW w:w="1276" w:type="dxa"/>
            <w:tcBorders>
              <w:top w:val="nil"/>
              <w:left w:val="nil"/>
              <w:bottom w:val="single" w:sz="4" w:space="0" w:color="auto"/>
              <w:right w:val="single" w:sz="4" w:space="0" w:color="auto"/>
            </w:tcBorders>
            <w:shd w:val="clear" w:color="auto" w:fill="auto"/>
            <w:noWrap/>
            <w:hideMark/>
          </w:tcPr>
          <w:p w14:paraId="6AFFD373" w14:textId="77777777" w:rsidR="00A325C8" w:rsidRPr="00691ABD" w:rsidRDefault="00A325C8" w:rsidP="001E39EE">
            <w:pPr>
              <w:jc w:val="right"/>
              <w:rPr>
                <w:sz w:val="20"/>
                <w:szCs w:val="20"/>
                <w:lang w:val="fr-CA" w:eastAsia="en-CA"/>
              </w:rPr>
            </w:pPr>
            <w:r w:rsidRPr="00691ABD">
              <w:rPr>
                <w:sz w:val="20"/>
                <w:szCs w:val="20"/>
                <w:lang w:val="fr-CA" w:eastAsia="en-CA"/>
              </w:rPr>
              <w:t>11</w:t>
            </w:r>
            <w:r>
              <w:rPr>
                <w:sz w:val="20"/>
                <w:szCs w:val="20"/>
                <w:lang w:val="fr-CA" w:eastAsia="en-CA"/>
              </w:rPr>
              <w:t xml:space="preserve"> </w:t>
            </w:r>
            <w:r w:rsidRPr="00691ABD">
              <w:rPr>
                <w:sz w:val="20"/>
                <w:szCs w:val="20"/>
                <w:lang w:val="fr-CA" w:eastAsia="en-CA"/>
              </w:rPr>
              <w:t>648</w:t>
            </w:r>
            <w:r>
              <w:rPr>
                <w:sz w:val="20"/>
                <w:szCs w:val="20"/>
                <w:lang w:val="fr-CA" w:eastAsia="en-CA"/>
              </w:rPr>
              <w:t xml:space="preserve"> </w:t>
            </w:r>
            <w:r w:rsidRPr="00691ABD">
              <w:rPr>
                <w:sz w:val="20"/>
                <w:szCs w:val="20"/>
                <w:lang w:val="fr-CA" w:eastAsia="en-CA"/>
              </w:rPr>
              <w:t>139</w:t>
            </w:r>
          </w:p>
        </w:tc>
        <w:tc>
          <w:tcPr>
            <w:tcW w:w="1250" w:type="dxa"/>
            <w:tcBorders>
              <w:top w:val="nil"/>
              <w:left w:val="nil"/>
              <w:bottom w:val="single" w:sz="4" w:space="0" w:color="auto"/>
              <w:right w:val="single" w:sz="4" w:space="0" w:color="auto"/>
            </w:tcBorders>
            <w:shd w:val="clear" w:color="auto" w:fill="auto"/>
            <w:noWrap/>
            <w:hideMark/>
          </w:tcPr>
          <w:p w14:paraId="735FC89A"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 xml:space="preserve"> </w:t>
            </w:r>
            <w:r w:rsidRPr="00691ABD">
              <w:rPr>
                <w:sz w:val="20"/>
                <w:szCs w:val="20"/>
                <w:lang w:val="fr-CA" w:eastAsia="en-CA"/>
              </w:rPr>
              <w:t>109</w:t>
            </w:r>
            <w:r>
              <w:rPr>
                <w:sz w:val="20"/>
                <w:szCs w:val="20"/>
                <w:lang w:val="fr-CA" w:eastAsia="en-CA"/>
              </w:rPr>
              <w:t xml:space="preserve"> </w:t>
            </w:r>
            <w:r w:rsidRPr="00691ABD">
              <w:rPr>
                <w:sz w:val="20"/>
                <w:szCs w:val="20"/>
                <w:lang w:val="fr-CA" w:eastAsia="en-CA"/>
              </w:rPr>
              <w:t>215</w:t>
            </w:r>
          </w:p>
        </w:tc>
        <w:tc>
          <w:tcPr>
            <w:tcW w:w="1050" w:type="dxa"/>
            <w:tcBorders>
              <w:top w:val="nil"/>
              <w:left w:val="nil"/>
              <w:bottom w:val="single" w:sz="4" w:space="0" w:color="auto"/>
              <w:right w:val="single" w:sz="4" w:space="0" w:color="auto"/>
            </w:tcBorders>
            <w:shd w:val="clear" w:color="auto" w:fill="auto"/>
            <w:noWrap/>
            <w:hideMark/>
          </w:tcPr>
          <w:p w14:paraId="3C9FB674" w14:textId="77777777" w:rsidR="00A325C8" w:rsidRPr="00691ABD" w:rsidRDefault="00A325C8" w:rsidP="001E39EE">
            <w:pPr>
              <w:jc w:val="right"/>
              <w:rPr>
                <w:sz w:val="20"/>
                <w:szCs w:val="20"/>
                <w:lang w:val="fr-CA" w:eastAsia="en-CA"/>
              </w:rPr>
            </w:pPr>
            <w:r w:rsidRPr="00691ABD">
              <w:rPr>
                <w:sz w:val="20"/>
                <w:szCs w:val="20"/>
                <w:lang w:val="fr-CA" w:eastAsia="en-CA"/>
              </w:rPr>
              <w:t>79</w:t>
            </w:r>
          </w:p>
        </w:tc>
      </w:tr>
      <w:tr w:rsidR="00A325C8" w:rsidRPr="00691ABD" w14:paraId="67F19C9C" w14:textId="77777777" w:rsidTr="00691ABD">
        <w:trPr>
          <w:trHeight w:val="59"/>
        </w:trPr>
        <w:tc>
          <w:tcPr>
            <w:tcW w:w="3828" w:type="dxa"/>
            <w:tcBorders>
              <w:top w:val="nil"/>
              <w:left w:val="single" w:sz="4" w:space="0" w:color="auto"/>
              <w:bottom w:val="single" w:sz="4" w:space="0" w:color="auto"/>
              <w:right w:val="single" w:sz="4" w:space="0" w:color="auto"/>
            </w:tcBorders>
            <w:shd w:val="clear" w:color="auto" w:fill="auto"/>
            <w:noWrap/>
            <w:hideMark/>
          </w:tcPr>
          <w:p w14:paraId="3E9CC4E4" w14:textId="720FA19C" w:rsidR="00A325C8" w:rsidRPr="00691ABD" w:rsidRDefault="00A325C8" w:rsidP="0015174E">
            <w:pPr>
              <w:jc w:val="left"/>
              <w:rPr>
                <w:sz w:val="20"/>
                <w:szCs w:val="20"/>
                <w:lang w:val="fr-CA" w:eastAsia="en-CA"/>
              </w:rPr>
            </w:pPr>
            <w:r w:rsidRPr="00691ABD">
              <w:rPr>
                <w:sz w:val="20"/>
                <w:szCs w:val="20"/>
                <w:lang w:val="fr-CA" w:eastAsia="en-CA"/>
              </w:rPr>
              <w:t>Iran (</w:t>
            </w:r>
            <w:r>
              <w:rPr>
                <w:sz w:val="20"/>
                <w:szCs w:val="20"/>
                <w:lang w:val="fr-CA" w:eastAsia="en-CA"/>
              </w:rPr>
              <w:t>République islamique d</w:t>
            </w:r>
            <w:r w:rsidR="0015174E">
              <w:rPr>
                <w:sz w:val="20"/>
                <w:szCs w:val="20"/>
                <w:lang w:val="fr-CA" w:eastAsia="en-CA"/>
              </w:rPr>
              <w:t>’</w:t>
            </w:r>
            <w:r w:rsidRPr="00691ABD">
              <w:rPr>
                <w:sz w:val="20"/>
                <w:szCs w:val="20"/>
                <w:lang w:val="fr-CA" w:eastAsia="en-CA"/>
              </w:rPr>
              <w:t>)</w:t>
            </w:r>
          </w:p>
        </w:tc>
        <w:tc>
          <w:tcPr>
            <w:tcW w:w="1295" w:type="dxa"/>
            <w:tcBorders>
              <w:top w:val="nil"/>
              <w:left w:val="nil"/>
              <w:bottom w:val="single" w:sz="4" w:space="0" w:color="auto"/>
              <w:right w:val="single" w:sz="4" w:space="0" w:color="auto"/>
            </w:tcBorders>
            <w:shd w:val="clear" w:color="auto" w:fill="auto"/>
            <w:noWrap/>
            <w:hideMark/>
          </w:tcPr>
          <w:p w14:paraId="1F3A32D3" w14:textId="77777777" w:rsidR="00A325C8" w:rsidRPr="00691ABD" w:rsidRDefault="00A325C8" w:rsidP="001E39EE">
            <w:pPr>
              <w:jc w:val="right"/>
              <w:rPr>
                <w:sz w:val="20"/>
                <w:szCs w:val="20"/>
                <w:lang w:val="fr-CA" w:eastAsia="en-CA"/>
              </w:rPr>
            </w:pPr>
            <w:r w:rsidRPr="00691ABD">
              <w:rPr>
                <w:sz w:val="20"/>
                <w:szCs w:val="20"/>
                <w:lang w:val="fr-CA" w:eastAsia="en-CA"/>
              </w:rPr>
              <w:t>297</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16BC93E2" w14:textId="77777777" w:rsidR="00A325C8" w:rsidRPr="00691ABD" w:rsidRDefault="00A325C8" w:rsidP="001E39EE">
            <w:pPr>
              <w:jc w:val="right"/>
              <w:rPr>
                <w:sz w:val="20"/>
                <w:szCs w:val="20"/>
                <w:lang w:val="fr-CA" w:eastAsia="en-CA"/>
              </w:rPr>
            </w:pPr>
            <w:r w:rsidRPr="00691ABD">
              <w:rPr>
                <w:sz w:val="20"/>
                <w:szCs w:val="20"/>
                <w:lang w:val="fr-CA" w:eastAsia="en-CA"/>
              </w:rPr>
              <w:t>18</w:t>
            </w:r>
            <w:r>
              <w:rPr>
                <w:sz w:val="20"/>
                <w:szCs w:val="20"/>
                <w:lang w:val="fr-CA" w:eastAsia="en-CA"/>
              </w:rPr>
              <w:t xml:space="preserve"> </w:t>
            </w:r>
            <w:r w:rsidRPr="00691ABD">
              <w:rPr>
                <w:sz w:val="20"/>
                <w:szCs w:val="20"/>
                <w:lang w:val="fr-CA" w:eastAsia="en-CA"/>
              </w:rPr>
              <w:t>969</w:t>
            </w:r>
            <w:r>
              <w:rPr>
                <w:sz w:val="20"/>
                <w:szCs w:val="20"/>
                <w:lang w:val="fr-CA" w:eastAsia="en-CA"/>
              </w:rPr>
              <w:t xml:space="preserve"> </w:t>
            </w:r>
            <w:r w:rsidRPr="00691ABD">
              <w:rPr>
                <w:sz w:val="20"/>
                <w:szCs w:val="20"/>
                <w:lang w:val="fr-CA" w:eastAsia="en-CA"/>
              </w:rPr>
              <w:t>071</w:t>
            </w:r>
          </w:p>
        </w:tc>
        <w:tc>
          <w:tcPr>
            <w:tcW w:w="1276" w:type="dxa"/>
            <w:tcBorders>
              <w:top w:val="nil"/>
              <w:left w:val="nil"/>
              <w:bottom w:val="single" w:sz="4" w:space="0" w:color="auto"/>
              <w:right w:val="single" w:sz="4" w:space="0" w:color="auto"/>
            </w:tcBorders>
            <w:shd w:val="clear" w:color="auto" w:fill="auto"/>
            <w:noWrap/>
            <w:hideMark/>
          </w:tcPr>
          <w:p w14:paraId="5B8206AA" w14:textId="77777777" w:rsidR="00A325C8" w:rsidRPr="00691ABD" w:rsidRDefault="00A325C8" w:rsidP="001E39EE">
            <w:pPr>
              <w:jc w:val="right"/>
              <w:rPr>
                <w:sz w:val="20"/>
                <w:szCs w:val="20"/>
                <w:lang w:val="fr-CA" w:eastAsia="en-CA"/>
              </w:rPr>
            </w:pPr>
            <w:r w:rsidRPr="00691ABD">
              <w:rPr>
                <w:sz w:val="20"/>
                <w:szCs w:val="20"/>
                <w:lang w:val="fr-CA" w:eastAsia="en-CA"/>
              </w:rPr>
              <w:t>12</w:t>
            </w:r>
            <w:r>
              <w:rPr>
                <w:sz w:val="20"/>
                <w:szCs w:val="20"/>
                <w:lang w:val="fr-CA" w:eastAsia="en-CA"/>
              </w:rPr>
              <w:t xml:space="preserve"> </w:t>
            </w:r>
            <w:r w:rsidRPr="00691ABD">
              <w:rPr>
                <w:sz w:val="20"/>
                <w:szCs w:val="20"/>
                <w:lang w:val="fr-CA" w:eastAsia="en-CA"/>
              </w:rPr>
              <w:t>995</w:t>
            </w:r>
            <w:r>
              <w:rPr>
                <w:sz w:val="20"/>
                <w:szCs w:val="20"/>
                <w:lang w:val="fr-CA" w:eastAsia="en-CA"/>
              </w:rPr>
              <w:t xml:space="preserve"> </w:t>
            </w:r>
            <w:r w:rsidRPr="00691ABD">
              <w:rPr>
                <w:sz w:val="20"/>
                <w:szCs w:val="20"/>
                <w:lang w:val="fr-CA" w:eastAsia="en-CA"/>
              </w:rPr>
              <w:t>507</w:t>
            </w:r>
          </w:p>
        </w:tc>
        <w:tc>
          <w:tcPr>
            <w:tcW w:w="1250" w:type="dxa"/>
            <w:tcBorders>
              <w:top w:val="nil"/>
              <w:left w:val="nil"/>
              <w:bottom w:val="single" w:sz="4" w:space="0" w:color="auto"/>
              <w:right w:val="single" w:sz="4" w:space="0" w:color="auto"/>
            </w:tcBorders>
            <w:shd w:val="clear" w:color="auto" w:fill="auto"/>
            <w:noWrap/>
            <w:hideMark/>
          </w:tcPr>
          <w:p w14:paraId="26467F20"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 xml:space="preserve"> </w:t>
            </w:r>
            <w:r w:rsidRPr="00691ABD">
              <w:rPr>
                <w:sz w:val="20"/>
                <w:szCs w:val="20"/>
                <w:lang w:val="fr-CA" w:eastAsia="en-CA"/>
              </w:rPr>
              <w:t>973</w:t>
            </w:r>
            <w:r>
              <w:rPr>
                <w:sz w:val="20"/>
                <w:szCs w:val="20"/>
                <w:lang w:val="fr-CA" w:eastAsia="en-CA"/>
              </w:rPr>
              <w:t xml:space="preserve"> </w:t>
            </w:r>
            <w:r w:rsidRPr="00691ABD">
              <w:rPr>
                <w:sz w:val="20"/>
                <w:szCs w:val="20"/>
                <w:lang w:val="fr-CA" w:eastAsia="en-CA"/>
              </w:rPr>
              <w:t>564</w:t>
            </w:r>
          </w:p>
        </w:tc>
        <w:tc>
          <w:tcPr>
            <w:tcW w:w="1050" w:type="dxa"/>
            <w:tcBorders>
              <w:top w:val="nil"/>
              <w:left w:val="nil"/>
              <w:bottom w:val="single" w:sz="4" w:space="0" w:color="auto"/>
              <w:right w:val="single" w:sz="4" w:space="0" w:color="auto"/>
            </w:tcBorders>
            <w:shd w:val="clear" w:color="auto" w:fill="auto"/>
            <w:noWrap/>
            <w:hideMark/>
          </w:tcPr>
          <w:p w14:paraId="7987C085" w14:textId="77777777" w:rsidR="00A325C8" w:rsidRPr="00691ABD" w:rsidRDefault="00A325C8" w:rsidP="001E39EE">
            <w:pPr>
              <w:jc w:val="right"/>
              <w:rPr>
                <w:sz w:val="20"/>
                <w:szCs w:val="20"/>
                <w:lang w:val="fr-CA" w:eastAsia="en-CA"/>
              </w:rPr>
            </w:pPr>
            <w:r w:rsidRPr="00691ABD">
              <w:rPr>
                <w:sz w:val="20"/>
                <w:szCs w:val="20"/>
                <w:lang w:val="fr-CA" w:eastAsia="en-CA"/>
              </w:rPr>
              <w:t>69</w:t>
            </w:r>
          </w:p>
        </w:tc>
      </w:tr>
      <w:tr w:rsidR="00A325C8" w:rsidRPr="00691ABD" w14:paraId="717C18B1"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B11F4E6" w14:textId="77777777" w:rsidR="00A325C8" w:rsidRPr="00691ABD" w:rsidRDefault="00A325C8" w:rsidP="001E39EE">
            <w:pPr>
              <w:jc w:val="left"/>
              <w:rPr>
                <w:sz w:val="20"/>
                <w:szCs w:val="20"/>
                <w:lang w:val="fr-CA" w:eastAsia="en-CA"/>
              </w:rPr>
            </w:pPr>
            <w:r w:rsidRPr="00691ABD">
              <w:rPr>
                <w:sz w:val="20"/>
                <w:szCs w:val="20"/>
                <w:lang w:val="fr-CA" w:eastAsia="en-CA"/>
              </w:rPr>
              <w:t>Iraq</w:t>
            </w:r>
          </w:p>
        </w:tc>
        <w:tc>
          <w:tcPr>
            <w:tcW w:w="1295" w:type="dxa"/>
            <w:tcBorders>
              <w:top w:val="nil"/>
              <w:left w:val="nil"/>
              <w:bottom w:val="single" w:sz="4" w:space="0" w:color="auto"/>
              <w:right w:val="single" w:sz="4" w:space="0" w:color="auto"/>
            </w:tcBorders>
            <w:shd w:val="clear" w:color="auto" w:fill="auto"/>
            <w:noWrap/>
            <w:hideMark/>
          </w:tcPr>
          <w:p w14:paraId="3AECE86F" w14:textId="77777777" w:rsidR="00A325C8" w:rsidRPr="00691ABD" w:rsidRDefault="00A325C8" w:rsidP="001E39EE">
            <w:pPr>
              <w:jc w:val="right"/>
              <w:rPr>
                <w:sz w:val="20"/>
                <w:szCs w:val="20"/>
                <w:lang w:val="fr-CA" w:eastAsia="en-CA"/>
              </w:rPr>
            </w:pPr>
            <w:r w:rsidRPr="00691ABD">
              <w:rPr>
                <w:sz w:val="20"/>
                <w:szCs w:val="20"/>
                <w:lang w:val="fr-CA" w:eastAsia="en-CA"/>
              </w:rPr>
              <w:t>15</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2D9DABBD"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180</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14D23B18" w14:textId="77777777" w:rsidR="00A325C8" w:rsidRPr="00691ABD" w:rsidRDefault="00A325C8" w:rsidP="001E39EE">
            <w:pPr>
              <w:jc w:val="right"/>
              <w:rPr>
                <w:sz w:val="20"/>
                <w:szCs w:val="20"/>
                <w:lang w:val="fr-CA" w:eastAsia="en-CA"/>
              </w:rPr>
            </w:pPr>
            <w:r w:rsidRPr="00691ABD">
              <w:rPr>
                <w:sz w:val="20"/>
                <w:szCs w:val="20"/>
                <w:lang w:val="fr-CA" w:eastAsia="en-CA"/>
              </w:rPr>
              <w:t>386</w:t>
            </w:r>
            <w:r>
              <w:rPr>
                <w:sz w:val="20"/>
                <w:szCs w:val="20"/>
                <w:lang w:val="fr-CA" w:eastAsia="en-CA"/>
              </w:rPr>
              <w:t xml:space="preserve"> </w:t>
            </w:r>
            <w:r w:rsidRPr="00691ABD">
              <w:rPr>
                <w:sz w:val="20"/>
                <w:szCs w:val="20"/>
                <w:lang w:val="fr-CA" w:eastAsia="en-CA"/>
              </w:rPr>
              <w:t>789</w:t>
            </w:r>
          </w:p>
        </w:tc>
        <w:tc>
          <w:tcPr>
            <w:tcW w:w="1250" w:type="dxa"/>
            <w:tcBorders>
              <w:top w:val="nil"/>
              <w:left w:val="nil"/>
              <w:bottom w:val="single" w:sz="4" w:space="0" w:color="auto"/>
              <w:right w:val="single" w:sz="4" w:space="0" w:color="auto"/>
            </w:tcBorders>
            <w:shd w:val="clear" w:color="auto" w:fill="auto"/>
            <w:noWrap/>
            <w:hideMark/>
          </w:tcPr>
          <w:p w14:paraId="6031BB7E" w14:textId="77777777" w:rsidR="00A325C8" w:rsidRPr="00691ABD" w:rsidRDefault="00A325C8" w:rsidP="001E39EE">
            <w:pPr>
              <w:jc w:val="right"/>
              <w:rPr>
                <w:sz w:val="20"/>
                <w:szCs w:val="20"/>
                <w:lang w:val="fr-CA" w:eastAsia="en-CA"/>
              </w:rPr>
            </w:pPr>
            <w:r w:rsidRPr="00691ABD">
              <w:rPr>
                <w:sz w:val="20"/>
                <w:szCs w:val="20"/>
                <w:lang w:val="fr-CA" w:eastAsia="en-CA"/>
              </w:rPr>
              <w:t>793</w:t>
            </w:r>
            <w:r>
              <w:rPr>
                <w:sz w:val="20"/>
                <w:szCs w:val="20"/>
                <w:lang w:val="fr-CA" w:eastAsia="en-CA"/>
              </w:rPr>
              <w:t xml:space="preserve"> </w:t>
            </w:r>
            <w:r w:rsidRPr="00691ABD">
              <w:rPr>
                <w:sz w:val="20"/>
                <w:szCs w:val="20"/>
                <w:lang w:val="fr-CA" w:eastAsia="en-CA"/>
              </w:rPr>
              <w:t>211</w:t>
            </w:r>
          </w:p>
        </w:tc>
        <w:tc>
          <w:tcPr>
            <w:tcW w:w="1050" w:type="dxa"/>
            <w:tcBorders>
              <w:top w:val="nil"/>
              <w:left w:val="nil"/>
              <w:bottom w:val="single" w:sz="4" w:space="0" w:color="auto"/>
              <w:right w:val="single" w:sz="4" w:space="0" w:color="auto"/>
            </w:tcBorders>
            <w:shd w:val="clear" w:color="auto" w:fill="auto"/>
            <w:noWrap/>
            <w:hideMark/>
          </w:tcPr>
          <w:p w14:paraId="6EF2BE51" w14:textId="77777777" w:rsidR="00A325C8" w:rsidRPr="00691ABD" w:rsidRDefault="00A325C8" w:rsidP="001E39EE">
            <w:pPr>
              <w:jc w:val="right"/>
              <w:rPr>
                <w:sz w:val="20"/>
                <w:szCs w:val="20"/>
                <w:lang w:val="fr-CA" w:eastAsia="en-CA"/>
              </w:rPr>
            </w:pPr>
            <w:r w:rsidRPr="00691ABD">
              <w:rPr>
                <w:sz w:val="20"/>
                <w:szCs w:val="20"/>
                <w:lang w:val="fr-CA" w:eastAsia="en-CA"/>
              </w:rPr>
              <w:t>33</w:t>
            </w:r>
          </w:p>
        </w:tc>
      </w:tr>
      <w:tr w:rsidR="00A325C8" w:rsidRPr="00691ABD" w14:paraId="0165EAD1" w14:textId="77777777" w:rsidTr="00691ABD">
        <w:trPr>
          <w:trHeight w:val="109"/>
        </w:trPr>
        <w:tc>
          <w:tcPr>
            <w:tcW w:w="3828" w:type="dxa"/>
            <w:tcBorders>
              <w:top w:val="nil"/>
              <w:left w:val="single" w:sz="4" w:space="0" w:color="auto"/>
              <w:bottom w:val="single" w:sz="4" w:space="0" w:color="auto"/>
              <w:right w:val="single" w:sz="4" w:space="0" w:color="auto"/>
            </w:tcBorders>
            <w:shd w:val="clear" w:color="auto" w:fill="auto"/>
            <w:noWrap/>
            <w:hideMark/>
          </w:tcPr>
          <w:p w14:paraId="40CC3477" w14:textId="77777777" w:rsidR="00A325C8" w:rsidRPr="00691ABD" w:rsidRDefault="00A325C8" w:rsidP="001E39EE">
            <w:pPr>
              <w:jc w:val="left"/>
              <w:rPr>
                <w:sz w:val="20"/>
                <w:szCs w:val="20"/>
                <w:lang w:val="fr-CA" w:eastAsia="en-CA"/>
              </w:rPr>
            </w:pPr>
            <w:r>
              <w:rPr>
                <w:sz w:val="20"/>
                <w:szCs w:val="20"/>
                <w:lang w:val="fr-CA" w:eastAsia="en-CA"/>
              </w:rPr>
              <w:t>Jamaïque</w:t>
            </w:r>
          </w:p>
        </w:tc>
        <w:tc>
          <w:tcPr>
            <w:tcW w:w="1295" w:type="dxa"/>
            <w:tcBorders>
              <w:top w:val="nil"/>
              <w:left w:val="nil"/>
              <w:bottom w:val="single" w:sz="4" w:space="0" w:color="auto"/>
              <w:right w:val="single" w:sz="4" w:space="0" w:color="auto"/>
            </w:tcBorders>
            <w:shd w:val="clear" w:color="auto" w:fill="auto"/>
            <w:noWrap/>
            <w:hideMark/>
          </w:tcPr>
          <w:p w14:paraId="75057DF0" w14:textId="77777777" w:rsidR="00A325C8" w:rsidRPr="00691ABD" w:rsidRDefault="00A325C8" w:rsidP="001E39EE">
            <w:pPr>
              <w:jc w:val="right"/>
              <w:rPr>
                <w:sz w:val="20"/>
                <w:szCs w:val="20"/>
                <w:lang w:val="fr-CA" w:eastAsia="en-CA"/>
              </w:rPr>
            </w:pPr>
            <w:r w:rsidRPr="00691ABD">
              <w:rPr>
                <w:sz w:val="20"/>
                <w:szCs w:val="20"/>
                <w:lang w:val="fr-CA" w:eastAsia="en-CA"/>
              </w:rPr>
              <w:t>8</w:t>
            </w:r>
            <w:r>
              <w:rPr>
                <w:sz w:val="20"/>
                <w:szCs w:val="20"/>
                <w:lang w:val="fr-CA" w:eastAsia="en-CA"/>
              </w:rPr>
              <w:t>,</w:t>
            </w:r>
            <w:r w:rsidRPr="00691ABD">
              <w:rPr>
                <w:sz w:val="20"/>
                <w:szCs w:val="20"/>
                <w:lang w:val="fr-CA" w:eastAsia="en-CA"/>
              </w:rPr>
              <w:t>9</w:t>
            </w:r>
          </w:p>
        </w:tc>
        <w:tc>
          <w:tcPr>
            <w:tcW w:w="1275" w:type="dxa"/>
            <w:tcBorders>
              <w:top w:val="nil"/>
              <w:left w:val="nil"/>
              <w:bottom w:val="single" w:sz="4" w:space="0" w:color="auto"/>
              <w:right w:val="single" w:sz="4" w:space="0" w:color="auto"/>
            </w:tcBorders>
            <w:shd w:val="clear" w:color="auto" w:fill="auto"/>
            <w:noWrap/>
            <w:hideMark/>
          </w:tcPr>
          <w:p w14:paraId="6EBD4FAE" w14:textId="77777777" w:rsidR="00A325C8" w:rsidRPr="00691ABD" w:rsidRDefault="00A325C8" w:rsidP="001E39EE">
            <w:pPr>
              <w:jc w:val="right"/>
              <w:rPr>
                <w:sz w:val="20"/>
                <w:szCs w:val="20"/>
                <w:lang w:val="fr-CA" w:eastAsia="en-CA"/>
              </w:rPr>
            </w:pPr>
            <w:r w:rsidRPr="00691ABD">
              <w:rPr>
                <w:sz w:val="20"/>
                <w:szCs w:val="20"/>
                <w:lang w:val="fr-CA" w:eastAsia="en-CA"/>
              </w:rPr>
              <w:t>763</w:t>
            </w:r>
            <w:r>
              <w:rPr>
                <w:sz w:val="20"/>
                <w:szCs w:val="20"/>
                <w:lang w:val="fr-CA" w:eastAsia="en-CA"/>
              </w:rPr>
              <w:t xml:space="preserve"> </w:t>
            </w:r>
            <w:r w:rsidRPr="00691ABD">
              <w:rPr>
                <w:sz w:val="20"/>
                <w:szCs w:val="20"/>
                <w:lang w:val="fr-CA" w:eastAsia="en-CA"/>
              </w:rPr>
              <w:t>899</w:t>
            </w:r>
          </w:p>
        </w:tc>
        <w:tc>
          <w:tcPr>
            <w:tcW w:w="1276" w:type="dxa"/>
            <w:tcBorders>
              <w:top w:val="nil"/>
              <w:left w:val="nil"/>
              <w:bottom w:val="single" w:sz="4" w:space="0" w:color="auto"/>
              <w:right w:val="single" w:sz="4" w:space="0" w:color="auto"/>
            </w:tcBorders>
            <w:shd w:val="clear" w:color="auto" w:fill="auto"/>
            <w:noWrap/>
            <w:hideMark/>
          </w:tcPr>
          <w:p w14:paraId="6FA6AAD6" w14:textId="77777777" w:rsidR="00A325C8" w:rsidRPr="00691ABD" w:rsidRDefault="00A325C8" w:rsidP="001E39EE">
            <w:pPr>
              <w:jc w:val="right"/>
              <w:rPr>
                <w:sz w:val="20"/>
                <w:szCs w:val="20"/>
                <w:lang w:val="fr-CA" w:eastAsia="en-CA"/>
              </w:rPr>
            </w:pPr>
            <w:r w:rsidRPr="00691ABD">
              <w:rPr>
                <w:sz w:val="20"/>
                <w:szCs w:val="20"/>
                <w:lang w:val="fr-CA" w:eastAsia="en-CA"/>
              </w:rPr>
              <w:t>515</w:t>
            </w:r>
            <w:r>
              <w:rPr>
                <w:sz w:val="20"/>
                <w:szCs w:val="20"/>
                <w:lang w:val="fr-CA" w:eastAsia="en-CA"/>
              </w:rPr>
              <w:t xml:space="preserve"> </w:t>
            </w:r>
            <w:r w:rsidRPr="00691ABD">
              <w:rPr>
                <w:sz w:val="20"/>
                <w:szCs w:val="20"/>
                <w:lang w:val="fr-CA" w:eastAsia="en-CA"/>
              </w:rPr>
              <w:t>699</w:t>
            </w:r>
          </w:p>
        </w:tc>
        <w:tc>
          <w:tcPr>
            <w:tcW w:w="1250" w:type="dxa"/>
            <w:tcBorders>
              <w:top w:val="nil"/>
              <w:left w:val="nil"/>
              <w:bottom w:val="single" w:sz="4" w:space="0" w:color="auto"/>
              <w:right w:val="single" w:sz="4" w:space="0" w:color="auto"/>
            </w:tcBorders>
            <w:shd w:val="clear" w:color="auto" w:fill="auto"/>
            <w:noWrap/>
            <w:hideMark/>
          </w:tcPr>
          <w:p w14:paraId="67F4D1D8" w14:textId="77777777" w:rsidR="00A325C8" w:rsidRPr="00691ABD" w:rsidRDefault="00A325C8" w:rsidP="001E39EE">
            <w:pPr>
              <w:jc w:val="right"/>
              <w:rPr>
                <w:sz w:val="20"/>
                <w:szCs w:val="20"/>
                <w:lang w:val="fr-CA" w:eastAsia="en-CA"/>
              </w:rPr>
            </w:pPr>
            <w:r w:rsidRPr="00691ABD">
              <w:rPr>
                <w:sz w:val="20"/>
                <w:szCs w:val="20"/>
                <w:lang w:val="fr-CA" w:eastAsia="en-CA"/>
              </w:rPr>
              <w:t>248</w:t>
            </w:r>
            <w:r>
              <w:rPr>
                <w:sz w:val="20"/>
                <w:szCs w:val="20"/>
                <w:lang w:val="fr-CA" w:eastAsia="en-CA"/>
              </w:rPr>
              <w:t xml:space="preserve"> </w:t>
            </w:r>
            <w:r w:rsidRPr="00691ABD">
              <w:rPr>
                <w:sz w:val="20"/>
                <w:szCs w:val="20"/>
                <w:lang w:val="fr-CA" w:eastAsia="en-CA"/>
              </w:rPr>
              <w:t>200</w:t>
            </w:r>
          </w:p>
        </w:tc>
        <w:tc>
          <w:tcPr>
            <w:tcW w:w="1050" w:type="dxa"/>
            <w:tcBorders>
              <w:top w:val="nil"/>
              <w:left w:val="nil"/>
              <w:bottom w:val="single" w:sz="4" w:space="0" w:color="auto"/>
              <w:right w:val="single" w:sz="4" w:space="0" w:color="auto"/>
            </w:tcBorders>
            <w:shd w:val="clear" w:color="auto" w:fill="auto"/>
            <w:noWrap/>
            <w:hideMark/>
          </w:tcPr>
          <w:p w14:paraId="36234048" w14:textId="77777777" w:rsidR="00A325C8" w:rsidRPr="00691ABD" w:rsidRDefault="00A325C8" w:rsidP="001E39EE">
            <w:pPr>
              <w:jc w:val="right"/>
              <w:rPr>
                <w:sz w:val="20"/>
                <w:szCs w:val="20"/>
                <w:lang w:val="fr-CA" w:eastAsia="en-CA"/>
              </w:rPr>
            </w:pPr>
            <w:r w:rsidRPr="00691ABD">
              <w:rPr>
                <w:sz w:val="20"/>
                <w:szCs w:val="20"/>
                <w:lang w:val="fr-CA" w:eastAsia="en-CA"/>
              </w:rPr>
              <w:t>68</w:t>
            </w:r>
          </w:p>
        </w:tc>
      </w:tr>
      <w:tr w:rsidR="00A325C8" w:rsidRPr="00691ABD" w14:paraId="674CDE11"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DEE138A" w14:textId="77777777" w:rsidR="00A325C8" w:rsidRPr="00691ABD" w:rsidRDefault="00A325C8" w:rsidP="001E39EE">
            <w:pPr>
              <w:jc w:val="left"/>
              <w:rPr>
                <w:sz w:val="20"/>
                <w:szCs w:val="20"/>
                <w:lang w:val="fr-CA" w:eastAsia="en-CA"/>
              </w:rPr>
            </w:pPr>
            <w:r w:rsidRPr="00691ABD">
              <w:rPr>
                <w:sz w:val="20"/>
                <w:szCs w:val="20"/>
                <w:lang w:val="fr-CA" w:eastAsia="en-CA"/>
              </w:rPr>
              <w:t>Jordan</w:t>
            </w:r>
            <w:r>
              <w:rPr>
                <w:sz w:val="20"/>
                <w:szCs w:val="20"/>
                <w:lang w:val="fr-CA" w:eastAsia="en-CA"/>
              </w:rPr>
              <w:t>ie</w:t>
            </w:r>
          </w:p>
        </w:tc>
        <w:tc>
          <w:tcPr>
            <w:tcW w:w="1295" w:type="dxa"/>
            <w:tcBorders>
              <w:top w:val="nil"/>
              <w:left w:val="nil"/>
              <w:bottom w:val="single" w:sz="4" w:space="0" w:color="auto"/>
              <w:right w:val="single" w:sz="4" w:space="0" w:color="auto"/>
            </w:tcBorders>
            <w:shd w:val="clear" w:color="auto" w:fill="auto"/>
            <w:noWrap/>
            <w:hideMark/>
          </w:tcPr>
          <w:p w14:paraId="71707723" w14:textId="77777777" w:rsidR="00A325C8" w:rsidRPr="00691ABD" w:rsidRDefault="00A325C8" w:rsidP="001E39EE">
            <w:pPr>
              <w:jc w:val="right"/>
              <w:rPr>
                <w:sz w:val="20"/>
                <w:szCs w:val="20"/>
                <w:lang w:val="fr-CA" w:eastAsia="en-CA"/>
              </w:rPr>
            </w:pPr>
            <w:r w:rsidRPr="00691ABD">
              <w:rPr>
                <w:sz w:val="20"/>
                <w:szCs w:val="20"/>
                <w:lang w:val="fr-CA" w:eastAsia="en-CA"/>
              </w:rPr>
              <w:t>59</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02977580"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 xml:space="preserve"> </w:t>
            </w:r>
            <w:r w:rsidRPr="00691ABD">
              <w:rPr>
                <w:sz w:val="20"/>
                <w:szCs w:val="20"/>
                <w:lang w:val="fr-CA" w:eastAsia="en-CA"/>
              </w:rPr>
              <w:t>836</w:t>
            </w:r>
            <w:r>
              <w:rPr>
                <w:sz w:val="20"/>
                <w:szCs w:val="20"/>
                <w:lang w:val="fr-CA" w:eastAsia="en-CA"/>
              </w:rPr>
              <w:t xml:space="preserve"> </w:t>
            </w:r>
            <w:r w:rsidRPr="00691ABD">
              <w:rPr>
                <w:sz w:val="20"/>
                <w:szCs w:val="20"/>
                <w:lang w:val="fr-CA" w:eastAsia="en-CA"/>
              </w:rPr>
              <w:t>874</w:t>
            </w:r>
          </w:p>
        </w:tc>
        <w:tc>
          <w:tcPr>
            <w:tcW w:w="1276" w:type="dxa"/>
            <w:tcBorders>
              <w:top w:val="nil"/>
              <w:left w:val="nil"/>
              <w:bottom w:val="single" w:sz="4" w:space="0" w:color="auto"/>
              <w:right w:val="single" w:sz="4" w:space="0" w:color="auto"/>
            </w:tcBorders>
            <w:shd w:val="clear" w:color="auto" w:fill="auto"/>
            <w:noWrap/>
            <w:hideMark/>
          </w:tcPr>
          <w:p w14:paraId="078365AD"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 xml:space="preserve"> </w:t>
            </w:r>
            <w:r w:rsidRPr="00691ABD">
              <w:rPr>
                <w:sz w:val="20"/>
                <w:szCs w:val="20"/>
                <w:lang w:val="fr-CA" w:eastAsia="en-CA"/>
              </w:rPr>
              <w:t>830</w:t>
            </w:r>
            <w:r>
              <w:rPr>
                <w:sz w:val="20"/>
                <w:szCs w:val="20"/>
                <w:lang w:val="fr-CA" w:eastAsia="en-CA"/>
              </w:rPr>
              <w:t xml:space="preserve"> </w:t>
            </w:r>
            <w:r w:rsidRPr="00691ABD">
              <w:rPr>
                <w:sz w:val="20"/>
                <w:szCs w:val="20"/>
                <w:lang w:val="fr-CA" w:eastAsia="en-CA"/>
              </w:rPr>
              <w:t>053</w:t>
            </w:r>
          </w:p>
        </w:tc>
        <w:tc>
          <w:tcPr>
            <w:tcW w:w="1250" w:type="dxa"/>
            <w:tcBorders>
              <w:top w:val="nil"/>
              <w:left w:val="nil"/>
              <w:bottom w:val="single" w:sz="4" w:space="0" w:color="auto"/>
              <w:right w:val="single" w:sz="4" w:space="0" w:color="auto"/>
            </w:tcBorders>
            <w:shd w:val="clear" w:color="auto" w:fill="auto"/>
            <w:noWrap/>
            <w:hideMark/>
          </w:tcPr>
          <w:p w14:paraId="56E05DD6"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006</w:t>
            </w:r>
            <w:r>
              <w:rPr>
                <w:sz w:val="20"/>
                <w:szCs w:val="20"/>
                <w:lang w:val="fr-CA" w:eastAsia="en-CA"/>
              </w:rPr>
              <w:t xml:space="preserve"> </w:t>
            </w:r>
            <w:r w:rsidRPr="00691ABD">
              <w:rPr>
                <w:sz w:val="20"/>
                <w:szCs w:val="20"/>
                <w:lang w:val="fr-CA" w:eastAsia="en-CA"/>
              </w:rPr>
              <w:t>821</w:t>
            </w:r>
          </w:p>
        </w:tc>
        <w:tc>
          <w:tcPr>
            <w:tcW w:w="1050" w:type="dxa"/>
            <w:tcBorders>
              <w:top w:val="nil"/>
              <w:left w:val="nil"/>
              <w:bottom w:val="single" w:sz="4" w:space="0" w:color="auto"/>
              <w:right w:val="single" w:sz="4" w:space="0" w:color="auto"/>
            </w:tcBorders>
            <w:shd w:val="clear" w:color="auto" w:fill="auto"/>
            <w:noWrap/>
            <w:hideMark/>
          </w:tcPr>
          <w:p w14:paraId="787CD038" w14:textId="77777777" w:rsidR="00A325C8" w:rsidRPr="00691ABD" w:rsidRDefault="00A325C8" w:rsidP="001E39EE">
            <w:pPr>
              <w:jc w:val="right"/>
              <w:rPr>
                <w:sz w:val="20"/>
                <w:szCs w:val="20"/>
                <w:lang w:val="fr-CA" w:eastAsia="en-CA"/>
              </w:rPr>
            </w:pPr>
            <w:r w:rsidRPr="00691ABD">
              <w:rPr>
                <w:sz w:val="20"/>
                <w:szCs w:val="20"/>
                <w:lang w:val="fr-CA" w:eastAsia="en-CA"/>
              </w:rPr>
              <w:t>66</w:t>
            </w:r>
          </w:p>
        </w:tc>
      </w:tr>
      <w:tr w:rsidR="00A325C8" w:rsidRPr="00691ABD" w14:paraId="496D8C43"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AF01768" w14:textId="77777777" w:rsidR="00A325C8" w:rsidRPr="00691ABD" w:rsidRDefault="00A325C8" w:rsidP="001E39EE">
            <w:pPr>
              <w:jc w:val="left"/>
              <w:rPr>
                <w:sz w:val="20"/>
                <w:szCs w:val="20"/>
                <w:lang w:val="fr-CA" w:eastAsia="en-CA"/>
              </w:rPr>
            </w:pPr>
            <w:r w:rsidRPr="00691ABD">
              <w:rPr>
                <w:sz w:val="20"/>
                <w:szCs w:val="20"/>
                <w:lang w:val="fr-CA" w:eastAsia="en-CA"/>
              </w:rPr>
              <w:t>Kenya</w:t>
            </w:r>
          </w:p>
        </w:tc>
        <w:tc>
          <w:tcPr>
            <w:tcW w:w="1295" w:type="dxa"/>
            <w:tcBorders>
              <w:top w:val="nil"/>
              <w:left w:val="nil"/>
              <w:bottom w:val="single" w:sz="4" w:space="0" w:color="auto"/>
              <w:right w:val="single" w:sz="4" w:space="0" w:color="auto"/>
            </w:tcBorders>
            <w:shd w:val="clear" w:color="auto" w:fill="auto"/>
            <w:noWrap/>
            <w:hideMark/>
          </w:tcPr>
          <w:p w14:paraId="37BEB378" w14:textId="77777777" w:rsidR="00A325C8" w:rsidRPr="00691ABD" w:rsidRDefault="00A325C8" w:rsidP="001E39EE">
            <w:pPr>
              <w:jc w:val="right"/>
              <w:rPr>
                <w:sz w:val="20"/>
                <w:szCs w:val="20"/>
                <w:lang w:val="fr-CA" w:eastAsia="en-CA"/>
              </w:rPr>
            </w:pPr>
            <w:r w:rsidRPr="00691ABD">
              <w:rPr>
                <w:sz w:val="20"/>
                <w:szCs w:val="20"/>
                <w:lang w:val="fr-CA" w:eastAsia="en-CA"/>
              </w:rPr>
              <w:t>14</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29F7CF66"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973</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22DC3680"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096</w:t>
            </w:r>
            <w:r>
              <w:rPr>
                <w:sz w:val="20"/>
                <w:szCs w:val="20"/>
                <w:lang w:val="fr-CA" w:eastAsia="en-CA"/>
              </w:rPr>
              <w:t xml:space="preserve"> </w:t>
            </w:r>
            <w:r w:rsidRPr="00691ABD">
              <w:rPr>
                <w:sz w:val="20"/>
                <w:szCs w:val="20"/>
                <w:lang w:val="fr-CA" w:eastAsia="en-CA"/>
              </w:rPr>
              <w:t>256</w:t>
            </w:r>
          </w:p>
        </w:tc>
        <w:tc>
          <w:tcPr>
            <w:tcW w:w="1250" w:type="dxa"/>
            <w:tcBorders>
              <w:top w:val="nil"/>
              <w:left w:val="nil"/>
              <w:bottom w:val="single" w:sz="4" w:space="0" w:color="auto"/>
              <w:right w:val="single" w:sz="4" w:space="0" w:color="auto"/>
            </w:tcBorders>
            <w:shd w:val="clear" w:color="auto" w:fill="auto"/>
            <w:noWrap/>
            <w:hideMark/>
          </w:tcPr>
          <w:p w14:paraId="75239A0C" w14:textId="77777777" w:rsidR="00A325C8" w:rsidRPr="00691ABD" w:rsidRDefault="00A325C8" w:rsidP="001E39EE">
            <w:pPr>
              <w:jc w:val="right"/>
              <w:rPr>
                <w:sz w:val="20"/>
                <w:szCs w:val="20"/>
                <w:lang w:val="fr-CA" w:eastAsia="en-CA"/>
              </w:rPr>
            </w:pPr>
            <w:r w:rsidRPr="00691ABD">
              <w:rPr>
                <w:sz w:val="20"/>
                <w:szCs w:val="20"/>
                <w:lang w:val="fr-CA" w:eastAsia="en-CA"/>
              </w:rPr>
              <w:t>876</w:t>
            </w:r>
            <w:r>
              <w:rPr>
                <w:sz w:val="20"/>
                <w:szCs w:val="20"/>
                <w:lang w:val="fr-CA" w:eastAsia="en-CA"/>
              </w:rPr>
              <w:t xml:space="preserve"> </w:t>
            </w:r>
            <w:r w:rsidRPr="00691ABD">
              <w:rPr>
                <w:sz w:val="20"/>
                <w:szCs w:val="20"/>
                <w:lang w:val="fr-CA" w:eastAsia="en-CA"/>
              </w:rPr>
              <w:t>744</w:t>
            </w:r>
          </w:p>
        </w:tc>
        <w:tc>
          <w:tcPr>
            <w:tcW w:w="1050" w:type="dxa"/>
            <w:tcBorders>
              <w:top w:val="nil"/>
              <w:left w:val="nil"/>
              <w:bottom w:val="single" w:sz="4" w:space="0" w:color="auto"/>
              <w:right w:val="single" w:sz="4" w:space="0" w:color="auto"/>
            </w:tcBorders>
            <w:shd w:val="clear" w:color="auto" w:fill="auto"/>
            <w:noWrap/>
            <w:hideMark/>
          </w:tcPr>
          <w:p w14:paraId="71D9BE7C" w14:textId="77777777" w:rsidR="00A325C8" w:rsidRPr="00691ABD" w:rsidRDefault="00A325C8" w:rsidP="001E39EE">
            <w:pPr>
              <w:jc w:val="right"/>
              <w:rPr>
                <w:sz w:val="20"/>
                <w:szCs w:val="20"/>
                <w:lang w:val="fr-CA" w:eastAsia="en-CA"/>
              </w:rPr>
            </w:pPr>
            <w:r w:rsidRPr="00691ABD">
              <w:rPr>
                <w:sz w:val="20"/>
                <w:szCs w:val="20"/>
                <w:lang w:val="fr-CA" w:eastAsia="en-CA"/>
              </w:rPr>
              <w:t>56</w:t>
            </w:r>
          </w:p>
        </w:tc>
      </w:tr>
      <w:tr w:rsidR="00A325C8" w:rsidRPr="00691ABD" w14:paraId="69AC5130"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AAAD1DE" w14:textId="77777777" w:rsidR="00A325C8" w:rsidRPr="00691ABD" w:rsidRDefault="00A325C8" w:rsidP="001E39EE">
            <w:pPr>
              <w:jc w:val="left"/>
              <w:rPr>
                <w:sz w:val="20"/>
                <w:szCs w:val="20"/>
                <w:lang w:val="fr-CA" w:eastAsia="en-CA"/>
              </w:rPr>
            </w:pPr>
            <w:r>
              <w:rPr>
                <w:sz w:val="20"/>
                <w:szCs w:val="20"/>
                <w:lang w:val="fr-CA" w:eastAsia="en-CA"/>
              </w:rPr>
              <w:t>Kirghizistan</w:t>
            </w:r>
          </w:p>
        </w:tc>
        <w:tc>
          <w:tcPr>
            <w:tcW w:w="1295" w:type="dxa"/>
            <w:tcBorders>
              <w:top w:val="nil"/>
              <w:left w:val="nil"/>
              <w:bottom w:val="single" w:sz="4" w:space="0" w:color="auto"/>
              <w:right w:val="single" w:sz="4" w:space="0" w:color="auto"/>
            </w:tcBorders>
            <w:shd w:val="clear" w:color="auto" w:fill="auto"/>
            <w:noWrap/>
            <w:hideMark/>
          </w:tcPr>
          <w:p w14:paraId="5641D7DC"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37030530" w14:textId="77777777" w:rsidR="00A325C8" w:rsidRPr="00691ABD" w:rsidRDefault="00A325C8" w:rsidP="001E39EE">
            <w:pPr>
              <w:jc w:val="right"/>
              <w:rPr>
                <w:sz w:val="20"/>
                <w:szCs w:val="20"/>
                <w:lang w:val="fr-CA" w:eastAsia="en-CA"/>
              </w:rPr>
            </w:pPr>
            <w:r w:rsidRPr="00691ABD">
              <w:rPr>
                <w:sz w:val="20"/>
                <w:szCs w:val="20"/>
                <w:lang w:val="fr-CA" w:eastAsia="en-CA"/>
              </w:rPr>
              <w:t>799</w:t>
            </w:r>
            <w:r>
              <w:rPr>
                <w:sz w:val="20"/>
                <w:szCs w:val="20"/>
                <w:lang w:val="fr-CA" w:eastAsia="en-CA"/>
              </w:rPr>
              <w:t xml:space="preserve"> </w:t>
            </w:r>
            <w:r w:rsidRPr="00691ABD">
              <w:rPr>
                <w:sz w:val="20"/>
                <w:szCs w:val="20"/>
                <w:lang w:val="fr-CA" w:eastAsia="en-CA"/>
              </w:rPr>
              <w:t>922</w:t>
            </w:r>
          </w:p>
        </w:tc>
        <w:tc>
          <w:tcPr>
            <w:tcW w:w="1276" w:type="dxa"/>
            <w:tcBorders>
              <w:top w:val="nil"/>
              <w:left w:val="nil"/>
              <w:bottom w:val="single" w:sz="4" w:space="0" w:color="auto"/>
              <w:right w:val="single" w:sz="4" w:space="0" w:color="auto"/>
            </w:tcBorders>
            <w:shd w:val="clear" w:color="auto" w:fill="auto"/>
            <w:noWrap/>
            <w:hideMark/>
          </w:tcPr>
          <w:p w14:paraId="09EADC5B" w14:textId="77777777" w:rsidR="00A325C8" w:rsidRPr="00691ABD" w:rsidRDefault="00A325C8" w:rsidP="001E39EE">
            <w:pPr>
              <w:jc w:val="right"/>
              <w:rPr>
                <w:sz w:val="20"/>
                <w:szCs w:val="20"/>
                <w:lang w:val="fr-CA" w:eastAsia="en-CA"/>
              </w:rPr>
            </w:pPr>
            <w:r w:rsidRPr="00691ABD">
              <w:rPr>
                <w:sz w:val="20"/>
                <w:szCs w:val="20"/>
                <w:lang w:val="fr-CA" w:eastAsia="en-CA"/>
              </w:rPr>
              <w:t>568</w:t>
            </w:r>
            <w:r>
              <w:rPr>
                <w:sz w:val="20"/>
                <w:szCs w:val="20"/>
                <w:lang w:val="fr-CA" w:eastAsia="en-CA"/>
              </w:rPr>
              <w:t xml:space="preserve"> </w:t>
            </w:r>
            <w:r w:rsidRPr="00691ABD">
              <w:rPr>
                <w:sz w:val="20"/>
                <w:szCs w:val="20"/>
                <w:lang w:val="fr-CA" w:eastAsia="en-CA"/>
              </w:rPr>
              <w:t>846</w:t>
            </w:r>
          </w:p>
        </w:tc>
        <w:tc>
          <w:tcPr>
            <w:tcW w:w="1250" w:type="dxa"/>
            <w:tcBorders>
              <w:top w:val="nil"/>
              <w:left w:val="nil"/>
              <w:bottom w:val="single" w:sz="4" w:space="0" w:color="auto"/>
              <w:right w:val="single" w:sz="4" w:space="0" w:color="auto"/>
            </w:tcBorders>
            <w:shd w:val="clear" w:color="auto" w:fill="auto"/>
            <w:noWrap/>
            <w:hideMark/>
          </w:tcPr>
          <w:p w14:paraId="12144157" w14:textId="77777777" w:rsidR="00A325C8" w:rsidRPr="00691ABD" w:rsidRDefault="00A325C8" w:rsidP="001E39EE">
            <w:pPr>
              <w:jc w:val="right"/>
              <w:rPr>
                <w:sz w:val="20"/>
                <w:szCs w:val="20"/>
                <w:lang w:val="fr-CA" w:eastAsia="en-CA"/>
              </w:rPr>
            </w:pPr>
            <w:r w:rsidRPr="00691ABD">
              <w:rPr>
                <w:sz w:val="20"/>
                <w:szCs w:val="20"/>
                <w:lang w:val="fr-CA" w:eastAsia="en-CA"/>
              </w:rPr>
              <w:t>231</w:t>
            </w:r>
            <w:r>
              <w:rPr>
                <w:sz w:val="20"/>
                <w:szCs w:val="20"/>
                <w:lang w:val="fr-CA" w:eastAsia="en-CA"/>
              </w:rPr>
              <w:t xml:space="preserve"> </w:t>
            </w:r>
            <w:r w:rsidRPr="00691ABD">
              <w:rPr>
                <w:sz w:val="20"/>
                <w:szCs w:val="20"/>
                <w:lang w:val="fr-CA" w:eastAsia="en-CA"/>
              </w:rPr>
              <w:t>076</w:t>
            </w:r>
          </w:p>
        </w:tc>
        <w:tc>
          <w:tcPr>
            <w:tcW w:w="1050" w:type="dxa"/>
            <w:tcBorders>
              <w:top w:val="nil"/>
              <w:left w:val="nil"/>
              <w:bottom w:val="single" w:sz="4" w:space="0" w:color="auto"/>
              <w:right w:val="single" w:sz="4" w:space="0" w:color="auto"/>
            </w:tcBorders>
            <w:shd w:val="clear" w:color="auto" w:fill="auto"/>
            <w:noWrap/>
            <w:hideMark/>
          </w:tcPr>
          <w:p w14:paraId="2E1B5583" w14:textId="77777777" w:rsidR="00A325C8" w:rsidRPr="00691ABD" w:rsidRDefault="00A325C8" w:rsidP="001E39EE">
            <w:pPr>
              <w:jc w:val="right"/>
              <w:rPr>
                <w:sz w:val="20"/>
                <w:szCs w:val="20"/>
                <w:lang w:val="fr-CA" w:eastAsia="en-CA"/>
              </w:rPr>
            </w:pPr>
            <w:r w:rsidRPr="00691ABD">
              <w:rPr>
                <w:sz w:val="20"/>
                <w:szCs w:val="20"/>
                <w:lang w:val="fr-CA" w:eastAsia="en-CA"/>
              </w:rPr>
              <w:t>71</w:t>
            </w:r>
          </w:p>
        </w:tc>
      </w:tr>
      <w:tr w:rsidR="00A325C8" w:rsidRPr="00691ABD" w14:paraId="7DB3ABB9"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2B38D09" w14:textId="77777777" w:rsidR="00A325C8" w:rsidRPr="00691ABD" w:rsidRDefault="00A325C8" w:rsidP="001E39EE">
            <w:pPr>
              <w:jc w:val="left"/>
              <w:rPr>
                <w:sz w:val="20"/>
                <w:szCs w:val="20"/>
                <w:lang w:val="fr-CA" w:eastAsia="en-CA"/>
              </w:rPr>
            </w:pPr>
            <w:r w:rsidRPr="00691ABD">
              <w:rPr>
                <w:sz w:val="20"/>
                <w:szCs w:val="20"/>
                <w:lang w:val="fr-CA" w:eastAsia="en-CA"/>
              </w:rPr>
              <w:t>Kiribati</w:t>
            </w:r>
          </w:p>
        </w:tc>
        <w:tc>
          <w:tcPr>
            <w:tcW w:w="1295" w:type="dxa"/>
            <w:tcBorders>
              <w:top w:val="nil"/>
              <w:left w:val="nil"/>
              <w:bottom w:val="single" w:sz="4" w:space="0" w:color="auto"/>
              <w:right w:val="single" w:sz="4" w:space="0" w:color="auto"/>
            </w:tcBorders>
            <w:shd w:val="clear" w:color="auto" w:fill="auto"/>
            <w:noWrap/>
            <w:hideMark/>
          </w:tcPr>
          <w:p w14:paraId="0D3649A5"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76B3FB55" w14:textId="77777777" w:rsidR="00A325C8" w:rsidRPr="00691ABD" w:rsidRDefault="00A325C8" w:rsidP="001E39EE">
            <w:pPr>
              <w:jc w:val="right"/>
              <w:rPr>
                <w:sz w:val="20"/>
                <w:szCs w:val="20"/>
                <w:lang w:val="fr-CA" w:eastAsia="en-CA"/>
              </w:rPr>
            </w:pPr>
            <w:r w:rsidRPr="00691ABD">
              <w:rPr>
                <w:sz w:val="20"/>
                <w:szCs w:val="20"/>
                <w:lang w:val="fr-CA" w:eastAsia="en-CA"/>
              </w:rPr>
              <w:t>310</w:t>
            </w:r>
            <w:r>
              <w:rPr>
                <w:sz w:val="20"/>
                <w:szCs w:val="20"/>
                <w:lang w:val="fr-CA" w:eastAsia="en-CA"/>
              </w:rPr>
              <w:t xml:space="preserve"> </w:t>
            </w:r>
            <w:r w:rsidRPr="00691ABD">
              <w:rPr>
                <w:sz w:val="20"/>
                <w:szCs w:val="20"/>
                <w:lang w:val="fr-CA" w:eastAsia="en-CA"/>
              </w:rPr>
              <w:t>600</w:t>
            </w:r>
          </w:p>
        </w:tc>
        <w:tc>
          <w:tcPr>
            <w:tcW w:w="1276" w:type="dxa"/>
            <w:tcBorders>
              <w:top w:val="nil"/>
              <w:left w:val="nil"/>
              <w:bottom w:val="single" w:sz="4" w:space="0" w:color="auto"/>
              <w:right w:val="single" w:sz="4" w:space="0" w:color="auto"/>
            </w:tcBorders>
            <w:shd w:val="clear" w:color="auto" w:fill="auto"/>
            <w:noWrap/>
            <w:hideMark/>
          </w:tcPr>
          <w:p w14:paraId="71BDD527" w14:textId="77777777" w:rsidR="00A325C8" w:rsidRPr="00691ABD" w:rsidRDefault="00A325C8" w:rsidP="001E39EE">
            <w:pPr>
              <w:jc w:val="right"/>
              <w:rPr>
                <w:sz w:val="20"/>
                <w:szCs w:val="20"/>
                <w:lang w:val="fr-CA" w:eastAsia="en-CA"/>
              </w:rPr>
            </w:pPr>
            <w:r w:rsidRPr="00691ABD">
              <w:rPr>
                <w:sz w:val="20"/>
                <w:szCs w:val="20"/>
                <w:lang w:val="fr-CA" w:eastAsia="en-CA"/>
              </w:rPr>
              <w:t>82</w:t>
            </w:r>
            <w:r>
              <w:rPr>
                <w:sz w:val="20"/>
                <w:szCs w:val="20"/>
                <w:lang w:val="fr-CA" w:eastAsia="en-CA"/>
              </w:rPr>
              <w:t xml:space="preserve"> </w:t>
            </w:r>
            <w:r w:rsidRPr="00691ABD">
              <w:rPr>
                <w:sz w:val="20"/>
                <w:szCs w:val="20"/>
                <w:lang w:val="fr-CA" w:eastAsia="en-CA"/>
              </w:rPr>
              <w:t>259</w:t>
            </w:r>
          </w:p>
        </w:tc>
        <w:tc>
          <w:tcPr>
            <w:tcW w:w="1250" w:type="dxa"/>
            <w:tcBorders>
              <w:top w:val="nil"/>
              <w:left w:val="nil"/>
              <w:bottom w:val="single" w:sz="4" w:space="0" w:color="auto"/>
              <w:right w:val="single" w:sz="4" w:space="0" w:color="auto"/>
            </w:tcBorders>
            <w:shd w:val="clear" w:color="auto" w:fill="auto"/>
            <w:noWrap/>
            <w:hideMark/>
          </w:tcPr>
          <w:p w14:paraId="1AA71AF4" w14:textId="77777777" w:rsidR="00A325C8" w:rsidRPr="00691ABD" w:rsidRDefault="00A325C8" w:rsidP="001E39EE">
            <w:pPr>
              <w:jc w:val="right"/>
              <w:rPr>
                <w:sz w:val="20"/>
                <w:szCs w:val="20"/>
                <w:lang w:val="fr-CA" w:eastAsia="en-CA"/>
              </w:rPr>
            </w:pPr>
            <w:r w:rsidRPr="00691ABD">
              <w:rPr>
                <w:sz w:val="20"/>
                <w:szCs w:val="20"/>
                <w:lang w:val="fr-CA" w:eastAsia="en-CA"/>
              </w:rPr>
              <w:t>228</w:t>
            </w:r>
            <w:r>
              <w:rPr>
                <w:sz w:val="20"/>
                <w:szCs w:val="20"/>
                <w:lang w:val="fr-CA" w:eastAsia="en-CA"/>
              </w:rPr>
              <w:t xml:space="preserve"> </w:t>
            </w:r>
            <w:r w:rsidRPr="00691ABD">
              <w:rPr>
                <w:sz w:val="20"/>
                <w:szCs w:val="20"/>
                <w:lang w:val="fr-CA" w:eastAsia="en-CA"/>
              </w:rPr>
              <w:t>341</w:t>
            </w:r>
          </w:p>
        </w:tc>
        <w:tc>
          <w:tcPr>
            <w:tcW w:w="1050" w:type="dxa"/>
            <w:tcBorders>
              <w:top w:val="nil"/>
              <w:left w:val="nil"/>
              <w:bottom w:val="single" w:sz="4" w:space="0" w:color="auto"/>
              <w:right w:val="single" w:sz="4" w:space="0" w:color="auto"/>
            </w:tcBorders>
            <w:shd w:val="clear" w:color="auto" w:fill="auto"/>
            <w:noWrap/>
            <w:hideMark/>
          </w:tcPr>
          <w:p w14:paraId="17C1B7C4" w14:textId="77777777" w:rsidR="00A325C8" w:rsidRPr="00691ABD" w:rsidRDefault="00A325C8" w:rsidP="001E39EE">
            <w:pPr>
              <w:jc w:val="right"/>
              <w:rPr>
                <w:sz w:val="20"/>
                <w:szCs w:val="20"/>
                <w:lang w:val="fr-CA" w:eastAsia="en-CA"/>
              </w:rPr>
            </w:pPr>
            <w:r w:rsidRPr="00691ABD">
              <w:rPr>
                <w:sz w:val="20"/>
                <w:szCs w:val="20"/>
                <w:lang w:val="fr-CA" w:eastAsia="en-CA"/>
              </w:rPr>
              <w:t>26</w:t>
            </w:r>
          </w:p>
        </w:tc>
      </w:tr>
      <w:tr w:rsidR="00A325C8" w:rsidRPr="00691ABD" w14:paraId="2D44C766"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0CFCA05" w14:textId="77777777" w:rsidR="00A325C8" w:rsidRPr="00691ABD" w:rsidRDefault="00A325C8" w:rsidP="001E39EE">
            <w:pPr>
              <w:jc w:val="left"/>
              <w:rPr>
                <w:sz w:val="20"/>
                <w:szCs w:val="20"/>
                <w:lang w:val="fr-CA" w:eastAsia="en-CA"/>
              </w:rPr>
            </w:pPr>
            <w:r>
              <w:rPr>
                <w:sz w:val="20"/>
                <w:szCs w:val="20"/>
                <w:lang w:val="fr-CA" w:eastAsia="en-CA"/>
              </w:rPr>
              <w:t>Koweït</w:t>
            </w:r>
          </w:p>
        </w:tc>
        <w:tc>
          <w:tcPr>
            <w:tcW w:w="1295" w:type="dxa"/>
            <w:tcBorders>
              <w:top w:val="nil"/>
              <w:left w:val="nil"/>
              <w:bottom w:val="single" w:sz="4" w:space="0" w:color="auto"/>
              <w:right w:val="single" w:sz="4" w:space="0" w:color="auto"/>
            </w:tcBorders>
            <w:shd w:val="clear" w:color="auto" w:fill="auto"/>
            <w:noWrap/>
            <w:hideMark/>
          </w:tcPr>
          <w:p w14:paraId="6E861EB8" w14:textId="77777777" w:rsidR="00A325C8" w:rsidRPr="00691ABD" w:rsidRDefault="00A325C8" w:rsidP="001E39EE">
            <w:pPr>
              <w:jc w:val="right"/>
              <w:rPr>
                <w:sz w:val="20"/>
                <w:szCs w:val="20"/>
                <w:lang w:val="fr-CA" w:eastAsia="en-CA"/>
              </w:rPr>
            </w:pPr>
            <w:r w:rsidRPr="00691ABD">
              <w:rPr>
                <w:sz w:val="20"/>
                <w:szCs w:val="20"/>
                <w:lang w:val="fr-CA" w:eastAsia="en-CA"/>
              </w:rPr>
              <w:t>209</w:t>
            </w:r>
            <w:r>
              <w:rPr>
                <w:sz w:val="20"/>
                <w:szCs w:val="20"/>
                <w:lang w:val="fr-CA" w:eastAsia="en-CA"/>
              </w:rPr>
              <w:t>,</w:t>
            </w:r>
            <w:r w:rsidRPr="00691ABD">
              <w:rPr>
                <w:sz w:val="20"/>
                <w:szCs w:val="20"/>
                <w:lang w:val="fr-CA" w:eastAsia="en-CA"/>
              </w:rPr>
              <w:t>9</w:t>
            </w:r>
          </w:p>
        </w:tc>
        <w:tc>
          <w:tcPr>
            <w:tcW w:w="1275" w:type="dxa"/>
            <w:tcBorders>
              <w:top w:val="nil"/>
              <w:left w:val="nil"/>
              <w:bottom w:val="single" w:sz="4" w:space="0" w:color="auto"/>
              <w:right w:val="single" w:sz="4" w:space="0" w:color="auto"/>
            </w:tcBorders>
            <w:shd w:val="clear" w:color="auto" w:fill="auto"/>
            <w:noWrap/>
            <w:hideMark/>
          </w:tcPr>
          <w:p w14:paraId="2A557141" w14:textId="77777777" w:rsidR="00A325C8" w:rsidRPr="00691ABD" w:rsidRDefault="00A325C8" w:rsidP="001E39EE">
            <w:pPr>
              <w:jc w:val="right"/>
              <w:rPr>
                <w:sz w:val="20"/>
                <w:szCs w:val="20"/>
                <w:lang w:val="fr-CA" w:eastAsia="en-CA"/>
              </w:rPr>
            </w:pPr>
            <w:r w:rsidRPr="00691ABD">
              <w:rPr>
                <w:sz w:val="20"/>
                <w:szCs w:val="20"/>
                <w:lang w:val="fr-CA" w:eastAsia="en-CA"/>
              </w:rPr>
              <w:t>8</w:t>
            </w:r>
            <w:r>
              <w:rPr>
                <w:sz w:val="20"/>
                <w:szCs w:val="20"/>
                <w:lang w:val="fr-CA" w:eastAsia="en-CA"/>
              </w:rPr>
              <w:t xml:space="preserve"> </w:t>
            </w:r>
            <w:r w:rsidRPr="00691ABD">
              <w:rPr>
                <w:sz w:val="20"/>
                <w:szCs w:val="20"/>
                <w:lang w:val="fr-CA" w:eastAsia="en-CA"/>
              </w:rPr>
              <w:t>555</w:t>
            </w:r>
            <w:r>
              <w:rPr>
                <w:sz w:val="20"/>
                <w:szCs w:val="20"/>
                <w:lang w:val="fr-CA" w:eastAsia="en-CA"/>
              </w:rPr>
              <w:t xml:space="preserve"> </w:t>
            </w:r>
            <w:r w:rsidRPr="00691ABD">
              <w:rPr>
                <w:sz w:val="20"/>
                <w:szCs w:val="20"/>
                <w:lang w:val="fr-CA" w:eastAsia="en-CA"/>
              </w:rPr>
              <w:t>223</w:t>
            </w:r>
          </w:p>
        </w:tc>
        <w:tc>
          <w:tcPr>
            <w:tcW w:w="1276" w:type="dxa"/>
            <w:tcBorders>
              <w:top w:val="nil"/>
              <w:left w:val="nil"/>
              <w:bottom w:val="single" w:sz="4" w:space="0" w:color="auto"/>
              <w:right w:val="single" w:sz="4" w:space="0" w:color="auto"/>
            </w:tcBorders>
            <w:shd w:val="clear" w:color="auto" w:fill="auto"/>
            <w:noWrap/>
            <w:hideMark/>
          </w:tcPr>
          <w:p w14:paraId="2AE6A08F" w14:textId="77777777" w:rsidR="00A325C8" w:rsidRPr="00691ABD" w:rsidRDefault="00A325C8" w:rsidP="001E39EE">
            <w:pPr>
              <w:jc w:val="right"/>
              <w:rPr>
                <w:sz w:val="20"/>
                <w:szCs w:val="20"/>
                <w:lang w:val="fr-CA" w:eastAsia="en-CA"/>
              </w:rPr>
            </w:pPr>
            <w:r w:rsidRPr="00691ABD">
              <w:rPr>
                <w:sz w:val="20"/>
                <w:szCs w:val="20"/>
                <w:lang w:val="fr-CA" w:eastAsia="en-CA"/>
              </w:rPr>
              <w:t>6</w:t>
            </w:r>
            <w:r>
              <w:rPr>
                <w:sz w:val="20"/>
                <w:szCs w:val="20"/>
                <w:lang w:val="fr-CA" w:eastAsia="en-CA"/>
              </w:rPr>
              <w:t xml:space="preserve"> </w:t>
            </w:r>
            <w:r w:rsidRPr="00691ABD">
              <w:rPr>
                <w:sz w:val="20"/>
                <w:szCs w:val="20"/>
                <w:lang w:val="fr-CA" w:eastAsia="en-CA"/>
              </w:rPr>
              <w:t>257</w:t>
            </w:r>
            <w:r>
              <w:rPr>
                <w:sz w:val="20"/>
                <w:szCs w:val="20"/>
                <w:lang w:val="fr-CA" w:eastAsia="en-CA"/>
              </w:rPr>
              <w:t xml:space="preserve"> </w:t>
            </w:r>
            <w:r w:rsidRPr="00691ABD">
              <w:rPr>
                <w:sz w:val="20"/>
                <w:szCs w:val="20"/>
                <w:lang w:val="fr-CA" w:eastAsia="en-CA"/>
              </w:rPr>
              <w:t>331</w:t>
            </w:r>
          </w:p>
        </w:tc>
        <w:tc>
          <w:tcPr>
            <w:tcW w:w="1250" w:type="dxa"/>
            <w:tcBorders>
              <w:top w:val="nil"/>
              <w:left w:val="nil"/>
              <w:bottom w:val="single" w:sz="4" w:space="0" w:color="auto"/>
              <w:right w:val="single" w:sz="4" w:space="0" w:color="auto"/>
            </w:tcBorders>
            <w:shd w:val="clear" w:color="auto" w:fill="auto"/>
            <w:noWrap/>
            <w:hideMark/>
          </w:tcPr>
          <w:p w14:paraId="6CAA4E89"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297</w:t>
            </w:r>
            <w:r>
              <w:rPr>
                <w:sz w:val="20"/>
                <w:szCs w:val="20"/>
                <w:lang w:val="fr-CA" w:eastAsia="en-CA"/>
              </w:rPr>
              <w:t xml:space="preserve"> </w:t>
            </w:r>
            <w:r w:rsidRPr="00691ABD">
              <w:rPr>
                <w:sz w:val="20"/>
                <w:szCs w:val="20"/>
                <w:lang w:val="fr-CA" w:eastAsia="en-CA"/>
              </w:rPr>
              <w:t>892</w:t>
            </w:r>
          </w:p>
        </w:tc>
        <w:tc>
          <w:tcPr>
            <w:tcW w:w="1050" w:type="dxa"/>
            <w:tcBorders>
              <w:top w:val="nil"/>
              <w:left w:val="nil"/>
              <w:bottom w:val="single" w:sz="4" w:space="0" w:color="auto"/>
              <w:right w:val="single" w:sz="4" w:space="0" w:color="auto"/>
            </w:tcBorders>
            <w:shd w:val="clear" w:color="auto" w:fill="auto"/>
            <w:noWrap/>
            <w:hideMark/>
          </w:tcPr>
          <w:p w14:paraId="5C93CDA3" w14:textId="77777777" w:rsidR="00A325C8" w:rsidRPr="00691ABD" w:rsidRDefault="00A325C8" w:rsidP="001E39EE">
            <w:pPr>
              <w:jc w:val="right"/>
              <w:rPr>
                <w:sz w:val="20"/>
                <w:szCs w:val="20"/>
                <w:lang w:val="fr-CA" w:eastAsia="en-CA"/>
              </w:rPr>
            </w:pPr>
            <w:r w:rsidRPr="00691ABD">
              <w:rPr>
                <w:sz w:val="20"/>
                <w:szCs w:val="20"/>
                <w:lang w:val="fr-CA" w:eastAsia="en-CA"/>
              </w:rPr>
              <w:t>73</w:t>
            </w:r>
          </w:p>
        </w:tc>
      </w:tr>
      <w:tr w:rsidR="00A325C8" w:rsidRPr="00691ABD" w14:paraId="48D87305" w14:textId="77777777" w:rsidTr="00691ABD">
        <w:trPr>
          <w:trHeight w:val="82"/>
        </w:trPr>
        <w:tc>
          <w:tcPr>
            <w:tcW w:w="3828" w:type="dxa"/>
            <w:tcBorders>
              <w:top w:val="nil"/>
              <w:left w:val="single" w:sz="4" w:space="0" w:color="auto"/>
              <w:bottom w:val="single" w:sz="4" w:space="0" w:color="auto"/>
              <w:right w:val="single" w:sz="4" w:space="0" w:color="auto"/>
            </w:tcBorders>
            <w:shd w:val="clear" w:color="auto" w:fill="auto"/>
            <w:noWrap/>
            <w:hideMark/>
          </w:tcPr>
          <w:p w14:paraId="42A25E16" w14:textId="77777777" w:rsidR="00A325C8" w:rsidRPr="00691ABD" w:rsidRDefault="00A325C8" w:rsidP="001E39EE">
            <w:pPr>
              <w:jc w:val="left"/>
              <w:rPr>
                <w:sz w:val="20"/>
                <w:szCs w:val="20"/>
                <w:lang w:val="fr-CA" w:eastAsia="en-CA"/>
              </w:rPr>
            </w:pPr>
            <w:r w:rsidRPr="00691ABD">
              <w:rPr>
                <w:sz w:val="20"/>
                <w:szCs w:val="20"/>
                <w:lang w:val="fr-CA" w:eastAsia="en-CA"/>
              </w:rPr>
              <w:t>Lesotho</w:t>
            </w:r>
          </w:p>
        </w:tc>
        <w:tc>
          <w:tcPr>
            <w:tcW w:w="1295" w:type="dxa"/>
            <w:tcBorders>
              <w:top w:val="nil"/>
              <w:left w:val="nil"/>
              <w:bottom w:val="single" w:sz="4" w:space="0" w:color="auto"/>
              <w:right w:val="single" w:sz="4" w:space="0" w:color="auto"/>
            </w:tcBorders>
            <w:shd w:val="clear" w:color="auto" w:fill="auto"/>
            <w:noWrap/>
            <w:hideMark/>
          </w:tcPr>
          <w:p w14:paraId="6A003726"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25509FBF" w14:textId="77777777" w:rsidR="00A325C8" w:rsidRPr="00691ABD" w:rsidRDefault="00A325C8" w:rsidP="001E39EE">
            <w:pPr>
              <w:jc w:val="right"/>
              <w:rPr>
                <w:sz w:val="20"/>
                <w:szCs w:val="20"/>
                <w:lang w:val="fr-CA" w:eastAsia="en-CA"/>
              </w:rPr>
            </w:pPr>
            <w:r w:rsidRPr="00691ABD">
              <w:rPr>
                <w:sz w:val="20"/>
                <w:szCs w:val="20"/>
                <w:lang w:val="fr-CA" w:eastAsia="en-CA"/>
              </w:rPr>
              <w:t>280</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210D2E4B" w14:textId="77777777" w:rsidR="00A325C8" w:rsidRPr="00691ABD" w:rsidRDefault="00A325C8" w:rsidP="001E39EE">
            <w:pPr>
              <w:jc w:val="right"/>
              <w:rPr>
                <w:sz w:val="20"/>
                <w:szCs w:val="20"/>
                <w:lang w:val="fr-CA" w:eastAsia="en-CA"/>
              </w:rPr>
            </w:pPr>
            <w:r w:rsidRPr="00691ABD">
              <w:rPr>
                <w:sz w:val="20"/>
                <w:szCs w:val="20"/>
                <w:lang w:val="fr-CA" w:eastAsia="en-CA"/>
              </w:rPr>
              <w:t>228</w:t>
            </w:r>
            <w:r>
              <w:rPr>
                <w:sz w:val="20"/>
                <w:szCs w:val="20"/>
                <w:lang w:val="fr-CA" w:eastAsia="en-CA"/>
              </w:rPr>
              <w:t xml:space="preserve"> </w:t>
            </w:r>
            <w:r w:rsidRPr="00691ABD">
              <w:rPr>
                <w:sz w:val="20"/>
                <w:szCs w:val="20"/>
                <w:lang w:val="fr-CA" w:eastAsia="en-CA"/>
              </w:rPr>
              <w:t>562</w:t>
            </w:r>
          </w:p>
        </w:tc>
        <w:tc>
          <w:tcPr>
            <w:tcW w:w="1250" w:type="dxa"/>
            <w:tcBorders>
              <w:top w:val="nil"/>
              <w:left w:val="nil"/>
              <w:bottom w:val="single" w:sz="4" w:space="0" w:color="auto"/>
              <w:right w:val="single" w:sz="4" w:space="0" w:color="auto"/>
            </w:tcBorders>
            <w:shd w:val="clear" w:color="auto" w:fill="auto"/>
            <w:noWrap/>
            <w:hideMark/>
          </w:tcPr>
          <w:p w14:paraId="11B5A6CD" w14:textId="77777777" w:rsidR="00A325C8" w:rsidRPr="00691ABD" w:rsidRDefault="00A325C8" w:rsidP="001E39EE">
            <w:pPr>
              <w:jc w:val="right"/>
              <w:rPr>
                <w:sz w:val="20"/>
                <w:szCs w:val="20"/>
                <w:lang w:val="fr-CA" w:eastAsia="en-CA"/>
              </w:rPr>
            </w:pPr>
            <w:r w:rsidRPr="00691ABD">
              <w:rPr>
                <w:sz w:val="20"/>
                <w:szCs w:val="20"/>
                <w:lang w:val="fr-CA" w:eastAsia="en-CA"/>
              </w:rPr>
              <w:t>51</w:t>
            </w:r>
            <w:r>
              <w:rPr>
                <w:sz w:val="20"/>
                <w:szCs w:val="20"/>
                <w:lang w:val="fr-CA" w:eastAsia="en-CA"/>
              </w:rPr>
              <w:t xml:space="preserve"> </w:t>
            </w:r>
            <w:r w:rsidRPr="00691ABD">
              <w:rPr>
                <w:sz w:val="20"/>
                <w:szCs w:val="20"/>
                <w:lang w:val="fr-CA" w:eastAsia="en-CA"/>
              </w:rPr>
              <w:t>438</w:t>
            </w:r>
          </w:p>
        </w:tc>
        <w:tc>
          <w:tcPr>
            <w:tcW w:w="1050" w:type="dxa"/>
            <w:tcBorders>
              <w:top w:val="nil"/>
              <w:left w:val="nil"/>
              <w:bottom w:val="single" w:sz="4" w:space="0" w:color="auto"/>
              <w:right w:val="single" w:sz="4" w:space="0" w:color="auto"/>
            </w:tcBorders>
            <w:shd w:val="clear" w:color="auto" w:fill="auto"/>
            <w:noWrap/>
            <w:hideMark/>
          </w:tcPr>
          <w:p w14:paraId="00CCB8C1" w14:textId="77777777" w:rsidR="00A325C8" w:rsidRPr="00691ABD" w:rsidRDefault="00A325C8" w:rsidP="001E39EE">
            <w:pPr>
              <w:jc w:val="right"/>
              <w:rPr>
                <w:sz w:val="20"/>
                <w:szCs w:val="20"/>
                <w:lang w:val="fr-CA" w:eastAsia="en-CA"/>
              </w:rPr>
            </w:pPr>
            <w:r w:rsidRPr="00691ABD">
              <w:rPr>
                <w:sz w:val="20"/>
                <w:szCs w:val="20"/>
                <w:lang w:val="fr-CA" w:eastAsia="en-CA"/>
              </w:rPr>
              <w:t>82</w:t>
            </w:r>
          </w:p>
        </w:tc>
      </w:tr>
      <w:tr w:rsidR="00A325C8" w:rsidRPr="00691ABD" w14:paraId="7D811DE8"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2C1556B" w14:textId="77777777" w:rsidR="00A325C8" w:rsidRPr="00691ABD" w:rsidRDefault="00A325C8" w:rsidP="001E39EE">
            <w:pPr>
              <w:jc w:val="left"/>
              <w:rPr>
                <w:sz w:val="20"/>
                <w:szCs w:val="20"/>
                <w:lang w:val="fr-CA" w:eastAsia="en-CA"/>
              </w:rPr>
            </w:pPr>
            <w:r>
              <w:rPr>
                <w:sz w:val="20"/>
                <w:szCs w:val="20"/>
                <w:lang w:val="fr-CA" w:eastAsia="en-CA"/>
              </w:rPr>
              <w:t>Liban</w:t>
            </w:r>
          </w:p>
        </w:tc>
        <w:tc>
          <w:tcPr>
            <w:tcW w:w="1295" w:type="dxa"/>
            <w:tcBorders>
              <w:top w:val="nil"/>
              <w:left w:val="nil"/>
              <w:bottom w:val="single" w:sz="4" w:space="0" w:color="auto"/>
              <w:right w:val="single" w:sz="4" w:space="0" w:color="auto"/>
            </w:tcBorders>
            <w:shd w:val="clear" w:color="auto" w:fill="auto"/>
            <w:noWrap/>
            <w:hideMark/>
          </w:tcPr>
          <w:p w14:paraId="3DF6BD91" w14:textId="77777777" w:rsidR="00A325C8" w:rsidRPr="00691ABD" w:rsidRDefault="00A325C8" w:rsidP="001E39EE">
            <w:pPr>
              <w:jc w:val="right"/>
              <w:rPr>
                <w:sz w:val="20"/>
                <w:szCs w:val="20"/>
                <w:lang w:val="fr-CA" w:eastAsia="en-CA"/>
              </w:rPr>
            </w:pPr>
            <w:r w:rsidRPr="00691ABD">
              <w:rPr>
                <w:sz w:val="20"/>
                <w:szCs w:val="20"/>
                <w:lang w:val="fr-CA" w:eastAsia="en-CA"/>
              </w:rPr>
              <w:t>68</w:t>
            </w:r>
            <w:r>
              <w:rPr>
                <w:sz w:val="20"/>
                <w:szCs w:val="20"/>
                <w:lang w:val="fr-CA" w:eastAsia="en-CA"/>
              </w:rPr>
              <w:t>,</w:t>
            </w:r>
            <w:r w:rsidRPr="00691ABD">
              <w:rPr>
                <w:sz w:val="20"/>
                <w:szCs w:val="20"/>
                <w:lang w:val="fr-CA" w:eastAsia="en-CA"/>
              </w:rPr>
              <w:t>7</w:t>
            </w:r>
          </w:p>
        </w:tc>
        <w:tc>
          <w:tcPr>
            <w:tcW w:w="1275" w:type="dxa"/>
            <w:tcBorders>
              <w:top w:val="nil"/>
              <w:left w:val="nil"/>
              <w:bottom w:val="single" w:sz="4" w:space="0" w:color="auto"/>
              <w:right w:val="single" w:sz="4" w:space="0" w:color="auto"/>
            </w:tcBorders>
            <w:shd w:val="clear" w:color="auto" w:fill="auto"/>
            <w:noWrap/>
            <w:hideMark/>
          </w:tcPr>
          <w:p w14:paraId="3DD33965" w14:textId="77777777" w:rsidR="00A325C8" w:rsidRPr="00691ABD" w:rsidRDefault="00A325C8" w:rsidP="001E39EE">
            <w:pPr>
              <w:jc w:val="right"/>
              <w:rPr>
                <w:sz w:val="20"/>
                <w:szCs w:val="20"/>
                <w:lang w:val="fr-CA" w:eastAsia="en-CA"/>
              </w:rPr>
            </w:pPr>
            <w:r w:rsidRPr="00691ABD">
              <w:rPr>
                <w:sz w:val="20"/>
                <w:szCs w:val="20"/>
                <w:lang w:val="fr-CA" w:eastAsia="en-CA"/>
              </w:rPr>
              <w:t>6</w:t>
            </w:r>
            <w:r>
              <w:rPr>
                <w:sz w:val="20"/>
                <w:szCs w:val="20"/>
                <w:lang w:val="fr-CA" w:eastAsia="en-CA"/>
              </w:rPr>
              <w:t xml:space="preserve"> </w:t>
            </w:r>
            <w:r w:rsidRPr="00691ABD">
              <w:rPr>
                <w:sz w:val="20"/>
                <w:szCs w:val="20"/>
                <w:lang w:val="fr-CA" w:eastAsia="en-CA"/>
              </w:rPr>
              <w:t>439</w:t>
            </w:r>
            <w:r>
              <w:rPr>
                <w:sz w:val="20"/>
                <w:szCs w:val="20"/>
                <w:lang w:val="fr-CA" w:eastAsia="en-CA"/>
              </w:rPr>
              <w:t xml:space="preserve"> </w:t>
            </w:r>
            <w:r w:rsidRPr="00691ABD">
              <w:rPr>
                <w:sz w:val="20"/>
                <w:szCs w:val="20"/>
                <w:lang w:val="fr-CA" w:eastAsia="en-CA"/>
              </w:rPr>
              <w:t>571</w:t>
            </w:r>
          </w:p>
        </w:tc>
        <w:tc>
          <w:tcPr>
            <w:tcW w:w="1276" w:type="dxa"/>
            <w:tcBorders>
              <w:top w:val="nil"/>
              <w:left w:val="nil"/>
              <w:bottom w:val="single" w:sz="4" w:space="0" w:color="auto"/>
              <w:right w:val="single" w:sz="4" w:space="0" w:color="auto"/>
            </w:tcBorders>
            <w:shd w:val="clear" w:color="auto" w:fill="auto"/>
            <w:noWrap/>
            <w:hideMark/>
          </w:tcPr>
          <w:p w14:paraId="6B4DA9BC"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 xml:space="preserve"> </w:t>
            </w:r>
            <w:r w:rsidRPr="00691ABD">
              <w:rPr>
                <w:sz w:val="20"/>
                <w:szCs w:val="20"/>
                <w:lang w:val="fr-CA" w:eastAsia="en-CA"/>
              </w:rPr>
              <w:t>695</w:t>
            </w:r>
            <w:r>
              <w:rPr>
                <w:sz w:val="20"/>
                <w:szCs w:val="20"/>
                <w:lang w:val="fr-CA" w:eastAsia="en-CA"/>
              </w:rPr>
              <w:t xml:space="preserve"> </w:t>
            </w:r>
            <w:r w:rsidRPr="00691ABD">
              <w:rPr>
                <w:sz w:val="20"/>
                <w:szCs w:val="20"/>
                <w:lang w:val="fr-CA" w:eastAsia="en-CA"/>
              </w:rPr>
              <w:t>048</w:t>
            </w:r>
          </w:p>
        </w:tc>
        <w:tc>
          <w:tcPr>
            <w:tcW w:w="1250" w:type="dxa"/>
            <w:tcBorders>
              <w:top w:val="nil"/>
              <w:left w:val="nil"/>
              <w:bottom w:val="single" w:sz="4" w:space="0" w:color="auto"/>
              <w:right w:val="single" w:sz="4" w:space="0" w:color="auto"/>
            </w:tcBorders>
            <w:shd w:val="clear" w:color="auto" w:fill="auto"/>
            <w:noWrap/>
            <w:hideMark/>
          </w:tcPr>
          <w:p w14:paraId="1D758D88" w14:textId="77777777" w:rsidR="00A325C8" w:rsidRPr="00691ABD" w:rsidRDefault="00A325C8" w:rsidP="001E39EE">
            <w:pPr>
              <w:jc w:val="right"/>
              <w:rPr>
                <w:sz w:val="20"/>
                <w:szCs w:val="20"/>
                <w:lang w:val="fr-CA" w:eastAsia="en-CA"/>
              </w:rPr>
            </w:pPr>
            <w:r w:rsidRPr="00691ABD">
              <w:rPr>
                <w:sz w:val="20"/>
                <w:szCs w:val="20"/>
                <w:lang w:val="fr-CA" w:eastAsia="en-CA"/>
              </w:rPr>
              <w:t>744</w:t>
            </w:r>
            <w:r>
              <w:rPr>
                <w:sz w:val="20"/>
                <w:szCs w:val="20"/>
                <w:lang w:val="fr-CA" w:eastAsia="en-CA"/>
              </w:rPr>
              <w:t xml:space="preserve"> </w:t>
            </w:r>
            <w:r w:rsidRPr="00691ABD">
              <w:rPr>
                <w:sz w:val="20"/>
                <w:szCs w:val="20"/>
                <w:lang w:val="fr-CA" w:eastAsia="en-CA"/>
              </w:rPr>
              <w:t>523</w:t>
            </w:r>
          </w:p>
        </w:tc>
        <w:tc>
          <w:tcPr>
            <w:tcW w:w="1050" w:type="dxa"/>
            <w:tcBorders>
              <w:top w:val="nil"/>
              <w:left w:val="nil"/>
              <w:bottom w:val="single" w:sz="4" w:space="0" w:color="auto"/>
              <w:right w:val="single" w:sz="4" w:space="0" w:color="auto"/>
            </w:tcBorders>
            <w:shd w:val="clear" w:color="auto" w:fill="auto"/>
            <w:noWrap/>
            <w:hideMark/>
          </w:tcPr>
          <w:p w14:paraId="41C3542D" w14:textId="77777777" w:rsidR="00A325C8" w:rsidRPr="00691ABD" w:rsidRDefault="00A325C8" w:rsidP="001E39EE">
            <w:pPr>
              <w:jc w:val="right"/>
              <w:rPr>
                <w:sz w:val="20"/>
                <w:szCs w:val="20"/>
                <w:lang w:val="fr-CA" w:eastAsia="en-CA"/>
              </w:rPr>
            </w:pPr>
            <w:r w:rsidRPr="00691ABD">
              <w:rPr>
                <w:sz w:val="20"/>
                <w:szCs w:val="20"/>
                <w:lang w:val="fr-CA" w:eastAsia="en-CA"/>
              </w:rPr>
              <w:t>88</w:t>
            </w:r>
          </w:p>
        </w:tc>
      </w:tr>
      <w:tr w:rsidR="00A325C8" w:rsidRPr="00691ABD" w14:paraId="3A4F835F"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D654C22" w14:textId="77777777" w:rsidR="00A325C8" w:rsidRPr="00691ABD" w:rsidRDefault="00A325C8" w:rsidP="001E39EE">
            <w:pPr>
              <w:jc w:val="left"/>
              <w:rPr>
                <w:sz w:val="20"/>
                <w:szCs w:val="20"/>
                <w:lang w:val="fr-CA" w:eastAsia="en-CA"/>
              </w:rPr>
            </w:pPr>
            <w:r w:rsidRPr="00691ABD">
              <w:rPr>
                <w:sz w:val="20"/>
                <w:szCs w:val="20"/>
                <w:lang w:val="fr-CA" w:eastAsia="en-CA"/>
              </w:rPr>
              <w:t>Liberia</w:t>
            </w:r>
          </w:p>
        </w:tc>
        <w:tc>
          <w:tcPr>
            <w:tcW w:w="1295" w:type="dxa"/>
            <w:tcBorders>
              <w:top w:val="nil"/>
              <w:left w:val="nil"/>
              <w:bottom w:val="single" w:sz="4" w:space="0" w:color="auto"/>
              <w:right w:val="single" w:sz="4" w:space="0" w:color="auto"/>
            </w:tcBorders>
            <w:shd w:val="clear" w:color="auto" w:fill="auto"/>
            <w:noWrap/>
            <w:hideMark/>
          </w:tcPr>
          <w:p w14:paraId="1226A220"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6F265D12" w14:textId="77777777" w:rsidR="00A325C8" w:rsidRPr="00691ABD" w:rsidRDefault="00A325C8" w:rsidP="001E39EE">
            <w:pPr>
              <w:jc w:val="right"/>
              <w:rPr>
                <w:sz w:val="20"/>
                <w:szCs w:val="20"/>
                <w:lang w:val="fr-CA" w:eastAsia="en-CA"/>
              </w:rPr>
            </w:pPr>
            <w:r w:rsidRPr="00691ABD">
              <w:rPr>
                <w:sz w:val="20"/>
                <w:szCs w:val="20"/>
                <w:lang w:val="fr-CA" w:eastAsia="en-CA"/>
              </w:rPr>
              <w:t>315</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2DCD6544" w14:textId="77777777" w:rsidR="00A325C8" w:rsidRPr="00691ABD" w:rsidRDefault="00A325C8" w:rsidP="001E39EE">
            <w:pPr>
              <w:jc w:val="right"/>
              <w:rPr>
                <w:sz w:val="20"/>
                <w:szCs w:val="20"/>
                <w:lang w:val="fr-CA" w:eastAsia="en-CA"/>
              </w:rPr>
            </w:pPr>
            <w:r w:rsidRPr="00691ABD">
              <w:rPr>
                <w:sz w:val="20"/>
                <w:szCs w:val="20"/>
                <w:lang w:val="fr-CA" w:eastAsia="en-CA"/>
              </w:rPr>
              <w:t>282</w:t>
            </w:r>
            <w:r>
              <w:rPr>
                <w:sz w:val="20"/>
                <w:szCs w:val="20"/>
                <w:lang w:val="fr-CA" w:eastAsia="en-CA"/>
              </w:rPr>
              <w:t xml:space="preserve"> </w:t>
            </w:r>
            <w:r w:rsidRPr="00691ABD">
              <w:rPr>
                <w:sz w:val="20"/>
                <w:szCs w:val="20"/>
                <w:lang w:val="fr-CA" w:eastAsia="en-CA"/>
              </w:rPr>
              <w:t>777</w:t>
            </w:r>
          </w:p>
        </w:tc>
        <w:tc>
          <w:tcPr>
            <w:tcW w:w="1250" w:type="dxa"/>
            <w:tcBorders>
              <w:top w:val="nil"/>
              <w:left w:val="nil"/>
              <w:bottom w:val="single" w:sz="4" w:space="0" w:color="auto"/>
              <w:right w:val="single" w:sz="4" w:space="0" w:color="auto"/>
            </w:tcBorders>
            <w:shd w:val="clear" w:color="auto" w:fill="auto"/>
            <w:noWrap/>
            <w:hideMark/>
          </w:tcPr>
          <w:p w14:paraId="3BB2A092" w14:textId="77777777" w:rsidR="00A325C8" w:rsidRPr="00691ABD" w:rsidRDefault="00A325C8" w:rsidP="001E39EE">
            <w:pPr>
              <w:jc w:val="right"/>
              <w:rPr>
                <w:sz w:val="20"/>
                <w:szCs w:val="20"/>
                <w:lang w:val="fr-CA" w:eastAsia="en-CA"/>
              </w:rPr>
            </w:pPr>
            <w:r w:rsidRPr="00691ABD">
              <w:rPr>
                <w:sz w:val="20"/>
                <w:szCs w:val="20"/>
                <w:lang w:val="fr-CA" w:eastAsia="en-CA"/>
              </w:rPr>
              <w:t>32</w:t>
            </w:r>
            <w:r>
              <w:rPr>
                <w:sz w:val="20"/>
                <w:szCs w:val="20"/>
                <w:lang w:val="fr-CA" w:eastAsia="en-CA"/>
              </w:rPr>
              <w:t xml:space="preserve"> </w:t>
            </w:r>
            <w:r w:rsidRPr="00691ABD">
              <w:rPr>
                <w:sz w:val="20"/>
                <w:szCs w:val="20"/>
                <w:lang w:val="fr-CA" w:eastAsia="en-CA"/>
              </w:rPr>
              <w:t>223</w:t>
            </w:r>
          </w:p>
        </w:tc>
        <w:tc>
          <w:tcPr>
            <w:tcW w:w="1050" w:type="dxa"/>
            <w:tcBorders>
              <w:top w:val="nil"/>
              <w:left w:val="nil"/>
              <w:bottom w:val="single" w:sz="4" w:space="0" w:color="auto"/>
              <w:right w:val="single" w:sz="4" w:space="0" w:color="auto"/>
            </w:tcBorders>
            <w:shd w:val="clear" w:color="auto" w:fill="auto"/>
            <w:noWrap/>
            <w:hideMark/>
          </w:tcPr>
          <w:p w14:paraId="4EC6C3BA" w14:textId="77777777" w:rsidR="00A325C8" w:rsidRPr="00691ABD" w:rsidRDefault="00A325C8" w:rsidP="001E39EE">
            <w:pPr>
              <w:jc w:val="right"/>
              <w:rPr>
                <w:sz w:val="20"/>
                <w:szCs w:val="20"/>
                <w:lang w:val="fr-CA" w:eastAsia="en-CA"/>
              </w:rPr>
            </w:pPr>
            <w:r w:rsidRPr="00691ABD">
              <w:rPr>
                <w:sz w:val="20"/>
                <w:szCs w:val="20"/>
                <w:lang w:val="fr-CA" w:eastAsia="en-CA"/>
              </w:rPr>
              <w:t>90</w:t>
            </w:r>
          </w:p>
        </w:tc>
      </w:tr>
      <w:tr w:rsidR="00A325C8" w:rsidRPr="00691ABD" w14:paraId="30DFE466"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76FB452" w14:textId="77777777" w:rsidR="00A325C8" w:rsidRPr="00691ABD" w:rsidRDefault="00A325C8" w:rsidP="008028B2">
            <w:pPr>
              <w:jc w:val="left"/>
              <w:rPr>
                <w:sz w:val="20"/>
                <w:szCs w:val="20"/>
                <w:lang w:val="fr-CA" w:eastAsia="en-CA"/>
              </w:rPr>
            </w:pPr>
            <w:r w:rsidRPr="00691ABD">
              <w:rPr>
                <w:sz w:val="20"/>
                <w:szCs w:val="20"/>
                <w:lang w:val="fr-CA" w:eastAsia="en-CA"/>
              </w:rPr>
              <w:t>Liby</w:t>
            </w:r>
            <w:r>
              <w:rPr>
                <w:sz w:val="20"/>
                <w:szCs w:val="20"/>
                <w:lang w:val="fr-CA" w:eastAsia="en-CA"/>
              </w:rPr>
              <w:t>e</w:t>
            </w:r>
          </w:p>
        </w:tc>
        <w:tc>
          <w:tcPr>
            <w:tcW w:w="1295" w:type="dxa"/>
            <w:tcBorders>
              <w:top w:val="nil"/>
              <w:left w:val="nil"/>
              <w:bottom w:val="single" w:sz="4" w:space="0" w:color="auto"/>
              <w:right w:val="single" w:sz="4" w:space="0" w:color="auto"/>
            </w:tcBorders>
            <w:shd w:val="clear" w:color="auto" w:fill="auto"/>
            <w:noWrap/>
            <w:hideMark/>
          </w:tcPr>
          <w:p w14:paraId="33657B57" w14:textId="77777777" w:rsidR="00A325C8" w:rsidRPr="00691ABD" w:rsidRDefault="00A325C8" w:rsidP="001E39EE">
            <w:pPr>
              <w:jc w:val="right"/>
              <w:rPr>
                <w:sz w:val="20"/>
                <w:szCs w:val="20"/>
                <w:lang w:val="fr-CA" w:eastAsia="en-CA"/>
              </w:rPr>
            </w:pPr>
            <w:r w:rsidRPr="00691ABD">
              <w:rPr>
                <w:sz w:val="20"/>
                <w:szCs w:val="20"/>
                <w:lang w:val="fr-CA" w:eastAsia="en-CA"/>
              </w:rPr>
              <w:t>26</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5739925E"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161</w:t>
            </w:r>
            <w:r>
              <w:rPr>
                <w:sz w:val="20"/>
                <w:szCs w:val="20"/>
                <w:lang w:val="fr-CA" w:eastAsia="en-CA"/>
              </w:rPr>
              <w:t xml:space="preserve"> </w:t>
            </w:r>
            <w:r w:rsidRPr="00691ABD">
              <w:rPr>
                <w:sz w:val="20"/>
                <w:szCs w:val="20"/>
                <w:lang w:val="fr-CA" w:eastAsia="en-CA"/>
              </w:rPr>
              <w:t>310</w:t>
            </w:r>
          </w:p>
        </w:tc>
        <w:tc>
          <w:tcPr>
            <w:tcW w:w="1276" w:type="dxa"/>
            <w:tcBorders>
              <w:top w:val="nil"/>
              <w:left w:val="nil"/>
              <w:bottom w:val="single" w:sz="4" w:space="0" w:color="auto"/>
              <w:right w:val="single" w:sz="4" w:space="0" w:color="auto"/>
            </w:tcBorders>
            <w:shd w:val="clear" w:color="auto" w:fill="auto"/>
            <w:noWrap/>
            <w:hideMark/>
          </w:tcPr>
          <w:p w14:paraId="56B11137" w14:textId="77777777" w:rsidR="00A325C8" w:rsidRPr="00691ABD" w:rsidRDefault="00A325C8" w:rsidP="001E39EE">
            <w:pPr>
              <w:jc w:val="right"/>
              <w:rPr>
                <w:sz w:val="20"/>
                <w:szCs w:val="20"/>
                <w:lang w:val="fr-CA" w:eastAsia="en-CA"/>
              </w:rPr>
            </w:pPr>
            <w:r w:rsidRPr="00691ABD">
              <w:rPr>
                <w:sz w:val="20"/>
                <w:szCs w:val="20"/>
                <w:lang w:val="fr-CA" w:eastAsia="en-CA"/>
              </w:rPr>
              <w:t>705</w:t>
            </w:r>
            <w:r>
              <w:rPr>
                <w:sz w:val="20"/>
                <w:szCs w:val="20"/>
                <w:lang w:val="fr-CA" w:eastAsia="en-CA"/>
              </w:rPr>
              <w:t xml:space="preserve"> </w:t>
            </w:r>
            <w:r w:rsidRPr="00691ABD">
              <w:rPr>
                <w:sz w:val="20"/>
                <w:szCs w:val="20"/>
                <w:lang w:val="fr-CA" w:eastAsia="en-CA"/>
              </w:rPr>
              <w:t>783</w:t>
            </w:r>
          </w:p>
        </w:tc>
        <w:tc>
          <w:tcPr>
            <w:tcW w:w="1250" w:type="dxa"/>
            <w:tcBorders>
              <w:top w:val="nil"/>
              <w:left w:val="nil"/>
              <w:bottom w:val="single" w:sz="4" w:space="0" w:color="auto"/>
              <w:right w:val="single" w:sz="4" w:space="0" w:color="auto"/>
            </w:tcBorders>
            <w:shd w:val="clear" w:color="auto" w:fill="auto"/>
            <w:noWrap/>
            <w:hideMark/>
          </w:tcPr>
          <w:p w14:paraId="61EE487D" w14:textId="77777777" w:rsidR="00A325C8" w:rsidRPr="00691ABD" w:rsidRDefault="00A325C8" w:rsidP="001E39EE">
            <w:pPr>
              <w:jc w:val="right"/>
              <w:rPr>
                <w:sz w:val="20"/>
                <w:szCs w:val="20"/>
                <w:lang w:val="fr-CA" w:eastAsia="en-CA"/>
              </w:rPr>
            </w:pPr>
            <w:r w:rsidRPr="00691ABD">
              <w:rPr>
                <w:sz w:val="20"/>
                <w:szCs w:val="20"/>
                <w:lang w:val="fr-CA" w:eastAsia="en-CA"/>
              </w:rPr>
              <w:t>455</w:t>
            </w:r>
            <w:r>
              <w:rPr>
                <w:sz w:val="20"/>
                <w:szCs w:val="20"/>
                <w:lang w:val="fr-CA" w:eastAsia="en-CA"/>
              </w:rPr>
              <w:t xml:space="preserve"> </w:t>
            </w:r>
            <w:r w:rsidRPr="00691ABD">
              <w:rPr>
                <w:sz w:val="20"/>
                <w:szCs w:val="20"/>
                <w:lang w:val="fr-CA" w:eastAsia="en-CA"/>
              </w:rPr>
              <w:t>527</w:t>
            </w:r>
          </w:p>
        </w:tc>
        <w:tc>
          <w:tcPr>
            <w:tcW w:w="1050" w:type="dxa"/>
            <w:tcBorders>
              <w:top w:val="nil"/>
              <w:left w:val="nil"/>
              <w:bottom w:val="single" w:sz="4" w:space="0" w:color="auto"/>
              <w:right w:val="single" w:sz="4" w:space="0" w:color="auto"/>
            </w:tcBorders>
            <w:shd w:val="clear" w:color="auto" w:fill="auto"/>
            <w:noWrap/>
            <w:hideMark/>
          </w:tcPr>
          <w:p w14:paraId="0D5FD7A1" w14:textId="77777777" w:rsidR="00A325C8" w:rsidRPr="00691ABD" w:rsidRDefault="00A325C8" w:rsidP="001E39EE">
            <w:pPr>
              <w:jc w:val="right"/>
              <w:rPr>
                <w:sz w:val="20"/>
                <w:szCs w:val="20"/>
                <w:lang w:val="fr-CA" w:eastAsia="en-CA"/>
              </w:rPr>
            </w:pPr>
            <w:r w:rsidRPr="00691ABD">
              <w:rPr>
                <w:sz w:val="20"/>
                <w:szCs w:val="20"/>
                <w:lang w:val="fr-CA" w:eastAsia="en-CA"/>
              </w:rPr>
              <w:t>61</w:t>
            </w:r>
          </w:p>
        </w:tc>
      </w:tr>
      <w:tr w:rsidR="00A325C8" w:rsidRPr="00691ABD" w14:paraId="067A762A"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849FDA4" w14:textId="77777777" w:rsidR="00A325C8" w:rsidRPr="00691ABD" w:rsidRDefault="00A325C8" w:rsidP="001E39EE">
            <w:pPr>
              <w:jc w:val="left"/>
              <w:rPr>
                <w:sz w:val="20"/>
                <w:szCs w:val="20"/>
                <w:lang w:val="fr-CA" w:eastAsia="en-CA"/>
              </w:rPr>
            </w:pPr>
            <w:r>
              <w:rPr>
                <w:sz w:val="20"/>
                <w:szCs w:val="20"/>
                <w:lang w:val="fr-CA" w:eastAsia="en-CA"/>
              </w:rPr>
              <w:t>Macédoine du Nord</w:t>
            </w:r>
          </w:p>
        </w:tc>
        <w:tc>
          <w:tcPr>
            <w:tcW w:w="1295" w:type="dxa"/>
            <w:tcBorders>
              <w:top w:val="nil"/>
              <w:left w:val="nil"/>
              <w:bottom w:val="single" w:sz="4" w:space="0" w:color="auto"/>
              <w:right w:val="single" w:sz="4" w:space="0" w:color="auto"/>
            </w:tcBorders>
            <w:shd w:val="clear" w:color="auto" w:fill="auto"/>
            <w:noWrap/>
            <w:hideMark/>
          </w:tcPr>
          <w:p w14:paraId="69943539"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75CAB1D5"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047</w:t>
            </w:r>
            <w:r>
              <w:rPr>
                <w:sz w:val="20"/>
                <w:szCs w:val="20"/>
                <w:lang w:val="fr-CA" w:eastAsia="en-CA"/>
              </w:rPr>
              <w:t xml:space="preserve"> </w:t>
            </w:r>
            <w:r w:rsidRPr="00691ABD">
              <w:rPr>
                <w:sz w:val="20"/>
                <w:szCs w:val="20"/>
                <w:lang w:val="fr-CA" w:eastAsia="en-CA"/>
              </w:rPr>
              <w:t>130</w:t>
            </w:r>
          </w:p>
        </w:tc>
        <w:tc>
          <w:tcPr>
            <w:tcW w:w="1276" w:type="dxa"/>
            <w:tcBorders>
              <w:top w:val="nil"/>
              <w:left w:val="nil"/>
              <w:bottom w:val="single" w:sz="4" w:space="0" w:color="auto"/>
              <w:right w:val="single" w:sz="4" w:space="0" w:color="auto"/>
            </w:tcBorders>
            <w:shd w:val="clear" w:color="auto" w:fill="auto"/>
            <w:noWrap/>
            <w:hideMark/>
          </w:tcPr>
          <w:p w14:paraId="7C152852" w14:textId="77777777" w:rsidR="00A325C8" w:rsidRPr="00691ABD" w:rsidRDefault="00A325C8" w:rsidP="001E39EE">
            <w:pPr>
              <w:jc w:val="right"/>
              <w:rPr>
                <w:sz w:val="20"/>
                <w:szCs w:val="20"/>
                <w:lang w:val="fr-CA" w:eastAsia="en-CA"/>
              </w:rPr>
            </w:pPr>
            <w:r w:rsidRPr="00691ABD">
              <w:rPr>
                <w:sz w:val="20"/>
                <w:szCs w:val="20"/>
                <w:lang w:val="fr-CA" w:eastAsia="en-CA"/>
              </w:rPr>
              <w:t>935</w:t>
            </w:r>
            <w:r>
              <w:rPr>
                <w:sz w:val="20"/>
                <w:szCs w:val="20"/>
                <w:lang w:val="fr-CA" w:eastAsia="en-CA"/>
              </w:rPr>
              <w:t xml:space="preserve"> </w:t>
            </w:r>
            <w:r w:rsidRPr="00691ABD">
              <w:rPr>
                <w:sz w:val="20"/>
                <w:szCs w:val="20"/>
                <w:lang w:val="fr-CA" w:eastAsia="en-CA"/>
              </w:rPr>
              <w:t>263</w:t>
            </w:r>
          </w:p>
        </w:tc>
        <w:tc>
          <w:tcPr>
            <w:tcW w:w="1250" w:type="dxa"/>
            <w:tcBorders>
              <w:top w:val="nil"/>
              <w:left w:val="nil"/>
              <w:bottom w:val="single" w:sz="4" w:space="0" w:color="auto"/>
              <w:right w:val="single" w:sz="4" w:space="0" w:color="auto"/>
            </w:tcBorders>
            <w:shd w:val="clear" w:color="auto" w:fill="auto"/>
            <w:noWrap/>
            <w:hideMark/>
          </w:tcPr>
          <w:p w14:paraId="52B8BA03" w14:textId="77777777" w:rsidR="00A325C8" w:rsidRPr="00691ABD" w:rsidRDefault="00A325C8" w:rsidP="001E39EE">
            <w:pPr>
              <w:jc w:val="right"/>
              <w:rPr>
                <w:sz w:val="20"/>
                <w:szCs w:val="20"/>
                <w:lang w:val="fr-CA" w:eastAsia="en-CA"/>
              </w:rPr>
            </w:pPr>
            <w:r w:rsidRPr="00691ABD">
              <w:rPr>
                <w:sz w:val="20"/>
                <w:szCs w:val="20"/>
                <w:lang w:val="fr-CA" w:eastAsia="en-CA"/>
              </w:rPr>
              <w:t>111</w:t>
            </w:r>
            <w:r>
              <w:rPr>
                <w:sz w:val="20"/>
                <w:szCs w:val="20"/>
                <w:lang w:val="fr-CA" w:eastAsia="en-CA"/>
              </w:rPr>
              <w:t xml:space="preserve"> </w:t>
            </w:r>
            <w:r w:rsidRPr="00691ABD">
              <w:rPr>
                <w:sz w:val="20"/>
                <w:szCs w:val="20"/>
                <w:lang w:val="fr-CA" w:eastAsia="en-CA"/>
              </w:rPr>
              <w:t>867</w:t>
            </w:r>
          </w:p>
        </w:tc>
        <w:tc>
          <w:tcPr>
            <w:tcW w:w="1050" w:type="dxa"/>
            <w:tcBorders>
              <w:top w:val="nil"/>
              <w:left w:val="nil"/>
              <w:bottom w:val="single" w:sz="4" w:space="0" w:color="auto"/>
              <w:right w:val="single" w:sz="4" w:space="0" w:color="auto"/>
            </w:tcBorders>
            <w:shd w:val="clear" w:color="auto" w:fill="auto"/>
            <w:noWrap/>
            <w:hideMark/>
          </w:tcPr>
          <w:p w14:paraId="13C4F868" w14:textId="77777777" w:rsidR="00A325C8" w:rsidRPr="00691ABD" w:rsidRDefault="00A325C8" w:rsidP="001E39EE">
            <w:pPr>
              <w:jc w:val="right"/>
              <w:rPr>
                <w:sz w:val="20"/>
                <w:szCs w:val="20"/>
                <w:lang w:val="fr-CA" w:eastAsia="en-CA"/>
              </w:rPr>
            </w:pPr>
            <w:r w:rsidRPr="00691ABD">
              <w:rPr>
                <w:sz w:val="20"/>
                <w:szCs w:val="20"/>
                <w:lang w:val="fr-CA" w:eastAsia="en-CA"/>
              </w:rPr>
              <w:t>89</w:t>
            </w:r>
          </w:p>
        </w:tc>
      </w:tr>
      <w:tr w:rsidR="00A325C8" w:rsidRPr="00691ABD" w14:paraId="039FCF27"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313EE92" w14:textId="77777777" w:rsidR="00A325C8" w:rsidRPr="00691ABD" w:rsidRDefault="00A325C8" w:rsidP="001E39EE">
            <w:pPr>
              <w:jc w:val="left"/>
              <w:rPr>
                <w:sz w:val="20"/>
                <w:szCs w:val="20"/>
                <w:lang w:val="fr-CA" w:eastAsia="en-CA"/>
              </w:rPr>
            </w:pPr>
            <w:r w:rsidRPr="00691ABD">
              <w:rPr>
                <w:sz w:val="20"/>
                <w:szCs w:val="20"/>
                <w:lang w:val="fr-CA" w:eastAsia="en-CA"/>
              </w:rPr>
              <w:t>Madagascar</w:t>
            </w:r>
          </w:p>
        </w:tc>
        <w:tc>
          <w:tcPr>
            <w:tcW w:w="1295" w:type="dxa"/>
            <w:tcBorders>
              <w:top w:val="nil"/>
              <w:left w:val="nil"/>
              <w:bottom w:val="single" w:sz="4" w:space="0" w:color="auto"/>
              <w:right w:val="single" w:sz="4" w:space="0" w:color="auto"/>
            </w:tcBorders>
            <w:shd w:val="clear" w:color="auto" w:fill="auto"/>
            <w:noWrap/>
            <w:hideMark/>
          </w:tcPr>
          <w:p w14:paraId="4EB40B30" w14:textId="77777777" w:rsidR="00A325C8" w:rsidRPr="00691ABD" w:rsidRDefault="00A325C8" w:rsidP="001E39EE">
            <w:pPr>
              <w:jc w:val="right"/>
              <w:rPr>
                <w:sz w:val="20"/>
                <w:szCs w:val="20"/>
                <w:lang w:val="fr-CA" w:eastAsia="en-CA"/>
              </w:rPr>
            </w:pPr>
            <w:r w:rsidRPr="00691ABD">
              <w:rPr>
                <w:sz w:val="20"/>
                <w:szCs w:val="20"/>
                <w:lang w:val="fr-CA" w:eastAsia="en-CA"/>
              </w:rPr>
              <w:t>6</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6C1E1A75" w14:textId="77777777" w:rsidR="00A325C8" w:rsidRPr="00691ABD" w:rsidRDefault="00A325C8" w:rsidP="001E39EE">
            <w:pPr>
              <w:jc w:val="right"/>
              <w:rPr>
                <w:sz w:val="20"/>
                <w:szCs w:val="20"/>
                <w:lang w:val="fr-CA" w:eastAsia="en-CA"/>
              </w:rPr>
            </w:pPr>
            <w:r w:rsidRPr="00691ABD">
              <w:rPr>
                <w:sz w:val="20"/>
                <w:szCs w:val="20"/>
                <w:lang w:val="fr-CA" w:eastAsia="en-CA"/>
              </w:rPr>
              <w:t>558</w:t>
            </w:r>
            <w:r>
              <w:rPr>
                <w:sz w:val="20"/>
                <w:szCs w:val="20"/>
                <w:lang w:val="fr-CA" w:eastAsia="en-CA"/>
              </w:rPr>
              <w:t xml:space="preserve"> </w:t>
            </w:r>
            <w:r w:rsidRPr="00691ABD">
              <w:rPr>
                <w:sz w:val="20"/>
                <w:szCs w:val="20"/>
                <w:lang w:val="fr-CA" w:eastAsia="en-CA"/>
              </w:rPr>
              <w:t>434</w:t>
            </w:r>
          </w:p>
        </w:tc>
        <w:tc>
          <w:tcPr>
            <w:tcW w:w="1276" w:type="dxa"/>
            <w:tcBorders>
              <w:top w:val="nil"/>
              <w:left w:val="nil"/>
              <w:bottom w:val="single" w:sz="4" w:space="0" w:color="auto"/>
              <w:right w:val="single" w:sz="4" w:space="0" w:color="auto"/>
            </w:tcBorders>
            <w:shd w:val="clear" w:color="auto" w:fill="auto"/>
            <w:noWrap/>
            <w:hideMark/>
          </w:tcPr>
          <w:p w14:paraId="59E9FB87" w14:textId="77777777" w:rsidR="00A325C8" w:rsidRPr="00691ABD" w:rsidRDefault="00A325C8" w:rsidP="001E39EE">
            <w:pPr>
              <w:jc w:val="right"/>
              <w:rPr>
                <w:sz w:val="20"/>
                <w:szCs w:val="20"/>
                <w:lang w:val="fr-CA" w:eastAsia="en-CA"/>
              </w:rPr>
            </w:pPr>
            <w:r w:rsidRPr="00691ABD">
              <w:rPr>
                <w:sz w:val="20"/>
                <w:szCs w:val="20"/>
                <w:lang w:val="fr-CA" w:eastAsia="en-CA"/>
              </w:rPr>
              <w:t>497</w:t>
            </w:r>
            <w:r>
              <w:rPr>
                <w:sz w:val="20"/>
                <w:szCs w:val="20"/>
                <w:lang w:val="fr-CA" w:eastAsia="en-CA"/>
              </w:rPr>
              <w:t xml:space="preserve"> </w:t>
            </w:r>
            <w:r w:rsidRPr="00691ABD">
              <w:rPr>
                <w:sz w:val="20"/>
                <w:szCs w:val="20"/>
                <w:lang w:val="fr-CA" w:eastAsia="en-CA"/>
              </w:rPr>
              <w:t>472</w:t>
            </w:r>
          </w:p>
        </w:tc>
        <w:tc>
          <w:tcPr>
            <w:tcW w:w="1250" w:type="dxa"/>
            <w:tcBorders>
              <w:top w:val="nil"/>
              <w:left w:val="nil"/>
              <w:bottom w:val="single" w:sz="4" w:space="0" w:color="auto"/>
              <w:right w:val="single" w:sz="4" w:space="0" w:color="auto"/>
            </w:tcBorders>
            <w:shd w:val="clear" w:color="auto" w:fill="auto"/>
            <w:noWrap/>
            <w:hideMark/>
          </w:tcPr>
          <w:p w14:paraId="00636228" w14:textId="77777777" w:rsidR="00A325C8" w:rsidRPr="00691ABD" w:rsidRDefault="00A325C8" w:rsidP="001E39EE">
            <w:pPr>
              <w:jc w:val="right"/>
              <w:rPr>
                <w:sz w:val="20"/>
                <w:szCs w:val="20"/>
                <w:lang w:val="fr-CA" w:eastAsia="en-CA"/>
              </w:rPr>
            </w:pPr>
            <w:r w:rsidRPr="00691ABD">
              <w:rPr>
                <w:sz w:val="20"/>
                <w:szCs w:val="20"/>
                <w:lang w:val="fr-CA" w:eastAsia="en-CA"/>
              </w:rPr>
              <w:t>60</w:t>
            </w:r>
            <w:r>
              <w:rPr>
                <w:sz w:val="20"/>
                <w:szCs w:val="20"/>
                <w:lang w:val="fr-CA" w:eastAsia="en-CA"/>
              </w:rPr>
              <w:t xml:space="preserve"> </w:t>
            </w:r>
            <w:r w:rsidRPr="00691ABD">
              <w:rPr>
                <w:sz w:val="20"/>
                <w:szCs w:val="20"/>
                <w:lang w:val="fr-CA" w:eastAsia="en-CA"/>
              </w:rPr>
              <w:t>962</w:t>
            </w:r>
          </w:p>
        </w:tc>
        <w:tc>
          <w:tcPr>
            <w:tcW w:w="1050" w:type="dxa"/>
            <w:tcBorders>
              <w:top w:val="nil"/>
              <w:left w:val="nil"/>
              <w:bottom w:val="single" w:sz="4" w:space="0" w:color="auto"/>
              <w:right w:val="single" w:sz="4" w:space="0" w:color="auto"/>
            </w:tcBorders>
            <w:shd w:val="clear" w:color="auto" w:fill="auto"/>
            <w:noWrap/>
            <w:hideMark/>
          </w:tcPr>
          <w:p w14:paraId="7FB95286" w14:textId="77777777" w:rsidR="00A325C8" w:rsidRPr="00691ABD" w:rsidRDefault="00A325C8" w:rsidP="001E39EE">
            <w:pPr>
              <w:jc w:val="right"/>
              <w:rPr>
                <w:sz w:val="20"/>
                <w:szCs w:val="20"/>
                <w:lang w:val="fr-CA" w:eastAsia="en-CA"/>
              </w:rPr>
            </w:pPr>
            <w:r w:rsidRPr="00691ABD">
              <w:rPr>
                <w:sz w:val="20"/>
                <w:szCs w:val="20"/>
                <w:lang w:val="fr-CA" w:eastAsia="en-CA"/>
              </w:rPr>
              <w:t>89</w:t>
            </w:r>
          </w:p>
        </w:tc>
      </w:tr>
      <w:tr w:rsidR="00A325C8" w:rsidRPr="00691ABD" w14:paraId="59F047D9"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4DABF65" w14:textId="77777777" w:rsidR="00A325C8" w:rsidRPr="00691ABD" w:rsidRDefault="00A325C8" w:rsidP="008028B2">
            <w:pPr>
              <w:jc w:val="left"/>
              <w:rPr>
                <w:sz w:val="20"/>
                <w:szCs w:val="20"/>
                <w:lang w:val="fr-CA" w:eastAsia="en-CA"/>
              </w:rPr>
            </w:pPr>
            <w:r w:rsidRPr="00691ABD">
              <w:rPr>
                <w:sz w:val="20"/>
                <w:szCs w:val="20"/>
                <w:lang w:val="fr-CA" w:eastAsia="en-CA"/>
              </w:rPr>
              <w:t>Mala</w:t>
            </w:r>
            <w:r>
              <w:rPr>
                <w:sz w:val="20"/>
                <w:szCs w:val="20"/>
                <w:lang w:val="fr-CA" w:eastAsia="en-CA"/>
              </w:rPr>
              <w:t>isie</w:t>
            </w:r>
          </w:p>
        </w:tc>
        <w:tc>
          <w:tcPr>
            <w:tcW w:w="1295" w:type="dxa"/>
            <w:tcBorders>
              <w:top w:val="nil"/>
              <w:left w:val="nil"/>
              <w:bottom w:val="single" w:sz="4" w:space="0" w:color="auto"/>
              <w:right w:val="single" w:sz="4" w:space="0" w:color="auto"/>
            </w:tcBorders>
            <w:shd w:val="clear" w:color="auto" w:fill="auto"/>
            <w:noWrap/>
            <w:hideMark/>
          </w:tcPr>
          <w:p w14:paraId="76ED5051" w14:textId="77777777" w:rsidR="00A325C8" w:rsidRPr="00691ABD" w:rsidRDefault="00A325C8" w:rsidP="001E39EE">
            <w:pPr>
              <w:jc w:val="right"/>
              <w:rPr>
                <w:sz w:val="20"/>
                <w:szCs w:val="20"/>
                <w:lang w:val="fr-CA" w:eastAsia="en-CA"/>
              </w:rPr>
            </w:pPr>
            <w:r w:rsidRPr="00691ABD">
              <w:rPr>
                <w:sz w:val="20"/>
                <w:szCs w:val="20"/>
                <w:lang w:val="fr-CA" w:eastAsia="en-CA"/>
              </w:rPr>
              <w:t>216</w:t>
            </w:r>
            <w:r>
              <w:rPr>
                <w:sz w:val="20"/>
                <w:szCs w:val="20"/>
                <w:lang w:val="fr-CA" w:eastAsia="en-CA"/>
              </w:rPr>
              <w:t>,</w:t>
            </w:r>
            <w:r w:rsidRPr="00691ABD">
              <w:rPr>
                <w:sz w:val="20"/>
                <w:szCs w:val="20"/>
                <w:lang w:val="fr-CA" w:eastAsia="en-CA"/>
              </w:rPr>
              <w:t>5</w:t>
            </w:r>
          </w:p>
        </w:tc>
        <w:tc>
          <w:tcPr>
            <w:tcW w:w="1275" w:type="dxa"/>
            <w:tcBorders>
              <w:top w:val="nil"/>
              <w:left w:val="nil"/>
              <w:bottom w:val="single" w:sz="4" w:space="0" w:color="auto"/>
              <w:right w:val="single" w:sz="4" w:space="0" w:color="auto"/>
            </w:tcBorders>
            <w:shd w:val="clear" w:color="auto" w:fill="auto"/>
            <w:noWrap/>
            <w:hideMark/>
          </w:tcPr>
          <w:p w14:paraId="092F3056" w14:textId="77777777" w:rsidR="00A325C8" w:rsidRPr="00691ABD" w:rsidRDefault="00A325C8" w:rsidP="001E39EE">
            <w:pPr>
              <w:jc w:val="right"/>
              <w:rPr>
                <w:sz w:val="20"/>
                <w:szCs w:val="20"/>
                <w:lang w:val="fr-CA" w:eastAsia="en-CA"/>
              </w:rPr>
            </w:pPr>
            <w:r w:rsidRPr="00691ABD">
              <w:rPr>
                <w:sz w:val="20"/>
                <w:szCs w:val="20"/>
                <w:lang w:val="fr-CA" w:eastAsia="en-CA"/>
              </w:rPr>
              <w:t>13</w:t>
            </w:r>
            <w:r>
              <w:rPr>
                <w:sz w:val="20"/>
                <w:szCs w:val="20"/>
                <w:lang w:val="fr-CA" w:eastAsia="en-CA"/>
              </w:rPr>
              <w:t xml:space="preserve"> </w:t>
            </w:r>
            <w:r w:rsidRPr="00691ABD">
              <w:rPr>
                <w:sz w:val="20"/>
                <w:szCs w:val="20"/>
                <w:lang w:val="fr-CA" w:eastAsia="en-CA"/>
              </w:rPr>
              <w:t>866</w:t>
            </w:r>
            <w:r>
              <w:rPr>
                <w:sz w:val="20"/>
                <w:szCs w:val="20"/>
                <w:lang w:val="fr-CA" w:eastAsia="en-CA"/>
              </w:rPr>
              <w:t xml:space="preserve"> </w:t>
            </w:r>
            <w:r w:rsidRPr="00691ABD">
              <w:rPr>
                <w:sz w:val="20"/>
                <w:szCs w:val="20"/>
                <w:lang w:val="fr-CA" w:eastAsia="en-CA"/>
              </w:rPr>
              <w:t>383</w:t>
            </w:r>
          </w:p>
        </w:tc>
        <w:tc>
          <w:tcPr>
            <w:tcW w:w="1276" w:type="dxa"/>
            <w:tcBorders>
              <w:top w:val="nil"/>
              <w:left w:val="nil"/>
              <w:bottom w:val="single" w:sz="4" w:space="0" w:color="auto"/>
              <w:right w:val="single" w:sz="4" w:space="0" w:color="auto"/>
            </w:tcBorders>
            <w:shd w:val="clear" w:color="auto" w:fill="auto"/>
            <w:noWrap/>
            <w:hideMark/>
          </w:tcPr>
          <w:p w14:paraId="725DFEEC" w14:textId="77777777" w:rsidR="00A325C8" w:rsidRPr="00691ABD" w:rsidRDefault="00A325C8" w:rsidP="001E39EE">
            <w:pPr>
              <w:jc w:val="right"/>
              <w:rPr>
                <w:sz w:val="20"/>
                <w:szCs w:val="20"/>
                <w:lang w:val="fr-CA" w:eastAsia="en-CA"/>
              </w:rPr>
            </w:pPr>
            <w:r w:rsidRPr="00691ABD">
              <w:rPr>
                <w:sz w:val="20"/>
                <w:szCs w:val="20"/>
                <w:lang w:val="fr-CA" w:eastAsia="en-CA"/>
              </w:rPr>
              <w:t>12</w:t>
            </w:r>
            <w:r>
              <w:rPr>
                <w:sz w:val="20"/>
                <w:szCs w:val="20"/>
                <w:lang w:val="fr-CA" w:eastAsia="en-CA"/>
              </w:rPr>
              <w:t xml:space="preserve"> </w:t>
            </w:r>
            <w:r w:rsidRPr="00691ABD">
              <w:rPr>
                <w:sz w:val="20"/>
                <w:szCs w:val="20"/>
                <w:lang w:val="fr-CA" w:eastAsia="en-CA"/>
              </w:rPr>
              <w:t>130</w:t>
            </w:r>
            <w:r>
              <w:rPr>
                <w:sz w:val="20"/>
                <w:szCs w:val="20"/>
                <w:lang w:val="fr-CA" w:eastAsia="en-CA"/>
              </w:rPr>
              <w:t xml:space="preserve"> </w:t>
            </w:r>
            <w:r w:rsidRPr="00691ABD">
              <w:rPr>
                <w:sz w:val="20"/>
                <w:szCs w:val="20"/>
                <w:lang w:val="fr-CA" w:eastAsia="en-CA"/>
              </w:rPr>
              <w:t>650</w:t>
            </w:r>
          </w:p>
        </w:tc>
        <w:tc>
          <w:tcPr>
            <w:tcW w:w="1250" w:type="dxa"/>
            <w:tcBorders>
              <w:top w:val="nil"/>
              <w:left w:val="nil"/>
              <w:bottom w:val="single" w:sz="4" w:space="0" w:color="auto"/>
              <w:right w:val="single" w:sz="4" w:space="0" w:color="auto"/>
            </w:tcBorders>
            <w:shd w:val="clear" w:color="auto" w:fill="auto"/>
            <w:noWrap/>
            <w:hideMark/>
          </w:tcPr>
          <w:p w14:paraId="1B099FF8"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735</w:t>
            </w:r>
            <w:r>
              <w:rPr>
                <w:sz w:val="20"/>
                <w:szCs w:val="20"/>
                <w:lang w:val="fr-CA" w:eastAsia="en-CA"/>
              </w:rPr>
              <w:t xml:space="preserve"> </w:t>
            </w:r>
            <w:r w:rsidRPr="00691ABD">
              <w:rPr>
                <w:sz w:val="20"/>
                <w:szCs w:val="20"/>
                <w:lang w:val="fr-CA" w:eastAsia="en-CA"/>
              </w:rPr>
              <w:t>733</w:t>
            </w:r>
          </w:p>
        </w:tc>
        <w:tc>
          <w:tcPr>
            <w:tcW w:w="1050" w:type="dxa"/>
            <w:tcBorders>
              <w:top w:val="nil"/>
              <w:left w:val="nil"/>
              <w:bottom w:val="single" w:sz="4" w:space="0" w:color="auto"/>
              <w:right w:val="single" w:sz="4" w:space="0" w:color="auto"/>
            </w:tcBorders>
            <w:shd w:val="clear" w:color="auto" w:fill="auto"/>
            <w:noWrap/>
            <w:hideMark/>
          </w:tcPr>
          <w:p w14:paraId="5B4AA6DD" w14:textId="77777777" w:rsidR="00A325C8" w:rsidRPr="00691ABD" w:rsidRDefault="00A325C8" w:rsidP="001E39EE">
            <w:pPr>
              <w:jc w:val="right"/>
              <w:rPr>
                <w:sz w:val="20"/>
                <w:szCs w:val="20"/>
                <w:lang w:val="fr-CA" w:eastAsia="en-CA"/>
              </w:rPr>
            </w:pPr>
            <w:r w:rsidRPr="00691ABD">
              <w:rPr>
                <w:sz w:val="20"/>
                <w:szCs w:val="20"/>
                <w:lang w:val="fr-CA" w:eastAsia="en-CA"/>
              </w:rPr>
              <w:t>87</w:t>
            </w:r>
          </w:p>
        </w:tc>
      </w:tr>
      <w:tr w:rsidR="00A325C8" w:rsidRPr="00691ABD" w14:paraId="4EB25743"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2012852" w14:textId="77777777" w:rsidR="00A325C8" w:rsidRPr="00691ABD" w:rsidRDefault="00A325C8" w:rsidP="001E39EE">
            <w:pPr>
              <w:jc w:val="left"/>
              <w:rPr>
                <w:sz w:val="20"/>
                <w:szCs w:val="20"/>
                <w:lang w:val="fr-CA" w:eastAsia="en-CA"/>
              </w:rPr>
            </w:pPr>
            <w:r w:rsidRPr="00691ABD">
              <w:rPr>
                <w:sz w:val="20"/>
                <w:szCs w:val="20"/>
                <w:lang w:val="fr-CA" w:eastAsia="en-CA"/>
              </w:rPr>
              <w:t>Malawi</w:t>
            </w:r>
          </w:p>
        </w:tc>
        <w:tc>
          <w:tcPr>
            <w:tcW w:w="1295" w:type="dxa"/>
            <w:tcBorders>
              <w:top w:val="nil"/>
              <w:left w:val="nil"/>
              <w:bottom w:val="single" w:sz="4" w:space="0" w:color="auto"/>
              <w:right w:val="single" w:sz="4" w:space="0" w:color="auto"/>
            </w:tcBorders>
            <w:shd w:val="clear" w:color="auto" w:fill="auto"/>
            <w:noWrap/>
            <w:hideMark/>
          </w:tcPr>
          <w:p w14:paraId="3174BF7C"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w:t>
            </w:r>
            <w:r w:rsidRPr="00691ABD">
              <w:rPr>
                <w:sz w:val="20"/>
                <w:szCs w:val="20"/>
                <w:lang w:val="fr-CA" w:eastAsia="en-CA"/>
              </w:rPr>
              <w:t>8</w:t>
            </w:r>
          </w:p>
        </w:tc>
        <w:tc>
          <w:tcPr>
            <w:tcW w:w="1275" w:type="dxa"/>
            <w:tcBorders>
              <w:top w:val="nil"/>
              <w:left w:val="nil"/>
              <w:bottom w:val="single" w:sz="4" w:space="0" w:color="auto"/>
              <w:right w:val="single" w:sz="4" w:space="0" w:color="auto"/>
            </w:tcBorders>
            <w:shd w:val="clear" w:color="auto" w:fill="auto"/>
            <w:noWrap/>
            <w:hideMark/>
          </w:tcPr>
          <w:p w14:paraId="66E2CEE3" w14:textId="77777777" w:rsidR="00A325C8" w:rsidRPr="00691ABD" w:rsidRDefault="00A325C8" w:rsidP="001E39EE">
            <w:pPr>
              <w:jc w:val="right"/>
              <w:rPr>
                <w:sz w:val="20"/>
                <w:szCs w:val="20"/>
                <w:lang w:val="fr-CA" w:eastAsia="en-CA"/>
              </w:rPr>
            </w:pPr>
            <w:r w:rsidRPr="00691ABD">
              <w:rPr>
                <w:sz w:val="20"/>
                <w:szCs w:val="20"/>
                <w:lang w:val="fr-CA" w:eastAsia="en-CA"/>
              </w:rPr>
              <w:t>628</w:t>
            </w:r>
            <w:r>
              <w:rPr>
                <w:sz w:val="20"/>
                <w:szCs w:val="20"/>
                <w:lang w:val="fr-CA" w:eastAsia="en-CA"/>
              </w:rPr>
              <w:t xml:space="preserve"> </w:t>
            </w:r>
            <w:r w:rsidRPr="00691ABD">
              <w:rPr>
                <w:sz w:val="20"/>
                <w:szCs w:val="20"/>
                <w:lang w:val="fr-CA" w:eastAsia="en-CA"/>
              </w:rPr>
              <w:t>745</w:t>
            </w:r>
          </w:p>
        </w:tc>
        <w:tc>
          <w:tcPr>
            <w:tcW w:w="1276" w:type="dxa"/>
            <w:tcBorders>
              <w:top w:val="nil"/>
              <w:left w:val="nil"/>
              <w:bottom w:val="single" w:sz="4" w:space="0" w:color="auto"/>
              <w:right w:val="single" w:sz="4" w:space="0" w:color="auto"/>
            </w:tcBorders>
            <w:shd w:val="clear" w:color="auto" w:fill="auto"/>
            <w:noWrap/>
            <w:hideMark/>
          </w:tcPr>
          <w:p w14:paraId="2627C850" w14:textId="77777777" w:rsidR="00A325C8" w:rsidRPr="00691ABD" w:rsidRDefault="00A325C8" w:rsidP="001E39EE">
            <w:pPr>
              <w:jc w:val="right"/>
              <w:rPr>
                <w:sz w:val="20"/>
                <w:szCs w:val="20"/>
                <w:lang w:val="fr-CA" w:eastAsia="en-CA"/>
              </w:rPr>
            </w:pPr>
            <w:r w:rsidRPr="00691ABD">
              <w:rPr>
                <w:sz w:val="20"/>
                <w:szCs w:val="20"/>
                <w:lang w:val="fr-CA" w:eastAsia="en-CA"/>
              </w:rPr>
              <w:t>319</w:t>
            </w:r>
            <w:r>
              <w:rPr>
                <w:sz w:val="20"/>
                <w:szCs w:val="20"/>
                <w:lang w:val="fr-CA" w:eastAsia="en-CA"/>
              </w:rPr>
              <w:t xml:space="preserve"> </w:t>
            </w:r>
            <w:r w:rsidRPr="00691ABD">
              <w:rPr>
                <w:sz w:val="20"/>
                <w:szCs w:val="20"/>
                <w:lang w:val="fr-CA" w:eastAsia="en-CA"/>
              </w:rPr>
              <w:t>248</w:t>
            </w:r>
          </w:p>
        </w:tc>
        <w:tc>
          <w:tcPr>
            <w:tcW w:w="1250" w:type="dxa"/>
            <w:tcBorders>
              <w:top w:val="nil"/>
              <w:left w:val="nil"/>
              <w:bottom w:val="single" w:sz="4" w:space="0" w:color="auto"/>
              <w:right w:val="single" w:sz="4" w:space="0" w:color="auto"/>
            </w:tcBorders>
            <w:shd w:val="clear" w:color="auto" w:fill="auto"/>
            <w:noWrap/>
            <w:hideMark/>
          </w:tcPr>
          <w:p w14:paraId="5F3C637A" w14:textId="77777777" w:rsidR="00A325C8" w:rsidRPr="00691ABD" w:rsidRDefault="00A325C8" w:rsidP="001E39EE">
            <w:pPr>
              <w:jc w:val="right"/>
              <w:rPr>
                <w:sz w:val="20"/>
                <w:szCs w:val="20"/>
                <w:lang w:val="fr-CA" w:eastAsia="en-CA"/>
              </w:rPr>
            </w:pPr>
            <w:r w:rsidRPr="00691ABD">
              <w:rPr>
                <w:sz w:val="20"/>
                <w:szCs w:val="20"/>
                <w:lang w:val="fr-CA" w:eastAsia="en-CA"/>
              </w:rPr>
              <w:t>309</w:t>
            </w:r>
            <w:r>
              <w:rPr>
                <w:sz w:val="20"/>
                <w:szCs w:val="20"/>
                <w:lang w:val="fr-CA" w:eastAsia="en-CA"/>
              </w:rPr>
              <w:t xml:space="preserve"> </w:t>
            </w:r>
            <w:r w:rsidRPr="00691ABD">
              <w:rPr>
                <w:sz w:val="20"/>
                <w:szCs w:val="20"/>
                <w:lang w:val="fr-CA" w:eastAsia="en-CA"/>
              </w:rPr>
              <w:t>498</w:t>
            </w:r>
          </w:p>
        </w:tc>
        <w:tc>
          <w:tcPr>
            <w:tcW w:w="1050" w:type="dxa"/>
            <w:tcBorders>
              <w:top w:val="nil"/>
              <w:left w:val="nil"/>
              <w:bottom w:val="single" w:sz="4" w:space="0" w:color="auto"/>
              <w:right w:val="single" w:sz="4" w:space="0" w:color="auto"/>
            </w:tcBorders>
            <w:shd w:val="clear" w:color="auto" w:fill="auto"/>
            <w:noWrap/>
            <w:hideMark/>
          </w:tcPr>
          <w:p w14:paraId="2AC124ED" w14:textId="77777777" w:rsidR="00A325C8" w:rsidRPr="00691ABD" w:rsidRDefault="00A325C8" w:rsidP="001E39EE">
            <w:pPr>
              <w:jc w:val="right"/>
              <w:rPr>
                <w:sz w:val="20"/>
                <w:szCs w:val="20"/>
                <w:lang w:val="fr-CA" w:eastAsia="en-CA"/>
              </w:rPr>
            </w:pPr>
            <w:r w:rsidRPr="00691ABD">
              <w:rPr>
                <w:sz w:val="20"/>
                <w:szCs w:val="20"/>
                <w:lang w:val="fr-CA" w:eastAsia="en-CA"/>
              </w:rPr>
              <w:t>51</w:t>
            </w:r>
          </w:p>
        </w:tc>
      </w:tr>
      <w:tr w:rsidR="00A325C8" w:rsidRPr="00691ABD" w14:paraId="65F01D8B" w14:textId="77777777" w:rsidTr="00691ABD">
        <w:trPr>
          <w:trHeight w:val="61"/>
        </w:trPr>
        <w:tc>
          <w:tcPr>
            <w:tcW w:w="3828" w:type="dxa"/>
            <w:tcBorders>
              <w:top w:val="nil"/>
              <w:left w:val="single" w:sz="4" w:space="0" w:color="auto"/>
              <w:bottom w:val="single" w:sz="4" w:space="0" w:color="auto"/>
              <w:right w:val="single" w:sz="4" w:space="0" w:color="auto"/>
            </w:tcBorders>
            <w:shd w:val="clear" w:color="auto" w:fill="auto"/>
            <w:noWrap/>
            <w:hideMark/>
          </w:tcPr>
          <w:p w14:paraId="2ACA83E7" w14:textId="77777777" w:rsidR="00A325C8" w:rsidRPr="00691ABD" w:rsidRDefault="00A325C8" w:rsidP="001E39EE">
            <w:pPr>
              <w:jc w:val="left"/>
              <w:rPr>
                <w:sz w:val="20"/>
                <w:szCs w:val="20"/>
                <w:lang w:val="fr-CA" w:eastAsia="en-CA"/>
              </w:rPr>
            </w:pPr>
            <w:r w:rsidRPr="00691ABD">
              <w:rPr>
                <w:sz w:val="20"/>
                <w:szCs w:val="20"/>
                <w:lang w:val="fr-CA" w:eastAsia="en-CA"/>
              </w:rPr>
              <w:t>Maldives</w:t>
            </w:r>
          </w:p>
        </w:tc>
        <w:tc>
          <w:tcPr>
            <w:tcW w:w="1295" w:type="dxa"/>
            <w:tcBorders>
              <w:top w:val="nil"/>
              <w:left w:val="nil"/>
              <w:bottom w:val="single" w:sz="4" w:space="0" w:color="auto"/>
              <w:right w:val="single" w:sz="4" w:space="0" w:color="auto"/>
            </w:tcBorders>
            <w:shd w:val="clear" w:color="auto" w:fill="auto"/>
            <w:noWrap/>
            <w:hideMark/>
          </w:tcPr>
          <w:p w14:paraId="3632F13C"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5B5D6D1A"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081</w:t>
            </w:r>
            <w:r>
              <w:rPr>
                <w:sz w:val="20"/>
                <w:szCs w:val="20"/>
                <w:lang w:val="fr-CA" w:eastAsia="en-CA"/>
              </w:rPr>
              <w:t xml:space="preserve"> </w:t>
            </w:r>
            <w:r w:rsidRPr="00691ABD">
              <w:rPr>
                <w:sz w:val="20"/>
                <w:szCs w:val="20"/>
                <w:lang w:val="fr-CA" w:eastAsia="en-CA"/>
              </w:rPr>
              <w:t>616</w:t>
            </w:r>
          </w:p>
        </w:tc>
        <w:tc>
          <w:tcPr>
            <w:tcW w:w="1276" w:type="dxa"/>
            <w:tcBorders>
              <w:top w:val="nil"/>
              <w:left w:val="nil"/>
              <w:bottom w:val="single" w:sz="4" w:space="0" w:color="auto"/>
              <w:right w:val="single" w:sz="4" w:space="0" w:color="auto"/>
            </w:tcBorders>
            <w:shd w:val="clear" w:color="auto" w:fill="auto"/>
            <w:noWrap/>
            <w:hideMark/>
          </w:tcPr>
          <w:p w14:paraId="2A2F6446"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056</w:t>
            </w:r>
            <w:r>
              <w:rPr>
                <w:sz w:val="20"/>
                <w:szCs w:val="20"/>
                <w:lang w:val="fr-CA" w:eastAsia="en-CA"/>
              </w:rPr>
              <w:t xml:space="preserve"> </w:t>
            </w:r>
            <w:r w:rsidRPr="00691ABD">
              <w:rPr>
                <w:sz w:val="20"/>
                <w:szCs w:val="20"/>
                <w:lang w:val="fr-CA" w:eastAsia="en-CA"/>
              </w:rPr>
              <w:t>580</w:t>
            </w:r>
          </w:p>
        </w:tc>
        <w:tc>
          <w:tcPr>
            <w:tcW w:w="1250" w:type="dxa"/>
            <w:tcBorders>
              <w:top w:val="nil"/>
              <w:left w:val="nil"/>
              <w:bottom w:val="single" w:sz="4" w:space="0" w:color="auto"/>
              <w:right w:val="single" w:sz="4" w:space="0" w:color="auto"/>
            </w:tcBorders>
            <w:shd w:val="clear" w:color="auto" w:fill="auto"/>
            <w:noWrap/>
            <w:hideMark/>
          </w:tcPr>
          <w:p w14:paraId="7726A57F" w14:textId="77777777" w:rsidR="00A325C8" w:rsidRPr="00691ABD" w:rsidRDefault="00A325C8" w:rsidP="001E39EE">
            <w:pPr>
              <w:jc w:val="right"/>
              <w:rPr>
                <w:sz w:val="20"/>
                <w:szCs w:val="20"/>
                <w:lang w:val="fr-CA" w:eastAsia="en-CA"/>
              </w:rPr>
            </w:pPr>
            <w:r w:rsidRPr="00691ABD">
              <w:rPr>
                <w:sz w:val="20"/>
                <w:szCs w:val="20"/>
                <w:lang w:val="fr-CA" w:eastAsia="en-CA"/>
              </w:rPr>
              <w:t>25</w:t>
            </w:r>
            <w:r>
              <w:rPr>
                <w:sz w:val="20"/>
                <w:szCs w:val="20"/>
                <w:lang w:val="fr-CA" w:eastAsia="en-CA"/>
              </w:rPr>
              <w:t xml:space="preserve"> </w:t>
            </w:r>
            <w:r w:rsidRPr="00691ABD">
              <w:rPr>
                <w:sz w:val="20"/>
                <w:szCs w:val="20"/>
                <w:lang w:val="fr-CA" w:eastAsia="en-CA"/>
              </w:rPr>
              <w:t>036</w:t>
            </w:r>
          </w:p>
        </w:tc>
        <w:tc>
          <w:tcPr>
            <w:tcW w:w="1050" w:type="dxa"/>
            <w:tcBorders>
              <w:top w:val="nil"/>
              <w:left w:val="nil"/>
              <w:bottom w:val="single" w:sz="4" w:space="0" w:color="auto"/>
              <w:right w:val="single" w:sz="4" w:space="0" w:color="auto"/>
            </w:tcBorders>
            <w:shd w:val="clear" w:color="auto" w:fill="auto"/>
            <w:noWrap/>
            <w:hideMark/>
          </w:tcPr>
          <w:p w14:paraId="20A7F1B3" w14:textId="77777777" w:rsidR="00A325C8" w:rsidRPr="00691ABD" w:rsidRDefault="00A325C8" w:rsidP="001E39EE">
            <w:pPr>
              <w:jc w:val="right"/>
              <w:rPr>
                <w:sz w:val="20"/>
                <w:szCs w:val="20"/>
                <w:lang w:val="fr-CA" w:eastAsia="en-CA"/>
              </w:rPr>
            </w:pPr>
            <w:r w:rsidRPr="00691ABD">
              <w:rPr>
                <w:sz w:val="20"/>
                <w:szCs w:val="20"/>
                <w:lang w:val="fr-CA" w:eastAsia="en-CA"/>
              </w:rPr>
              <w:t>98</w:t>
            </w:r>
          </w:p>
        </w:tc>
      </w:tr>
      <w:tr w:rsidR="00A325C8" w:rsidRPr="00691ABD" w14:paraId="005B19C3" w14:textId="77777777" w:rsidTr="00691ABD">
        <w:trPr>
          <w:trHeight w:val="92"/>
        </w:trPr>
        <w:tc>
          <w:tcPr>
            <w:tcW w:w="3828" w:type="dxa"/>
            <w:tcBorders>
              <w:top w:val="nil"/>
              <w:left w:val="single" w:sz="4" w:space="0" w:color="auto"/>
              <w:bottom w:val="single" w:sz="4" w:space="0" w:color="auto"/>
              <w:right w:val="single" w:sz="4" w:space="0" w:color="auto"/>
            </w:tcBorders>
            <w:shd w:val="clear" w:color="auto" w:fill="auto"/>
            <w:noWrap/>
            <w:hideMark/>
          </w:tcPr>
          <w:p w14:paraId="47AA3C35" w14:textId="77777777" w:rsidR="00A325C8" w:rsidRPr="00691ABD" w:rsidRDefault="00A325C8" w:rsidP="001E39EE">
            <w:pPr>
              <w:jc w:val="left"/>
              <w:rPr>
                <w:sz w:val="20"/>
                <w:szCs w:val="20"/>
                <w:lang w:val="fr-CA" w:eastAsia="en-CA"/>
              </w:rPr>
            </w:pPr>
            <w:r w:rsidRPr="00691ABD">
              <w:rPr>
                <w:sz w:val="20"/>
                <w:szCs w:val="20"/>
                <w:lang w:val="fr-CA" w:eastAsia="en-CA"/>
              </w:rPr>
              <w:t>Mali</w:t>
            </w:r>
          </w:p>
        </w:tc>
        <w:tc>
          <w:tcPr>
            <w:tcW w:w="1295" w:type="dxa"/>
            <w:tcBorders>
              <w:top w:val="nil"/>
              <w:left w:val="nil"/>
              <w:bottom w:val="single" w:sz="4" w:space="0" w:color="auto"/>
              <w:right w:val="single" w:sz="4" w:space="0" w:color="auto"/>
            </w:tcBorders>
            <w:shd w:val="clear" w:color="auto" w:fill="auto"/>
            <w:noWrap/>
            <w:hideMark/>
          </w:tcPr>
          <w:p w14:paraId="68D48781"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w:t>
            </w:r>
            <w:r w:rsidRPr="00691ABD">
              <w:rPr>
                <w:sz w:val="20"/>
                <w:szCs w:val="20"/>
                <w:lang w:val="fr-CA" w:eastAsia="en-CA"/>
              </w:rPr>
              <w:t>2</w:t>
            </w:r>
          </w:p>
        </w:tc>
        <w:tc>
          <w:tcPr>
            <w:tcW w:w="1275" w:type="dxa"/>
            <w:tcBorders>
              <w:top w:val="nil"/>
              <w:left w:val="nil"/>
              <w:bottom w:val="single" w:sz="4" w:space="0" w:color="auto"/>
              <w:right w:val="single" w:sz="4" w:space="0" w:color="auto"/>
            </w:tcBorders>
            <w:shd w:val="clear" w:color="auto" w:fill="auto"/>
            <w:noWrap/>
            <w:hideMark/>
          </w:tcPr>
          <w:p w14:paraId="3C5F604A" w14:textId="77777777" w:rsidR="00A325C8" w:rsidRPr="00691ABD" w:rsidRDefault="00A325C8" w:rsidP="001E39EE">
            <w:pPr>
              <w:jc w:val="right"/>
              <w:rPr>
                <w:sz w:val="20"/>
                <w:szCs w:val="20"/>
                <w:lang w:val="fr-CA" w:eastAsia="en-CA"/>
              </w:rPr>
            </w:pPr>
            <w:r w:rsidRPr="00691ABD">
              <w:rPr>
                <w:sz w:val="20"/>
                <w:szCs w:val="20"/>
                <w:lang w:val="fr-CA" w:eastAsia="en-CA"/>
              </w:rPr>
              <w:t>500</w:t>
            </w:r>
            <w:r>
              <w:rPr>
                <w:sz w:val="20"/>
                <w:szCs w:val="20"/>
                <w:lang w:val="fr-CA" w:eastAsia="en-CA"/>
              </w:rPr>
              <w:t xml:space="preserve"> </w:t>
            </w:r>
            <w:r w:rsidRPr="00691ABD">
              <w:rPr>
                <w:sz w:val="20"/>
                <w:szCs w:val="20"/>
                <w:lang w:val="fr-CA" w:eastAsia="en-CA"/>
              </w:rPr>
              <w:t>830</w:t>
            </w:r>
          </w:p>
        </w:tc>
        <w:tc>
          <w:tcPr>
            <w:tcW w:w="1276" w:type="dxa"/>
            <w:tcBorders>
              <w:top w:val="nil"/>
              <w:left w:val="nil"/>
              <w:bottom w:val="single" w:sz="4" w:space="0" w:color="auto"/>
              <w:right w:val="single" w:sz="4" w:space="0" w:color="auto"/>
            </w:tcBorders>
            <w:shd w:val="clear" w:color="auto" w:fill="auto"/>
            <w:noWrap/>
            <w:hideMark/>
          </w:tcPr>
          <w:p w14:paraId="31FDDD76" w14:textId="77777777" w:rsidR="00A325C8" w:rsidRPr="00691ABD" w:rsidRDefault="00A325C8" w:rsidP="001E39EE">
            <w:pPr>
              <w:jc w:val="right"/>
              <w:rPr>
                <w:sz w:val="20"/>
                <w:szCs w:val="20"/>
                <w:lang w:val="fr-CA" w:eastAsia="en-CA"/>
              </w:rPr>
            </w:pPr>
            <w:r w:rsidRPr="00691ABD">
              <w:rPr>
                <w:sz w:val="20"/>
                <w:szCs w:val="20"/>
                <w:lang w:val="fr-CA" w:eastAsia="en-CA"/>
              </w:rPr>
              <w:t>434</w:t>
            </w:r>
            <w:r>
              <w:rPr>
                <w:sz w:val="20"/>
                <w:szCs w:val="20"/>
                <w:lang w:val="fr-CA" w:eastAsia="en-CA"/>
              </w:rPr>
              <w:t xml:space="preserve"> </w:t>
            </w:r>
            <w:r w:rsidRPr="00691ABD">
              <w:rPr>
                <w:sz w:val="20"/>
                <w:szCs w:val="20"/>
                <w:lang w:val="fr-CA" w:eastAsia="en-CA"/>
              </w:rPr>
              <w:t>723</w:t>
            </w:r>
          </w:p>
        </w:tc>
        <w:tc>
          <w:tcPr>
            <w:tcW w:w="1250" w:type="dxa"/>
            <w:tcBorders>
              <w:top w:val="nil"/>
              <w:left w:val="nil"/>
              <w:bottom w:val="single" w:sz="4" w:space="0" w:color="auto"/>
              <w:right w:val="single" w:sz="4" w:space="0" w:color="auto"/>
            </w:tcBorders>
            <w:shd w:val="clear" w:color="auto" w:fill="auto"/>
            <w:noWrap/>
            <w:hideMark/>
          </w:tcPr>
          <w:p w14:paraId="7325C4E4" w14:textId="77777777" w:rsidR="00A325C8" w:rsidRPr="00691ABD" w:rsidRDefault="00A325C8" w:rsidP="001E39EE">
            <w:pPr>
              <w:jc w:val="right"/>
              <w:rPr>
                <w:sz w:val="20"/>
                <w:szCs w:val="20"/>
                <w:lang w:val="fr-CA" w:eastAsia="en-CA"/>
              </w:rPr>
            </w:pPr>
            <w:r w:rsidRPr="00691ABD">
              <w:rPr>
                <w:sz w:val="20"/>
                <w:szCs w:val="20"/>
                <w:lang w:val="fr-CA" w:eastAsia="en-CA"/>
              </w:rPr>
              <w:t>66</w:t>
            </w:r>
            <w:r>
              <w:rPr>
                <w:sz w:val="20"/>
                <w:szCs w:val="20"/>
                <w:lang w:val="fr-CA" w:eastAsia="en-CA"/>
              </w:rPr>
              <w:t xml:space="preserve"> </w:t>
            </w:r>
            <w:r w:rsidRPr="00691ABD">
              <w:rPr>
                <w:sz w:val="20"/>
                <w:szCs w:val="20"/>
                <w:lang w:val="fr-CA" w:eastAsia="en-CA"/>
              </w:rPr>
              <w:t>107</w:t>
            </w:r>
          </w:p>
        </w:tc>
        <w:tc>
          <w:tcPr>
            <w:tcW w:w="1050" w:type="dxa"/>
            <w:tcBorders>
              <w:top w:val="nil"/>
              <w:left w:val="nil"/>
              <w:bottom w:val="single" w:sz="4" w:space="0" w:color="auto"/>
              <w:right w:val="single" w:sz="4" w:space="0" w:color="auto"/>
            </w:tcBorders>
            <w:shd w:val="clear" w:color="auto" w:fill="auto"/>
            <w:noWrap/>
            <w:hideMark/>
          </w:tcPr>
          <w:p w14:paraId="0AFF548B" w14:textId="77777777" w:rsidR="00A325C8" w:rsidRPr="00691ABD" w:rsidRDefault="00A325C8" w:rsidP="001E39EE">
            <w:pPr>
              <w:jc w:val="right"/>
              <w:rPr>
                <w:sz w:val="20"/>
                <w:szCs w:val="20"/>
                <w:lang w:val="fr-CA" w:eastAsia="en-CA"/>
              </w:rPr>
            </w:pPr>
            <w:r w:rsidRPr="00691ABD">
              <w:rPr>
                <w:sz w:val="20"/>
                <w:szCs w:val="20"/>
                <w:lang w:val="fr-CA" w:eastAsia="en-CA"/>
              </w:rPr>
              <w:t>87</w:t>
            </w:r>
          </w:p>
        </w:tc>
      </w:tr>
      <w:tr w:rsidR="00A325C8" w:rsidRPr="00691ABD" w14:paraId="437FD088"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1F80955" w14:textId="77777777" w:rsidR="00A325C8" w:rsidRPr="00691ABD" w:rsidRDefault="00A325C8" w:rsidP="001E39EE">
            <w:pPr>
              <w:jc w:val="left"/>
              <w:rPr>
                <w:sz w:val="20"/>
                <w:szCs w:val="20"/>
                <w:lang w:val="fr-CA" w:eastAsia="en-CA"/>
              </w:rPr>
            </w:pPr>
            <w:r>
              <w:rPr>
                <w:sz w:val="20"/>
                <w:szCs w:val="20"/>
                <w:lang w:val="fr-CA" w:eastAsia="en-CA"/>
              </w:rPr>
              <w:t>Maroc</w:t>
            </w:r>
          </w:p>
        </w:tc>
        <w:tc>
          <w:tcPr>
            <w:tcW w:w="1295" w:type="dxa"/>
            <w:tcBorders>
              <w:top w:val="nil"/>
              <w:left w:val="nil"/>
              <w:bottom w:val="single" w:sz="4" w:space="0" w:color="auto"/>
              <w:right w:val="single" w:sz="4" w:space="0" w:color="auto"/>
            </w:tcBorders>
            <w:shd w:val="clear" w:color="auto" w:fill="auto"/>
            <w:noWrap/>
            <w:hideMark/>
          </w:tcPr>
          <w:p w14:paraId="638AE442" w14:textId="77777777" w:rsidR="00A325C8" w:rsidRPr="00691ABD" w:rsidRDefault="00A325C8" w:rsidP="001E39EE">
            <w:pPr>
              <w:jc w:val="right"/>
              <w:rPr>
                <w:sz w:val="20"/>
                <w:szCs w:val="20"/>
                <w:lang w:val="fr-CA" w:eastAsia="en-CA"/>
              </w:rPr>
            </w:pPr>
            <w:r w:rsidRPr="00691ABD">
              <w:rPr>
                <w:sz w:val="20"/>
                <w:szCs w:val="20"/>
                <w:lang w:val="fr-CA" w:eastAsia="en-CA"/>
              </w:rPr>
              <w:t>11</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6263B328"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284</w:t>
            </w:r>
            <w:r>
              <w:rPr>
                <w:sz w:val="20"/>
                <w:szCs w:val="20"/>
                <w:lang w:val="fr-CA" w:eastAsia="en-CA"/>
              </w:rPr>
              <w:t xml:space="preserve"> </w:t>
            </w:r>
            <w:r w:rsidRPr="00691ABD">
              <w:rPr>
                <w:sz w:val="20"/>
                <w:szCs w:val="20"/>
                <w:lang w:val="fr-CA" w:eastAsia="en-CA"/>
              </w:rPr>
              <w:t>159</w:t>
            </w:r>
          </w:p>
        </w:tc>
        <w:tc>
          <w:tcPr>
            <w:tcW w:w="1276" w:type="dxa"/>
            <w:tcBorders>
              <w:top w:val="nil"/>
              <w:left w:val="nil"/>
              <w:bottom w:val="single" w:sz="4" w:space="0" w:color="auto"/>
              <w:right w:val="single" w:sz="4" w:space="0" w:color="auto"/>
            </w:tcBorders>
            <w:shd w:val="clear" w:color="auto" w:fill="auto"/>
            <w:noWrap/>
            <w:hideMark/>
          </w:tcPr>
          <w:p w14:paraId="25DCF70D"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151</w:t>
            </w:r>
            <w:r>
              <w:rPr>
                <w:sz w:val="20"/>
                <w:szCs w:val="20"/>
                <w:lang w:val="fr-CA" w:eastAsia="en-CA"/>
              </w:rPr>
              <w:t xml:space="preserve"> </w:t>
            </w:r>
            <w:r w:rsidRPr="00691ABD">
              <w:rPr>
                <w:sz w:val="20"/>
                <w:szCs w:val="20"/>
                <w:lang w:val="fr-CA" w:eastAsia="en-CA"/>
              </w:rPr>
              <w:t>968</w:t>
            </w:r>
          </w:p>
        </w:tc>
        <w:tc>
          <w:tcPr>
            <w:tcW w:w="1250" w:type="dxa"/>
            <w:tcBorders>
              <w:top w:val="nil"/>
              <w:left w:val="nil"/>
              <w:bottom w:val="single" w:sz="4" w:space="0" w:color="auto"/>
              <w:right w:val="single" w:sz="4" w:space="0" w:color="auto"/>
            </w:tcBorders>
            <w:shd w:val="clear" w:color="auto" w:fill="auto"/>
            <w:noWrap/>
            <w:hideMark/>
          </w:tcPr>
          <w:p w14:paraId="28FE6851" w14:textId="77777777" w:rsidR="00A325C8" w:rsidRPr="00691ABD" w:rsidRDefault="00A325C8" w:rsidP="001E39EE">
            <w:pPr>
              <w:jc w:val="right"/>
              <w:rPr>
                <w:sz w:val="20"/>
                <w:szCs w:val="20"/>
                <w:lang w:val="fr-CA" w:eastAsia="en-CA"/>
              </w:rPr>
            </w:pPr>
            <w:r w:rsidRPr="00691ABD">
              <w:rPr>
                <w:sz w:val="20"/>
                <w:szCs w:val="20"/>
                <w:lang w:val="fr-CA" w:eastAsia="en-CA"/>
              </w:rPr>
              <w:t>132</w:t>
            </w:r>
            <w:r>
              <w:rPr>
                <w:sz w:val="20"/>
                <w:szCs w:val="20"/>
                <w:lang w:val="fr-CA" w:eastAsia="en-CA"/>
              </w:rPr>
              <w:t xml:space="preserve"> </w:t>
            </w:r>
            <w:r w:rsidRPr="00691ABD">
              <w:rPr>
                <w:sz w:val="20"/>
                <w:szCs w:val="20"/>
                <w:lang w:val="fr-CA" w:eastAsia="en-CA"/>
              </w:rPr>
              <w:t>191</w:t>
            </w:r>
          </w:p>
        </w:tc>
        <w:tc>
          <w:tcPr>
            <w:tcW w:w="1050" w:type="dxa"/>
            <w:tcBorders>
              <w:top w:val="nil"/>
              <w:left w:val="nil"/>
              <w:bottom w:val="single" w:sz="4" w:space="0" w:color="auto"/>
              <w:right w:val="single" w:sz="4" w:space="0" w:color="auto"/>
            </w:tcBorders>
            <w:shd w:val="clear" w:color="auto" w:fill="auto"/>
            <w:noWrap/>
            <w:hideMark/>
          </w:tcPr>
          <w:p w14:paraId="42F4C6EA" w14:textId="77777777" w:rsidR="00A325C8" w:rsidRPr="00691ABD" w:rsidRDefault="00A325C8" w:rsidP="001E39EE">
            <w:pPr>
              <w:jc w:val="right"/>
              <w:rPr>
                <w:sz w:val="20"/>
                <w:szCs w:val="20"/>
                <w:lang w:val="fr-CA" w:eastAsia="en-CA"/>
              </w:rPr>
            </w:pPr>
            <w:r w:rsidRPr="00691ABD">
              <w:rPr>
                <w:sz w:val="20"/>
                <w:szCs w:val="20"/>
                <w:lang w:val="fr-CA" w:eastAsia="en-CA"/>
              </w:rPr>
              <w:t>90</w:t>
            </w:r>
          </w:p>
        </w:tc>
      </w:tr>
      <w:tr w:rsidR="00A325C8" w:rsidRPr="00691ABD" w14:paraId="7FCABC3D"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96FBCDD" w14:textId="77777777" w:rsidR="00A325C8" w:rsidRPr="00691ABD" w:rsidRDefault="00A325C8" w:rsidP="001E39EE">
            <w:pPr>
              <w:jc w:val="left"/>
              <w:rPr>
                <w:sz w:val="20"/>
                <w:szCs w:val="20"/>
                <w:lang w:val="fr-CA" w:eastAsia="en-CA"/>
              </w:rPr>
            </w:pPr>
            <w:r>
              <w:rPr>
                <w:sz w:val="20"/>
                <w:szCs w:val="20"/>
                <w:lang w:val="fr-CA" w:eastAsia="en-CA"/>
              </w:rPr>
              <w:t>Maurice</w:t>
            </w:r>
          </w:p>
        </w:tc>
        <w:tc>
          <w:tcPr>
            <w:tcW w:w="1295" w:type="dxa"/>
            <w:tcBorders>
              <w:top w:val="nil"/>
              <w:left w:val="nil"/>
              <w:bottom w:val="single" w:sz="4" w:space="0" w:color="auto"/>
              <w:right w:val="single" w:sz="4" w:space="0" w:color="auto"/>
            </w:tcBorders>
            <w:shd w:val="clear" w:color="auto" w:fill="auto"/>
            <w:noWrap/>
            <w:hideMark/>
          </w:tcPr>
          <w:p w14:paraId="6EAD1A63"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01DA3956" w14:textId="77777777" w:rsidR="00A325C8" w:rsidRPr="00691ABD" w:rsidRDefault="00A325C8" w:rsidP="001E39EE">
            <w:pPr>
              <w:jc w:val="right"/>
              <w:rPr>
                <w:sz w:val="20"/>
                <w:szCs w:val="20"/>
                <w:lang w:val="fr-CA" w:eastAsia="en-CA"/>
              </w:rPr>
            </w:pPr>
            <w:r w:rsidRPr="00691ABD">
              <w:rPr>
                <w:sz w:val="20"/>
                <w:szCs w:val="20"/>
                <w:lang w:val="fr-CA" w:eastAsia="en-CA"/>
              </w:rPr>
              <w:t>782</w:t>
            </w:r>
            <w:r>
              <w:rPr>
                <w:sz w:val="20"/>
                <w:szCs w:val="20"/>
                <w:lang w:val="fr-CA" w:eastAsia="en-CA"/>
              </w:rPr>
              <w:t xml:space="preserve"> </w:t>
            </w:r>
            <w:r w:rsidRPr="00691ABD">
              <w:rPr>
                <w:sz w:val="20"/>
                <w:szCs w:val="20"/>
                <w:lang w:val="fr-CA" w:eastAsia="en-CA"/>
              </w:rPr>
              <w:t>500</w:t>
            </w:r>
          </w:p>
        </w:tc>
        <w:tc>
          <w:tcPr>
            <w:tcW w:w="1276" w:type="dxa"/>
            <w:tcBorders>
              <w:top w:val="nil"/>
              <w:left w:val="nil"/>
              <w:bottom w:val="single" w:sz="4" w:space="0" w:color="auto"/>
              <w:right w:val="single" w:sz="4" w:space="0" w:color="auto"/>
            </w:tcBorders>
            <w:shd w:val="clear" w:color="auto" w:fill="auto"/>
            <w:noWrap/>
            <w:hideMark/>
          </w:tcPr>
          <w:p w14:paraId="2BD644FA" w14:textId="77777777" w:rsidR="00A325C8" w:rsidRPr="00691ABD" w:rsidRDefault="00A325C8" w:rsidP="001E39EE">
            <w:pPr>
              <w:jc w:val="right"/>
              <w:rPr>
                <w:sz w:val="20"/>
                <w:szCs w:val="20"/>
                <w:lang w:val="fr-CA" w:eastAsia="en-CA"/>
              </w:rPr>
            </w:pPr>
            <w:r w:rsidRPr="00691ABD">
              <w:rPr>
                <w:sz w:val="20"/>
                <w:szCs w:val="20"/>
                <w:lang w:val="fr-CA" w:eastAsia="en-CA"/>
              </w:rPr>
              <w:t>405</w:t>
            </w:r>
            <w:r>
              <w:rPr>
                <w:sz w:val="20"/>
                <w:szCs w:val="20"/>
                <w:lang w:val="fr-CA" w:eastAsia="en-CA"/>
              </w:rPr>
              <w:t xml:space="preserve"> </w:t>
            </w:r>
            <w:r w:rsidRPr="00691ABD">
              <w:rPr>
                <w:sz w:val="20"/>
                <w:szCs w:val="20"/>
                <w:lang w:val="fr-CA" w:eastAsia="en-CA"/>
              </w:rPr>
              <w:t>989</w:t>
            </w:r>
          </w:p>
        </w:tc>
        <w:tc>
          <w:tcPr>
            <w:tcW w:w="1250" w:type="dxa"/>
            <w:tcBorders>
              <w:top w:val="nil"/>
              <w:left w:val="nil"/>
              <w:bottom w:val="single" w:sz="4" w:space="0" w:color="auto"/>
              <w:right w:val="single" w:sz="4" w:space="0" w:color="auto"/>
            </w:tcBorders>
            <w:shd w:val="clear" w:color="auto" w:fill="auto"/>
            <w:noWrap/>
            <w:hideMark/>
          </w:tcPr>
          <w:p w14:paraId="5620EF28" w14:textId="77777777" w:rsidR="00A325C8" w:rsidRPr="00691ABD" w:rsidRDefault="00A325C8" w:rsidP="001E39EE">
            <w:pPr>
              <w:jc w:val="right"/>
              <w:rPr>
                <w:sz w:val="20"/>
                <w:szCs w:val="20"/>
                <w:lang w:val="fr-CA" w:eastAsia="en-CA"/>
              </w:rPr>
            </w:pPr>
            <w:r w:rsidRPr="00691ABD">
              <w:rPr>
                <w:sz w:val="20"/>
                <w:szCs w:val="20"/>
                <w:lang w:val="fr-CA" w:eastAsia="en-CA"/>
              </w:rPr>
              <w:t>376</w:t>
            </w:r>
            <w:r>
              <w:rPr>
                <w:sz w:val="20"/>
                <w:szCs w:val="20"/>
                <w:lang w:val="fr-CA" w:eastAsia="en-CA"/>
              </w:rPr>
              <w:t xml:space="preserve"> </w:t>
            </w:r>
            <w:r w:rsidRPr="00691ABD">
              <w:rPr>
                <w:sz w:val="20"/>
                <w:szCs w:val="20"/>
                <w:lang w:val="fr-CA" w:eastAsia="en-CA"/>
              </w:rPr>
              <w:t>511</w:t>
            </w:r>
          </w:p>
        </w:tc>
        <w:tc>
          <w:tcPr>
            <w:tcW w:w="1050" w:type="dxa"/>
            <w:tcBorders>
              <w:top w:val="nil"/>
              <w:left w:val="nil"/>
              <w:bottom w:val="single" w:sz="4" w:space="0" w:color="auto"/>
              <w:right w:val="single" w:sz="4" w:space="0" w:color="auto"/>
            </w:tcBorders>
            <w:shd w:val="clear" w:color="auto" w:fill="auto"/>
            <w:noWrap/>
            <w:hideMark/>
          </w:tcPr>
          <w:p w14:paraId="4883B530" w14:textId="77777777" w:rsidR="00A325C8" w:rsidRPr="00691ABD" w:rsidRDefault="00A325C8" w:rsidP="001E39EE">
            <w:pPr>
              <w:jc w:val="right"/>
              <w:rPr>
                <w:sz w:val="20"/>
                <w:szCs w:val="20"/>
                <w:lang w:val="fr-CA" w:eastAsia="en-CA"/>
              </w:rPr>
            </w:pPr>
            <w:r w:rsidRPr="00691ABD">
              <w:rPr>
                <w:sz w:val="20"/>
                <w:szCs w:val="20"/>
                <w:lang w:val="fr-CA" w:eastAsia="en-CA"/>
              </w:rPr>
              <w:t>52</w:t>
            </w:r>
          </w:p>
        </w:tc>
      </w:tr>
      <w:tr w:rsidR="00A325C8" w:rsidRPr="00691ABD" w14:paraId="6C734744"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FA46D25" w14:textId="77777777" w:rsidR="00A325C8" w:rsidRPr="00691ABD" w:rsidRDefault="00A325C8" w:rsidP="001E39EE">
            <w:pPr>
              <w:jc w:val="left"/>
              <w:rPr>
                <w:sz w:val="20"/>
                <w:szCs w:val="20"/>
                <w:lang w:val="fr-CA" w:eastAsia="en-CA"/>
              </w:rPr>
            </w:pPr>
            <w:r>
              <w:rPr>
                <w:sz w:val="20"/>
                <w:szCs w:val="20"/>
                <w:lang w:val="fr-CA" w:eastAsia="en-CA"/>
              </w:rPr>
              <w:t>Mauritanie</w:t>
            </w:r>
          </w:p>
        </w:tc>
        <w:tc>
          <w:tcPr>
            <w:tcW w:w="1295" w:type="dxa"/>
            <w:tcBorders>
              <w:top w:val="nil"/>
              <w:left w:val="nil"/>
              <w:bottom w:val="single" w:sz="4" w:space="0" w:color="auto"/>
              <w:right w:val="single" w:sz="4" w:space="0" w:color="auto"/>
            </w:tcBorders>
            <w:shd w:val="clear" w:color="auto" w:fill="auto"/>
            <w:noWrap/>
            <w:hideMark/>
          </w:tcPr>
          <w:p w14:paraId="01FBD706"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3574A599" w14:textId="77777777" w:rsidR="00A325C8" w:rsidRPr="00691ABD" w:rsidRDefault="00A325C8" w:rsidP="001E39EE">
            <w:pPr>
              <w:jc w:val="right"/>
              <w:rPr>
                <w:sz w:val="20"/>
                <w:szCs w:val="20"/>
                <w:lang w:val="fr-CA" w:eastAsia="en-CA"/>
              </w:rPr>
            </w:pPr>
            <w:r w:rsidRPr="00691ABD">
              <w:rPr>
                <w:sz w:val="20"/>
                <w:szCs w:val="20"/>
                <w:lang w:val="fr-CA" w:eastAsia="en-CA"/>
              </w:rPr>
              <w:t>255</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57019CB3" w14:textId="77777777" w:rsidR="00A325C8" w:rsidRPr="00691ABD" w:rsidRDefault="00A325C8" w:rsidP="001E39EE">
            <w:pPr>
              <w:jc w:val="right"/>
              <w:rPr>
                <w:sz w:val="20"/>
                <w:szCs w:val="20"/>
                <w:lang w:val="fr-CA" w:eastAsia="en-CA"/>
              </w:rPr>
            </w:pPr>
            <w:r w:rsidRPr="00691ABD">
              <w:rPr>
                <w:sz w:val="20"/>
                <w:szCs w:val="20"/>
                <w:lang w:val="fr-CA" w:eastAsia="en-CA"/>
              </w:rPr>
              <w:t>50</w:t>
            </w:r>
            <w:r>
              <w:rPr>
                <w:sz w:val="20"/>
                <w:szCs w:val="20"/>
                <w:lang w:val="fr-CA" w:eastAsia="en-CA"/>
              </w:rPr>
              <w:t xml:space="preserve"> </w:t>
            </w:r>
            <w:r w:rsidRPr="00691ABD">
              <w:rPr>
                <w:sz w:val="20"/>
                <w:szCs w:val="20"/>
                <w:lang w:val="fr-CA" w:eastAsia="en-CA"/>
              </w:rPr>
              <w:t>000</w:t>
            </w:r>
          </w:p>
        </w:tc>
        <w:tc>
          <w:tcPr>
            <w:tcW w:w="1250" w:type="dxa"/>
            <w:tcBorders>
              <w:top w:val="nil"/>
              <w:left w:val="nil"/>
              <w:bottom w:val="single" w:sz="4" w:space="0" w:color="auto"/>
              <w:right w:val="single" w:sz="4" w:space="0" w:color="auto"/>
            </w:tcBorders>
            <w:shd w:val="clear" w:color="auto" w:fill="auto"/>
            <w:noWrap/>
            <w:hideMark/>
          </w:tcPr>
          <w:p w14:paraId="73E55FC2" w14:textId="77777777" w:rsidR="00A325C8" w:rsidRPr="00691ABD" w:rsidRDefault="00A325C8" w:rsidP="001E39EE">
            <w:pPr>
              <w:jc w:val="right"/>
              <w:rPr>
                <w:sz w:val="20"/>
                <w:szCs w:val="20"/>
                <w:lang w:val="fr-CA" w:eastAsia="en-CA"/>
              </w:rPr>
            </w:pPr>
            <w:r w:rsidRPr="00691ABD">
              <w:rPr>
                <w:sz w:val="20"/>
                <w:szCs w:val="20"/>
                <w:lang w:val="fr-CA" w:eastAsia="en-CA"/>
              </w:rPr>
              <w:t>205</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4197826C" w14:textId="77777777" w:rsidR="00A325C8" w:rsidRPr="00691ABD" w:rsidRDefault="00A325C8" w:rsidP="001E39EE">
            <w:pPr>
              <w:jc w:val="right"/>
              <w:rPr>
                <w:sz w:val="20"/>
                <w:szCs w:val="20"/>
                <w:lang w:val="fr-CA" w:eastAsia="en-CA"/>
              </w:rPr>
            </w:pPr>
            <w:r w:rsidRPr="00691ABD">
              <w:rPr>
                <w:sz w:val="20"/>
                <w:szCs w:val="20"/>
                <w:lang w:val="fr-CA" w:eastAsia="en-CA"/>
              </w:rPr>
              <w:t>20</w:t>
            </w:r>
          </w:p>
        </w:tc>
      </w:tr>
      <w:tr w:rsidR="00A325C8" w:rsidRPr="00691ABD" w14:paraId="61D1E478"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D81FA56" w14:textId="77777777" w:rsidR="00A325C8" w:rsidRPr="00691ABD" w:rsidRDefault="00A325C8" w:rsidP="001E39EE">
            <w:pPr>
              <w:jc w:val="left"/>
              <w:rPr>
                <w:sz w:val="20"/>
                <w:szCs w:val="20"/>
                <w:lang w:val="fr-CA" w:eastAsia="en-CA"/>
              </w:rPr>
            </w:pPr>
            <w:r>
              <w:rPr>
                <w:sz w:val="20"/>
                <w:szCs w:val="20"/>
                <w:lang w:val="fr-CA" w:eastAsia="en-CA"/>
              </w:rPr>
              <w:t>Mexique</w:t>
            </w:r>
          </w:p>
        </w:tc>
        <w:tc>
          <w:tcPr>
            <w:tcW w:w="1295" w:type="dxa"/>
            <w:tcBorders>
              <w:top w:val="nil"/>
              <w:left w:val="nil"/>
              <w:bottom w:val="single" w:sz="4" w:space="0" w:color="auto"/>
              <w:right w:val="single" w:sz="4" w:space="0" w:color="auto"/>
            </w:tcBorders>
            <w:shd w:val="clear" w:color="auto" w:fill="auto"/>
            <w:noWrap/>
            <w:hideMark/>
          </w:tcPr>
          <w:p w14:paraId="1E6D67D2" w14:textId="77777777" w:rsidR="00A325C8" w:rsidRPr="00691ABD" w:rsidRDefault="00A325C8" w:rsidP="001E39EE">
            <w:pPr>
              <w:jc w:val="right"/>
              <w:rPr>
                <w:sz w:val="20"/>
                <w:szCs w:val="20"/>
                <w:lang w:val="fr-CA" w:eastAsia="en-CA"/>
              </w:rPr>
            </w:pPr>
            <w:r w:rsidRPr="00691ABD">
              <w:rPr>
                <w:sz w:val="20"/>
                <w:szCs w:val="20"/>
                <w:lang w:val="fr-CA" w:eastAsia="en-CA"/>
              </w:rPr>
              <w:t>555</w:t>
            </w:r>
            <w:r>
              <w:rPr>
                <w:sz w:val="20"/>
                <w:szCs w:val="20"/>
                <w:lang w:val="fr-CA" w:eastAsia="en-CA"/>
              </w:rPr>
              <w:t>,</w:t>
            </w:r>
            <w:r w:rsidRPr="00691ABD">
              <w:rPr>
                <w:sz w:val="20"/>
                <w:szCs w:val="20"/>
                <w:lang w:val="fr-CA" w:eastAsia="en-CA"/>
              </w:rPr>
              <w:t>7</w:t>
            </w:r>
          </w:p>
        </w:tc>
        <w:tc>
          <w:tcPr>
            <w:tcW w:w="1275" w:type="dxa"/>
            <w:tcBorders>
              <w:top w:val="nil"/>
              <w:left w:val="nil"/>
              <w:bottom w:val="single" w:sz="4" w:space="0" w:color="auto"/>
              <w:right w:val="single" w:sz="4" w:space="0" w:color="auto"/>
            </w:tcBorders>
            <w:shd w:val="clear" w:color="auto" w:fill="auto"/>
            <w:noWrap/>
            <w:hideMark/>
          </w:tcPr>
          <w:p w14:paraId="6634AE11" w14:textId="77777777" w:rsidR="00A325C8" w:rsidRPr="00691ABD" w:rsidRDefault="00A325C8" w:rsidP="001E39EE">
            <w:pPr>
              <w:jc w:val="right"/>
              <w:rPr>
                <w:sz w:val="20"/>
                <w:szCs w:val="20"/>
                <w:lang w:val="fr-CA" w:eastAsia="en-CA"/>
              </w:rPr>
            </w:pPr>
            <w:r w:rsidRPr="00691ABD">
              <w:rPr>
                <w:sz w:val="20"/>
                <w:szCs w:val="20"/>
                <w:lang w:val="fr-CA" w:eastAsia="en-CA"/>
              </w:rPr>
              <w:t>27</w:t>
            </w:r>
            <w:r>
              <w:rPr>
                <w:sz w:val="20"/>
                <w:szCs w:val="20"/>
                <w:lang w:val="fr-CA" w:eastAsia="en-CA"/>
              </w:rPr>
              <w:t xml:space="preserve"> </w:t>
            </w:r>
            <w:r w:rsidRPr="00691ABD">
              <w:rPr>
                <w:sz w:val="20"/>
                <w:szCs w:val="20"/>
                <w:lang w:val="fr-CA" w:eastAsia="en-CA"/>
              </w:rPr>
              <w:t>030</w:t>
            </w:r>
            <w:r>
              <w:rPr>
                <w:sz w:val="20"/>
                <w:szCs w:val="20"/>
                <w:lang w:val="fr-CA" w:eastAsia="en-CA"/>
              </w:rPr>
              <w:t xml:space="preserve"> </w:t>
            </w:r>
            <w:r w:rsidRPr="00691ABD">
              <w:rPr>
                <w:sz w:val="20"/>
                <w:szCs w:val="20"/>
                <w:lang w:val="fr-CA" w:eastAsia="en-CA"/>
              </w:rPr>
              <w:t>479</w:t>
            </w:r>
          </w:p>
        </w:tc>
        <w:tc>
          <w:tcPr>
            <w:tcW w:w="1276" w:type="dxa"/>
            <w:tcBorders>
              <w:top w:val="nil"/>
              <w:left w:val="nil"/>
              <w:bottom w:val="single" w:sz="4" w:space="0" w:color="auto"/>
              <w:right w:val="single" w:sz="4" w:space="0" w:color="auto"/>
            </w:tcBorders>
            <w:shd w:val="clear" w:color="auto" w:fill="auto"/>
            <w:noWrap/>
            <w:hideMark/>
          </w:tcPr>
          <w:p w14:paraId="0E06A6A8" w14:textId="77777777" w:rsidR="00A325C8" w:rsidRPr="00691ABD" w:rsidRDefault="00A325C8" w:rsidP="001E39EE">
            <w:pPr>
              <w:jc w:val="right"/>
              <w:rPr>
                <w:sz w:val="20"/>
                <w:szCs w:val="20"/>
                <w:lang w:val="fr-CA" w:eastAsia="en-CA"/>
              </w:rPr>
            </w:pPr>
            <w:r w:rsidRPr="00691ABD">
              <w:rPr>
                <w:sz w:val="20"/>
                <w:szCs w:val="20"/>
                <w:lang w:val="fr-CA" w:eastAsia="en-CA"/>
              </w:rPr>
              <w:t>21</w:t>
            </w:r>
            <w:r>
              <w:rPr>
                <w:sz w:val="20"/>
                <w:szCs w:val="20"/>
                <w:lang w:val="fr-CA" w:eastAsia="en-CA"/>
              </w:rPr>
              <w:t xml:space="preserve"> </w:t>
            </w:r>
            <w:r w:rsidRPr="00691ABD">
              <w:rPr>
                <w:sz w:val="20"/>
                <w:szCs w:val="20"/>
                <w:lang w:val="fr-CA" w:eastAsia="en-CA"/>
              </w:rPr>
              <w:t>713</w:t>
            </w:r>
            <w:r>
              <w:rPr>
                <w:sz w:val="20"/>
                <w:szCs w:val="20"/>
                <w:lang w:val="fr-CA" w:eastAsia="en-CA"/>
              </w:rPr>
              <w:t xml:space="preserve"> </w:t>
            </w:r>
            <w:r w:rsidRPr="00691ABD">
              <w:rPr>
                <w:sz w:val="20"/>
                <w:szCs w:val="20"/>
                <w:lang w:val="fr-CA" w:eastAsia="en-CA"/>
              </w:rPr>
              <w:t>553</w:t>
            </w:r>
          </w:p>
        </w:tc>
        <w:tc>
          <w:tcPr>
            <w:tcW w:w="1250" w:type="dxa"/>
            <w:tcBorders>
              <w:top w:val="nil"/>
              <w:left w:val="nil"/>
              <w:bottom w:val="single" w:sz="4" w:space="0" w:color="auto"/>
              <w:right w:val="single" w:sz="4" w:space="0" w:color="auto"/>
            </w:tcBorders>
            <w:shd w:val="clear" w:color="auto" w:fill="auto"/>
            <w:noWrap/>
            <w:hideMark/>
          </w:tcPr>
          <w:p w14:paraId="303444C3"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 xml:space="preserve"> </w:t>
            </w:r>
            <w:r w:rsidRPr="00691ABD">
              <w:rPr>
                <w:sz w:val="20"/>
                <w:szCs w:val="20"/>
                <w:lang w:val="fr-CA" w:eastAsia="en-CA"/>
              </w:rPr>
              <w:t>316</w:t>
            </w:r>
            <w:r>
              <w:rPr>
                <w:sz w:val="20"/>
                <w:szCs w:val="20"/>
                <w:lang w:val="fr-CA" w:eastAsia="en-CA"/>
              </w:rPr>
              <w:t xml:space="preserve"> </w:t>
            </w:r>
            <w:r w:rsidRPr="00691ABD">
              <w:rPr>
                <w:sz w:val="20"/>
                <w:szCs w:val="20"/>
                <w:lang w:val="fr-CA" w:eastAsia="en-CA"/>
              </w:rPr>
              <w:t>925</w:t>
            </w:r>
          </w:p>
        </w:tc>
        <w:tc>
          <w:tcPr>
            <w:tcW w:w="1050" w:type="dxa"/>
            <w:tcBorders>
              <w:top w:val="nil"/>
              <w:left w:val="nil"/>
              <w:bottom w:val="single" w:sz="4" w:space="0" w:color="auto"/>
              <w:right w:val="single" w:sz="4" w:space="0" w:color="auto"/>
            </w:tcBorders>
            <w:shd w:val="clear" w:color="auto" w:fill="auto"/>
            <w:noWrap/>
            <w:hideMark/>
          </w:tcPr>
          <w:p w14:paraId="603EBC7D" w14:textId="77777777" w:rsidR="00A325C8" w:rsidRPr="00691ABD" w:rsidRDefault="00A325C8" w:rsidP="001E39EE">
            <w:pPr>
              <w:jc w:val="right"/>
              <w:rPr>
                <w:sz w:val="20"/>
                <w:szCs w:val="20"/>
                <w:lang w:val="fr-CA" w:eastAsia="en-CA"/>
              </w:rPr>
            </w:pPr>
            <w:r w:rsidRPr="00691ABD">
              <w:rPr>
                <w:sz w:val="20"/>
                <w:szCs w:val="20"/>
                <w:lang w:val="fr-CA" w:eastAsia="en-CA"/>
              </w:rPr>
              <w:t>80</w:t>
            </w:r>
          </w:p>
        </w:tc>
      </w:tr>
      <w:tr w:rsidR="00A325C8" w:rsidRPr="00691ABD" w14:paraId="11DF2D72"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C36C05C" w14:textId="77777777" w:rsidR="00A325C8" w:rsidRPr="00691ABD" w:rsidRDefault="00A325C8" w:rsidP="001E39EE">
            <w:pPr>
              <w:jc w:val="left"/>
              <w:rPr>
                <w:sz w:val="20"/>
                <w:szCs w:val="20"/>
                <w:lang w:val="fr-CA" w:eastAsia="en-CA"/>
              </w:rPr>
            </w:pPr>
            <w:r>
              <w:rPr>
                <w:sz w:val="20"/>
                <w:szCs w:val="20"/>
                <w:lang w:val="fr-CA" w:eastAsia="en-CA"/>
              </w:rPr>
              <w:t>Micronésie (États fédérés de)</w:t>
            </w:r>
          </w:p>
        </w:tc>
        <w:tc>
          <w:tcPr>
            <w:tcW w:w="1295" w:type="dxa"/>
            <w:tcBorders>
              <w:top w:val="nil"/>
              <w:left w:val="nil"/>
              <w:bottom w:val="single" w:sz="4" w:space="0" w:color="auto"/>
              <w:right w:val="single" w:sz="4" w:space="0" w:color="auto"/>
            </w:tcBorders>
            <w:shd w:val="clear" w:color="auto" w:fill="auto"/>
            <w:noWrap/>
            <w:hideMark/>
          </w:tcPr>
          <w:p w14:paraId="6B7E716C"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2</w:t>
            </w:r>
          </w:p>
        </w:tc>
        <w:tc>
          <w:tcPr>
            <w:tcW w:w="1275" w:type="dxa"/>
            <w:tcBorders>
              <w:top w:val="nil"/>
              <w:left w:val="nil"/>
              <w:bottom w:val="single" w:sz="4" w:space="0" w:color="auto"/>
              <w:right w:val="single" w:sz="4" w:space="0" w:color="auto"/>
            </w:tcBorders>
            <w:shd w:val="clear" w:color="auto" w:fill="auto"/>
            <w:noWrap/>
            <w:hideMark/>
          </w:tcPr>
          <w:p w14:paraId="6CD21A91" w14:textId="77777777" w:rsidR="00A325C8" w:rsidRPr="00691ABD" w:rsidRDefault="00A325C8" w:rsidP="001E39EE">
            <w:pPr>
              <w:jc w:val="right"/>
              <w:rPr>
                <w:sz w:val="20"/>
                <w:szCs w:val="20"/>
                <w:lang w:val="fr-CA" w:eastAsia="en-CA"/>
              </w:rPr>
            </w:pPr>
            <w:r w:rsidRPr="00691ABD">
              <w:rPr>
                <w:sz w:val="20"/>
                <w:szCs w:val="20"/>
                <w:lang w:val="fr-CA" w:eastAsia="en-CA"/>
              </w:rPr>
              <w:t>314</w:t>
            </w:r>
            <w:r>
              <w:rPr>
                <w:sz w:val="20"/>
                <w:szCs w:val="20"/>
                <w:lang w:val="fr-CA" w:eastAsia="en-CA"/>
              </w:rPr>
              <w:t xml:space="preserve"> </w:t>
            </w:r>
            <w:r w:rsidRPr="00691ABD">
              <w:rPr>
                <w:sz w:val="20"/>
                <w:szCs w:val="20"/>
                <w:lang w:val="fr-CA" w:eastAsia="en-CA"/>
              </w:rPr>
              <w:t>100</w:t>
            </w:r>
          </w:p>
        </w:tc>
        <w:tc>
          <w:tcPr>
            <w:tcW w:w="1276" w:type="dxa"/>
            <w:tcBorders>
              <w:top w:val="nil"/>
              <w:left w:val="nil"/>
              <w:bottom w:val="single" w:sz="4" w:space="0" w:color="auto"/>
              <w:right w:val="single" w:sz="4" w:space="0" w:color="auto"/>
            </w:tcBorders>
            <w:shd w:val="clear" w:color="auto" w:fill="auto"/>
            <w:noWrap/>
            <w:hideMark/>
          </w:tcPr>
          <w:p w14:paraId="535220E4" w14:textId="77777777" w:rsidR="00A325C8" w:rsidRPr="00691ABD" w:rsidRDefault="00A325C8" w:rsidP="001E39EE">
            <w:pPr>
              <w:jc w:val="right"/>
              <w:rPr>
                <w:sz w:val="20"/>
                <w:szCs w:val="20"/>
                <w:lang w:val="fr-CA" w:eastAsia="en-CA"/>
              </w:rPr>
            </w:pPr>
            <w:r w:rsidRPr="00691ABD">
              <w:rPr>
                <w:sz w:val="20"/>
                <w:szCs w:val="20"/>
                <w:lang w:val="fr-CA" w:eastAsia="en-CA"/>
              </w:rPr>
              <w:t>86</w:t>
            </w:r>
            <w:r>
              <w:rPr>
                <w:sz w:val="20"/>
                <w:szCs w:val="20"/>
                <w:lang w:val="fr-CA" w:eastAsia="en-CA"/>
              </w:rPr>
              <w:t xml:space="preserve"> </w:t>
            </w:r>
            <w:r w:rsidRPr="00691ABD">
              <w:rPr>
                <w:sz w:val="20"/>
                <w:szCs w:val="20"/>
                <w:lang w:val="fr-CA" w:eastAsia="en-CA"/>
              </w:rPr>
              <w:t>489</w:t>
            </w:r>
          </w:p>
        </w:tc>
        <w:tc>
          <w:tcPr>
            <w:tcW w:w="1250" w:type="dxa"/>
            <w:tcBorders>
              <w:top w:val="nil"/>
              <w:left w:val="nil"/>
              <w:bottom w:val="single" w:sz="4" w:space="0" w:color="auto"/>
              <w:right w:val="single" w:sz="4" w:space="0" w:color="auto"/>
            </w:tcBorders>
            <w:shd w:val="clear" w:color="auto" w:fill="auto"/>
            <w:noWrap/>
            <w:hideMark/>
          </w:tcPr>
          <w:p w14:paraId="10C49A2E" w14:textId="77777777" w:rsidR="00A325C8" w:rsidRPr="00691ABD" w:rsidRDefault="00A325C8" w:rsidP="001E39EE">
            <w:pPr>
              <w:jc w:val="right"/>
              <w:rPr>
                <w:sz w:val="20"/>
                <w:szCs w:val="20"/>
                <w:lang w:val="fr-CA" w:eastAsia="en-CA"/>
              </w:rPr>
            </w:pPr>
            <w:r w:rsidRPr="00691ABD">
              <w:rPr>
                <w:sz w:val="20"/>
                <w:szCs w:val="20"/>
                <w:lang w:val="fr-CA" w:eastAsia="en-CA"/>
              </w:rPr>
              <w:t>227</w:t>
            </w:r>
            <w:r>
              <w:rPr>
                <w:sz w:val="20"/>
                <w:szCs w:val="20"/>
                <w:lang w:val="fr-CA" w:eastAsia="en-CA"/>
              </w:rPr>
              <w:t xml:space="preserve"> </w:t>
            </w:r>
            <w:r w:rsidRPr="00691ABD">
              <w:rPr>
                <w:sz w:val="20"/>
                <w:szCs w:val="20"/>
                <w:lang w:val="fr-CA" w:eastAsia="en-CA"/>
              </w:rPr>
              <w:t>611</w:t>
            </w:r>
          </w:p>
        </w:tc>
        <w:tc>
          <w:tcPr>
            <w:tcW w:w="1050" w:type="dxa"/>
            <w:tcBorders>
              <w:top w:val="nil"/>
              <w:left w:val="nil"/>
              <w:bottom w:val="single" w:sz="4" w:space="0" w:color="auto"/>
              <w:right w:val="single" w:sz="4" w:space="0" w:color="auto"/>
            </w:tcBorders>
            <w:shd w:val="clear" w:color="auto" w:fill="auto"/>
            <w:noWrap/>
            <w:hideMark/>
          </w:tcPr>
          <w:p w14:paraId="615B97E6" w14:textId="77777777" w:rsidR="00A325C8" w:rsidRPr="00691ABD" w:rsidRDefault="00A325C8" w:rsidP="001E39EE">
            <w:pPr>
              <w:jc w:val="right"/>
              <w:rPr>
                <w:sz w:val="20"/>
                <w:szCs w:val="20"/>
                <w:lang w:val="fr-CA" w:eastAsia="en-CA"/>
              </w:rPr>
            </w:pPr>
            <w:r w:rsidRPr="00691ABD">
              <w:rPr>
                <w:sz w:val="20"/>
                <w:szCs w:val="20"/>
                <w:lang w:val="fr-CA" w:eastAsia="en-CA"/>
              </w:rPr>
              <w:t>28</w:t>
            </w:r>
          </w:p>
        </w:tc>
      </w:tr>
      <w:tr w:rsidR="00A325C8" w:rsidRPr="00691ABD" w14:paraId="2A4D719E"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9DF2E8E" w14:textId="77777777" w:rsidR="00A325C8" w:rsidRPr="00691ABD" w:rsidRDefault="00A325C8" w:rsidP="001E39EE">
            <w:pPr>
              <w:jc w:val="left"/>
              <w:rPr>
                <w:sz w:val="20"/>
                <w:szCs w:val="20"/>
                <w:lang w:val="fr-CA" w:eastAsia="en-CA"/>
              </w:rPr>
            </w:pPr>
            <w:r>
              <w:rPr>
                <w:sz w:val="20"/>
                <w:szCs w:val="20"/>
                <w:lang w:val="fr-CA" w:eastAsia="en-CA"/>
              </w:rPr>
              <w:t>Mongolie</w:t>
            </w:r>
          </w:p>
        </w:tc>
        <w:tc>
          <w:tcPr>
            <w:tcW w:w="1295" w:type="dxa"/>
            <w:tcBorders>
              <w:top w:val="nil"/>
              <w:left w:val="nil"/>
              <w:bottom w:val="single" w:sz="4" w:space="0" w:color="auto"/>
              <w:right w:val="single" w:sz="4" w:space="0" w:color="auto"/>
            </w:tcBorders>
            <w:shd w:val="clear" w:color="auto" w:fill="auto"/>
            <w:noWrap/>
            <w:hideMark/>
          </w:tcPr>
          <w:p w14:paraId="4209C3A5"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0BA3646A" w14:textId="77777777" w:rsidR="00A325C8" w:rsidRPr="00691ABD" w:rsidRDefault="00A325C8" w:rsidP="001E39EE">
            <w:pPr>
              <w:jc w:val="right"/>
              <w:rPr>
                <w:sz w:val="20"/>
                <w:szCs w:val="20"/>
                <w:lang w:val="fr-CA" w:eastAsia="en-CA"/>
              </w:rPr>
            </w:pPr>
            <w:r w:rsidRPr="00691ABD">
              <w:rPr>
                <w:sz w:val="20"/>
                <w:szCs w:val="20"/>
                <w:lang w:val="fr-CA" w:eastAsia="en-CA"/>
              </w:rPr>
              <w:t>583</w:t>
            </w:r>
            <w:r>
              <w:rPr>
                <w:sz w:val="20"/>
                <w:szCs w:val="20"/>
                <w:lang w:val="fr-CA" w:eastAsia="en-CA"/>
              </w:rPr>
              <w:t xml:space="preserve"> </w:t>
            </w:r>
            <w:r w:rsidRPr="00691ABD">
              <w:rPr>
                <w:sz w:val="20"/>
                <w:szCs w:val="20"/>
                <w:lang w:val="fr-CA" w:eastAsia="en-CA"/>
              </w:rPr>
              <w:t>769</w:t>
            </w:r>
          </w:p>
        </w:tc>
        <w:tc>
          <w:tcPr>
            <w:tcW w:w="1276" w:type="dxa"/>
            <w:tcBorders>
              <w:top w:val="nil"/>
              <w:left w:val="nil"/>
              <w:bottom w:val="single" w:sz="4" w:space="0" w:color="auto"/>
              <w:right w:val="single" w:sz="4" w:space="0" w:color="auto"/>
            </w:tcBorders>
            <w:shd w:val="clear" w:color="auto" w:fill="auto"/>
            <w:noWrap/>
            <w:hideMark/>
          </w:tcPr>
          <w:p w14:paraId="164FF753" w14:textId="77777777" w:rsidR="00A325C8" w:rsidRPr="00691ABD" w:rsidRDefault="00A325C8" w:rsidP="001E39EE">
            <w:pPr>
              <w:jc w:val="right"/>
              <w:rPr>
                <w:sz w:val="20"/>
                <w:szCs w:val="20"/>
                <w:lang w:val="fr-CA" w:eastAsia="en-CA"/>
              </w:rPr>
            </w:pPr>
            <w:r w:rsidRPr="00691ABD">
              <w:rPr>
                <w:sz w:val="20"/>
                <w:szCs w:val="20"/>
                <w:lang w:val="fr-CA" w:eastAsia="en-CA"/>
              </w:rPr>
              <w:t>311</w:t>
            </w:r>
            <w:r>
              <w:rPr>
                <w:sz w:val="20"/>
                <w:szCs w:val="20"/>
                <w:lang w:val="fr-CA" w:eastAsia="en-CA"/>
              </w:rPr>
              <w:t xml:space="preserve"> </w:t>
            </w:r>
            <w:r w:rsidRPr="00691ABD">
              <w:rPr>
                <w:sz w:val="20"/>
                <w:szCs w:val="20"/>
                <w:lang w:val="fr-CA" w:eastAsia="en-CA"/>
              </w:rPr>
              <w:t>615</w:t>
            </w:r>
          </w:p>
        </w:tc>
        <w:tc>
          <w:tcPr>
            <w:tcW w:w="1250" w:type="dxa"/>
            <w:tcBorders>
              <w:top w:val="nil"/>
              <w:left w:val="nil"/>
              <w:bottom w:val="single" w:sz="4" w:space="0" w:color="auto"/>
              <w:right w:val="single" w:sz="4" w:space="0" w:color="auto"/>
            </w:tcBorders>
            <w:shd w:val="clear" w:color="auto" w:fill="auto"/>
            <w:noWrap/>
            <w:hideMark/>
          </w:tcPr>
          <w:p w14:paraId="14CFE334" w14:textId="77777777" w:rsidR="00A325C8" w:rsidRPr="00691ABD" w:rsidRDefault="00A325C8" w:rsidP="001E39EE">
            <w:pPr>
              <w:jc w:val="right"/>
              <w:rPr>
                <w:sz w:val="20"/>
                <w:szCs w:val="20"/>
                <w:lang w:val="fr-CA" w:eastAsia="en-CA"/>
              </w:rPr>
            </w:pPr>
            <w:r w:rsidRPr="00691ABD">
              <w:rPr>
                <w:sz w:val="20"/>
                <w:szCs w:val="20"/>
                <w:lang w:val="fr-CA" w:eastAsia="en-CA"/>
              </w:rPr>
              <w:t>272</w:t>
            </w:r>
            <w:r>
              <w:rPr>
                <w:sz w:val="20"/>
                <w:szCs w:val="20"/>
                <w:lang w:val="fr-CA" w:eastAsia="en-CA"/>
              </w:rPr>
              <w:t xml:space="preserve"> </w:t>
            </w:r>
            <w:r w:rsidRPr="00691ABD">
              <w:rPr>
                <w:sz w:val="20"/>
                <w:szCs w:val="20"/>
                <w:lang w:val="fr-CA" w:eastAsia="en-CA"/>
              </w:rPr>
              <w:t>154</w:t>
            </w:r>
          </w:p>
        </w:tc>
        <w:tc>
          <w:tcPr>
            <w:tcW w:w="1050" w:type="dxa"/>
            <w:tcBorders>
              <w:top w:val="nil"/>
              <w:left w:val="nil"/>
              <w:bottom w:val="single" w:sz="4" w:space="0" w:color="auto"/>
              <w:right w:val="single" w:sz="4" w:space="0" w:color="auto"/>
            </w:tcBorders>
            <w:shd w:val="clear" w:color="auto" w:fill="auto"/>
            <w:noWrap/>
            <w:hideMark/>
          </w:tcPr>
          <w:p w14:paraId="064BF046" w14:textId="77777777" w:rsidR="00A325C8" w:rsidRPr="00691ABD" w:rsidRDefault="00A325C8" w:rsidP="001E39EE">
            <w:pPr>
              <w:jc w:val="right"/>
              <w:rPr>
                <w:sz w:val="20"/>
                <w:szCs w:val="20"/>
                <w:lang w:val="fr-CA" w:eastAsia="en-CA"/>
              </w:rPr>
            </w:pPr>
            <w:r w:rsidRPr="00691ABD">
              <w:rPr>
                <w:sz w:val="20"/>
                <w:szCs w:val="20"/>
                <w:lang w:val="fr-CA" w:eastAsia="en-CA"/>
              </w:rPr>
              <w:t>53</w:t>
            </w:r>
          </w:p>
        </w:tc>
      </w:tr>
      <w:tr w:rsidR="00A325C8" w:rsidRPr="00691ABD" w14:paraId="31D85A4A"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80C791C" w14:textId="77777777" w:rsidR="00A325C8" w:rsidRPr="00691ABD" w:rsidRDefault="00A325C8" w:rsidP="001E39EE">
            <w:pPr>
              <w:jc w:val="left"/>
              <w:rPr>
                <w:sz w:val="20"/>
                <w:szCs w:val="20"/>
                <w:lang w:val="fr-CA" w:eastAsia="en-CA"/>
              </w:rPr>
            </w:pPr>
            <w:r>
              <w:rPr>
                <w:sz w:val="20"/>
                <w:szCs w:val="20"/>
                <w:lang w:val="fr-CA" w:eastAsia="en-CA"/>
              </w:rPr>
              <w:t>Monténé</w:t>
            </w:r>
            <w:r w:rsidRPr="00691ABD">
              <w:rPr>
                <w:sz w:val="20"/>
                <w:szCs w:val="20"/>
                <w:lang w:val="fr-CA" w:eastAsia="en-CA"/>
              </w:rPr>
              <w:t>gro</w:t>
            </w:r>
          </w:p>
        </w:tc>
        <w:tc>
          <w:tcPr>
            <w:tcW w:w="1295" w:type="dxa"/>
            <w:tcBorders>
              <w:top w:val="nil"/>
              <w:left w:val="nil"/>
              <w:bottom w:val="single" w:sz="4" w:space="0" w:color="auto"/>
              <w:right w:val="single" w:sz="4" w:space="0" w:color="auto"/>
            </w:tcBorders>
            <w:shd w:val="clear" w:color="auto" w:fill="auto"/>
            <w:noWrap/>
            <w:hideMark/>
          </w:tcPr>
          <w:p w14:paraId="118F28A7"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3C173D59" w14:textId="77777777" w:rsidR="00A325C8" w:rsidRPr="00691ABD" w:rsidRDefault="00A325C8" w:rsidP="001E39EE">
            <w:pPr>
              <w:jc w:val="right"/>
              <w:rPr>
                <w:sz w:val="20"/>
                <w:szCs w:val="20"/>
                <w:lang w:val="fr-CA" w:eastAsia="en-CA"/>
              </w:rPr>
            </w:pPr>
            <w:r w:rsidRPr="00691ABD">
              <w:rPr>
                <w:sz w:val="20"/>
                <w:szCs w:val="20"/>
                <w:lang w:val="fr-CA" w:eastAsia="en-CA"/>
              </w:rPr>
              <w:t>698</w:t>
            </w:r>
            <w:r>
              <w:rPr>
                <w:sz w:val="20"/>
                <w:szCs w:val="20"/>
                <w:lang w:val="fr-CA" w:eastAsia="en-CA"/>
              </w:rPr>
              <w:t xml:space="preserve"> </w:t>
            </w:r>
            <w:r w:rsidRPr="00691ABD">
              <w:rPr>
                <w:sz w:val="20"/>
                <w:szCs w:val="20"/>
                <w:lang w:val="fr-CA" w:eastAsia="en-CA"/>
              </w:rPr>
              <w:t>389</w:t>
            </w:r>
          </w:p>
        </w:tc>
        <w:tc>
          <w:tcPr>
            <w:tcW w:w="1276" w:type="dxa"/>
            <w:tcBorders>
              <w:top w:val="nil"/>
              <w:left w:val="nil"/>
              <w:bottom w:val="single" w:sz="4" w:space="0" w:color="auto"/>
              <w:right w:val="single" w:sz="4" w:space="0" w:color="auto"/>
            </w:tcBorders>
            <w:shd w:val="clear" w:color="auto" w:fill="auto"/>
            <w:noWrap/>
            <w:hideMark/>
          </w:tcPr>
          <w:p w14:paraId="62995F63" w14:textId="77777777" w:rsidR="00A325C8" w:rsidRPr="00691ABD" w:rsidRDefault="00A325C8" w:rsidP="001E39EE">
            <w:pPr>
              <w:jc w:val="right"/>
              <w:rPr>
                <w:sz w:val="20"/>
                <w:szCs w:val="20"/>
                <w:lang w:val="fr-CA" w:eastAsia="en-CA"/>
              </w:rPr>
            </w:pPr>
            <w:r w:rsidRPr="00691ABD">
              <w:rPr>
                <w:sz w:val="20"/>
                <w:szCs w:val="20"/>
                <w:lang w:val="fr-CA" w:eastAsia="en-CA"/>
              </w:rPr>
              <w:t>372</w:t>
            </w:r>
            <w:r>
              <w:rPr>
                <w:sz w:val="20"/>
                <w:szCs w:val="20"/>
                <w:lang w:val="fr-CA" w:eastAsia="en-CA"/>
              </w:rPr>
              <w:t xml:space="preserve"> </w:t>
            </w:r>
            <w:r w:rsidRPr="00691ABD">
              <w:rPr>
                <w:sz w:val="20"/>
                <w:szCs w:val="20"/>
                <w:lang w:val="fr-CA" w:eastAsia="en-CA"/>
              </w:rPr>
              <w:t>392</w:t>
            </w:r>
          </w:p>
        </w:tc>
        <w:tc>
          <w:tcPr>
            <w:tcW w:w="1250" w:type="dxa"/>
            <w:tcBorders>
              <w:top w:val="nil"/>
              <w:left w:val="nil"/>
              <w:bottom w:val="single" w:sz="4" w:space="0" w:color="auto"/>
              <w:right w:val="single" w:sz="4" w:space="0" w:color="auto"/>
            </w:tcBorders>
            <w:shd w:val="clear" w:color="auto" w:fill="auto"/>
            <w:noWrap/>
            <w:hideMark/>
          </w:tcPr>
          <w:p w14:paraId="30ED53EC" w14:textId="77777777" w:rsidR="00A325C8" w:rsidRPr="00691ABD" w:rsidRDefault="00A325C8" w:rsidP="001E39EE">
            <w:pPr>
              <w:jc w:val="right"/>
              <w:rPr>
                <w:sz w:val="20"/>
                <w:szCs w:val="20"/>
                <w:lang w:val="fr-CA" w:eastAsia="en-CA"/>
              </w:rPr>
            </w:pPr>
            <w:r w:rsidRPr="00691ABD">
              <w:rPr>
                <w:sz w:val="20"/>
                <w:szCs w:val="20"/>
                <w:lang w:val="fr-CA" w:eastAsia="en-CA"/>
              </w:rPr>
              <w:t>325</w:t>
            </w:r>
            <w:r>
              <w:rPr>
                <w:sz w:val="20"/>
                <w:szCs w:val="20"/>
                <w:lang w:val="fr-CA" w:eastAsia="en-CA"/>
              </w:rPr>
              <w:t xml:space="preserve"> </w:t>
            </w:r>
            <w:r w:rsidRPr="00691ABD">
              <w:rPr>
                <w:sz w:val="20"/>
                <w:szCs w:val="20"/>
                <w:lang w:val="fr-CA" w:eastAsia="en-CA"/>
              </w:rPr>
              <w:t>997</w:t>
            </w:r>
          </w:p>
        </w:tc>
        <w:tc>
          <w:tcPr>
            <w:tcW w:w="1050" w:type="dxa"/>
            <w:tcBorders>
              <w:top w:val="nil"/>
              <w:left w:val="nil"/>
              <w:bottom w:val="single" w:sz="4" w:space="0" w:color="auto"/>
              <w:right w:val="single" w:sz="4" w:space="0" w:color="auto"/>
            </w:tcBorders>
            <w:shd w:val="clear" w:color="auto" w:fill="auto"/>
            <w:noWrap/>
            <w:hideMark/>
          </w:tcPr>
          <w:p w14:paraId="1BB96159" w14:textId="77777777" w:rsidR="00A325C8" w:rsidRPr="00691ABD" w:rsidRDefault="00A325C8" w:rsidP="001E39EE">
            <w:pPr>
              <w:jc w:val="right"/>
              <w:rPr>
                <w:sz w:val="20"/>
                <w:szCs w:val="20"/>
                <w:lang w:val="fr-CA" w:eastAsia="en-CA"/>
              </w:rPr>
            </w:pPr>
            <w:r w:rsidRPr="00691ABD">
              <w:rPr>
                <w:sz w:val="20"/>
                <w:szCs w:val="20"/>
                <w:lang w:val="fr-CA" w:eastAsia="en-CA"/>
              </w:rPr>
              <w:t>53</w:t>
            </w:r>
          </w:p>
        </w:tc>
      </w:tr>
      <w:tr w:rsidR="00A325C8" w:rsidRPr="00691ABD" w14:paraId="78F37D64"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40CA33F" w14:textId="77777777" w:rsidR="00A325C8" w:rsidRPr="00691ABD" w:rsidRDefault="00A325C8" w:rsidP="001E39EE">
            <w:pPr>
              <w:jc w:val="left"/>
              <w:rPr>
                <w:sz w:val="20"/>
                <w:szCs w:val="20"/>
                <w:lang w:val="fr-CA" w:eastAsia="en-CA"/>
              </w:rPr>
            </w:pPr>
            <w:r w:rsidRPr="00691ABD">
              <w:rPr>
                <w:sz w:val="20"/>
                <w:szCs w:val="20"/>
                <w:lang w:val="fr-CA" w:eastAsia="en-CA"/>
              </w:rPr>
              <w:t>Mozambique</w:t>
            </w:r>
          </w:p>
        </w:tc>
        <w:tc>
          <w:tcPr>
            <w:tcW w:w="1295" w:type="dxa"/>
            <w:tcBorders>
              <w:top w:val="nil"/>
              <w:left w:val="nil"/>
              <w:bottom w:val="single" w:sz="4" w:space="0" w:color="auto"/>
              <w:right w:val="single" w:sz="4" w:space="0" w:color="auto"/>
            </w:tcBorders>
            <w:shd w:val="clear" w:color="auto" w:fill="auto"/>
            <w:noWrap/>
            <w:hideMark/>
          </w:tcPr>
          <w:p w14:paraId="03DF83FA"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30D6CA5D" w14:textId="77777777" w:rsidR="00A325C8" w:rsidRPr="00691ABD" w:rsidRDefault="00A325C8" w:rsidP="001E39EE">
            <w:pPr>
              <w:jc w:val="right"/>
              <w:rPr>
                <w:sz w:val="20"/>
                <w:szCs w:val="20"/>
                <w:lang w:val="fr-CA" w:eastAsia="en-CA"/>
              </w:rPr>
            </w:pPr>
            <w:r w:rsidRPr="00691ABD">
              <w:rPr>
                <w:sz w:val="20"/>
                <w:szCs w:val="20"/>
                <w:lang w:val="fr-CA" w:eastAsia="en-CA"/>
              </w:rPr>
              <w:t>302</w:t>
            </w:r>
            <w:r>
              <w:rPr>
                <w:sz w:val="20"/>
                <w:szCs w:val="20"/>
                <w:lang w:val="fr-CA" w:eastAsia="en-CA"/>
              </w:rPr>
              <w:t xml:space="preserve"> </w:t>
            </w:r>
            <w:r w:rsidRPr="00691ABD">
              <w:rPr>
                <w:sz w:val="20"/>
                <w:szCs w:val="20"/>
                <w:lang w:val="fr-CA" w:eastAsia="en-CA"/>
              </w:rPr>
              <w:t>361</w:t>
            </w:r>
          </w:p>
        </w:tc>
        <w:tc>
          <w:tcPr>
            <w:tcW w:w="1276" w:type="dxa"/>
            <w:tcBorders>
              <w:top w:val="nil"/>
              <w:left w:val="nil"/>
              <w:bottom w:val="single" w:sz="4" w:space="0" w:color="auto"/>
              <w:right w:val="single" w:sz="4" w:space="0" w:color="auto"/>
            </w:tcBorders>
            <w:shd w:val="clear" w:color="auto" w:fill="auto"/>
            <w:noWrap/>
            <w:hideMark/>
          </w:tcPr>
          <w:p w14:paraId="3B1E22A2" w14:textId="77777777" w:rsidR="00A325C8" w:rsidRPr="00691ABD" w:rsidRDefault="00A325C8" w:rsidP="001E39EE">
            <w:pPr>
              <w:jc w:val="right"/>
              <w:rPr>
                <w:sz w:val="20"/>
                <w:szCs w:val="20"/>
                <w:lang w:val="fr-CA" w:eastAsia="en-CA"/>
              </w:rPr>
            </w:pPr>
            <w:r w:rsidRPr="00691ABD">
              <w:rPr>
                <w:sz w:val="20"/>
                <w:szCs w:val="20"/>
                <w:lang w:val="fr-CA" w:eastAsia="en-CA"/>
              </w:rPr>
              <w:t>157</w:t>
            </w:r>
            <w:r>
              <w:rPr>
                <w:sz w:val="20"/>
                <w:szCs w:val="20"/>
                <w:lang w:val="fr-CA" w:eastAsia="en-CA"/>
              </w:rPr>
              <w:t xml:space="preserve"> </w:t>
            </w:r>
            <w:r w:rsidRPr="00691ABD">
              <w:rPr>
                <w:sz w:val="20"/>
                <w:szCs w:val="20"/>
                <w:lang w:val="fr-CA" w:eastAsia="en-CA"/>
              </w:rPr>
              <w:t>990</w:t>
            </w:r>
          </w:p>
        </w:tc>
        <w:tc>
          <w:tcPr>
            <w:tcW w:w="1250" w:type="dxa"/>
            <w:tcBorders>
              <w:top w:val="nil"/>
              <w:left w:val="nil"/>
              <w:bottom w:val="single" w:sz="4" w:space="0" w:color="auto"/>
              <w:right w:val="single" w:sz="4" w:space="0" w:color="auto"/>
            </w:tcBorders>
            <w:shd w:val="clear" w:color="auto" w:fill="auto"/>
            <w:noWrap/>
            <w:hideMark/>
          </w:tcPr>
          <w:p w14:paraId="0E237A52" w14:textId="77777777" w:rsidR="00A325C8" w:rsidRPr="00691ABD" w:rsidRDefault="00A325C8" w:rsidP="001E39EE">
            <w:pPr>
              <w:jc w:val="right"/>
              <w:rPr>
                <w:sz w:val="20"/>
                <w:szCs w:val="20"/>
                <w:lang w:val="fr-CA" w:eastAsia="en-CA"/>
              </w:rPr>
            </w:pPr>
            <w:r w:rsidRPr="00691ABD">
              <w:rPr>
                <w:sz w:val="20"/>
                <w:szCs w:val="20"/>
                <w:lang w:val="fr-CA" w:eastAsia="en-CA"/>
              </w:rPr>
              <w:t>144</w:t>
            </w:r>
            <w:r>
              <w:rPr>
                <w:sz w:val="20"/>
                <w:szCs w:val="20"/>
                <w:lang w:val="fr-CA" w:eastAsia="en-CA"/>
              </w:rPr>
              <w:t xml:space="preserve"> </w:t>
            </w:r>
            <w:r w:rsidRPr="00691ABD">
              <w:rPr>
                <w:sz w:val="20"/>
                <w:szCs w:val="20"/>
                <w:lang w:val="fr-CA" w:eastAsia="en-CA"/>
              </w:rPr>
              <w:t>371</w:t>
            </w:r>
          </w:p>
        </w:tc>
        <w:tc>
          <w:tcPr>
            <w:tcW w:w="1050" w:type="dxa"/>
            <w:tcBorders>
              <w:top w:val="nil"/>
              <w:left w:val="nil"/>
              <w:bottom w:val="single" w:sz="4" w:space="0" w:color="auto"/>
              <w:right w:val="single" w:sz="4" w:space="0" w:color="auto"/>
            </w:tcBorders>
            <w:shd w:val="clear" w:color="auto" w:fill="auto"/>
            <w:noWrap/>
            <w:hideMark/>
          </w:tcPr>
          <w:p w14:paraId="02184AA0" w14:textId="77777777" w:rsidR="00A325C8" w:rsidRPr="00691ABD" w:rsidRDefault="00A325C8" w:rsidP="001E39EE">
            <w:pPr>
              <w:jc w:val="right"/>
              <w:rPr>
                <w:sz w:val="20"/>
                <w:szCs w:val="20"/>
                <w:lang w:val="fr-CA" w:eastAsia="en-CA"/>
              </w:rPr>
            </w:pPr>
            <w:r w:rsidRPr="00691ABD">
              <w:rPr>
                <w:sz w:val="20"/>
                <w:szCs w:val="20"/>
                <w:lang w:val="fr-CA" w:eastAsia="en-CA"/>
              </w:rPr>
              <w:t>52</w:t>
            </w:r>
          </w:p>
        </w:tc>
      </w:tr>
      <w:tr w:rsidR="00A325C8" w:rsidRPr="00691ABD" w14:paraId="674313E5"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01E580C" w14:textId="77777777" w:rsidR="00A325C8" w:rsidRPr="00691ABD" w:rsidRDefault="00A325C8" w:rsidP="001E39EE">
            <w:pPr>
              <w:jc w:val="left"/>
              <w:rPr>
                <w:sz w:val="20"/>
                <w:szCs w:val="20"/>
                <w:lang w:val="fr-CA" w:eastAsia="en-CA"/>
              </w:rPr>
            </w:pPr>
            <w:r w:rsidRPr="00691ABD">
              <w:rPr>
                <w:sz w:val="20"/>
                <w:szCs w:val="20"/>
                <w:lang w:val="fr-CA" w:eastAsia="en-CA"/>
              </w:rPr>
              <w:t>Myanmar</w:t>
            </w:r>
          </w:p>
        </w:tc>
        <w:tc>
          <w:tcPr>
            <w:tcW w:w="1295" w:type="dxa"/>
            <w:tcBorders>
              <w:top w:val="nil"/>
              <w:left w:val="nil"/>
              <w:bottom w:val="single" w:sz="4" w:space="0" w:color="auto"/>
              <w:right w:val="single" w:sz="4" w:space="0" w:color="auto"/>
            </w:tcBorders>
            <w:shd w:val="clear" w:color="auto" w:fill="auto"/>
            <w:noWrap/>
            <w:hideMark/>
          </w:tcPr>
          <w:p w14:paraId="1724925D"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710FB0A1" w14:textId="77777777" w:rsidR="00A325C8" w:rsidRPr="00691ABD" w:rsidRDefault="00A325C8" w:rsidP="001E39EE">
            <w:pPr>
              <w:jc w:val="right"/>
              <w:rPr>
                <w:sz w:val="20"/>
                <w:szCs w:val="20"/>
                <w:lang w:val="fr-CA" w:eastAsia="en-CA"/>
              </w:rPr>
            </w:pPr>
            <w:r w:rsidRPr="00691ABD">
              <w:rPr>
                <w:sz w:val="20"/>
                <w:szCs w:val="20"/>
                <w:lang w:val="fr-CA" w:eastAsia="en-CA"/>
              </w:rPr>
              <w:t>280</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01F80F32" w14:textId="77777777" w:rsidR="00A325C8" w:rsidRPr="00691ABD" w:rsidRDefault="00A325C8" w:rsidP="001E39EE">
            <w:pPr>
              <w:jc w:val="right"/>
              <w:rPr>
                <w:sz w:val="20"/>
                <w:szCs w:val="20"/>
                <w:lang w:val="fr-CA" w:eastAsia="en-CA"/>
              </w:rPr>
            </w:pPr>
            <w:r w:rsidRPr="00691ABD">
              <w:rPr>
                <w:sz w:val="20"/>
                <w:szCs w:val="20"/>
                <w:lang w:val="fr-CA" w:eastAsia="en-CA"/>
              </w:rPr>
              <w:t>164</w:t>
            </w:r>
            <w:r>
              <w:rPr>
                <w:sz w:val="20"/>
                <w:szCs w:val="20"/>
                <w:lang w:val="fr-CA" w:eastAsia="en-CA"/>
              </w:rPr>
              <w:t xml:space="preserve"> </w:t>
            </w:r>
            <w:r w:rsidRPr="00691ABD">
              <w:rPr>
                <w:sz w:val="20"/>
                <w:szCs w:val="20"/>
                <w:lang w:val="fr-CA" w:eastAsia="en-CA"/>
              </w:rPr>
              <w:t>800</w:t>
            </w:r>
          </w:p>
        </w:tc>
        <w:tc>
          <w:tcPr>
            <w:tcW w:w="1250" w:type="dxa"/>
            <w:tcBorders>
              <w:top w:val="nil"/>
              <w:left w:val="nil"/>
              <w:bottom w:val="single" w:sz="4" w:space="0" w:color="auto"/>
              <w:right w:val="single" w:sz="4" w:space="0" w:color="auto"/>
            </w:tcBorders>
            <w:shd w:val="clear" w:color="auto" w:fill="auto"/>
            <w:noWrap/>
            <w:hideMark/>
          </w:tcPr>
          <w:p w14:paraId="246BAAA3" w14:textId="77777777" w:rsidR="00A325C8" w:rsidRPr="00691ABD" w:rsidRDefault="00A325C8" w:rsidP="001E39EE">
            <w:pPr>
              <w:jc w:val="right"/>
              <w:rPr>
                <w:sz w:val="20"/>
                <w:szCs w:val="20"/>
                <w:lang w:val="fr-CA" w:eastAsia="en-CA"/>
              </w:rPr>
            </w:pPr>
            <w:r w:rsidRPr="00691ABD">
              <w:rPr>
                <w:sz w:val="20"/>
                <w:szCs w:val="20"/>
                <w:lang w:val="fr-CA" w:eastAsia="en-CA"/>
              </w:rPr>
              <w:t>115</w:t>
            </w:r>
            <w:r>
              <w:rPr>
                <w:sz w:val="20"/>
                <w:szCs w:val="20"/>
                <w:lang w:val="fr-CA" w:eastAsia="en-CA"/>
              </w:rPr>
              <w:t xml:space="preserve"> </w:t>
            </w:r>
            <w:r w:rsidRPr="00691ABD">
              <w:rPr>
                <w:sz w:val="20"/>
                <w:szCs w:val="20"/>
                <w:lang w:val="fr-CA" w:eastAsia="en-CA"/>
              </w:rPr>
              <w:t>200</w:t>
            </w:r>
          </w:p>
        </w:tc>
        <w:tc>
          <w:tcPr>
            <w:tcW w:w="1050" w:type="dxa"/>
            <w:tcBorders>
              <w:top w:val="nil"/>
              <w:left w:val="nil"/>
              <w:bottom w:val="single" w:sz="4" w:space="0" w:color="auto"/>
              <w:right w:val="single" w:sz="4" w:space="0" w:color="auto"/>
            </w:tcBorders>
            <w:shd w:val="clear" w:color="auto" w:fill="auto"/>
            <w:noWrap/>
            <w:hideMark/>
          </w:tcPr>
          <w:p w14:paraId="517DEEE8" w14:textId="77777777" w:rsidR="00A325C8" w:rsidRPr="00691ABD" w:rsidRDefault="00A325C8" w:rsidP="001E39EE">
            <w:pPr>
              <w:jc w:val="right"/>
              <w:rPr>
                <w:sz w:val="20"/>
                <w:szCs w:val="20"/>
                <w:lang w:val="fr-CA" w:eastAsia="en-CA"/>
              </w:rPr>
            </w:pPr>
            <w:r w:rsidRPr="00691ABD">
              <w:rPr>
                <w:sz w:val="20"/>
                <w:szCs w:val="20"/>
                <w:lang w:val="fr-CA" w:eastAsia="en-CA"/>
              </w:rPr>
              <w:t>59</w:t>
            </w:r>
          </w:p>
        </w:tc>
      </w:tr>
      <w:tr w:rsidR="00A325C8" w:rsidRPr="00691ABD" w14:paraId="2AF75E55"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35F1B53" w14:textId="77777777" w:rsidR="00A325C8" w:rsidRPr="00691ABD" w:rsidRDefault="00A325C8" w:rsidP="001E39EE">
            <w:pPr>
              <w:jc w:val="left"/>
              <w:rPr>
                <w:sz w:val="20"/>
                <w:szCs w:val="20"/>
                <w:lang w:val="fr-CA" w:eastAsia="en-CA"/>
              </w:rPr>
            </w:pPr>
            <w:r>
              <w:rPr>
                <w:sz w:val="20"/>
                <w:szCs w:val="20"/>
                <w:lang w:val="fr-CA" w:eastAsia="en-CA"/>
              </w:rPr>
              <w:t>Namibie</w:t>
            </w:r>
          </w:p>
        </w:tc>
        <w:tc>
          <w:tcPr>
            <w:tcW w:w="1295" w:type="dxa"/>
            <w:tcBorders>
              <w:top w:val="nil"/>
              <w:left w:val="nil"/>
              <w:bottom w:val="single" w:sz="4" w:space="0" w:color="auto"/>
              <w:right w:val="single" w:sz="4" w:space="0" w:color="auto"/>
            </w:tcBorders>
            <w:shd w:val="clear" w:color="auto" w:fill="auto"/>
            <w:noWrap/>
            <w:hideMark/>
          </w:tcPr>
          <w:p w14:paraId="42A7FE8B" w14:textId="77777777" w:rsidR="00A325C8" w:rsidRPr="00691ABD" w:rsidRDefault="00A325C8" w:rsidP="001E39EE">
            <w:pPr>
              <w:jc w:val="right"/>
              <w:rPr>
                <w:sz w:val="20"/>
                <w:szCs w:val="20"/>
                <w:lang w:val="fr-CA" w:eastAsia="en-CA"/>
              </w:rPr>
            </w:pPr>
            <w:r w:rsidRPr="00691ABD">
              <w:rPr>
                <w:sz w:val="20"/>
                <w:szCs w:val="20"/>
                <w:lang w:val="fr-CA" w:eastAsia="en-CA"/>
              </w:rPr>
              <w:t>8</w:t>
            </w:r>
            <w:r>
              <w:rPr>
                <w:sz w:val="20"/>
                <w:szCs w:val="20"/>
                <w:lang w:val="fr-CA" w:eastAsia="en-CA"/>
              </w:rPr>
              <w:t>,</w:t>
            </w:r>
            <w:r w:rsidRPr="00691ABD">
              <w:rPr>
                <w:sz w:val="20"/>
                <w:szCs w:val="20"/>
                <w:lang w:val="fr-CA" w:eastAsia="en-CA"/>
              </w:rPr>
              <w:t>2</w:t>
            </w:r>
          </w:p>
        </w:tc>
        <w:tc>
          <w:tcPr>
            <w:tcW w:w="1275" w:type="dxa"/>
            <w:tcBorders>
              <w:top w:val="nil"/>
              <w:left w:val="nil"/>
              <w:bottom w:val="single" w:sz="4" w:space="0" w:color="auto"/>
              <w:right w:val="single" w:sz="4" w:space="0" w:color="auto"/>
            </w:tcBorders>
            <w:shd w:val="clear" w:color="auto" w:fill="auto"/>
            <w:noWrap/>
            <w:hideMark/>
          </w:tcPr>
          <w:p w14:paraId="41DCE799" w14:textId="77777777" w:rsidR="00A325C8" w:rsidRPr="00691ABD" w:rsidRDefault="00A325C8" w:rsidP="001E39EE">
            <w:pPr>
              <w:jc w:val="right"/>
              <w:rPr>
                <w:sz w:val="20"/>
                <w:szCs w:val="20"/>
                <w:lang w:val="fr-CA" w:eastAsia="en-CA"/>
              </w:rPr>
            </w:pPr>
            <w:r w:rsidRPr="00691ABD">
              <w:rPr>
                <w:sz w:val="20"/>
                <w:szCs w:val="20"/>
                <w:lang w:val="fr-CA" w:eastAsia="en-CA"/>
              </w:rPr>
              <w:t>810</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52ADAEE6" w14:textId="77777777" w:rsidR="00A325C8" w:rsidRPr="00691ABD" w:rsidRDefault="00A325C8" w:rsidP="001E39EE">
            <w:pPr>
              <w:jc w:val="right"/>
              <w:rPr>
                <w:sz w:val="20"/>
                <w:szCs w:val="20"/>
                <w:lang w:val="fr-CA" w:eastAsia="en-CA"/>
              </w:rPr>
            </w:pPr>
            <w:r w:rsidRPr="00691ABD">
              <w:rPr>
                <w:sz w:val="20"/>
                <w:szCs w:val="20"/>
                <w:lang w:val="fr-CA" w:eastAsia="en-CA"/>
              </w:rPr>
              <w:t>605</w:t>
            </w:r>
            <w:r>
              <w:rPr>
                <w:sz w:val="20"/>
                <w:szCs w:val="20"/>
                <w:lang w:val="fr-CA" w:eastAsia="en-CA"/>
              </w:rPr>
              <w:t xml:space="preserve"> </w:t>
            </w:r>
            <w:r w:rsidRPr="00691ABD">
              <w:rPr>
                <w:sz w:val="20"/>
                <w:szCs w:val="20"/>
                <w:lang w:val="fr-CA" w:eastAsia="en-CA"/>
              </w:rPr>
              <w:t>978</w:t>
            </w:r>
          </w:p>
        </w:tc>
        <w:tc>
          <w:tcPr>
            <w:tcW w:w="1250" w:type="dxa"/>
            <w:tcBorders>
              <w:top w:val="nil"/>
              <w:left w:val="nil"/>
              <w:bottom w:val="single" w:sz="4" w:space="0" w:color="auto"/>
              <w:right w:val="single" w:sz="4" w:space="0" w:color="auto"/>
            </w:tcBorders>
            <w:shd w:val="clear" w:color="auto" w:fill="auto"/>
            <w:noWrap/>
            <w:hideMark/>
          </w:tcPr>
          <w:p w14:paraId="6C1B90FB" w14:textId="77777777" w:rsidR="00A325C8" w:rsidRPr="00691ABD" w:rsidRDefault="00A325C8" w:rsidP="001E39EE">
            <w:pPr>
              <w:jc w:val="right"/>
              <w:rPr>
                <w:sz w:val="20"/>
                <w:szCs w:val="20"/>
                <w:lang w:val="fr-CA" w:eastAsia="en-CA"/>
              </w:rPr>
            </w:pPr>
            <w:r w:rsidRPr="00691ABD">
              <w:rPr>
                <w:sz w:val="20"/>
                <w:szCs w:val="20"/>
                <w:lang w:val="fr-CA" w:eastAsia="en-CA"/>
              </w:rPr>
              <w:t>204</w:t>
            </w:r>
            <w:r>
              <w:rPr>
                <w:sz w:val="20"/>
                <w:szCs w:val="20"/>
                <w:lang w:val="fr-CA" w:eastAsia="en-CA"/>
              </w:rPr>
              <w:t xml:space="preserve"> </w:t>
            </w:r>
            <w:r w:rsidRPr="00691ABD">
              <w:rPr>
                <w:sz w:val="20"/>
                <w:szCs w:val="20"/>
                <w:lang w:val="fr-CA" w:eastAsia="en-CA"/>
              </w:rPr>
              <w:t>022</w:t>
            </w:r>
          </w:p>
        </w:tc>
        <w:tc>
          <w:tcPr>
            <w:tcW w:w="1050" w:type="dxa"/>
            <w:tcBorders>
              <w:top w:val="nil"/>
              <w:left w:val="nil"/>
              <w:bottom w:val="single" w:sz="4" w:space="0" w:color="auto"/>
              <w:right w:val="single" w:sz="4" w:space="0" w:color="auto"/>
            </w:tcBorders>
            <w:shd w:val="clear" w:color="auto" w:fill="auto"/>
            <w:noWrap/>
            <w:hideMark/>
          </w:tcPr>
          <w:p w14:paraId="7895EECE" w14:textId="77777777" w:rsidR="00A325C8" w:rsidRPr="00691ABD" w:rsidRDefault="00A325C8" w:rsidP="001E39EE">
            <w:pPr>
              <w:jc w:val="right"/>
              <w:rPr>
                <w:sz w:val="20"/>
                <w:szCs w:val="20"/>
                <w:lang w:val="fr-CA" w:eastAsia="en-CA"/>
              </w:rPr>
            </w:pPr>
            <w:r w:rsidRPr="00691ABD">
              <w:rPr>
                <w:sz w:val="20"/>
                <w:szCs w:val="20"/>
                <w:lang w:val="fr-CA" w:eastAsia="en-CA"/>
              </w:rPr>
              <w:t>75</w:t>
            </w:r>
          </w:p>
        </w:tc>
      </w:tr>
      <w:tr w:rsidR="00A325C8" w:rsidRPr="00691ABD" w14:paraId="12F3425E"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EEAA257" w14:textId="77777777" w:rsidR="00A325C8" w:rsidRPr="00691ABD" w:rsidRDefault="00A325C8" w:rsidP="001E39EE">
            <w:pPr>
              <w:jc w:val="left"/>
              <w:rPr>
                <w:sz w:val="20"/>
                <w:szCs w:val="20"/>
                <w:lang w:val="fr-CA" w:eastAsia="en-CA"/>
              </w:rPr>
            </w:pPr>
            <w:r w:rsidRPr="00691ABD">
              <w:rPr>
                <w:sz w:val="20"/>
                <w:szCs w:val="20"/>
                <w:lang w:val="fr-CA" w:eastAsia="en-CA"/>
              </w:rPr>
              <w:t>Nauru</w:t>
            </w:r>
          </w:p>
        </w:tc>
        <w:tc>
          <w:tcPr>
            <w:tcW w:w="1295" w:type="dxa"/>
            <w:tcBorders>
              <w:top w:val="nil"/>
              <w:left w:val="nil"/>
              <w:bottom w:val="single" w:sz="4" w:space="0" w:color="auto"/>
              <w:right w:val="single" w:sz="4" w:space="0" w:color="auto"/>
            </w:tcBorders>
            <w:shd w:val="clear" w:color="auto" w:fill="auto"/>
            <w:noWrap/>
            <w:hideMark/>
          </w:tcPr>
          <w:p w14:paraId="3A62DE0A"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7DECF7FA" w14:textId="77777777" w:rsidR="00A325C8" w:rsidRPr="00691ABD" w:rsidRDefault="00A325C8" w:rsidP="001E39EE">
            <w:pPr>
              <w:jc w:val="right"/>
              <w:rPr>
                <w:sz w:val="20"/>
                <w:szCs w:val="20"/>
                <w:lang w:val="fr-CA" w:eastAsia="en-CA"/>
              </w:rPr>
            </w:pPr>
            <w:r w:rsidRPr="00691ABD">
              <w:rPr>
                <w:sz w:val="20"/>
                <w:szCs w:val="20"/>
                <w:lang w:val="fr-CA" w:eastAsia="en-CA"/>
              </w:rPr>
              <w:t>139</w:t>
            </w:r>
            <w:r>
              <w:rPr>
                <w:sz w:val="20"/>
                <w:szCs w:val="20"/>
                <w:lang w:val="fr-CA" w:eastAsia="en-CA"/>
              </w:rPr>
              <w:t xml:space="preserve"> </w:t>
            </w:r>
            <w:r w:rsidRPr="00691ABD">
              <w:rPr>
                <w:sz w:val="20"/>
                <w:szCs w:val="20"/>
                <w:lang w:val="fr-CA" w:eastAsia="en-CA"/>
              </w:rPr>
              <w:t>450</w:t>
            </w:r>
          </w:p>
        </w:tc>
        <w:tc>
          <w:tcPr>
            <w:tcW w:w="1276" w:type="dxa"/>
            <w:tcBorders>
              <w:top w:val="nil"/>
              <w:left w:val="nil"/>
              <w:bottom w:val="single" w:sz="4" w:space="0" w:color="auto"/>
              <w:right w:val="single" w:sz="4" w:space="0" w:color="auto"/>
            </w:tcBorders>
            <w:shd w:val="clear" w:color="auto" w:fill="auto"/>
            <w:noWrap/>
            <w:hideMark/>
          </w:tcPr>
          <w:p w14:paraId="06F22391" w14:textId="77777777" w:rsidR="00A325C8" w:rsidRPr="00691ABD" w:rsidRDefault="00A325C8" w:rsidP="001E39EE">
            <w:pPr>
              <w:jc w:val="right"/>
              <w:rPr>
                <w:sz w:val="20"/>
                <w:szCs w:val="20"/>
                <w:lang w:val="fr-CA" w:eastAsia="en-CA"/>
              </w:rPr>
            </w:pPr>
            <w:r w:rsidRPr="00691ABD">
              <w:rPr>
                <w:sz w:val="20"/>
                <w:szCs w:val="20"/>
                <w:lang w:val="fr-CA" w:eastAsia="en-CA"/>
              </w:rPr>
              <w:t>49</w:t>
            </w:r>
            <w:r>
              <w:rPr>
                <w:sz w:val="20"/>
                <w:szCs w:val="20"/>
                <w:lang w:val="fr-CA" w:eastAsia="en-CA"/>
              </w:rPr>
              <w:t xml:space="preserve"> </w:t>
            </w:r>
            <w:r w:rsidRPr="00691ABD">
              <w:rPr>
                <w:sz w:val="20"/>
                <w:szCs w:val="20"/>
                <w:lang w:val="fr-CA" w:eastAsia="en-CA"/>
              </w:rPr>
              <w:t>915</w:t>
            </w:r>
          </w:p>
        </w:tc>
        <w:tc>
          <w:tcPr>
            <w:tcW w:w="1250" w:type="dxa"/>
            <w:tcBorders>
              <w:top w:val="nil"/>
              <w:left w:val="nil"/>
              <w:bottom w:val="single" w:sz="4" w:space="0" w:color="auto"/>
              <w:right w:val="single" w:sz="4" w:space="0" w:color="auto"/>
            </w:tcBorders>
            <w:shd w:val="clear" w:color="auto" w:fill="auto"/>
            <w:noWrap/>
            <w:hideMark/>
          </w:tcPr>
          <w:p w14:paraId="124B1AF7" w14:textId="77777777" w:rsidR="00A325C8" w:rsidRPr="00691ABD" w:rsidRDefault="00A325C8" w:rsidP="001E39EE">
            <w:pPr>
              <w:jc w:val="right"/>
              <w:rPr>
                <w:sz w:val="20"/>
                <w:szCs w:val="20"/>
                <w:lang w:val="fr-CA" w:eastAsia="en-CA"/>
              </w:rPr>
            </w:pPr>
            <w:r w:rsidRPr="00691ABD">
              <w:rPr>
                <w:sz w:val="20"/>
                <w:szCs w:val="20"/>
                <w:lang w:val="fr-CA" w:eastAsia="en-CA"/>
              </w:rPr>
              <w:t>89</w:t>
            </w:r>
            <w:r>
              <w:rPr>
                <w:sz w:val="20"/>
                <w:szCs w:val="20"/>
                <w:lang w:val="fr-CA" w:eastAsia="en-CA"/>
              </w:rPr>
              <w:t xml:space="preserve"> </w:t>
            </w:r>
            <w:r w:rsidRPr="00691ABD">
              <w:rPr>
                <w:sz w:val="20"/>
                <w:szCs w:val="20"/>
                <w:lang w:val="fr-CA" w:eastAsia="en-CA"/>
              </w:rPr>
              <w:t>535</w:t>
            </w:r>
          </w:p>
        </w:tc>
        <w:tc>
          <w:tcPr>
            <w:tcW w:w="1050" w:type="dxa"/>
            <w:tcBorders>
              <w:top w:val="nil"/>
              <w:left w:val="nil"/>
              <w:bottom w:val="single" w:sz="4" w:space="0" w:color="auto"/>
              <w:right w:val="single" w:sz="4" w:space="0" w:color="auto"/>
            </w:tcBorders>
            <w:shd w:val="clear" w:color="auto" w:fill="auto"/>
            <w:noWrap/>
            <w:hideMark/>
          </w:tcPr>
          <w:p w14:paraId="66562C6D" w14:textId="77777777" w:rsidR="00A325C8" w:rsidRPr="00691ABD" w:rsidRDefault="00A325C8" w:rsidP="001E39EE">
            <w:pPr>
              <w:jc w:val="right"/>
              <w:rPr>
                <w:sz w:val="20"/>
                <w:szCs w:val="20"/>
                <w:lang w:val="fr-CA" w:eastAsia="en-CA"/>
              </w:rPr>
            </w:pPr>
            <w:r w:rsidRPr="00691ABD">
              <w:rPr>
                <w:sz w:val="20"/>
                <w:szCs w:val="20"/>
                <w:lang w:val="fr-CA" w:eastAsia="en-CA"/>
              </w:rPr>
              <w:t>36</w:t>
            </w:r>
          </w:p>
        </w:tc>
      </w:tr>
      <w:tr w:rsidR="00A325C8" w:rsidRPr="00691ABD" w14:paraId="53070BAD"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945D1CA" w14:textId="77777777" w:rsidR="00A325C8" w:rsidRPr="00691ABD" w:rsidRDefault="00A325C8" w:rsidP="001E39EE">
            <w:pPr>
              <w:jc w:val="left"/>
              <w:rPr>
                <w:sz w:val="20"/>
                <w:szCs w:val="20"/>
                <w:lang w:val="fr-CA" w:eastAsia="en-CA"/>
              </w:rPr>
            </w:pPr>
            <w:r>
              <w:rPr>
                <w:sz w:val="20"/>
                <w:szCs w:val="20"/>
                <w:lang w:val="fr-CA" w:eastAsia="en-CA"/>
              </w:rPr>
              <w:t>Né</w:t>
            </w:r>
            <w:r w:rsidRPr="00691ABD">
              <w:rPr>
                <w:sz w:val="20"/>
                <w:szCs w:val="20"/>
                <w:lang w:val="fr-CA" w:eastAsia="en-CA"/>
              </w:rPr>
              <w:t>pal</w:t>
            </w:r>
          </w:p>
        </w:tc>
        <w:tc>
          <w:tcPr>
            <w:tcW w:w="1295" w:type="dxa"/>
            <w:tcBorders>
              <w:top w:val="nil"/>
              <w:left w:val="nil"/>
              <w:bottom w:val="single" w:sz="4" w:space="0" w:color="auto"/>
              <w:right w:val="single" w:sz="4" w:space="0" w:color="auto"/>
            </w:tcBorders>
            <w:shd w:val="clear" w:color="auto" w:fill="auto"/>
            <w:noWrap/>
            <w:hideMark/>
          </w:tcPr>
          <w:p w14:paraId="268DEA5B"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7</w:t>
            </w:r>
          </w:p>
        </w:tc>
        <w:tc>
          <w:tcPr>
            <w:tcW w:w="1275" w:type="dxa"/>
            <w:tcBorders>
              <w:top w:val="nil"/>
              <w:left w:val="nil"/>
              <w:bottom w:val="single" w:sz="4" w:space="0" w:color="auto"/>
              <w:right w:val="single" w:sz="4" w:space="0" w:color="auto"/>
            </w:tcBorders>
            <w:shd w:val="clear" w:color="auto" w:fill="auto"/>
            <w:noWrap/>
            <w:hideMark/>
          </w:tcPr>
          <w:p w14:paraId="2D6472D6" w14:textId="77777777" w:rsidR="00A325C8" w:rsidRPr="00691ABD" w:rsidRDefault="00A325C8" w:rsidP="001E39EE">
            <w:pPr>
              <w:jc w:val="right"/>
              <w:rPr>
                <w:sz w:val="20"/>
                <w:szCs w:val="20"/>
                <w:lang w:val="fr-CA" w:eastAsia="en-CA"/>
              </w:rPr>
            </w:pPr>
            <w:r w:rsidRPr="00691ABD">
              <w:rPr>
                <w:sz w:val="20"/>
                <w:szCs w:val="20"/>
                <w:lang w:val="fr-CA" w:eastAsia="en-CA"/>
              </w:rPr>
              <w:t>428</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0196440D" w14:textId="77777777" w:rsidR="00A325C8" w:rsidRPr="00691ABD" w:rsidRDefault="00A325C8" w:rsidP="001E39EE">
            <w:pPr>
              <w:jc w:val="right"/>
              <w:rPr>
                <w:sz w:val="20"/>
                <w:szCs w:val="20"/>
                <w:lang w:val="fr-CA" w:eastAsia="en-CA"/>
              </w:rPr>
            </w:pPr>
            <w:r w:rsidRPr="00691ABD">
              <w:rPr>
                <w:sz w:val="20"/>
                <w:szCs w:val="20"/>
                <w:lang w:val="fr-CA" w:eastAsia="en-CA"/>
              </w:rPr>
              <w:t>171</w:t>
            </w:r>
            <w:r>
              <w:rPr>
                <w:sz w:val="20"/>
                <w:szCs w:val="20"/>
                <w:lang w:val="fr-CA" w:eastAsia="en-CA"/>
              </w:rPr>
              <w:t xml:space="preserve"> </w:t>
            </w:r>
            <w:r w:rsidRPr="00691ABD">
              <w:rPr>
                <w:sz w:val="20"/>
                <w:szCs w:val="20"/>
                <w:lang w:val="fr-CA" w:eastAsia="en-CA"/>
              </w:rPr>
              <w:t>641</w:t>
            </w:r>
          </w:p>
        </w:tc>
        <w:tc>
          <w:tcPr>
            <w:tcW w:w="1250" w:type="dxa"/>
            <w:tcBorders>
              <w:top w:val="nil"/>
              <w:left w:val="nil"/>
              <w:bottom w:val="single" w:sz="4" w:space="0" w:color="auto"/>
              <w:right w:val="single" w:sz="4" w:space="0" w:color="auto"/>
            </w:tcBorders>
            <w:shd w:val="clear" w:color="auto" w:fill="auto"/>
            <w:noWrap/>
            <w:hideMark/>
          </w:tcPr>
          <w:p w14:paraId="7CBD650F" w14:textId="77777777" w:rsidR="00A325C8" w:rsidRPr="00691ABD" w:rsidRDefault="00A325C8" w:rsidP="001E39EE">
            <w:pPr>
              <w:jc w:val="right"/>
              <w:rPr>
                <w:sz w:val="20"/>
                <w:szCs w:val="20"/>
                <w:lang w:val="fr-CA" w:eastAsia="en-CA"/>
              </w:rPr>
            </w:pPr>
            <w:r w:rsidRPr="00691ABD">
              <w:rPr>
                <w:sz w:val="20"/>
                <w:szCs w:val="20"/>
                <w:lang w:val="fr-CA" w:eastAsia="en-CA"/>
              </w:rPr>
              <w:t>256</w:t>
            </w:r>
            <w:r>
              <w:rPr>
                <w:sz w:val="20"/>
                <w:szCs w:val="20"/>
                <w:lang w:val="fr-CA" w:eastAsia="en-CA"/>
              </w:rPr>
              <w:t xml:space="preserve"> </w:t>
            </w:r>
            <w:r w:rsidRPr="00691ABD">
              <w:rPr>
                <w:sz w:val="20"/>
                <w:szCs w:val="20"/>
                <w:lang w:val="fr-CA" w:eastAsia="en-CA"/>
              </w:rPr>
              <w:t>359</w:t>
            </w:r>
          </w:p>
        </w:tc>
        <w:tc>
          <w:tcPr>
            <w:tcW w:w="1050" w:type="dxa"/>
            <w:tcBorders>
              <w:top w:val="nil"/>
              <w:left w:val="nil"/>
              <w:bottom w:val="single" w:sz="4" w:space="0" w:color="auto"/>
              <w:right w:val="single" w:sz="4" w:space="0" w:color="auto"/>
            </w:tcBorders>
            <w:shd w:val="clear" w:color="auto" w:fill="auto"/>
            <w:noWrap/>
            <w:hideMark/>
          </w:tcPr>
          <w:p w14:paraId="08DAF574" w14:textId="77777777" w:rsidR="00A325C8" w:rsidRPr="00691ABD" w:rsidRDefault="00A325C8" w:rsidP="001E39EE">
            <w:pPr>
              <w:jc w:val="right"/>
              <w:rPr>
                <w:sz w:val="20"/>
                <w:szCs w:val="20"/>
                <w:lang w:val="fr-CA" w:eastAsia="en-CA"/>
              </w:rPr>
            </w:pPr>
            <w:r w:rsidRPr="00691ABD">
              <w:rPr>
                <w:sz w:val="20"/>
                <w:szCs w:val="20"/>
                <w:lang w:val="fr-CA" w:eastAsia="en-CA"/>
              </w:rPr>
              <w:t>40</w:t>
            </w:r>
          </w:p>
        </w:tc>
      </w:tr>
      <w:tr w:rsidR="00A325C8" w:rsidRPr="00691ABD" w14:paraId="278F2B98"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057CFF4" w14:textId="77777777" w:rsidR="00A325C8" w:rsidRPr="00691ABD" w:rsidRDefault="00A325C8" w:rsidP="001E39EE">
            <w:pPr>
              <w:jc w:val="left"/>
              <w:rPr>
                <w:sz w:val="20"/>
                <w:szCs w:val="20"/>
                <w:lang w:val="fr-CA" w:eastAsia="en-CA"/>
              </w:rPr>
            </w:pPr>
            <w:r w:rsidRPr="00691ABD">
              <w:rPr>
                <w:sz w:val="20"/>
                <w:szCs w:val="20"/>
                <w:lang w:val="fr-CA" w:eastAsia="en-CA"/>
              </w:rPr>
              <w:t>Nicaragua</w:t>
            </w:r>
          </w:p>
        </w:tc>
        <w:tc>
          <w:tcPr>
            <w:tcW w:w="1295" w:type="dxa"/>
            <w:tcBorders>
              <w:top w:val="nil"/>
              <w:left w:val="nil"/>
              <w:bottom w:val="single" w:sz="4" w:space="0" w:color="auto"/>
              <w:right w:val="single" w:sz="4" w:space="0" w:color="auto"/>
            </w:tcBorders>
            <w:shd w:val="clear" w:color="auto" w:fill="auto"/>
            <w:noWrap/>
            <w:hideMark/>
          </w:tcPr>
          <w:p w14:paraId="53D190E4"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29B05F15" w14:textId="77777777" w:rsidR="00A325C8" w:rsidRPr="00691ABD" w:rsidRDefault="00A325C8" w:rsidP="001E39EE">
            <w:pPr>
              <w:jc w:val="right"/>
              <w:rPr>
                <w:sz w:val="20"/>
                <w:szCs w:val="20"/>
                <w:lang w:val="fr-CA" w:eastAsia="en-CA"/>
              </w:rPr>
            </w:pPr>
            <w:r w:rsidRPr="00691ABD">
              <w:rPr>
                <w:sz w:val="20"/>
                <w:szCs w:val="20"/>
                <w:lang w:val="fr-CA" w:eastAsia="en-CA"/>
              </w:rPr>
              <w:t>474</w:t>
            </w:r>
            <w:r>
              <w:rPr>
                <w:sz w:val="20"/>
                <w:szCs w:val="20"/>
                <w:lang w:val="fr-CA" w:eastAsia="en-CA"/>
              </w:rPr>
              <w:t xml:space="preserve"> </w:t>
            </w:r>
            <w:r w:rsidRPr="00691ABD">
              <w:rPr>
                <w:sz w:val="20"/>
                <w:szCs w:val="20"/>
                <w:lang w:val="fr-CA" w:eastAsia="en-CA"/>
              </w:rPr>
              <w:t>498</w:t>
            </w:r>
          </w:p>
        </w:tc>
        <w:tc>
          <w:tcPr>
            <w:tcW w:w="1276" w:type="dxa"/>
            <w:tcBorders>
              <w:top w:val="nil"/>
              <w:left w:val="nil"/>
              <w:bottom w:val="single" w:sz="4" w:space="0" w:color="auto"/>
              <w:right w:val="single" w:sz="4" w:space="0" w:color="auto"/>
            </w:tcBorders>
            <w:shd w:val="clear" w:color="auto" w:fill="auto"/>
            <w:noWrap/>
            <w:hideMark/>
          </w:tcPr>
          <w:p w14:paraId="6E3C83D0" w14:textId="77777777" w:rsidR="00A325C8" w:rsidRPr="00691ABD" w:rsidRDefault="00A325C8" w:rsidP="001E39EE">
            <w:pPr>
              <w:jc w:val="right"/>
              <w:rPr>
                <w:sz w:val="20"/>
                <w:szCs w:val="20"/>
                <w:lang w:val="fr-CA" w:eastAsia="en-CA"/>
              </w:rPr>
            </w:pPr>
            <w:r w:rsidRPr="00691ABD">
              <w:rPr>
                <w:sz w:val="20"/>
                <w:szCs w:val="20"/>
                <w:lang w:val="fr-CA" w:eastAsia="en-CA"/>
              </w:rPr>
              <w:t>266</w:t>
            </w:r>
            <w:r>
              <w:rPr>
                <w:sz w:val="20"/>
                <w:szCs w:val="20"/>
                <w:lang w:val="fr-CA" w:eastAsia="en-CA"/>
              </w:rPr>
              <w:t xml:space="preserve"> </w:t>
            </w:r>
            <w:r w:rsidRPr="00691ABD">
              <w:rPr>
                <w:sz w:val="20"/>
                <w:szCs w:val="20"/>
                <w:lang w:val="fr-CA" w:eastAsia="en-CA"/>
              </w:rPr>
              <w:t>792</w:t>
            </w:r>
          </w:p>
        </w:tc>
        <w:tc>
          <w:tcPr>
            <w:tcW w:w="1250" w:type="dxa"/>
            <w:tcBorders>
              <w:top w:val="nil"/>
              <w:left w:val="nil"/>
              <w:bottom w:val="single" w:sz="4" w:space="0" w:color="auto"/>
              <w:right w:val="single" w:sz="4" w:space="0" w:color="auto"/>
            </w:tcBorders>
            <w:shd w:val="clear" w:color="auto" w:fill="auto"/>
            <w:noWrap/>
            <w:hideMark/>
          </w:tcPr>
          <w:p w14:paraId="2299C4F1" w14:textId="77777777" w:rsidR="00A325C8" w:rsidRPr="00691ABD" w:rsidRDefault="00A325C8" w:rsidP="001E39EE">
            <w:pPr>
              <w:jc w:val="right"/>
              <w:rPr>
                <w:sz w:val="20"/>
                <w:szCs w:val="20"/>
                <w:lang w:val="fr-CA" w:eastAsia="en-CA"/>
              </w:rPr>
            </w:pPr>
            <w:r w:rsidRPr="00691ABD">
              <w:rPr>
                <w:sz w:val="20"/>
                <w:szCs w:val="20"/>
                <w:lang w:val="fr-CA" w:eastAsia="en-CA"/>
              </w:rPr>
              <w:t>207</w:t>
            </w:r>
            <w:r>
              <w:rPr>
                <w:sz w:val="20"/>
                <w:szCs w:val="20"/>
                <w:lang w:val="fr-CA" w:eastAsia="en-CA"/>
              </w:rPr>
              <w:t xml:space="preserve"> </w:t>
            </w:r>
            <w:r w:rsidRPr="00691ABD">
              <w:rPr>
                <w:sz w:val="20"/>
                <w:szCs w:val="20"/>
                <w:lang w:val="fr-CA" w:eastAsia="en-CA"/>
              </w:rPr>
              <w:t>705</w:t>
            </w:r>
          </w:p>
        </w:tc>
        <w:tc>
          <w:tcPr>
            <w:tcW w:w="1050" w:type="dxa"/>
            <w:tcBorders>
              <w:top w:val="nil"/>
              <w:left w:val="nil"/>
              <w:bottom w:val="single" w:sz="4" w:space="0" w:color="auto"/>
              <w:right w:val="single" w:sz="4" w:space="0" w:color="auto"/>
            </w:tcBorders>
            <w:shd w:val="clear" w:color="auto" w:fill="auto"/>
            <w:noWrap/>
            <w:hideMark/>
          </w:tcPr>
          <w:p w14:paraId="00250721" w14:textId="77777777" w:rsidR="00A325C8" w:rsidRPr="00691ABD" w:rsidRDefault="00A325C8" w:rsidP="001E39EE">
            <w:pPr>
              <w:jc w:val="right"/>
              <w:rPr>
                <w:sz w:val="20"/>
                <w:szCs w:val="20"/>
                <w:lang w:val="fr-CA" w:eastAsia="en-CA"/>
              </w:rPr>
            </w:pPr>
            <w:r w:rsidRPr="00691ABD">
              <w:rPr>
                <w:sz w:val="20"/>
                <w:szCs w:val="20"/>
                <w:lang w:val="fr-CA" w:eastAsia="en-CA"/>
              </w:rPr>
              <w:t>56</w:t>
            </w:r>
          </w:p>
        </w:tc>
      </w:tr>
      <w:tr w:rsidR="00A325C8" w:rsidRPr="00691ABD" w14:paraId="50DB31AA"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A883F50" w14:textId="77777777" w:rsidR="00A325C8" w:rsidRPr="00691ABD" w:rsidRDefault="00A325C8" w:rsidP="008028B2">
            <w:pPr>
              <w:jc w:val="left"/>
              <w:rPr>
                <w:sz w:val="20"/>
                <w:szCs w:val="20"/>
                <w:lang w:val="fr-CA" w:eastAsia="en-CA"/>
              </w:rPr>
            </w:pPr>
            <w:r w:rsidRPr="00691ABD">
              <w:rPr>
                <w:sz w:val="20"/>
                <w:szCs w:val="20"/>
                <w:lang w:val="fr-CA" w:eastAsia="en-CA"/>
              </w:rPr>
              <w:t xml:space="preserve">Niger </w:t>
            </w:r>
          </w:p>
        </w:tc>
        <w:tc>
          <w:tcPr>
            <w:tcW w:w="1295" w:type="dxa"/>
            <w:tcBorders>
              <w:top w:val="nil"/>
              <w:left w:val="nil"/>
              <w:bottom w:val="single" w:sz="4" w:space="0" w:color="auto"/>
              <w:right w:val="single" w:sz="4" w:space="0" w:color="auto"/>
            </w:tcBorders>
            <w:shd w:val="clear" w:color="auto" w:fill="auto"/>
            <w:noWrap/>
            <w:hideMark/>
          </w:tcPr>
          <w:p w14:paraId="17F1A0CE"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2BB2AFEA" w14:textId="77777777" w:rsidR="00A325C8" w:rsidRPr="00691ABD" w:rsidRDefault="00A325C8" w:rsidP="001E39EE">
            <w:pPr>
              <w:jc w:val="right"/>
              <w:rPr>
                <w:sz w:val="20"/>
                <w:szCs w:val="20"/>
                <w:lang w:val="fr-CA" w:eastAsia="en-CA"/>
              </w:rPr>
            </w:pPr>
            <w:r w:rsidRPr="00691ABD">
              <w:rPr>
                <w:sz w:val="20"/>
                <w:szCs w:val="20"/>
                <w:lang w:val="fr-CA" w:eastAsia="en-CA"/>
              </w:rPr>
              <w:t>488</w:t>
            </w:r>
            <w:r>
              <w:rPr>
                <w:sz w:val="20"/>
                <w:szCs w:val="20"/>
                <w:lang w:val="fr-CA" w:eastAsia="en-CA"/>
              </w:rPr>
              <w:t xml:space="preserve"> </w:t>
            </w:r>
            <w:r w:rsidRPr="00691ABD">
              <w:rPr>
                <w:sz w:val="20"/>
                <w:szCs w:val="20"/>
                <w:lang w:val="fr-CA" w:eastAsia="en-CA"/>
              </w:rPr>
              <w:t>840</w:t>
            </w:r>
          </w:p>
        </w:tc>
        <w:tc>
          <w:tcPr>
            <w:tcW w:w="1276" w:type="dxa"/>
            <w:tcBorders>
              <w:top w:val="nil"/>
              <w:left w:val="nil"/>
              <w:bottom w:val="single" w:sz="4" w:space="0" w:color="auto"/>
              <w:right w:val="single" w:sz="4" w:space="0" w:color="auto"/>
            </w:tcBorders>
            <w:shd w:val="clear" w:color="auto" w:fill="auto"/>
            <w:noWrap/>
            <w:hideMark/>
          </w:tcPr>
          <w:p w14:paraId="01137CE0" w14:textId="77777777" w:rsidR="00A325C8" w:rsidRPr="00691ABD" w:rsidRDefault="00A325C8" w:rsidP="001E39EE">
            <w:pPr>
              <w:jc w:val="right"/>
              <w:rPr>
                <w:sz w:val="20"/>
                <w:szCs w:val="20"/>
                <w:lang w:val="fr-CA" w:eastAsia="en-CA"/>
              </w:rPr>
            </w:pPr>
            <w:r w:rsidRPr="00691ABD">
              <w:rPr>
                <w:sz w:val="20"/>
                <w:szCs w:val="20"/>
                <w:lang w:val="fr-CA" w:eastAsia="en-CA"/>
              </w:rPr>
              <w:t>273</w:t>
            </w:r>
            <w:r>
              <w:rPr>
                <w:sz w:val="20"/>
                <w:szCs w:val="20"/>
                <w:lang w:val="fr-CA" w:eastAsia="en-CA"/>
              </w:rPr>
              <w:t xml:space="preserve"> </w:t>
            </w:r>
            <w:r w:rsidRPr="00691ABD">
              <w:rPr>
                <w:sz w:val="20"/>
                <w:szCs w:val="20"/>
                <w:lang w:val="fr-CA" w:eastAsia="en-CA"/>
              </w:rPr>
              <w:t>840</w:t>
            </w:r>
          </w:p>
        </w:tc>
        <w:tc>
          <w:tcPr>
            <w:tcW w:w="1250" w:type="dxa"/>
            <w:tcBorders>
              <w:top w:val="nil"/>
              <w:left w:val="nil"/>
              <w:bottom w:val="single" w:sz="4" w:space="0" w:color="auto"/>
              <w:right w:val="single" w:sz="4" w:space="0" w:color="auto"/>
            </w:tcBorders>
            <w:shd w:val="clear" w:color="auto" w:fill="auto"/>
            <w:noWrap/>
            <w:hideMark/>
          </w:tcPr>
          <w:p w14:paraId="63AA612F" w14:textId="77777777" w:rsidR="00A325C8" w:rsidRPr="00691ABD" w:rsidRDefault="00A325C8" w:rsidP="001E39EE">
            <w:pPr>
              <w:jc w:val="right"/>
              <w:rPr>
                <w:sz w:val="20"/>
                <w:szCs w:val="20"/>
                <w:lang w:val="fr-CA" w:eastAsia="en-CA"/>
              </w:rPr>
            </w:pPr>
            <w:r w:rsidRPr="00691ABD">
              <w:rPr>
                <w:sz w:val="20"/>
                <w:szCs w:val="20"/>
                <w:lang w:val="fr-CA" w:eastAsia="en-CA"/>
              </w:rPr>
              <w:t>215</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1A5F30AE" w14:textId="77777777" w:rsidR="00A325C8" w:rsidRPr="00691ABD" w:rsidRDefault="00A325C8" w:rsidP="001E39EE">
            <w:pPr>
              <w:jc w:val="right"/>
              <w:rPr>
                <w:sz w:val="20"/>
                <w:szCs w:val="20"/>
                <w:lang w:val="fr-CA" w:eastAsia="en-CA"/>
              </w:rPr>
            </w:pPr>
            <w:r w:rsidRPr="00691ABD">
              <w:rPr>
                <w:sz w:val="20"/>
                <w:szCs w:val="20"/>
                <w:lang w:val="fr-CA" w:eastAsia="en-CA"/>
              </w:rPr>
              <w:t>56</w:t>
            </w:r>
          </w:p>
        </w:tc>
      </w:tr>
      <w:tr w:rsidR="00A325C8" w:rsidRPr="00691ABD" w14:paraId="04B1B800" w14:textId="77777777" w:rsidTr="00691ABD">
        <w:trPr>
          <w:trHeight w:val="264"/>
        </w:trPr>
        <w:tc>
          <w:tcPr>
            <w:tcW w:w="3828" w:type="dxa"/>
            <w:tcBorders>
              <w:top w:val="nil"/>
              <w:left w:val="single" w:sz="4" w:space="0" w:color="auto"/>
              <w:bottom w:val="single" w:sz="4" w:space="0" w:color="auto"/>
              <w:right w:val="single" w:sz="4" w:space="0" w:color="auto"/>
            </w:tcBorders>
            <w:shd w:val="clear" w:color="auto" w:fill="auto"/>
            <w:noWrap/>
            <w:hideMark/>
          </w:tcPr>
          <w:p w14:paraId="040D3847" w14:textId="77777777" w:rsidR="00A325C8" w:rsidRPr="00691ABD" w:rsidRDefault="00A325C8" w:rsidP="001E39EE">
            <w:pPr>
              <w:jc w:val="left"/>
              <w:rPr>
                <w:sz w:val="20"/>
                <w:szCs w:val="20"/>
                <w:lang w:val="fr-CA" w:eastAsia="en-CA"/>
              </w:rPr>
            </w:pPr>
            <w:r w:rsidRPr="00691ABD">
              <w:rPr>
                <w:sz w:val="20"/>
                <w:szCs w:val="20"/>
                <w:lang w:val="fr-CA" w:eastAsia="en-CA"/>
              </w:rPr>
              <w:t>Nigeria</w:t>
            </w:r>
          </w:p>
        </w:tc>
        <w:tc>
          <w:tcPr>
            <w:tcW w:w="1295" w:type="dxa"/>
            <w:tcBorders>
              <w:top w:val="nil"/>
              <w:left w:val="nil"/>
              <w:bottom w:val="single" w:sz="4" w:space="0" w:color="auto"/>
              <w:right w:val="single" w:sz="4" w:space="0" w:color="auto"/>
            </w:tcBorders>
            <w:shd w:val="clear" w:color="auto" w:fill="auto"/>
            <w:noWrap/>
            <w:hideMark/>
          </w:tcPr>
          <w:p w14:paraId="0A34B664" w14:textId="77777777" w:rsidR="00A325C8" w:rsidRPr="00691ABD" w:rsidRDefault="00A325C8" w:rsidP="001E39EE">
            <w:pPr>
              <w:jc w:val="right"/>
              <w:rPr>
                <w:sz w:val="20"/>
                <w:szCs w:val="20"/>
                <w:lang w:val="fr-CA" w:eastAsia="en-CA"/>
              </w:rPr>
            </w:pPr>
            <w:r w:rsidRPr="00691ABD">
              <w:rPr>
                <w:sz w:val="20"/>
                <w:szCs w:val="20"/>
                <w:lang w:val="fr-CA" w:eastAsia="en-CA"/>
              </w:rPr>
              <w:t>143</w:t>
            </w:r>
            <w:r>
              <w:rPr>
                <w:sz w:val="20"/>
                <w:szCs w:val="20"/>
                <w:lang w:val="fr-CA" w:eastAsia="en-CA"/>
              </w:rPr>
              <w:t>,</w:t>
            </w:r>
            <w:r w:rsidRPr="00691ABD">
              <w:rPr>
                <w:sz w:val="20"/>
                <w:szCs w:val="20"/>
                <w:lang w:val="fr-CA" w:eastAsia="en-CA"/>
              </w:rPr>
              <w:t>7</w:t>
            </w:r>
          </w:p>
        </w:tc>
        <w:tc>
          <w:tcPr>
            <w:tcW w:w="1275" w:type="dxa"/>
            <w:tcBorders>
              <w:top w:val="nil"/>
              <w:left w:val="nil"/>
              <w:bottom w:val="single" w:sz="4" w:space="0" w:color="auto"/>
              <w:right w:val="single" w:sz="4" w:space="0" w:color="auto"/>
            </w:tcBorders>
            <w:shd w:val="clear" w:color="auto" w:fill="auto"/>
            <w:noWrap/>
            <w:hideMark/>
          </w:tcPr>
          <w:p w14:paraId="2345CF74" w14:textId="77777777" w:rsidR="00A325C8" w:rsidRPr="00691ABD" w:rsidRDefault="00A325C8" w:rsidP="001E39EE">
            <w:pPr>
              <w:jc w:val="right"/>
              <w:rPr>
                <w:sz w:val="20"/>
                <w:szCs w:val="20"/>
                <w:lang w:val="fr-CA" w:eastAsia="en-CA"/>
              </w:rPr>
            </w:pPr>
            <w:r w:rsidRPr="00691ABD">
              <w:rPr>
                <w:sz w:val="20"/>
                <w:szCs w:val="20"/>
                <w:lang w:val="fr-CA" w:eastAsia="en-CA"/>
              </w:rPr>
              <w:t>7</w:t>
            </w:r>
            <w:r>
              <w:rPr>
                <w:sz w:val="20"/>
                <w:szCs w:val="20"/>
                <w:lang w:val="fr-CA" w:eastAsia="en-CA"/>
              </w:rPr>
              <w:t xml:space="preserve"> </w:t>
            </w:r>
            <w:r w:rsidRPr="00691ABD">
              <w:rPr>
                <w:sz w:val="20"/>
                <w:szCs w:val="20"/>
                <w:lang w:val="fr-CA" w:eastAsia="en-CA"/>
              </w:rPr>
              <w:t>971</w:t>
            </w:r>
            <w:r>
              <w:rPr>
                <w:sz w:val="20"/>
                <w:szCs w:val="20"/>
                <w:lang w:val="fr-CA" w:eastAsia="en-CA"/>
              </w:rPr>
              <w:t xml:space="preserve"> </w:t>
            </w:r>
            <w:r w:rsidRPr="00691ABD">
              <w:rPr>
                <w:sz w:val="20"/>
                <w:szCs w:val="20"/>
                <w:lang w:val="fr-CA" w:eastAsia="en-CA"/>
              </w:rPr>
              <w:t>335</w:t>
            </w:r>
          </w:p>
        </w:tc>
        <w:tc>
          <w:tcPr>
            <w:tcW w:w="1276" w:type="dxa"/>
            <w:tcBorders>
              <w:top w:val="nil"/>
              <w:left w:val="nil"/>
              <w:bottom w:val="single" w:sz="4" w:space="0" w:color="auto"/>
              <w:right w:val="single" w:sz="4" w:space="0" w:color="auto"/>
            </w:tcBorders>
            <w:shd w:val="clear" w:color="auto" w:fill="auto"/>
            <w:noWrap/>
            <w:hideMark/>
          </w:tcPr>
          <w:p w14:paraId="483466AA"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 xml:space="preserve"> </w:t>
            </w:r>
            <w:r w:rsidRPr="00691ABD">
              <w:rPr>
                <w:sz w:val="20"/>
                <w:szCs w:val="20"/>
                <w:lang w:val="fr-CA" w:eastAsia="en-CA"/>
              </w:rPr>
              <w:t>316</w:t>
            </w:r>
            <w:r>
              <w:rPr>
                <w:sz w:val="20"/>
                <w:szCs w:val="20"/>
                <w:lang w:val="fr-CA" w:eastAsia="en-CA"/>
              </w:rPr>
              <w:t xml:space="preserve"> </w:t>
            </w:r>
            <w:r w:rsidRPr="00691ABD">
              <w:rPr>
                <w:sz w:val="20"/>
                <w:szCs w:val="20"/>
                <w:lang w:val="fr-CA" w:eastAsia="en-CA"/>
              </w:rPr>
              <w:t>926</w:t>
            </w:r>
          </w:p>
        </w:tc>
        <w:tc>
          <w:tcPr>
            <w:tcW w:w="1250" w:type="dxa"/>
            <w:tcBorders>
              <w:top w:val="nil"/>
              <w:left w:val="nil"/>
              <w:bottom w:val="single" w:sz="4" w:space="0" w:color="auto"/>
              <w:right w:val="single" w:sz="4" w:space="0" w:color="auto"/>
            </w:tcBorders>
            <w:shd w:val="clear" w:color="auto" w:fill="auto"/>
            <w:noWrap/>
            <w:hideMark/>
          </w:tcPr>
          <w:p w14:paraId="1D535337"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654</w:t>
            </w:r>
            <w:r>
              <w:rPr>
                <w:sz w:val="20"/>
                <w:szCs w:val="20"/>
                <w:lang w:val="fr-CA" w:eastAsia="en-CA"/>
              </w:rPr>
              <w:t xml:space="preserve"> </w:t>
            </w:r>
            <w:r w:rsidRPr="00691ABD">
              <w:rPr>
                <w:sz w:val="20"/>
                <w:szCs w:val="20"/>
                <w:lang w:val="fr-CA" w:eastAsia="en-CA"/>
              </w:rPr>
              <w:t>409</w:t>
            </w:r>
          </w:p>
        </w:tc>
        <w:tc>
          <w:tcPr>
            <w:tcW w:w="1050" w:type="dxa"/>
            <w:tcBorders>
              <w:top w:val="nil"/>
              <w:left w:val="nil"/>
              <w:bottom w:val="single" w:sz="4" w:space="0" w:color="auto"/>
              <w:right w:val="single" w:sz="4" w:space="0" w:color="auto"/>
            </w:tcBorders>
            <w:shd w:val="clear" w:color="auto" w:fill="auto"/>
            <w:noWrap/>
            <w:hideMark/>
          </w:tcPr>
          <w:p w14:paraId="20AC1516" w14:textId="77777777" w:rsidR="00A325C8" w:rsidRPr="00691ABD" w:rsidRDefault="00A325C8" w:rsidP="001E39EE">
            <w:pPr>
              <w:jc w:val="right"/>
              <w:rPr>
                <w:sz w:val="20"/>
                <w:szCs w:val="20"/>
                <w:lang w:val="fr-CA" w:eastAsia="en-CA"/>
              </w:rPr>
            </w:pPr>
            <w:r w:rsidRPr="00691ABD">
              <w:rPr>
                <w:sz w:val="20"/>
                <w:szCs w:val="20"/>
                <w:lang w:val="fr-CA" w:eastAsia="en-CA"/>
              </w:rPr>
              <w:t>67</w:t>
            </w:r>
          </w:p>
        </w:tc>
      </w:tr>
      <w:tr w:rsidR="00A325C8" w:rsidRPr="00691ABD" w14:paraId="18DA1996" w14:textId="77777777" w:rsidTr="00691ABD">
        <w:trPr>
          <w:trHeight w:val="120"/>
        </w:trPr>
        <w:tc>
          <w:tcPr>
            <w:tcW w:w="3828" w:type="dxa"/>
            <w:tcBorders>
              <w:top w:val="nil"/>
              <w:left w:val="single" w:sz="4" w:space="0" w:color="auto"/>
              <w:bottom w:val="single" w:sz="4" w:space="0" w:color="auto"/>
              <w:right w:val="single" w:sz="4" w:space="0" w:color="auto"/>
            </w:tcBorders>
            <w:shd w:val="clear" w:color="auto" w:fill="auto"/>
            <w:noWrap/>
            <w:hideMark/>
          </w:tcPr>
          <w:p w14:paraId="30EC84A9" w14:textId="77777777" w:rsidR="00A325C8" w:rsidRPr="00691ABD" w:rsidRDefault="00A325C8" w:rsidP="001E39EE">
            <w:pPr>
              <w:jc w:val="left"/>
              <w:rPr>
                <w:sz w:val="20"/>
                <w:szCs w:val="20"/>
                <w:lang w:val="fr-CA" w:eastAsia="en-CA"/>
              </w:rPr>
            </w:pPr>
            <w:r>
              <w:rPr>
                <w:sz w:val="20"/>
                <w:szCs w:val="20"/>
                <w:lang w:val="fr-CA" w:eastAsia="en-CA"/>
              </w:rPr>
              <w:t>Nioué</w:t>
            </w:r>
          </w:p>
        </w:tc>
        <w:tc>
          <w:tcPr>
            <w:tcW w:w="1295" w:type="dxa"/>
            <w:tcBorders>
              <w:top w:val="nil"/>
              <w:left w:val="nil"/>
              <w:bottom w:val="single" w:sz="4" w:space="0" w:color="auto"/>
              <w:right w:val="single" w:sz="4" w:space="0" w:color="auto"/>
            </w:tcBorders>
            <w:shd w:val="clear" w:color="auto" w:fill="auto"/>
            <w:noWrap/>
            <w:hideMark/>
          </w:tcPr>
          <w:p w14:paraId="7CAA04C2"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21857D9D" w14:textId="77777777" w:rsidR="00A325C8" w:rsidRPr="00691ABD" w:rsidRDefault="00A325C8" w:rsidP="001E39EE">
            <w:pPr>
              <w:jc w:val="right"/>
              <w:rPr>
                <w:sz w:val="20"/>
                <w:szCs w:val="20"/>
                <w:lang w:val="fr-CA" w:eastAsia="en-CA"/>
              </w:rPr>
            </w:pPr>
            <w:r w:rsidRPr="00691ABD">
              <w:rPr>
                <w:sz w:val="20"/>
                <w:szCs w:val="20"/>
                <w:lang w:val="fr-CA" w:eastAsia="en-CA"/>
              </w:rPr>
              <w:t>114</w:t>
            </w:r>
            <w:r>
              <w:rPr>
                <w:sz w:val="20"/>
                <w:szCs w:val="20"/>
                <w:lang w:val="fr-CA" w:eastAsia="en-CA"/>
              </w:rPr>
              <w:t xml:space="preserve"> </w:t>
            </w:r>
            <w:r w:rsidRPr="00691ABD">
              <w:rPr>
                <w:sz w:val="20"/>
                <w:szCs w:val="20"/>
                <w:lang w:val="fr-CA" w:eastAsia="en-CA"/>
              </w:rPr>
              <w:t>200</w:t>
            </w:r>
          </w:p>
        </w:tc>
        <w:tc>
          <w:tcPr>
            <w:tcW w:w="1276" w:type="dxa"/>
            <w:tcBorders>
              <w:top w:val="nil"/>
              <w:left w:val="nil"/>
              <w:bottom w:val="single" w:sz="4" w:space="0" w:color="auto"/>
              <w:right w:val="single" w:sz="4" w:space="0" w:color="auto"/>
            </w:tcBorders>
            <w:shd w:val="clear" w:color="auto" w:fill="auto"/>
            <w:noWrap/>
            <w:hideMark/>
          </w:tcPr>
          <w:p w14:paraId="1930C2AF" w14:textId="77777777" w:rsidR="00A325C8" w:rsidRPr="00691ABD" w:rsidRDefault="00A325C8" w:rsidP="001E39EE">
            <w:pPr>
              <w:jc w:val="right"/>
              <w:rPr>
                <w:sz w:val="20"/>
                <w:szCs w:val="20"/>
                <w:lang w:val="fr-CA" w:eastAsia="en-CA"/>
              </w:rPr>
            </w:pPr>
            <w:r w:rsidRPr="00691ABD">
              <w:rPr>
                <w:sz w:val="20"/>
                <w:szCs w:val="20"/>
                <w:lang w:val="fr-CA" w:eastAsia="en-CA"/>
              </w:rPr>
              <w:t>57</w:t>
            </w:r>
            <w:r>
              <w:rPr>
                <w:sz w:val="20"/>
                <w:szCs w:val="20"/>
                <w:lang w:val="fr-CA" w:eastAsia="en-CA"/>
              </w:rPr>
              <w:t xml:space="preserve"> </w:t>
            </w:r>
            <w:r w:rsidRPr="00691ABD">
              <w:rPr>
                <w:sz w:val="20"/>
                <w:szCs w:val="20"/>
                <w:lang w:val="fr-CA" w:eastAsia="en-CA"/>
              </w:rPr>
              <w:t>225</w:t>
            </w:r>
          </w:p>
        </w:tc>
        <w:tc>
          <w:tcPr>
            <w:tcW w:w="1250" w:type="dxa"/>
            <w:tcBorders>
              <w:top w:val="nil"/>
              <w:left w:val="nil"/>
              <w:bottom w:val="single" w:sz="4" w:space="0" w:color="auto"/>
              <w:right w:val="single" w:sz="4" w:space="0" w:color="auto"/>
            </w:tcBorders>
            <w:shd w:val="clear" w:color="auto" w:fill="auto"/>
            <w:noWrap/>
            <w:hideMark/>
          </w:tcPr>
          <w:p w14:paraId="7EA97475" w14:textId="77777777" w:rsidR="00A325C8" w:rsidRPr="00691ABD" w:rsidRDefault="00A325C8" w:rsidP="001E39EE">
            <w:pPr>
              <w:jc w:val="right"/>
              <w:rPr>
                <w:sz w:val="20"/>
                <w:szCs w:val="20"/>
                <w:lang w:val="fr-CA" w:eastAsia="en-CA"/>
              </w:rPr>
            </w:pPr>
            <w:r w:rsidRPr="00691ABD">
              <w:rPr>
                <w:sz w:val="20"/>
                <w:szCs w:val="20"/>
                <w:lang w:val="fr-CA" w:eastAsia="en-CA"/>
              </w:rPr>
              <w:t>56</w:t>
            </w:r>
            <w:r>
              <w:rPr>
                <w:sz w:val="20"/>
                <w:szCs w:val="20"/>
                <w:lang w:val="fr-CA" w:eastAsia="en-CA"/>
              </w:rPr>
              <w:t xml:space="preserve"> </w:t>
            </w:r>
            <w:r w:rsidRPr="00691ABD">
              <w:rPr>
                <w:sz w:val="20"/>
                <w:szCs w:val="20"/>
                <w:lang w:val="fr-CA" w:eastAsia="en-CA"/>
              </w:rPr>
              <w:t>975</w:t>
            </w:r>
          </w:p>
        </w:tc>
        <w:tc>
          <w:tcPr>
            <w:tcW w:w="1050" w:type="dxa"/>
            <w:tcBorders>
              <w:top w:val="nil"/>
              <w:left w:val="nil"/>
              <w:bottom w:val="single" w:sz="4" w:space="0" w:color="auto"/>
              <w:right w:val="single" w:sz="4" w:space="0" w:color="auto"/>
            </w:tcBorders>
            <w:shd w:val="clear" w:color="auto" w:fill="auto"/>
            <w:noWrap/>
            <w:hideMark/>
          </w:tcPr>
          <w:p w14:paraId="45E5B83F" w14:textId="77777777" w:rsidR="00A325C8" w:rsidRPr="00691ABD" w:rsidRDefault="00A325C8" w:rsidP="001E39EE">
            <w:pPr>
              <w:jc w:val="right"/>
              <w:rPr>
                <w:sz w:val="20"/>
                <w:szCs w:val="20"/>
                <w:lang w:val="fr-CA" w:eastAsia="en-CA"/>
              </w:rPr>
            </w:pPr>
            <w:r w:rsidRPr="00691ABD">
              <w:rPr>
                <w:sz w:val="20"/>
                <w:szCs w:val="20"/>
                <w:lang w:val="fr-CA" w:eastAsia="en-CA"/>
              </w:rPr>
              <w:t>50</w:t>
            </w:r>
          </w:p>
        </w:tc>
      </w:tr>
      <w:tr w:rsidR="00A325C8" w:rsidRPr="00691ABD" w14:paraId="0E0AAA98"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2145B06" w14:textId="77777777" w:rsidR="00A325C8" w:rsidRPr="00691ABD" w:rsidRDefault="00A325C8" w:rsidP="001E39EE">
            <w:pPr>
              <w:jc w:val="left"/>
              <w:rPr>
                <w:sz w:val="20"/>
                <w:szCs w:val="20"/>
                <w:lang w:val="fr-CA" w:eastAsia="en-CA"/>
              </w:rPr>
            </w:pPr>
            <w:r w:rsidRPr="00691ABD">
              <w:rPr>
                <w:sz w:val="20"/>
                <w:szCs w:val="20"/>
                <w:lang w:val="fr-CA" w:eastAsia="en-CA"/>
              </w:rPr>
              <w:t>Oman</w:t>
            </w:r>
          </w:p>
        </w:tc>
        <w:tc>
          <w:tcPr>
            <w:tcW w:w="1295" w:type="dxa"/>
            <w:tcBorders>
              <w:top w:val="nil"/>
              <w:left w:val="nil"/>
              <w:bottom w:val="single" w:sz="4" w:space="0" w:color="auto"/>
              <w:right w:val="single" w:sz="4" w:space="0" w:color="auto"/>
            </w:tcBorders>
            <w:shd w:val="clear" w:color="auto" w:fill="auto"/>
            <w:noWrap/>
            <w:hideMark/>
          </w:tcPr>
          <w:p w14:paraId="61F4AC40" w14:textId="77777777" w:rsidR="00A325C8" w:rsidRPr="00691ABD" w:rsidRDefault="00A325C8" w:rsidP="001E39EE">
            <w:pPr>
              <w:jc w:val="right"/>
              <w:rPr>
                <w:sz w:val="20"/>
                <w:szCs w:val="20"/>
                <w:lang w:val="fr-CA" w:eastAsia="en-CA"/>
              </w:rPr>
            </w:pPr>
            <w:r w:rsidRPr="00691ABD">
              <w:rPr>
                <w:sz w:val="20"/>
                <w:szCs w:val="20"/>
                <w:lang w:val="fr-CA" w:eastAsia="en-CA"/>
              </w:rPr>
              <w:t>10</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02810080" w14:textId="77777777" w:rsidR="00A325C8" w:rsidRPr="00691ABD" w:rsidRDefault="00A325C8" w:rsidP="001E39EE">
            <w:pPr>
              <w:jc w:val="right"/>
              <w:rPr>
                <w:sz w:val="20"/>
                <w:szCs w:val="20"/>
                <w:lang w:val="fr-CA" w:eastAsia="en-CA"/>
              </w:rPr>
            </w:pPr>
            <w:r w:rsidRPr="00691ABD">
              <w:rPr>
                <w:sz w:val="20"/>
                <w:szCs w:val="20"/>
                <w:lang w:val="fr-CA" w:eastAsia="en-CA"/>
              </w:rPr>
              <w:t>905</w:t>
            </w:r>
            <w:r>
              <w:rPr>
                <w:sz w:val="20"/>
                <w:szCs w:val="20"/>
                <w:lang w:val="fr-CA" w:eastAsia="en-CA"/>
              </w:rPr>
              <w:t xml:space="preserve"> </w:t>
            </w:r>
            <w:r w:rsidRPr="00691ABD">
              <w:rPr>
                <w:sz w:val="20"/>
                <w:szCs w:val="20"/>
                <w:lang w:val="fr-CA" w:eastAsia="en-CA"/>
              </w:rPr>
              <w:t>831</w:t>
            </w:r>
          </w:p>
        </w:tc>
        <w:tc>
          <w:tcPr>
            <w:tcW w:w="1276" w:type="dxa"/>
            <w:tcBorders>
              <w:top w:val="nil"/>
              <w:left w:val="nil"/>
              <w:bottom w:val="single" w:sz="4" w:space="0" w:color="auto"/>
              <w:right w:val="single" w:sz="4" w:space="0" w:color="auto"/>
            </w:tcBorders>
            <w:shd w:val="clear" w:color="auto" w:fill="auto"/>
            <w:noWrap/>
            <w:hideMark/>
          </w:tcPr>
          <w:p w14:paraId="29FCF289" w14:textId="77777777" w:rsidR="00A325C8" w:rsidRPr="00691ABD" w:rsidRDefault="00A325C8" w:rsidP="001E39EE">
            <w:pPr>
              <w:jc w:val="right"/>
              <w:rPr>
                <w:sz w:val="20"/>
                <w:szCs w:val="20"/>
                <w:lang w:val="fr-CA" w:eastAsia="en-CA"/>
              </w:rPr>
            </w:pPr>
            <w:r w:rsidRPr="00691ABD">
              <w:rPr>
                <w:sz w:val="20"/>
                <w:szCs w:val="20"/>
                <w:lang w:val="fr-CA" w:eastAsia="en-CA"/>
              </w:rPr>
              <w:t>698</w:t>
            </w:r>
            <w:r>
              <w:rPr>
                <w:sz w:val="20"/>
                <w:szCs w:val="20"/>
                <w:lang w:val="fr-CA" w:eastAsia="en-CA"/>
              </w:rPr>
              <w:t xml:space="preserve"> </w:t>
            </w:r>
            <w:r w:rsidRPr="00691ABD">
              <w:rPr>
                <w:sz w:val="20"/>
                <w:szCs w:val="20"/>
                <w:lang w:val="fr-CA" w:eastAsia="en-CA"/>
              </w:rPr>
              <w:t>208</w:t>
            </w:r>
          </w:p>
        </w:tc>
        <w:tc>
          <w:tcPr>
            <w:tcW w:w="1250" w:type="dxa"/>
            <w:tcBorders>
              <w:top w:val="nil"/>
              <w:left w:val="nil"/>
              <w:bottom w:val="single" w:sz="4" w:space="0" w:color="auto"/>
              <w:right w:val="single" w:sz="4" w:space="0" w:color="auto"/>
            </w:tcBorders>
            <w:shd w:val="clear" w:color="auto" w:fill="auto"/>
            <w:noWrap/>
            <w:hideMark/>
          </w:tcPr>
          <w:p w14:paraId="67F148E9" w14:textId="77777777" w:rsidR="00A325C8" w:rsidRPr="00691ABD" w:rsidRDefault="00A325C8" w:rsidP="001E39EE">
            <w:pPr>
              <w:jc w:val="right"/>
              <w:rPr>
                <w:sz w:val="20"/>
                <w:szCs w:val="20"/>
                <w:lang w:val="fr-CA" w:eastAsia="en-CA"/>
              </w:rPr>
            </w:pPr>
            <w:r w:rsidRPr="00691ABD">
              <w:rPr>
                <w:sz w:val="20"/>
                <w:szCs w:val="20"/>
                <w:lang w:val="fr-CA" w:eastAsia="en-CA"/>
              </w:rPr>
              <w:t>207</w:t>
            </w:r>
            <w:r>
              <w:rPr>
                <w:sz w:val="20"/>
                <w:szCs w:val="20"/>
                <w:lang w:val="fr-CA" w:eastAsia="en-CA"/>
              </w:rPr>
              <w:t xml:space="preserve"> </w:t>
            </w:r>
            <w:r w:rsidRPr="00691ABD">
              <w:rPr>
                <w:sz w:val="20"/>
                <w:szCs w:val="20"/>
                <w:lang w:val="fr-CA" w:eastAsia="en-CA"/>
              </w:rPr>
              <w:t>623</w:t>
            </w:r>
          </w:p>
        </w:tc>
        <w:tc>
          <w:tcPr>
            <w:tcW w:w="1050" w:type="dxa"/>
            <w:tcBorders>
              <w:top w:val="nil"/>
              <w:left w:val="nil"/>
              <w:bottom w:val="single" w:sz="4" w:space="0" w:color="auto"/>
              <w:right w:val="single" w:sz="4" w:space="0" w:color="auto"/>
            </w:tcBorders>
            <w:shd w:val="clear" w:color="auto" w:fill="auto"/>
            <w:noWrap/>
            <w:hideMark/>
          </w:tcPr>
          <w:p w14:paraId="2E870D01" w14:textId="77777777" w:rsidR="00A325C8" w:rsidRPr="00691ABD" w:rsidRDefault="00A325C8" w:rsidP="001E39EE">
            <w:pPr>
              <w:jc w:val="right"/>
              <w:rPr>
                <w:sz w:val="20"/>
                <w:szCs w:val="20"/>
                <w:lang w:val="fr-CA" w:eastAsia="en-CA"/>
              </w:rPr>
            </w:pPr>
            <w:r w:rsidRPr="00691ABD">
              <w:rPr>
                <w:sz w:val="20"/>
                <w:szCs w:val="20"/>
                <w:lang w:val="fr-CA" w:eastAsia="en-CA"/>
              </w:rPr>
              <w:t>77</w:t>
            </w:r>
          </w:p>
        </w:tc>
      </w:tr>
      <w:tr w:rsidR="00A325C8" w:rsidRPr="00691ABD" w14:paraId="145402DF"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A3F4AC8" w14:textId="77777777" w:rsidR="00A325C8" w:rsidRPr="00691ABD" w:rsidRDefault="00A325C8" w:rsidP="001E39EE">
            <w:pPr>
              <w:jc w:val="left"/>
              <w:rPr>
                <w:sz w:val="20"/>
                <w:szCs w:val="20"/>
                <w:lang w:val="fr-CA" w:eastAsia="en-CA"/>
              </w:rPr>
            </w:pPr>
            <w:r>
              <w:rPr>
                <w:sz w:val="20"/>
                <w:szCs w:val="20"/>
                <w:lang w:val="fr-CA" w:eastAsia="en-CA"/>
              </w:rPr>
              <w:t>Ou</w:t>
            </w:r>
            <w:r w:rsidRPr="00691ABD">
              <w:rPr>
                <w:sz w:val="20"/>
                <w:szCs w:val="20"/>
                <w:lang w:val="fr-CA" w:eastAsia="en-CA"/>
              </w:rPr>
              <w:t>ganda</w:t>
            </w:r>
          </w:p>
        </w:tc>
        <w:tc>
          <w:tcPr>
            <w:tcW w:w="1295" w:type="dxa"/>
            <w:tcBorders>
              <w:top w:val="nil"/>
              <w:left w:val="nil"/>
              <w:bottom w:val="single" w:sz="4" w:space="0" w:color="auto"/>
              <w:right w:val="single" w:sz="4" w:space="0" w:color="auto"/>
            </w:tcBorders>
            <w:shd w:val="clear" w:color="auto" w:fill="auto"/>
            <w:noWrap/>
            <w:hideMark/>
          </w:tcPr>
          <w:p w14:paraId="7924B205"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0FCE6214" w14:textId="77777777" w:rsidR="00A325C8" w:rsidRPr="00691ABD" w:rsidRDefault="00A325C8" w:rsidP="001E39EE">
            <w:pPr>
              <w:jc w:val="right"/>
              <w:rPr>
                <w:sz w:val="20"/>
                <w:szCs w:val="20"/>
                <w:lang w:val="fr-CA" w:eastAsia="en-CA"/>
              </w:rPr>
            </w:pPr>
            <w:r w:rsidRPr="00691ABD">
              <w:rPr>
                <w:sz w:val="20"/>
                <w:szCs w:val="20"/>
                <w:lang w:val="fr-CA" w:eastAsia="en-CA"/>
              </w:rPr>
              <w:t>287</w:t>
            </w:r>
            <w:r>
              <w:rPr>
                <w:sz w:val="20"/>
                <w:szCs w:val="20"/>
                <w:lang w:val="fr-CA" w:eastAsia="en-CA"/>
              </w:rPr>
              <w:t xml:space="preserve"> </w:t>
            </w:r>
            <w:r w:rsidRPr="00691ABD">
              <w:rPr>
                <w:sz w:val="20"/>
                <w:szCs w:val="20"/>
                <w:lang w:val="fr-CA" w:eastAsia="en-CA"/>
              </w:rPr>
              <w:t>375</w:t>
            </w:r>
          </w:p>
        </w:tc>
        <w:tc>
          <w:tcPr>
            <w:tcW w:w="1276" w:type="dxa"/>
            <w:tcBorders>
              <w:top w:val="nil"/>
              <w:left w:val="nil"/>
              <w:bottom w:val="single" w:sz="4" w:space="0" w:color="auto"/>
              <w:right w:val="single" w:sz="4" w:space="0" w:color="auto"/>
            </w:tcBorders>
            <w:shd w:val="clear" w:color="auto" w:fill="auto"/>
            <w:noWrap/>
            <w:hideMark/>
          </w:tcPr>
          <w:p w14:paraId="7B956145" w14:textId="77777777" w:rsidR="00A325C8" w:rsidRPr="00691ABD" w:rsidRDefault="00A325C8" w:rsidP="001E39EE">
            <w:pPr>
              <w:jc w:val="right"/>
              <w:rPr>
                <w:sz w:val="20"/>
                <w:szCs w:val="20"/>
                <w:lang w:val="fr-CA" w:eastAsia="en-CA"/>
              </w:rPr>
            </w:pPr>
            <w:r w:rsidRPr="00691ABD">
              <w:rPr>
                <w:sz w:val="20"/>
                <w:szCs w:val="20"/>
                <w:lang w:val="fr-CA" w:eastAsia="en-CA"/>
              </w:rPr>
              <w:t>140</w:t>
            </w:r>
            <w:r>
              <w:rPr>
                <w:sz w:val="20"/>
                <w:szCs w:val="20"/>
                <w:lang w:val="fr-CA" w:eastAsia="en-CA"/>
              </w:rPr>
              <w:t xml:space="preserve"> </w:t>
            </w:r>
            <w:r w:rsidRPr="00691ABD">
              <w:rPr>
                <w:sz w:val="20"/>
                <w:szCs w:val="20"/>
                <w:lang w:val="fr-CA" w:eastAsia="en-CA"/>
              </w:rPr>
              <w:t>375</w:t>
            </w:r>
          </w:p>
        </w:tc>
        <w:tc>
          <w:tcPr>
            <w:tcW w:w="1250" w:type="dxa"/>
            <w:tcBorders>
              <w:top w:val="nil"/>
              <w:left w:val="nil"/>
              <w:bottom w:val="single" w:sz="4" w:space="0" w:color="auto"/>
              <w:right w:val="single" w:sz="4" w:space="0" w:color="auto"/>
            </w:tcBorders>
            <w:shd w:val="clear" w:color="auto" w:fill="auto"/>
            <w:noWrap/>
            <w:hideMark/>
          </w:tcPr>
          <w:p w14:paraId="2CC18343" w14:textId="77777777" w:rsidR="00A325C8" w:rsidRPr="00691ABD" w:rsidRDefault="00A325C8" w:rsidP="001E39EE">
            <w:pPr>
              <w:jc w:val="right"/>
              <w:rPr>
                <w:sz w:val="20"/>
                <w:szCs w:val="20"/>
                <w:lang w:val="fr-CA" w:eastAsia="en-CA"/>
              </w:rPr>
            </w:pPr>
            <w:r w:rsidRPr="00691ABD">
              <w:rPr>
                <w:sz w:val="20"/>
                <w:szCs w:val="20"/>
                <w:lang w:val="fr-CA" w:eastAsia="en-CA"/>
              </w:rPr>
              <w:t>147</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16D56A19" w14:textId="77777777" w:rsidR="00A325C8" w:rsidRPr="00691ABD" w:rsidRDefault="00A325C8" w:rsidP="001E39EE">
            <w:pPr>
              <w:jc w:val="right"/>
              <w:rPr>
                <w:sz w:val="20"/>
                <w:szCs w:val="20"/>
                <w:lang w:val="fr-CA" w:eastAsia="en-CA"/>
              </w:rPr>
            </w:pPr>
            <w:r w:rsidRPr="00691ABD">
              <w:rPr>
                <w:sz w:val="20"/>
                <w:szCs w:val="20"/>
                <w:lang w:val="fr-CA" w:eastAsia="en-CA"/>
              </w:rPr>
              <w:t>49</w:t>
            </w:r>
          </w:p>
        </w:tc>
      </w:tr>
      <w:tr w:rsidR="00A325C8" w:rsidRPr="00691ABD" w14:paraId="1C7D6274"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5FEEAEB" w14:textId="77777777" w:rsidR="00A325C8" w:rsidRPr="00691ABD" w:rsidRDefault="00A325C8" w:rsidP="001E39EE">
            <w:pPr>
              <w:jc w:val="left"/>
              <w:rPr>
                <w:sz w:val="20"/>
                <w:szCs w:val="20"/>
                <w:lang w:val="fr-CA" w:eastAsia="en-CA"/>
              </w:rPr>
            </w:pPr>
            <w:r w:rsidRPr="00691ABD">
              <w:rPr>
                <w:sz w:val="20"/>
                <w:szCs w:val="20"/>
                <w:lang w:val="fr-CA" w:eastAsia="en-CA"/>
              </w:rPr>
              <w:t>Pakistan</w:t>
            </w:r>
          </w:p>
        </w:tc>
        <w:tc>
          <w:tcPr>
            <w:tcW w:w="1295" w:type="dxa"/>
            <w:tcBorders>
              <w:top w:val="nil"/>
              <w:left w:val="nil"/>
              <w:bottom w:val="single" w:sz="4" w:space="0" w:color="auto"/>
              <w:right w:val="single" w:sz="4" w:space="0" w:color="auto"/>
            </w:tcBorders>
            <w:shd w:val="clear" w:color="auto" w:fill="auto"/>
            <w:noWrap/>
            <w:hideMark/>
          </w:tcPr>
          <w:p w14:paraId="4F872544" w14:textId="77777777" w:rsidR="00A325C8" w:rsidRPr="00691ABD" w:rsidRDefault="00A325C8" w:rsidP="001E39EE">
            <w:pPr>
              <w:jc w:val="right"/>
              <w:rPr>
                <w:sz w:val="20"/>
                <w:szCs w:val="20"/>
                <w:lang w:val="fr-CA" w:eastAsia="en-CA"/>
              </w:rPr>
            </w:pPr>
            <w:r w:rsidRPr="00691ABD">
              <w:rPr>
                <w:sz w:val="20"/>
                <w:szCs w:val="20"/>
                <w:lang w:val="fr-CA" w:eastAsia="en-CA"/>
              </w:rPr>
              <w:t>150</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0EAD9120" w14:textId="77777777" w:rsidR="00A325C8" w:rsidRPr="00691ABD" w:rsidRDefault="00A325C8" w:rsidP="001E39EE">
            <w:pPr>
              <w:jc w:val="right"/>
              <w:rPr>
                <w:sz w:val="20"/>
                <w:szCs w:val="20"/>
                <w:lang w:val="fr-CA" w:eastAsia="en-CA"/>
              </w:rPr>
            </w:pPr>
            <w:r w:rsidRPr="00691ABD">
              <w:rPr>
                <w:sz w:val="20"/>
                <w:szCs w:val="20"/>
                <w:lang w:val="fr-CA" w:eastAsia="en-CA"/>
              </w:rPr>
              <w:t>10</w:t>
            </w:r>
            <w:r>
              <w:rPr>
                <w:sz w:val="20"/>
                <w:szCs w:val="20"/>
                <w:lang w:val="fr-CA" w:eastAsia="en-CA"/>
              </w:rPr>
              <w:t xml:space="preserve"> </w:t>
            </w:r>
            <w:r w:rsidRPr="00691ABD">
              <w:rPr>
                <w:sz w:val="20"/>
                <w:szCs w:val="20"/>
                <w:lang w:val="fr-CA" w:eastAsia="en-CA"/>
              </w:rPr>
              <w:t>792</w:t>
            </w:r>
            <w:r>
              <w:rPr>
                <w:sz w:val="20"/>
                <w:szCs w:val="20"/>
                <w:lang w:val="fr-CA" w:eastAsia="en-CA"/>
              </w:rPr>
              <w:t xml:space="preserve"> </w:t>
            </w:r>
            <w:r w:rsidRPr="00691ABD">
              <w:rPr>
                <w:sz w:val="20"/>
                <w:szCs w:val="20"/>
                <w:lang w:val="fr-CA" w:eastAsia="en-CA"/>
              </w:rPr>
              <w:t>366</w:t>
            </w:r>
          </w:p>
        </w:tc>
        <w:tc>
          <w:tcPr>
            <w:tcW w:w="1276" w:type="dxa"/>
            <w:tcBorders>
              <w:top w:val="nil"/>
              <w:left w:val="nil"/>
              <w:bottom w:val="single" w:sz="4" w:space="0" w:color="auto"/>
              <w:right w:val="single" w:sz="4" w:space="0" w:color="auto"/>
            </w:tcBorders>
            <w:shd w:val="clear" w:color="auto" w:fill="auto"/>
            <w:noWrap/>
            <w:hideMark/>
          </w:tcPr>
          <w:p w14:paraId="33A52FEC" w14:textId="77777777" w:rsidR="00A325C8" w:rsidRPr="00691ABD" w:rsidRDefault="00A325C8" w:rsidP="001E39EE">
            <w:pPr>
              <w:jc w:val="right"/>
              <w:rPr>
                <w:sz w:val="20"/>
                <w:szCs w:val="20"/>
                <w:lang w:val="fr-CA" w:eastAsia="en-CA"/>
              </w:rPr>
            </w:pPr>
            <w:r w:rsidRPr="00691ABD">
              <w:rPr>
                <w:sz w:val="20"/>
                <w:szCs w:val="20"/>
                <w:lang w:val="fr-CA" w:eastAsia="en-CA"/>
              </w:rPr>
              <w:t>6</w:t>
            </w:r>
            <w:r>
              <w:rPr>
                <w:sz w:val="20"/>
                <w:szCs w:val="20"/>
                <w:lang w:val="fr-CA" w:eastAsia="en-CA"/>
              </w:rPr>
              <w:t xml:space="preserve"> </w:t>
            </w:r>
            <w:r w:rsidRPr="00691ABD">
              <w:rPr>
                <w:sz w:val="20"/>
                <w:szCs w:val="20"/>
                <w:lang w:val="fr-CA" w:eastAsia="en-CA"/>
              </w:rPr>
              <w:t>419</w:t>
            </w:r>
            <w:r>
              <w:rPr>
                <w:sz w:val="20"/>
                <w:szCs w:val="20"/>
                <w:lang w:val="fr-CA" w:eastAsia="en-CA"/>
              </w:rPr>
              <w:t xml:space="preserve"> </w:t>
            </w:r>
            <w:r w:rsidRPr="00691ABD">
              <w:rPr>
                <w:sz w:val="20"/>
                <w:szCs w:val="20"/>
                <w:lang w:val="fr-CA" w:eastAsia="en-CA"/>
              </w:rPr>
              <w:t>574</w:t>
            </w:r>
          </w:p>
        </w:tc>
        <w:tc>
          <w:tcPr>
            <w:tcW w:w="1250" w:type="dxa"/>
            <w:tcBorders>
              <w:top w:val="nil"/>
              <w:left w:val="nil"/>
              <w:bottom w:val="single" w:sz="4" w:space="0" w:color="auto"/>
              <w:right w:val="single" w:sz="4" w:space="0" w:color="auto"/>
            </w:tcBorders>
            <w:shd w:val="clear" w:color="auto" w:fill="auto"/>
            <w:noWrap/>
            <w:hideMark/>
          </w:tcPr>
          <w:p w14:paraId="632C4C85" w14:textId="77777777" w:rsidR="00A325C8" w:rsidRPr="00691ABD" w:rsidRDefault="00A325C8" w:rsidP="001E39EE">
            <w:pPr>
              <w:jc w:val="right"/>
              <w:rPr>
                <w:sz w:val="20"/>
                <w:szCs w:val="20"/>
                <w:lang w:val="fr-CA" w:eastAsia="en-CA"/>
              </w:rPr>
            </w:pPr>
            <w:r w:rsidRPr="00691ABD">
              <w:rPr>
                <w:sz w:val="20"/>
                <w:szCs w:val="20"/>
                <w:lang w:val="fr-CA" w:eastAsia="en-CA"/>
              </w:rPr>
              <w:t>4</w:t>
            </w:r>
            <w:r>
              <w:rPr>
                <w:sz w:val="20"/>
                <w:szCs w:val="20"/>
                <w:lang w:val="fr-CA" w:eastAsia="en-CA"/>
              </w:rPr>
              <w:t xml:space="preserve"> </w:t>
            </w:r>
            <w:r w:rsidRPr="00691ABD">
              <w:rPr>
                <w:sz w:val="20"/>
                <w:szCs w:val="20"/>
                <w:lang w:val="fr-CA" w:eastAsia="en-CA"/>
              </w:rPr>
              <w:t>372</w:t>
            </w:r>
            <w:r>
              <w:rPr>
                <w:sz w:val="20"/>
                <w:szCs w:val="20"/>
                <w:lang w:val="fr-CA" w:eastAsia="en-CA"/>
              </w:rPr>
              <w:t xml:space="preserve"> </w:t>
            </w:r>
            <w:r w:rsidRPr="00691ABD">
              <w:rPr>
                <w:sz w:val="20"/>
                <w:szCs w:val="20"/>
                <w:lang w:val="fr-CA" w:eastAsia="en-CA"/>
              </w:rPr>
              <w:t>792</w:t>
            </w:r>
          </w:p>
        </w:tc>
        <w:tc>
          <w:tcPr>
            <w:tcW w:w="1050" w:type="dxa"/>
            <w:tcBorders>
              <w:top w:val="nil"/>
              <w:left w:val="nil"/>
              <w:bottom w:val="single" w:sz="4" w:space="0" w:color="auto"/>
              <w:right w:val="single" w:sz="4" w:space="0" w:color="auto"/>
            </w:tcBorders>
            <w:shd w:val="clear" w:color="auto" w:fill="auto"/>
            <w:noWrap/>
            <w:hideMark/>
          </w:tcPr>
          <w:p w14:paraId="358077B6" w14:textId="77777777" w:rsidR="00A325C8" w:rsidRPr="00691ABD" w:rsidRDefault="00A325C8" w:rsidP="001E39EE">
            <w:pPr>
              <w:jc w:val="right"/>
              <w:rPr>
                <w:sz w:val="20"/>
                <w:szCs w:val="20"/>
                <w:lang w:val="fr-CA" w:eastAsia="en-CA"/>
              </w:rPr>
            </w:pPr>
            <w:r w:rsidRPr="00691ABD">
              <w:rPr>
                <w:sz w:val="20"/>
                <w:szCs w:val="20"/>
                <w:lang w:val="fr-CA" w:eastAsia="en-CA"/>
              </w:rPr>
              <w:t>59</w:t>
            </w:r>
          </w:p>
        </w:tc>
      </w:tr>
      <w:tr w:rsidR="00A325C8" w:rsidRPr="00691ABD" w14:paraId="68E9CAD0"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136ADBF" w14:textId="77777777" w:rsidR="00A325C8" w:rsidRPr="00691ABD" w:rsidRDefault="00A325C8" w:rsidP="001E39EE">
            <w:pPr>
              <w:jc w:val="left"/>
              <w:rPr>
                <w:sz w:val="20"/>
                <w:szCs w:val="20"/>
                <w:lang w:val="fr-CA" w:eastAsia="en-CA"/>
              </w:rPr>
            </w:pPr>
            <w:r w:rsidRPr="00691ABD">
              <w:rPr>
                <w:sz w:val="20"/>
                <w:szCs w:val="20"/>
                <w:lang w:val="fr-CA" w:eastAsia="en-CA"/>
              </w:rPr>
              <w:lastRenderedPageBreak/>
              <w:t>Palau</w:t>
            </w:r>
          </w:p>
        </w:tc>
        <w:tc>
          <w:tcPr>
            <w:tcW w:w="1295" w:type="dxa"/>
            <w:tcBorders>
              <w:top w:val="nil"/>
              <w:left w:val="nil"/>
              <w:bottom w:val="single" w:sz="4" w:space="0" w:color="auto"/>
              <w:right w:val="single" w:sz="4" w:space="0" w:color="auto"/>
            </w:tcBorders>
            <w:shd w:val="clear" w:color="auto" w:fill="auto"/>
            <w:noWrap/>
            <w:hideMark/>
          </w:tcPr>
          <w:p w14:paraId="79B4354D"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2</w:t>
            </w:r>
          </w:p>
        </w:tc>
        <w:tc>
          <w:tcPr>
            <w:tcW w:w="1275" w:type="dxa"/>
            <w:tcBorders>
              <w:top w:val="nil"/>
              <w:left w:val="nil"/>
              <w:bottom w:val="single" w:sz="4" w:space="0" w:color="auto"/>
              <w:right w:val="single" w:sz="4" w:space="0" w:color="auto"/>
            </w:tcBorders>
            <w:shd w:val="clear" w:color="auto" w:fill="auto"/>
            <w:noWrap/>
            <w:hideMark/>
          </w:tcPr>
          <w:p w14:paraId="116DBEAA" w14:textId="77777777" w:rsidR="00A325C8" w:rsidRPr="00691ABD" w:rsidRDefault="00A325C8" w:rsidP="001E39EE">
            <w:pPr>
              <w:jc w:val="right"/>
              <w:rPr>
                <w:sz w:val="20"/>
                <w:szCs w:val="20"/>
                <w:lang w:val="fr-CA" w:eastAsia="en-CA"/>
              </w:rPr>
            </w:pPr>
            <w:r w:rsidRPr="00691ABD">
              <w:rPr>
                <w:sz w:val="20"/>
                <w:szCs w:val="20"/>
                <w:lang w:val="fr-CA" w:eastAsia="en-CA"/>
              </w:rPr>
              <w:t>303</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3A38449E" w14:textId="77777777" w:rsidR="00A325C8" w:rsidRPr="00691ABD" w:rsidRDefault="00A325C8" w:rsidP="001E39EE">
            <w:pPr>
              <w:jc w:val="right"/>
              <w:rPr>
                <w:sz w:val="20"/>
                <w:szCs w:val="20"/>
                <w:lang w:val="fr-CA" w:eastAsia="en-CA"/>
              </w:rPr>
            </w:pPr>
            <w:r w:rsidRPr="00691ABD">
              <w:rPr>
                <w:sz w:val="20"/>
                <w:szCs w:val="20"/>
                <w:lang w:val="fr-CA" w:eastAsia="en-CA"/>
              </w:rPr>
              <w:t>103</w:t>
            </w:r>
            <w:r>
              <w:rPr>
                <w:sz w:val="20"/>
                <w:szCs w:val="20"/>
                <w:lang w:val="fr-CA" w:eastAsia="en-CA"/>
              </w:rPr>
              <w:t xml:space="preserve"> </w:t>
            </w:r>
            <w:r w:rsidRPr="00691ABD">
              <w:rPr>
                <w:sz w:val="20"/>
                <w:szCs w:val="20"/>
                <w:lang w:val="fr-CA" w:eastAsia="en-CA"/>
              </w:rPr>
              <w:t>000</w:t>
            </w:r>
          </w:p>
        </w:tc>
        <w:tc>
          <w:tcPr>
            <w:tcW w:w="1250" w:type="dxa"/>
            <w:tcBorders>
              <w:top w:val="nil"/>
              <w:left w:val="nil"/>
              <w:bottom w:val="single" w:sz="4" w:space="0" w:color="auto"/>
              <w:right w:val="single" w:sz="4" w:space="0" w:color="auto"/>
            </w:tcBorders>
            <w:shd w:val="clear" w:color="auto" w:fill="auto"/>
            <w:noWrap/>
            <w:hideMark/>
          </w:tcPr>
          <w:p w14:paraId="1BAD3878" w14:textId="77777777" w:rsidR="00A325C8" w:rsidRPr="00691ABD" w:rsidRDefault="00A325C8" w:rsidP="001E39EE">
            <w:pPr>
              <w:jc w:val="right"/>
              <w:rPr>
                <w:sz w:val="20"/>
                <w:szCs w:val="20"/>
                <w:lang w:val="fr-CA" w:eastAsia="en-CA"/>
              </w:rPr>
            </w:pPr>
            <w:r w:rsidRPr="00691ABD">
              <w:rPr>
                <w:sz w:val="20"/>
                <w:szCs w:val="20"/>
                <w:lang w:val="fr-CA" w:eastAsia="en-CA"/>
              </w:rPr>
              <w:t>200</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5F5C099E" w14:textId="77777777" w:rsidR="00A325C8" w:rsidRPr="00691ABD" w:rsidRDefault="00A325C8" w:rsidP="001E39EE">
            <w:pPr>
              <w:jc w:val="right"/>
              <w:rPr>
                <w:sz w:val="20"/>
                <w:szCs w:val="20"/>
                <w:lang w:val="fr-CA" w:eastAsia="en-CA"/>
              </w:rPr>
            </w:pPr>
            <w:r w:rsidRPr="00691ABD">
              <w:rPr>
                <w:sz w:val="20"/>
                <w:szCs w:val="20"/>
                <w:lang w:val="fr-CA" w:eastAsia="en-CA"/>
              </w:rPr>
              <w:t>34</w:t>
            </w:r>
          </w:p>
        </w:tc>
      </w:tr>
      <w:tr w:rsidR="00A325C8" w:rsidRPr="00691ABD" w14:paraId="56496E8A"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C167449" w14:textId="77777777" w:rsidR="00A325C8" w:rsidRPr="00691ABD" w:rsidRDefault="00A325C8" w:rsidP="001E39EE">
            <w:pPr>
              <w:jc w:val="left"/>
              <w:rPr>
                <w:sz w:val="20"/>
                <w:szCs w:val="20"/>
                <w:lang w:val="fr-CA" w:eastAsia="en-CA"/>
              </w:rPr>
            </w:pPr>
            <w:r w:rsidRPr="00691ABD">
              <w:rPr>
                <w:sz w:val="20"/>
                <w:szCs w:val="20"/>
                <w:lang w:val="fr-CA" w:eastAsia="en-CA"/>
              </w:rPr>
              <w:t>Panama</w:t>
            </w:r>
          </w:p>
        </w:tc>
        <w:tc>
          <w:tcPr>
            <w:tcW w:w="1295" w:type="dxa"/>
            <w:tcBorders>
              <w:top w:val="nil"/>
              <w:left w:val="nil"/>
              <w:bottom w:val="single" w:sz="4" w:space="0" w:color="auto"/>
              <w:right w:val="single" w:sz="4" w:space="0" w:color="auto"/>
            </w:tcBorders>
            <w:shd w:val="clear" w:color="auto" w:fill="auto"/>
            <w:noWrap/>
            <w:hideMark/>
          </w:tcPr>
          <w:p w14:paraId="347815D9" w14:textId="77777777" w:rsidR="00A325C8" w:rsidRPr="00691ABD" w:rsidRDefault="00A325C8" w:rsidP="001E39EE">
            <w:pPr>
              <w:jc w:val="right"/>
              <w:rPr>
                <w:sz w:val="20"/>
                <w:szCs w:val="20"/>
                <w:lang w:val="fr-CA" w:eastAsia="en-CA"/>
              </w:rPr>
            </w:pPr>
            <w:r w:rsidRPr="00691ABD">
              <w:rPr>
                <w:sz w:val="20"/>
                <w:szCs w:val="20"/>
                <w:lang w:val="fr-CA" w:eastAsia="en-CA"/>
              </w:rPr>
              <w:t>11</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7DEAED16"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264</w:t>
            </w:r>
            <w:r>
              <w:rPr>
                <w:sz w:val="20"/>
                <w:szCs w:val="20"/>
                <w:lang w:val="fr-CA" w:eastAsia="en-CA"/>
              </w:rPr>
              <w:t xml:space="preserve"> </w:t>
            </w:r>
            <w:r w:rsidRPr="00691ABD">
              <w:rPr>
                <w:sz w:val="20"/>
                <w:szCs w:val="20"/>
                <w:lang w:val="fr-CA" w:eastAsia="en-CA"/>
              </w:rPr>
              <w:t>695</w:t>
            </w:r>
          </w:p>
        </w:tc>
        <w:tc>
          <w:tcPr>
            <w:tcW w:w="1276" w:type="dxa"/>
            <w:tcBorders>
              <w:top w:val="nil"/>
              <w:left w:val="nil"/>
              <w:bottom w:val="single" w:sz="4" w:space="0" w:color="auto"/>
              <w:right w:val="single" w:sz="4" w:space="0" w:color="auto"/>
            </w:tcBorders>
            <w:shd w:val="clear" w:color="auto" w:fill="auto"/>
            <w:noWrap/>
            <w:hideMark/>
          </w:tcPr>
          <w:p w14:paraId="38965B3B" w14:textId="77777777" w:rsidR="00A325C8" w:rsidRPr="00691ABD" w:rsidRDefault="00A325C8" w:rsidP="001E39EE">
            <w:pPr>
              <w:jc w:val="right"/>
              <w:rPr>
                <w:sz w:val="20"/>
                <w:szCs w:val="20"/>
                <w:lang w:val="fr-CA" w:eastAsia="en-CA"/>
              </w:rPr>
            </w:pPr>
            <w:r w:rsidRPr="00691ABD">
              <w:rPr>
                <w:sz w:val="20"/>
                <w:szCs w:val="20"/>
                <w:lang w:val="fr-CA" w:eastAsia="en-CA"/>
              </w:rPr>
              <w:t>660</w:t>
            </w:r>
            <w:r>
              <w:rPr>
                <w:sz w:val="20"/>
                <w:szCs w:val="20"/>
                <w:lang w:val="fr-CA" w:eastAsia="en-CA"/>
              </w:rPr>
              <w:t xml:space="preserve"> </w:t>
            </w:r>
            <w:r w:rsidRPr="00691ABD">
              <w:rPr>
                <w:sz w:val="20"/>
                <w:szCs w:val="20"/>
                <w:lang w:val="fr-CA" w:eastAsia="en-CA"/>
              </w:rPr>
              <w:t>310</w:t>
            </w:r>
          </w:p>
        </w:tc>
        <w:tc>
          <w:tcPr>
            <w:tcW w:w="1250" w:type="dxa"/>
            <w:tcBorders>
              <w:top w:val="nil"/>
              <w:left w:val="nil"/>
              <w:bottom w:val="single" w:sz="4" w:space="0" w:color="auto"/>
              <w:right w:val="single" w:sz="4" w:space="0" w:color="auto"/>
            </w:tcBorders>
            <w:shd w:val="clear" w:color="auto" w:fill="auto"/>
            <w:noWrap/>
            <w:hideMark/>
          </w:tcPr>
          <w:p w14:paraId="7B36B22F" w14:textId="77777777" w:rsidR="00A325C8" w:rsidRPr="00691ABD" w:rsidRDefault="00A325C8" w:rsidP="001E39EE">
            <w:pPr>
              <w:jc w:val="right"/>
              <w:rPr>
                <w:sz w:val="20"/>
                <w:szCs w:val="20"/>
                <w:lang w:val="fr-CA" w:eastAsia="en-CA"/>
              </w:rPr>
            </w:pPr>
            <w:r w:rsidRPr="00691ABD">
              <w:rPr>
                <w:sz w:val="20"/>
                <w:szCs w:val="20"/>
                <w:lang w:val="fr-CA" w:eastAsia="en-CA"/>
              </w:rPr>
              <w:t>604</w:t>
            </w:r>
            <w:r>
              <w:rPr>
                <w:sz w:val="20"/>
                <w:szCs w:val="20"/>
                <w:lang w:val="fr-CA" w:eastAsia="en-CA"/>
              </w:rPr>
              <w:t xml:space="preserve"> </w:t>
            </w:r>
            <w:r w:rsidRPr="00691ABD">
              <w:rPr>
                <w:sz w:val="20"/>
                <w:szCs w:val="20"/>
                <w:lang w:val="fr-CA" w:eastAsia="en-CA"/>
              </w:rPr>
              <w:t>385</w:t>
            </w:r>
          </w:p>
        </w:tc>
        <w:tc>
          <w:tcPr>
            <w:tcW w:w="1050" w:type="dxa"/>
            <w:tcBorders>
              <w:top w:val="nil"/>
              <w:left w:val="nil"/>
              <w:bottom w:val="single" w:sz="4" w:space="0" w:color="auto"/>
              <w:right w:val="single" w:sz="4" w:space="0" w:color="auto"/>
            </w:tcBorders>
            <w:shd w:val="clear" w:color="auto" w:fill="auto"/>
            <w:noWrap/>
            <w:hideMark/>
          </w:tcPr>
          <w:p w14:paraId="7C5EA769" w14:textId="77777777" w:rsidR="00A325C8" w:rsidRPr="00691ABD" w:rsidRDefault="00A325C8" w:rsidP="001E39EE">
            <w:pPr>
              <w:jc w:val="right"/>
              <w:rPr>
                <w:sz w:val="20"/>
                <w:szCs w:val="20"/>
                <w:lang w:val="fr-CA" w:eastAsia="en-CA"/>
              </w:rPr>
            </w:pPr>
            <w:r w:rsidRPr="00691ABD">
              <w:rPr>
                <w:sz w:val="20"/>
                <w:szCs w:val="20"/>
                <w:lang w:val="fr-CA" w:eastAsia="en-CA"/>
              </w:rPr>
              <w:t>52</w:t>
            </w:r>
          </w:p>
        </w:tc>
      </w:tr>
      <w:tr w:rsidR="00A325C8" w:rsidRPr="00691ABD" w14:paraId="269C07AF" w14:textId="77777777" w:rsidTr="00691ABD">
        <w:trPr>
          <w:trHeight w:val="99"/>
        </w:trPr>
        <w:tc>
          <w:tcPr>
            <w:tcW w:w="3828" w:type="dxa"/>
            <w:tcBorders>
              <w:top w:val="nil"/>
              <w:left w:val="single" w:sz="4" w:space="0" w:color="auto"/>
              <w:bottom w:val="single" w:sz="4" w:space="0" w:color="auto"/>
              <w:right w:val="single" w:sz="4" w:space="0" w:color="auto"/>
            </w:tcBorders>
            <w:shd w:val="clear" w:color="auto" w:fill="auto"/>
            <w:noWrap/>
            <w:hideMark/>
          </w:tcPr>
          <w:p w14:paraId="5A2286AA" w14:textId="77777777" w:rsidR="00A325C8" w:rsidRPr="00691ABD" w:rsidRDefault="00A325C8" w:rsidP="001E39EE">
            <w:pPr>
              <w:jc w:val="left"/>
              <w:rPr>
                <w:sz w:val="20"/>
                <w:szCs w:val="20"/>
                <w:lang w:val="fr-CA" w:eastAsia="en-CA"/>
              </w:rPr>
            </w:pPr>
            <w:r>
              <w:rPr>
                <w:sz w:val="20"/>
                <w:szCs w:val="20"/>
                <w:lang w:val="fr-CA" w:eastAsia="en-CA"/>
              </w:rPr>
              <w:t>Papouasie-Nouvelle-Guinée</w:t>
            </w:r>
          </w:p>
        </w:tc>
        <w:tc>
          <w:tcPr>
            <w:tcW w:w="1295" w:type="dxa"/>
            <w:tcBorders>
              <w:top w:val="nil"/>
              <w:left w:val="nil"/>
              <w:bottom w:val="single" w:sz="4" w:space="0" w:color="auto"/>
              <w:right w:val="single" w:sz="4" w:space="0" w:color="auto"/>
            </w:tcBorders>
            <w:shd w:val="clear" w:color="auto" w:fill="auto"/>
            <w:noWrap/>
            <w:hideMark/>
          </w:tcPr>
          <w:p w14:paraId="7994FC20"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639945B1" w14:textId="77777777" w:rsidR="00A325C8" w:rsidRPr="00691ABD" w:rsidRDefault="00A325C8" w:rsidP="001E39EE">
            <w:pPr>
              <w:jc w:val="right"/>
              <w:rPr>
                <w:sz w:val="20"/>
                <w:szCs w:val="20"/>
                <w:lang w:val="fr-CA" w:eastAsia="en-CA"/>
              </w:rPr>
            </w:pPr>
            <w:r w:rsidRPr="00691ABD">
              <w:rPr>
                <w:sz w:val="20"/>
                <w:szCs w:val="20"/>
                <w:lang w:val="fr-CA" w:eastAsia="en-CA"/>
              </w:rPr>
              <w:t>991</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0A139110" w14:textId="77777777" w:rsidR="00A325C8" w:rsidRPr="00691ABD" w:rsidRDefault="00A325C8" w:rsidP="001E39EE">
            <w:pPr>
              <w:jc w:val="right"/>
              <w:rPr>
                <w:sz w:val="20"/>
                <w:szCs w:val="20"/>
                <w:lang w:val="fr-CA" w:eastAsia="en-CA"/>
              </w:rPr>
            </w:pPr>
            <w:r w:rsidRPr="00691ABD">
              <w:rPr>
                <w:sz w:val="20"/>
                <w:szCs w:val="20"/>
                <w:lang w:val="fr-CA" w:eastAsia="en-CA"/>
              </w:rPr>
              <w:t>760</w:t>
            </w:r>
            <w:r>
              <w:rPr>
                <w:sz w:val="20"/>
                <w:szCs w:val="20"/>
                <w:lang w:val="fr-CA" w:eastAsia="en-CA"/>
              </w:rPr>
              <w:t xml:space="preserve"> </w:t>
            </w:r>
            <w:r w:rsidRPr="00691ABD">
              <w:rPr>
                <w:sz w:val="20"/>
                <w:szCs w:val="20"/>
                <w:lang w:val="fr-CA" w:eastAsia="en-CA"/>
              </w:rPr>
              <w:t>956</w:t>
            </w:r>
          </w:p>
        </w:tc>
        <w:tc>
          <w:tcPr>
            <w:tcW w:w="1250" w:type="dxa"/>
            <w:tcBorders>
              <w:top w:val="nil"/>
              <w:left w:val="nil"/>
              <w:bottom w:val="single" w:sz="4" w:space="0" w:color="auto"/>
              <w:right w:val="single" w:sz="4" w:space="0" w:color="auto"/>
            </w:tcBorders>
            <w:shd w:val="clear" w:color="auto" w:fill="auto"/>
            <w:noWrap/>
            <w:hideMark/>
          </w:tcPr>
          <w:p w14:paraId="2BB0CCA9" w14:textId="77777777" w:rsidR="00A325C8" w:rsidRPr="00691ABD" w:rsidRDefault="00A325C8" w:rsidP="001E39EE">
            <w:pPr>
              <w:jc w:val="right"/>
              <w:rPr>
                <w:sz w:val="20"/>
                <w:szCs w:val="20"/>
                <w:lang w:val="fr-CA" w:eastAsia="en-CA"/>
              </w:rPr>
            </w:pPr>
            <w:r w:rsidRPr="00691ABD">
              <w:rPr>
                <w:sz w:val="20"/>
                <w:szCs w:val="20"/>
                <w:lang w:val="fr-CA" w:eastAsia="en-CA"/>
              </w:rPr>
              <w:t>230</w:t>
            </w:r>
            <w:r>
              <w:rPr>
                <w:sz w:val="20"/>
                <w:szCs w:val="20"/>
                <w:lang w:val="fr-CA" w:eastAsia="en-CA"/>
              </w:rPr>
              <w:t xml:space="preserve"> </w:t>
            </w:r>
            <w:r w:rsidRPr="00691ABD">
              <w:rPr>
                <w:sz w:val="20"/>
                <w:szCs w:val="20"/>
                <w:lang w:val="fr-CA" w:eastAsia="en-CA"/>
              </w:rPr>
              <w:t>044</w:t>
            </w:r>
          </w:p>
        </w:tc>
        <w:tc>
          <w:tcPr>
            <w:tcW w:w="1050" w:type="dxa"/>
            <w:tcBorders>
              <w:top w:val="nil"/>
              <w:left w:val="nil"/>
              <w:bottom w:val="single" w:sz="4" w:space="0" w:color="auto"/>
              <w:right w:val="single" w:sz="4" w:space="0" w:color="auto"/>
            </w:tcBorders>
            <w:shd w:val="clear" w:color="auto" w:fill="auto"/>
            <w:noWrap/>
            <w:hideMark/>
          </w:tcPr>
          <w:p w14:paraId="38A82B90" w14:textId="77777777" w:rsidR="00A325C8" w:rsidRPr="00691ABD" w:rsidRDefault="00A325C8" w:rsidP="001E39EE">
            <w:pPr>
              <w:jc w:val="right"/>
              <w:rPr>
                <w:sz w:val="20"/>
                <w:szCs w:val="20"/>
                <w:lang w:val="fr-CA" w:eastAsia="en-CA"/>
              </w:rPr>
            </w:pPr>
            <w:r w:rsidRPr="00691ABD">
              <w:rPr>
                <w:sz w:val="20"/>
                <w:szCs w:val="20"/>
                <w:lang w:val="fr-CA" w:eastAsia="en-CA"/>
              </w:rPr>
              <w:t>77</w:t>
            </w:r>
          </w:p>
        </w:tc>
      </w:tr>
      <w:tr w:rsidR="00A325C8" w:rsidRPr="00691ABD" w14:paraId="1B260B2A"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ADF8C48" w14:textId="77777777" w:rsidR="00A325C8" w:rsidRPr="00691ABD" w:rsidRDefault="00A325C8" w:rsidP="001E39EE">
            <w:pPr>
              <w:jc w:val="left"/>
              <w:rPr>
                <w:sz w:val="20"/>
                <w:szCs w:val="20"/>
                <w:lang w:val="fr-CA" w:eastAsia="en-CA"/>
              </w:rPr>
            </w:pPr>
            <w:r w:rsidRPr="00691ABD">
              <w:rPr>
                <w:sz w:val="20"/>
                <w:szCs w:val="20"/>
                <w:lang w:val="fr-CA" w:eastAsia="en-CA"/>
              </w:rPr>
              <w:t>Paraguay</w:t>
            </w:r>
          </w:p>
        </w:tc>
        <w:tc>
          <w:tcPr>
            <w:tcW w:w="1295" w:type="dxa"/>
            <w:tcBorders>
              <w:top w:val="nil"/>
              <w:left w:val="nil"/>
              <w:bottom w:val="single" w:sz="4" w:space="0" w:color="auto"/>
              <w:right w:val="single" w:sz="4" w:space="0" w:color="auto"/>
            </w:tcBorders>
            <w:shd w:val="clear" w:color="auto" w:fill="auto"/>
            <w:noWrap/>
            <w:hideMark/>
          </w:tcPr>
          <w:p w14:paraId="7D157979" w14:textId="77777777" w:rsidR="00A325C8" w:rsidRPr="00691ABD" w:rsidRDefault="00A325C8" w:rsidP="001E39EE">
            <w:pPr>
              <w:jc w:val="right"/>
              <w:rPr>
                <w:sz w:val="20"/>
                <w:szCs w:val="20"/>
                <w:lang w:val="fr-CA" w:eastAsia="en-CA"/>
              </w:rPr>
            </w:pPr>
            <w:r w:rsidRPr="00691ABD">
              <w:rPr>
                <w:sz w:val="20"/>
                <w:szCs w:val="20"/>
                <w:lang w:val="fr-CA" w:eastAsia="en-CA"/>
              </w:rPr>
              <w:t>6</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3BE2168F" w14:textId="77777777" w:rsidR="00A325C8" w:rsidRPr="00691ABD" w:rsidRDefault="00A325C8" w:rsidP="001E39EE">
            <w:pPr>
              <w:jc w:val="right"/>
              <w:rPr>
                <w:sz w:val="20"/>
                <w:szCs w:val="20"/>
                <w:lang w:val="fr-CA" w:eastAsia="en-CA"/>
              </w:rPr>
            </w:pPr>
            <w:r w:rsidRPr="00691ABD">
              <w:rPr>
                <w:sz w:val="20"/>
                <w:szCs w:val="20"/>
                <w:lang w:val="fr-CA" w:eastAsia="en-CA"/>
              </w:rPr>
              <w:t>630</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6B8852AC" w14:textId="77777777" w:rsidR="00A325C8" w:rsidRPr="00691ABD" w:rsidRDefault="00A325C8" w:rsidP="001E39EE">
            <w:pPr>
              <w:jc w:val="right"/>
              <w:rPr>
                <w:sz w:val="20"/>
                <w:szCs w:val="20"/>
                <w:lang w:val="fr-CA" w:eastAsia="en-CA"/>
              </w:rPr>
            </w:pPr>
            <w:r w:rsidRPr="00691ABD">
              <w:rPr>
                <w:sz w:val="20"/>
                <w:szCs w:val="20"/>
                <w:lang w:val="fr-CA" w:eastAsia="en-CA"/>
              </w:rPr>
              <w:t>525</w:t>
            </w:r>
            <w:r>
              <w:rPr>
                <w:sz w:val="20"/>
                <w:szCs w:val="20"/>
                <w:lang w:val="fr-CA" w:eastAsia="en-CA"/>
              </w:rPr>
              <w:t xml:space="preserve"> </w:t>
            </w:r>
            <w:r w:rsidRPr="00691ABD">
              <w:rPr>
                <w:sz w:val="20"/>
                <w:szCs w:val="20"/>
                <w:lang w:val="fr-CA" w:eastAsia="en-CA"/>
              </w:rPr>
              <w:t>386</w:t>
            </w:r>
          </w:p>
        </w:tc>
        <w:tc>
          <w:tcPr>
            <w:tcW w:w="1250" w:type="dxa"/>
            <w:tcBorders>
              <w:top w:val="nil"/>
              <w:left w:val="nil"/>
              <w:bottom w:val="single" w:sz="4" w:space="0" w:color="auto"/>
              <w:right w:val="single" w:sz="4" w:space="0" w:color="auto"/>
            </w:tcBorders>
            <w:shd w:val="clear" w:color="auto" w:fill="auto"/>
            <w:noWrap/>
            <w:hideMark/>
          </w:tcPr>
          <w:p w14:paraId="67D891CF" w14:textId="77777777" w:rsidR="00A325C8" w:rsidRPr="00691ABD" w:rsidRDefault="00A325C8" w:rsidP="001E39EE">
            <w:pPr>
              <w:jc w:val="right"/>
              <w:rPr>
                <w:sz w:val="20"/>
                <w:szCs w:val="20"/>
                <w:lang w:val="fr-CA" w:eastAsia="en-CA"/>
              </w:rPr>
            </w:pPr>
            <w:r w:rsidRPr="00691ABD">
              <w:rPr>
                <w:sz w:val="20"/>
                <w:szCs w:val="20"/>
                <w:lang w:val="fr-CA" w:eastAsia="en-CA"/>
              </w:rPr>
              <w:t>104</w:t>
            </w:r>
            <w:r>
              <w:rPr>
                <w:sz w:val="20"/>
                <w:szCs w:val="20"/>
                <w:lang w:val="fr-CA" w:eastAsia="en-CA"/>
              </w:rPr>
              <w:t xml:space="preserve"> </w:t>
            </w:r>
            <w:r w:rsidRPr="00691ABD">
              <w:rPr>
                <w:sz w:val="20"/>
                <w:szCs w:val="20"/>
                <w:lang w:val="fr-CA" w:eastAsia="en-CA"/>
              </w:rPr>
              <w:t>614</w:t>
            </w:r>
          </w:p>
        </w:tc>
        <w:tc>
          <w:tcPr>
            <w:tcW w:w="1050" w:type="dxa"/>
            <w:tcBorders>
              <w:top w:val="nil"/>
              <w:left w:val="nil"/>
              <w:bottom w:val="single" w:sz="4" w:space="0" w:color="auto"/>
              <w:right w:val="single" w:sz="4" w:space="0" w:color="auto"/>
            </w:tcBorders>
            <w:shd w:val="clear" w:color="auto" w:fill="auto"/>
            <w:noWrap/>
            <w:hideMark/>
          </w:tcPr>
          <w:p w14:paraId="7A5E9FD1" w14:textId="77777777" w:rsidR="00A325C8" w:rsidRPr="00691ABD" w:rsidRDefault="00A325C8" w:rsidP="001E39EE">
            <w:pPr>
              <w:jc w:val="right"/>
              <w:rPr>
                <w:sz w:val="20"/>
                <w:szCs w:val="20"/>
                <w:lang w:val="fr-CA" w:eastAsia="en-CA"/>
              </w:rPr>
            </w:pPr>
            <w:r w:rsidRPr="00691ABD">
              <w:rPr>
                <w:sz w:val="20"/>
                <w:szCs w:val="20"/>
                <w:lang w:val="fr-CA" w:eastAsia="en-CA"/>
              </w:rPr>
              <w:t>83</w:t>
            </w:r>
          </w:p>
        </w:tc>
      </w:tr>
      <w:tr w:rsidR="00A325C8" w:rsidRPr="00691ABD" w14:paraId="251CA186"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D871603" w14:textId="77777777" w:rsidR="00A325C8" w:rsidRPr="00691ABD" w:rsidRDefault="00A325C8" w:rsidP="001E39EE">
            <w:pPr>
              <w:jc w:val="left"/>
              <w:rPr>
                <w:sz w:val="20"/>
                <w:szCs w:val="20"/>
                <w:lang w:val="fr-CA" w:eastAsia="en-CA"/>
              </w:rPr>
            </w:pPr>
            <w:r>
              <w:rPr>
                <w:sz w:val="20"/>
                <w:szCs w:val="20"/>
                <w:lang w:val="fr-CA" w:eastAsia="en-CA"/>
              </w:rPr>
              <w:t>Pérou</w:t>
            </w:r>
          </w:p>
        </w:tc>
        <w:tc>
          <w:tcPr>
            <w:tcW w:w="1295" w:type="dxa"/>
            <w:tcBorders>
              <w:top w:val="nil"/>
              <w:left w:val="nil"/>
              <w:bottom w:val="single" w:sz="4" w:space="0" w:color="auto"/>
              <w:right w:val="single" w:sz="4" w:space="0" w:color="auto"/>
            </w:tcBorders>
            <w:shd w:val="clear" w:color="auto" w:fill="auto"/>
            <w:noWrap/>
            <w:hideMark/>
          </w:tcPr>
          <w:p w14:paraId="62643D11" w14:textId="77777777" w:rsidR="00A325C8" w:rsidRPr="00691ABD" w:rsidRDefault="00A325C8" w:rsidP="001E39EE">
            <w:pPr>
              <w:jc w:val="right"/>
              <w:rPr>
                <w:sz w:val="20"/>
                <w:szCs w:val="20"/>
                <w:lang w:val="fr-CA" w:eastAsia="en-CA"/>
              </w:rPr>
            </w:pPr>
            <w:r w:rsidRPr="00691ABD">
              <w:rPr>
                <w:sz w:val="20"/>
                <w:szCs w:val="20"/>
                <w:lang w:val="fr-CA" w:eastAsia="en-CA"/>
              </w:rPr>
              <w:t>9</w:t>
            </w:r>
            <w:r>
              <w:rPr>
                <w:sz w:val="20"/>
                <w:szCs w:val="20"/>
                <w:lang w:val="fr-CA" w:eastAsia="en-CA"/>
              </w:rPr>
              <w:t>,</w:t>
            </w:r>
            <w:r w:rsidRPr="00691ABD">
              <w:rPr>
                <w:sz w:val="20"/>
                <w:szCs w:val="20"/>
                <w:lang w:val="fr-CA" w:eastAsia="en-CA"/>
              </w:rPr>
              <w:t>5</w:t>
            </w:r>
          </w:p>
        </w:tc>
        <w:tc>
          <w:tcPr>
            <w:tcW w:w="1275" w:type="dxa"/>
            <w:tcBorders>
              <w:top w:val="nil"/>
              <w:left w:val="nil"/>
              <w:bottom w:val="single" w:sz="4" w:space="0" w:color="auto"/>
              <w:right w:val="single" w:sz="4" w:space="0" w:color="auto"/>
            </w:tcBorders>
            <w:shd w:val="clear" w:color="auto" w:fill="auto"/>
            <w:noWrap/>
            <w:hideMark/>
          </w:tcPr>
          <w:p w14:paraId="3A87960F" w14:textId="77777777" w:rsidR="00A325C8" w:rsidRPr="00691ABD" w:rsidRDefault="00A325C8" w:rsidP="001E39EE">
            <w:pPr>
              <w:jc w:val="right"/>
              <w:rPr>
                <w:sz w:val="20"/>
                <w:szCs w:val="20"/>
                <w:lang w:val="fr-CA" w:eastAsia="en-CA"/>
              </w:rPr>
            </w:pPr>
            <w:r w:rsidRPr="00691ABD">
              <w:rPr>
                <w:sz w:val="20"/>
                <w:szCs w:val="20"/>
                <w:lang w:val="fr-CA" w:eastAsia="en-CA"/>
              </w:rPr>
              <w:t>967</w:t>
            </w:r>
            <w:r>
              <w:rPr>
                <w:sz w:val="20"/>
                <w:szCs w:val="20"/>
                <w:lang w:val="fr-CA" w:eastAsia="en-CA"/>
              </w:rPr>
              <w:t xml:space="preserve"> </w:t>
            </w:r>
            <w:r w:rsidRPr="00691ABD">
              <w:rPr>
                <w:sz w:val="20"/>
                <w:szCs w:val="20"/>
                <w:lang w:val="fr-CA" w:eastAsia="en-CA"/>
              </w:rPr>
              <w:t>497</w:t>
            </w:r>
          </w:p>
        </w:tc>
        <w:tc>
          <w:tcPr>
            <w:tcW w:w="1276" w:type="dxa"/>
            <w:tcBorders>
              <w:top w:val="nil"/>
              <w:left w:val="nil"/>
              <w:bottom w:val="single" w:sz="4" w:space="0" w:color="auto"/>
              <w:right w:val="single" w:sz="4" w:space="0" w:color="auto"/>
            </w:tcBorders>
            <w:shd w:val="clear" w:color="auto" w:fill="auto"/>
            <w:noWrap/>
            <w:hideMark/>
          </w:tcPr>
          <w:p w14:paraId="7E9491F7" w14:textId="77777777" w:rsidR="00A325C8" w:rsidRPr="00691ABD" w:rsidRDefault="00A325C8" w:rsidP="001E39EE">
            <w:pPr>
              <w:jc w:val="right"/>
              <w:rPr>
                <w:sz w:val="20"/>
                <w:szCs w:val="20"/>
                <w:lang w:val="fr-CA" w:eastAsia="en-CA"/>
              </w:rPr>
            </w:pPr>
            <w:r w:rsidRPr="00691ABD">
              <w:rPr>
                <w:sz w:val="20"/>
                <w:szCs w:val="20"/>
                <w:lang w:val="fr-CA" w:eastAsia="en-CA"/>
              </w:rPr>
              <w:t>627</w:t>
            </w:r>
            <w:r>
              <w:rPr>
                <w:sz w:val="20"/>
                <w:szCs w:val="20"/>
                <w:lang w:val="fr-CA" w:eastAsia="en-CA"/>
              </w:rPr>
              <w:t xml:space="preserve"> </w:t>
            </w:r>
            <w:r w:rsidRPr="00691ABD">
              <w:rPr>
                <w:sz w:val="20"/>
                <w:szCs w:val="20"/>
                <w:lang w:val="fr-CA" w:eastAsia="en-CA"/>
              </w:rPr>
              <w:t>189</w:t>
            </w:r>
          </w:p>
        </w:tc>
        <w:tc>
          <w:tcPr>
            <w:tcW w:w="1250" w:type="dxa"/>
            <w:tcBorders>
              <w:top w:val="nil"/>
              <w:left w:val="nil"/>
              <w:bottom w:val="single" w:sz="4" w:space="0" w:color="auto"/>
              <w:right w:val="single" w:sz="4" w:space="0" w:color="auto"/>
            </w:tcBorders>
            <w:shd w:val="clear" w:color="auto" w:fill="auto"/>
            <w:noWrap/>
            <w:hideMark/>
          </w:tcPr>
          <w:p w14:paraId="24B0ACBD" w14:textId="77777777" w:rsidR="00A325C8" w:rsidRPr="00691ABD" w:rsidRDefault="00A325C8" w:rsidP="001E39EE">
            <w:pPr>
              <w:jc w:val="right"/>
              <w:rPr>
                <w:sz w:val="20"/>
                <w:szCs w:val="20"/>
                <w:lang w:val="fr-CA" w:eastAsia="en-CA"/>
              </w:rPr>
            </w:pPr>
            <w:r w:rsidRPr="00691ABD">
              <w:rPr>
                <w:sz w:val="20"/>
                <w:szCs w:val="20"/>
                <w:lang w:val="fr-CA" w:eastAsia="en-CA"/>
              </w:rPr>
              <w:t>340</w:t>
            </w:r>
            <w:r>
              <w:rPr>
                <w:sz w:val="20"/>
                <w:szCs w:val="20"/>
                <w:lang w:val="fr-CA" w:eastAsia="en-CA"/>
              </w:rPr>
              <w:t xml:space="preserve"> </w:t>
            </w:r>
            <w:r w:rsidRPr="00691ABD">
              <w:rPr>
                <w:sz w:val="20"/>
                <w:szCs w:val="20"/>
                <w:lang w:val="fr-CA" w:eastAsia="en-CA"/>
              </w:rPr>
              <w:t>308</w:t>
            </w:r>
          </w:p>
        </w:tc>
        <w:tc>
          <w:tcPr>
            <w:tcW w:w="1050" w:type="dxa"/>
            <w:tcBorders>
              <w:top w:val="nil"/>
              <w:left w:val="nil"/>
              <w:bottom w:val="single" w:sz="4" w:space="0" w:color="auto"/>
              <w:right w:val="single" w:sz="4" w:space="0" w:color="auto"/>
            </w:tcBorders>
            <w:shd w:val="clear" w:color="auto" w:fill="auto"/>
            <w:noWrap/>
            <w:hideMark/>
          </w:tcPr>
          <w:p w14:paraId="28DF99D1" w14:textId="77777777" w:rsidR="00A325C8" w:rsidRPr="00691ABD" w:rsidRDefault="00A325C8" w:rsidP="001E39EE">
            <w:pPr>
              <w:jc w:val="right"/>
              <w:rPr>
                <w:sz w:val="20"/>
                <w:szCs w:val="20"/>
                <w:lang w:val="fr-CA" w:eastAsia="en-CA"/>
              </w:rPr>
            </w:pPr>
            <w:r w:rsidRPr="00691ABD">
              <w:rPr>
                <w:sz w:val="20"/>
                <w:szCs w:val="20"/>
                <w:lang w:val="fr-CA" w:eastAsia="en-CA"/>
              </w:rPr>
              <w:t>65</w:t>
            </w:r>
          </w:p>
        </w:tc>
      </w:tr>
      <w:tr w:rsidR="00A325C8" w:rsidRPr="00691ABD" w14:paraId="463FCC8D" w14:textId="77777777" w:rsidTr="00691ABD">
        <w:trPr>
          <w:trHeight w:val="81"/>
        </w:trPr>
        <w:tc>
          <w:tcPr>
            <w:tcW w:w="3828" w:type="dxa"/>
            <w:tcBorders>
              <w:top w:val="nil"/>
              <w:left w:val="single" w:sz="4" w:space="0" w:color="auto"/>
              <w:bottom w:val="single" w:sz="4" w:space="0" w:color="auto"/>
              <w:right w:val="single" w:sz="4" w:space="0" w:color="auto"/>
            </w:tcBorders>
            <w:shd w:val="clear" w:color="auto" w:fill="auto"/>
            <w:noWrap/>
            <w:hideMark/>
          </w:tcPr>
          <w:p w14:paraId="566D46CE" w14:textId="77777777" w:rsidR="00A325C8" w:rsidRPr="00691ABD" w:rsidRDefault="00A325C8" w:rsidP="008028B2">
            <w:pPr>
              <w:jc w:val="left"/>
              <w:rPr>
                <w:sz w:val="20"/>
                <w:szCs w:val="20"/>
                <w:lang w:val="fr-CA" w:eastAsia="en-CA"/>
              </w:rPr>
            </w:pPr>
            <w:r>
              <w:rPr>
                <w:sz w:val="20"/>
                <w:szCs w:val="20"/>
                <w:lang w:val="fr-CA" w:eastAsia="en-CA"/>
              </w:rPr>
              <w:t xml:space="preserve">Philippines </w:t>
            </w:r>
          </w:p>
        </w:tc>
        <w:tc>
          <w:tcPr>
            <w:tcW w:w="1295" w:type="dxa"/>
            <w:tcBorders>
              <w:top w:val="nil"/>
              <w:left w:val="nil"/>
              <w:bottom w:val="single" w:sz="4" w:space="0" w:color="auto"/>
              <w:right w:val="single" w:sz="4" w:space="0" w:color="auto"/>
            </w:tcBorders>
            <w:shd w:val="clear" w:color="auto" w:fill="auto"/>
            <w:noWrap/>
            <w:hideMark/>
          </w:tcPr>
          <w:p w14:paraId="39421E5C" w14:textId="77777777" w:rsidR="00A325C8" w:rsidRPr="00691ABD" w:rsidRDefault="00A325C8" w:rsidP="001E39EE">
            <w:pPr>
              <w:jc w:val="right"/>
              <w:rPr>
                <w:sz w:val="20"/>
                <w:szCs w:val="20"/>
                <w:lang w:val="fr-CA" w:eastAsia="en-CA"/>
              </w:rPr>
            </w:pPr>
            <w:r w:rsidRPr="00691ABD">
              <w:rPr>
                <w:sz w:val="20"/>
                <w:szCs w:val="20"/>
                <w:lang w:val="fr-CA" w:eastAsia="en-CA"/>
              </w:rPr>
              <w:t>40</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38937AE0"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 xml:space="preserve"> </w:t>
            </w:r>
            <w:r w:rsidRPr="00691ABD">
              <w:rPr>
                <w:sz w:val="20"/>
                <w:szCs w:val="20"/>
                <w:lang w:val="fr-CA" w:eastAsia="en-CA"/>
              </w:rPr>
              <w:t>628</w:t>
            </w:r>
            <w:r>
              <w:rPr>
                <w:sz w:val="20"/>
                <w:szCs w:val="20"/>
                <w:lang w:val="fr-CA" w:eastAsia="en-CA"/>
              </w:rPr>
              <w:t xml:space="preserve"> </w:t>
            </w:r>
            <w:r w:rsidRPr="00691ABD">
              <w:rPr>
                <w:sz w:val="20"/>
                <w:szCs w:val="20"/>
                <w:lang w:val="fr-CA" w:eastAsia="en-CA"/>
              </w:rPr>
              <w:t>365</w:t>
            </w:r>
          </w:p>
        </w:tc>
        <w:tc>
          <w:tcPr>
            <w:tcW w:w="1276" w:type="dxa"/>
            <w:tcBorders>
              <w:top w:val="nil"/>
              <w:left w:val="nil"/>
              <w:bottom w:val="single" w:sz="4" w:space="0" w:color="auto"/>
              <w:right w:val="single" w:sz="4" w:space="0" w:color="auto"/>
            </w:tcBorders>
            <w:shd w:val="clear" w:color="auto" w:fill="auto"/>
            <w:noWrap/>
            <w:hideMark/>
          </w:tcPr>
          <w:p w14:paraId="0CDDB9D8"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765</w:t>
            </w:r>
            <w:r>
              <w:rPr>
                <w:sz w:val="20"/>
                <w:szCs w:val="20"/>
                <w:lang w:val="fr-CA" w:eastAsia="en-CA"/>
              </w:rPr>
              <w:t xml:space="preserve"> </w:t>
            </w:r>
            <w:r w:rsidRPr="00691ABD">
              <w:rPr>
                <w:sz w:val="20"/>
                <w:szCs w:val="20"/>
                <w:lang w:val="fr-CA" w:eastAsia="en-CA"/>
              </w:rPr>
              <w:t>925</w:t>
            </w:r>
          </w:p>
        </w:tc>
        <w:tc>
          <w:tcPr>
            <w:tcW w:w="1250" w:type="dxa"/>
            <w:tcBorders>
              <w:top w:val="nil"/>
              <w:left w:val="nil"/>
              <w:bottom w:val="single" w:sz="4" w:space="0" w:color="auto"/>
              <w:right w:val="single" w:sz="4" w:space="0" w:color="auto"/>
            </w:tcBorders>
            <w:shd w:val="clear" w:color="auto" w:fill="auto"/>
            <w:noWrap/>
            <w:hideMark/>
          </w:tcPr>
          <w:p w14:paraId="312F5E79" w14:textId="77777777" w:rsidR="00A325C8" w:rsidRPr="00691ABD" w:rsidRDefault="00A325C8" w:rsidP="001E39EE">
            <w:pPr>
              <w:jc w:val="right"/>
              <w:rPr>
                <w:sz w:val="20"/>
                <w:szCs w:val="20"/>
                <w:lang w:val="fr-CA" w:eastAsia="en-CA"/>
              </w:rPr>
            </w:pPr>
            <w:r w:rsidRPr="00691ABD">
              <w:rPr>
                <w:sz w:val="20"/>
                <w:szCs w:val="20"/>
                <w:lang w:val="fr-CA" w:eastAsia="en-CA"/>
              </w:rPr>
              <w:t>862</w:t>
            </w:r>
            <w:r>
              <w:rPr>
                <w:sz w:val="20"/>
                <w:szCs w:val="20"/>
                <w:lang w:val="fr-CA" w:eastAsia="en-CA"/>
              </w:rPr>
              <w:t xml:space="preserve"> </w:t>
            </w:r>
            <w:r w:rsidRPr="00691ABD">
              <w:rPr>
                <w:sz w:val="20"/>
                <w:szCs w:val="20"/>
                <w:lang w:val="fr-CA" w:eastAsia="en-CA"/>
              </w:rPr>
              <w:t>439</w:t>
            </w:r>
          </w:p>
        </w:tc>
        <w:tc>
          <w:tcPr>
            <w:tcW w:w="1050" w:type="dxa"/>
            <w:tcBorders>
              <w:top w:val="nil"/>
              <w:left w:val="nil"/>
              <w:bottom w:val="single" w:sz="4" w:space="0" w:color="auto"/>
              <w:right w:val="single" w:sz="4" w:space="0" w:color="auto"/>
            </w:tcBorders>
            <w:shd w:val="clear" w:color="auto" w:fill="auto"/>
            <w:noWrap/>
            <w:hideMark/>
          </w:tcPr>
          <w:p w14:paraId="01481AFB" w14:textId="77777777" w:rsidR="00A325C8" w:rsidRPr="00691ABD" w:rsidRDefault="00A325C8" w:rsidP="001E39EE">
            <w:pPr>
              <w:jc w:val="right"/>
              <w:rPr>
                <w:sz w:val="20"/>
                <w:szCs w:val="20"/>
                <w:lang w:val="fr-CA" w:eastAsia="en-CA"/>
              </w:rPr>
            </w:pPr>
            <w:r w:rsidRPr="00691ABD">
              <w:rPr>
                <w:sz w:val="20"/>
                <w:szCs w:val="20"/>
                <w:lang w:val="fr-CA" w:eastAsia="en-CA"/>
              </w:rPr>
              <w:t>76</w:t>
            </w:r>
          </w:p>
        </w:tc>
      </w:tr>
      <w:tr w:rsidR="00A325C8" w:rsidRPr="00691ABD" w14:paraId="2C3CC302" w14:textId="77777777" w:rsidTr="00691ABD">
        <w:trPr>
          <w:trHeight w:val="126"/>
        </w:trPr>
        <w:tc>
          <w:tcPr>
            <w:tcW w:w="3828" w:type="dxa"/>
            <w:tcBorders>
              <w:top w:val="nil"/>
              <w:left w:val="single" w:sz="4" w:space="0" w:color="auto"/>
              <w:bottom w:val="single" w:sz="4" w:space="0" w:color="auto"/>
              <w:right w:val="single" w:sz="4" w:space="0" w:color="auto"/>
            </w:tcBorders>
            <w:shd w:val="clear" w:color="auto" w:fill="auto"/>
            <w:noWrap/>
            <w:hideMark/>
          </w:tcPr>
          <w:p w14:paraId="18970E00" w14:textId="77777777" w:rsidR="00A325C8" w:rsidRPr="00691ABD" w:rsidRDefault="00A325C8" w:rsidP="001E39EE">
            <w:pPr>
              <w:jc w:val="left"/>
              <w:rPr>
                <w:sz w:val="20"/>
                <w:szCs w:val="20"/>
                <w:lang w:val="fr-CA" w:eastAsia="en-CA"/>
              </w:rPr>
            </w:pPr>
            <w:r w:rsidRPr="00691ABD">
              <w:rPr>
                <w:sz w:val="20"/>
                <w:szCs w:val="20"/>
                <w:lang w:val="fr-CA" w:eastAsia="en-CA"/>
              </w:rPr>
              <w:t>Qatar</w:t>
            </w:r>
          </w:p>
        </w:tc>
        <w:tc>
          <w:tcPr>
            <w:tcW w:w="1295" w:type="dxa"/>
            <w:tcBorders>
              <w:top w:val="nil"/>
              <w:left w:val="nil"/>
              <w:bottom w:val="single" w:sz="4" w:space="0" w:color="auto"/>
              <w:right w:val="single" w:sz="4" w:space="0" w:color="auto"/>
            </w:tcBorders>
            <w:shd w:val="clear" w:color="auto" w:fill="auto"/>
            <w:noWrap/>
            <w:hideMark/>
          </w:tcPr>
          <w:p w14:paraId="7600CD98" w14:textId="77777777" w:rsidR="00A325C8" w:rsidRPr="00691ABD" w:rsidRDefault="00A325C8" w:rsidP="001E39EE">
            <w:pPr>
              <w:jc w:val="right"/>
              <w:rPr>
                <w:sz w:val="20"/>
                <w:szCs w:val="20"/>
                <w:lang w:val="fr-CA" w:eastAsia="en-CA"/>
              </w:rPr>
            </w:pPr>
            <w:r w:rsidRPr="00691ABD">
              <w:rPr>
                <w:sz w:val="20"/>
                <w:szCs w:val="20"/>
                <w:lang w:val="fr-CA" w:eastAsia="en-CA"/>
              </w:rPr>
              <w:t>14</w:t>
            </w:r>
            <w:r>
              <w:rPr>
                <w:sz w:val="20"/>
                <w:szCs w:val="20"/>
                <w:lang w:val="fr-CA" w:eastAsia="en-CA"/>
              </w:rPr>
              <w:t>,</w:t>
            </w:r>
            <w:r w:rsidRPr="00691ABD">
              <w:rPr>
                <w:sz w:val="20"/>
                <w:szCs w:val="20"/>
                <w:lang w:val="fr-CA" w:eastAsia="en-CA"/>
              </w:rPr>
              <w:t>7</w:t>
            </w:r>
          </w:p>
        </w:tc>
        <w:tc>
          <w:tcPr>
            <w:tcW w:w="1275" w:type="dxa"/>
            <w:tcBorders>
              <w:top w:val="nil"/>
              <w:left w:val="nil"/>
              <w:bottom w:val="single" w:sz="4" w:space="0" w:color="auto"/>
              <w:right w:val="single" w:sz="4" w:space="0" w:color="auto"/>
            </w:tcBorders>
            <w:shd w:val="clear" w:color="auto" w:fill="auto"/>
            <w:noWrap/>
            <w:hideMark/>
          </w:tcPr>
          <w:p w14:paraId="17DC37E2"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124</w:t>
            </w:r>
            <w:r>
              <w:rPr>
                <w:sz w:val="20"/>
                <w:szCs w:val="20"/>
                <w:lang w:val="fr-CA" w:eastAsia="en-CA"/>
              </w:rPr>
              <w:t xml:space="preserve"> </w:t>
            </w:r>
            <w:r w:rsidRPr="00691ABD">
              <w:rPr>
                <w:sz w:val="20"/>
                <w:szCs w:val="20"/>
                <w:lang w:val="fr-CA" w:eastAsia="en-CA"/>
              </w:rPr>
              <w:t>747</w:t>
            </w:r>
          </w:p>
        </w:tc>
        <w:tc>
          <w:tcPr>
            <w:tcW w:w="1276" w:type="dxa"/>
            <w:tcBorders>
              <w:top w:val="nil"/>
              <w:left w:val="nil"/>
              <w:bottom w:val="single" w:sz="4" w:space="0" w:color="auto"/>
              <w:right w:val="single" w:sz="4" w:space="0" w:color="auto"/>
            </w:tcBorders>
            <w:shd w:val="clear" w:color="auto" w:fill="auto"/>
            <w:noWrap/>
            <w:hideMark/>
          </w:tcPr>
          <w:p w14:paraId="76588FB9"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016</w:t>
            </w:r>
            <w:r>
              <w:rPr>
                <w:sz w:val="20"/>
                <w:szCs w:val="20"/>
                <w:lang w:val="fr-CA" w:eastAsia="en-CA"/>
              </w:rPr>
              <w:t xml:space="preserve"> </w:t>
            </w:r>
            <w:r w:rsidRPr="00691ABD">
              <w:rPr>
                <w:sz w:val="20"/>
                <w:szCs w:val="20"/>
                <w:lang w:val="fr-CA" w:eastAsia="en-CA"/>
              </w:rPr>
              <w:t>441</w:t>
            </w:r>
          </w:p>
        </w:tc>
        <w:tc>
          <w:tcPr>
            <w:tcW w:w="1250" w:type="dxa"/>
            <w:tcBorders>
              <w:top w:val="nil"/>
              <w:left w:val="nil"/>
              <w:bottom w:val="single" w:sz="4" w:space="0" w:color="auto"/>
              <w:right w:val="single" w:sz="4" w:space="0" w:color="auto"/>
            </w:tcBorders>
            <w:shd w:val="clear" w:color="auto" w:fill="auto"/>
            <w:noWrap/>
            <w:hideMark/>
          </w:tcPr>
          <w:p w14:paraId="3E8E9602" w14:textId="77777777" w:rsidR="00A325C8" w:rsidRPr="00691ABD" w:rsidRDefault="00A325C8" w:rsidP="001E39EE">
            <w:pPr>
              <w:jc w:val="right"/>
              <w:rPr>
                <w:sz w:val="20"/>
                <w:szCs w:val="20"/>
                <w:lang w:val="fr-CA" w:eastAsia="en-CA"/>
              </w:rPr>
            </w:pPr>
            <w:r w:rsidRPr="00691ABD">
              <w:rPr>
                <w:sz w:val="20"/>
                <w:szCs w:val="20"/>
                <w:lang w:val="fr-CA" w:eastAsia="en-CA"/>
              </w:rPr>
              <w:t>108</w:t>
            </w:r>
            <w:r>
              <w:rPr>
                <w:sz w:val="20"/>
                <w:szCs w:val="20"/>
                <w:lang w:val="fr-CA" w:eastAsia="en-CA"/>
              </w:rPr>
              <w:t xml:space="preserve"> </w:t>
            </w:r>
            <w:r w:rsidRPr="00691ABD">
              <w:rPr>
                <w:sz w:val="20"/>
                <w:szCs w:val="20"/>
                <w:lang w:val="fr-CA" w:eastAsia="en-CA"/>
              </w:rPr>
              <w:t>306</w:t>
            </w:r>
          </w:p>
        </w:tc>
        <w:tc>
          <w:tcPr>
            <w:tcW w:w="1050" w:type="dxa"/>
            <w:tcBorders>
              <w:top w:val="nil"/>
              <w:left w:val="nil"/>
              <w:bottom w:val="single" w:sz="4" w:space="0" w:color="auto"/>
              <w:right w:val="single" w:sz="4" w:space="0" w:color="auto"/>
            </w:tcBorders>
            <w:shd w:val="clear" w:color="auto" w:fill="auto"/>
            <w:noWrap/>
            <w:hideMark/>
          </w:tcPr>
          <w:p w14:paraId="7F1D907B" w14:textId="77777777" w:rsidR="00A325C8" w:rsidRPr="00691ABD" w:rsidRDefault="00A325C8" w:rsidP="001E39EE">
            <w:pPr>
              <w:jc w:val="right"/>
              <w:rPr>
                <w:sz w:val="20"/>
                <w:szCs w:val="20"/>
                <w:lang w:val="fr-CA" w:eastAsia="en-CA"/>
              </w:rPr>
            </w:pPr>
            <w:r w:rsidRPr="00691ABD">
              <w:rPr>
                <w:sz w:val="20"/>
                <w:szCs w:val="20"/>
                <w:lang w:val="fr-CA" w:eastAsia="en-CA"/>
              </w:rPr>
              <w:t>90</w:t>
            </w:r>
          </w:p>
        </w:tc>
      </w:tr>
      <w:tr w:rsidR="00A325C8" w:rsidRPr="00691ABD" w14:paraId="2027DA50" w14:textId="77777777" w:rsidTr="00691ABD">
        <w:trPr>
          <w:trHeight w:val="107"/>
        </w:trPr>
        <w:tc>
          <w:tcPr>
            <w:tcW w:w="3828" w:type="dxa"/>
            <w:tcBorders>
              <w:top w:val="nil"/>
              <w:left w:val="single" w:sz="4" w:space="0" w:color="auto"/>
              <w:bottom w:val="single" w:sz="4" w:space="0" w:color="auto"/>
              <w:right w:val="single" w:sz="4" w:space="0" w:color="auto"/>
            </w:tcBorders>
            <w:shd w:val="clear" w:color="auto" w:fill="auto"/>
            <w:noWrap/>
            <w:hideMark/>
          </w:tcPr>
          <w:p w14:paraId="3211F52D" w14:textId="77777777" w:rsidR="00A325C8" w:rsidRPr="00691ABD" w:rsidRDefault="00A325C8" w:rsidP="001E39EE">
            <w:pPr>
              <w:jc w:val="left"/>
              <w:rPr>
                <w:sz w:val="20"/>
                <w:szCs w:val="20"/>
                <w:lang w:val="fr-CA" w:eastAsia="en-CA"/>
              </w:rPr>
            </w:pPr>
            <w:r>
              <w:rPr>
                <w:sz w:val="20"/>
                <w:szCs w:val="20"/>
                <w:lang w:val="fr-CA" w:eastAsia="en-CA"/>
              </w:rPr>
              <w:t>République arabe syrienne</w:t>
            </w:r>
          </w:p>
        </w:tc>
        <w:tc>
          <w:tcPr>
            <w:tcW w:w="1295" w:type="dxa"/>
            <w:tcBorders>
              <w:top w:val="nil"/>
              <w:left w:val="nil"/>
              <w:bottom w:val="single" w:sz="4" w:space="0" w:color="auto"/>
              <w:right w:val="single" w:sz="4" w:space="0" w:color="auto"/>
            </w:tcBorders>
            <w:shd w:val="clear" w:color="auto" w:fill="auto"/>
            <w:noWrap/>
            <w:hideMark/>
          </w:tcPr>
          <w:p w14:paraId="75F783D4" w14:textId="77777777" w:rsidR="00A325C8" w:rsidRPr="00691ABD" w:rsidRDefault="00A325C8" w:rsidP="001E39EE">
            <w:pPr>
              <w:jc w:val="right"/>
              <w:rPr>
                <w:sz w:val="20"/>
                <w:szCs w:val="20"/>
                <w:lang w:val="fr-CA" w:eastAsia="en-CA"/>
              </w:rPr>
            </w:pPr>
            <w:r w:rsidRPr="00691ABD">
              <w:rPr>
                <w:sz w:val="20"/>
                <w:szCs w:val="20"/>
                <w:lang w:val="fr-CA" w:eastAsia="en-CA"/>
              </w:rPr>
              <w:t>10</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33895CF8" w14:textId="77777777" w:rsidR="00A325C8" w:rsidRPr="00691ABD" w:rsidRDefault="00A325C8" w:rsidP="001E39EE">
            <w:pPr>
              <w:jc w:val="right"/>
              <w:rPr>
                <w:sz w:val="20"/>
                <w:szCs w:val="20"/>
                <w:lang w:val="fr-CA" w:eastAsia="en-CA"/>
              </w:rPr>
            </w:pPr>
            <w:r w:rsidRPr="00691ABD">
              <w:rPr>
                <w:sz w:val="20"/>
                <w:szCs w:val="20"/>
                <w:lang w:val="fr-CA" w:eastAsia="en-CA"/>
              </w:rPr>
              <w:t>590</w:t>
            </w:r>
            <w:r>
              <w:rPr>
                <w:sz w:val="20"/>
                <w:szCs w:val="20"/>
                <w:lang w:val="fr-CA" w:eastAsia="en-CA"/>
              </w:rPr>
              <w:t xml:space="preserve"> </w:t>
            </w:r>
            <w:r w:rsidRPr="00691ABD">
              <w:rPr>
                <w:sz w:val="20"/>
                <w:szCs w:val="20"/>
                <w:lang w:val="fr-CA" w:eastAsia="en-CA"/>
              </w:rPr>
              <w:t>036</w:t>
            </w:r>
          </w:p>
        </w:tc>
        <w:tc>
          <w:tcPr>
            <w:tcW w:w="1276" w:type="dxa"/>
            <w:tcBorders>
              <w:top w:val="nil"/>
              <w:left w:val="nil"/>
              <w:bottom w:val="single" w:sz="4" w:space="0" w:color="auto"/>
              <w:right w:val="single" w:sz="4" w:space="0" w:color="auto"/>
            </w:tcBorders>
            <w:shd w:val="clear" w:color="auto" w:fill="auto"/>
            <w:noWrap/>
            <w:hideMark/>
          </w:tcPr>
          <w:p w14:paraId="37C060CC" w14:textId="77777777" w:rsidR="00A325C8" w:rsidRPr="00691ABD" w:rsidRDefault="00A325C8" w:rsidP="001E39EE">
            <w:pPr>
              <w:jc w:val="right"/>
              <w:rPr>
                <w:sz w:val="20"/>
                <w:szCs w:val="20"/>
                <w:lang w:val="fr-CA" w:eastAsia="en-CA"/>
              </w:rPr>
            </w:pPr>
            <w:r w:rsidRPr="00691ABD">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6A4E4F9E" w14:textId="77777777" w:rsidR="00A325C8" w:rsidRPr="00691ABD" w:rsidRDefault="00A325C8" w:rsidP="001E39EE">
            <w:pPr>
              <w:jc w:val="right"/>
              <w:rPr>
                <w:sz w:val="20"/>
                <w:szCs w:val="20"/>
                <w:lang w:val="fr-CA" w:eastAsia="en-CA"/>
              </w:rPr>
            </w:pPr>
            <w:r w:rsidRPr="00691ABD">
              <w:rPr>
                <w:sz w:val="20"/>
                <w:szCs w:val="20"/>
                <w:lang w:val="fr-CA" w:eastAsia="en-CA"/>
              </w:rPr>
              <w:t>590</w:t>
            </w:r>
            <w:r>
              <w:rPr>
                <w:sz w:val="20"/>
                <w:szCs w:val="20"/>
                <w:lang w:val="fr-CA" w:eastAsia="en-CA"/>
              </w:rPr>
              <w:t xml:space="preserve"> </w:t>
            </w:r>
            <w:r w:rsidRPr="00691ABD">
              <w:rPr>
                <w:sz w:val="20"/>
                <w:szCs w:val="20"/>
                <w:lang w:val="fr-CA" w:eastAsia="en-CA"/>
              </w:rPr>
              <w:t>036</w:t>
            </w:r>
          </w:p>
        </w:tc>
        <w:tc>
          <w:tcPr>
            <w:tcW w:w="1050" w:type="dxa"/>
            <w:tcBorders>
              <w:top w:val="nil"/>
              <w:left w:val="nil"/>
              <w:bottom w:val="single" w:sz="4" w:space="0" w:color="auto"/>
              <w:right w:val="single" w:sz="4" w:space="0" w:color="auto"/>
            </w:tcBorders>
            <w:shd w:val="clear" w:color="auto" w:fill="auto"/>
            <w:noWrap/>
            <w:hideMark/>
          </w:tcPr>
          <w:p w14:paraId="5951549C" w14:textId="77777777" w:rsidR="00A325C8" w:rsidRPr="00691ABD" w:rsidRDefault="00A325C8" w:rsidP="001E39EE">
            <w:pPr>
              <w:jc w:val="right"/>
              <w:rPr>
                <w:sz w:val="20"/>
                <w:szCs w:val="20"/>
                <w:lang w:val="fr-CA" w:eastAsia="en-CA"/>
              </w:rPr>
            </w:pPr>
            <w:r w:rsidRPr="00691ABD">
              <w:rPr>
                <w:sz w:val="20"/>
                <w:szCs w:val="20"/>
                <w:lang w:val="fr-CA" w:eastAsia="en-CA"/>
              </w:rPr>
              <w:t>0</w:t>
            </w:r>
          </w:p>
        </w:tc>
      </w:tr>
      <w:tr w:rsidR="00A325C8" w:rsidRPr="00691ABD" w14:paraId="36C78FDE"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3EEE948" w14:textId="77777777" w:rsidR="00A325C8" w:rsidRPr="00691ABD" w:rsidRDefault="00A325C8" w:rsidP="001E39EE">
            <w:pPr>
              <w:jc w:val="left"/>
              <w:rPr>
                <w:sz w:val="20"/>
                <w:szCs w:val="20"/>
                <w:lang w:val="fr-CA" w:eastAsia="en-CA"/>
              </w:rPr>
            </w:pPr>
            <w:r>
              <w:rPr>
                <w:sz w:val="20"/>
                <w:szCs w:val="20"/>
                <w:lang w:val="fr-CA" w:eastAsia="en-CA"/>
              </w:rPr>
              <w:t>République centrafricaine</w:t>
            </w:r>
          </w:p>
        </w:tc>
        <w:tc>
          <w:tcPr>
            <w:tcW w:w="1295" w:type="dxa"/>
            <w:tcBorders>
              <w:top w:val="nil"/>
              <w:left w:val="nil"/>
              <w:bottom w:val="single" w:sz="4" w:space="0" w:color="auto"/>
              <w:right w:val="single" w:sz="4" w:space="0" w:color="auto"/>
            </w:tcBorders>
            <w:shd w:val="clear" w:color="auto" w:fill="auto"/>
            <w:noWrap/>
            <w:hideMark/>
          </w:tcPr>
          <w:p w14:paraId="6F784E2A"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5</w:t>
            </w:r>
          </w:p>
        </w:tc>
        <w:tc>
          <w:tcPr>
            <w:tcW w:w="1275" w:type="dxa"/>
            <w:tcBorders>
              <w:top w:val="nil"/>
              <w:left w:val="nil"/>
              <w:bottom w:val="single" w:sz="4" w:space="0" w:color="auto"/>
              <w:right w:val="single" w:sz="4" w:space="0" w:color="auto"/>
            </w:tcBorders>
            <w:shd w:val="clear" w:color="auto" w:fill="auto"/>
            <w:noWrap/>
            <w:hideMark/>
          </w:tcPr>
          <w:p w14:paraId="755B8762" w14:textId="77777777" w:rsidR="00A325C8" w:rsidRPr="00691ABD" w:rsidRDefault="00A325C8" w:rsidP="001E39EE">
            <w:pPr>
              <w:jc w:val="right"/>
              <w:rPr>
                <w:sz w:val="20"/>
                <w:szCs w:val="20"/>
                <w:lang w:val="fr-CA" w:eastAsia="en-CA"/>
              </w:rPr>
            </w:pPr>
            <w:r w:rsidRPr="00691ABD">
              <w:rPr>
                <w:sz w:val="20"/>
                <w:szCs w:val="20"/>
                <w:lang w:val="fr-CA" w:eastAsia="en-CA"/>
              </w:rPr>
              <w:t>64</w:t>
            </w:r>
            <w:r>
              <w:rPr>
                <w:sz w:val="20"/>
                <w:szCs w:val="20"/>
                <w:lang w:val="fr-CA" w:eastAsia="en-CA"/>
              </w:rPr>
              <w:t xml:space="preserve"> </w:t>
            </w:r>
            <w:r w:rsidRPr="00691ABD">
              <w:rPr>
                <w:sz w:val="20"/>
                <w:szCs w:val="20"/>
                <w:lang w:val="fr-CA" w:eastAsia="en-CA"/>
              </w:rPr>
              <w:t>001</w:t>
            </w:r>
          </w:p>
        </w:tc>
        <w:tc>
          <w:tcPr>
            <w:tcW w:w="1276" w:type="dxa"/>
            <w:tcBorders>
              <w:top w:val="nil"/>
              <w:left w:val="nil"/>
              <w:bottom w:val="single" w:sz="4" w:space="0" w:color="auto"/>
              <w:right w:val="single" w:sz="4" w:space="0" w:color="auto"/>
            </w:tcBorders>
            <w:shd w:val="clear" w:color="auto" w:fill="auto"/>
            <w:noWrap/>
            <w:hideMark/>
          </w:tcPr>
          <w:p w14:paraId="5365AA9E" w14:textId="77777777" w:rsidR="00A325C8" w:rsidRPr="00691ABD" w:rsidRDefault="00A325C8" w:rsidP="001E39EE">
            <w:pPr>
              <w:jc w:val="right"/>
              <w:rPr>
                <w:sz w:val="20"/>
                <w:szCs w:val="20"/>
                <w:lang w:val="fr-CA" w:eastAsia="en-CA"/>
              </w:rPr>
            </w:pPr>
            <w:r w:rsidRPr="00691ABD">
              <w:rPr>
                <w:sz w:val="20"/>
                <w:szCs w:val="20"/>
                <w:lang w:val="fr-CA" w:eastAsia="en-CA"/>
              </w:rPr>
              <w:t>64</w:t>
            </w:r>
            <w:r>
              <w:rPr>
                <w:sz w:val="20"/>
                <w:szCs w:val="20"/>
                <w:lang w:val="fr-CA" w:eastAsia="en-CA"/>
              </w:rPr>
              <w:t xml:space="preserve"> </w:t>
            </w:r>
            <w:r w:rsidRPr="00691ABD">
              <w:rPr>
                <w:sz w:val="20"/>
                <w:szCs w:val="20"/>
                <w:lang w:val="fr-CA" w:eastAsia="en-CA"/>
              </w:rPr>
              <w:t>000</w:t>
            </w:r>
          </w:p>
        </w:tc>
        <w:tc>
          <w:tcPr>
            <w:tcW w:w="1250" w:type="dxa"/>
            <w:tcBorders>
              <w:top w:val="nil"/>
              <w:left w:val="nil"/>
              <w:bottom w:val="single" w:sz="4" w:space="0" w:color="auto"/>
              <w:right w:val="single" w:sz="4" w:space="0" w:color="auto"/>
            </w:tcBorders>
            <w:shd w:val="clear" w:color="auto" w:fill="auto"/>
            <w:noWrap/>
            <w:hideMark/>
          </w:tcPr>
          <w:p w14:paraId="7E4F5E83" w14:textId="77777777" w:rsidR="00A325C8" w:rsidRPr="00691ABD" w:rsidRDefault="00A325C8" w:rsidP="001E39EE">
            <w:pPr>
              <w:jc w:val="right"/>
              <w:rPr>
                <w:sz w:val="20"/>
                <w:szCs w:val="20"/>
                <w:lang w:val="fr-CA" w:eastAsia="en-CA"/>
              </w:rPr>
            </w:pPr>
            <w:r w:rsidRPr="00691ABD">
              <w:rPr>
                <w:sz w:val="20"/>
                <w:szCs w:val="20"/>
                <w:lang w:val="fr-CA" w:eastAsia="en-CA"/>
              </w:rPr>
              <w:t>0</w:t>
            </w:r>
          </w:p>
        </w:tc>
        <w:tc>
          <w:tcPr>
            <w:tcW w:w="1050" w:type="dxa"/>
            <w:tcBorders>
              <w:top w:val="nil"/>
              <w:left w:val="nil"/>
              <w:bottom w:val="single" w:sz="4" w:space="0" w:color="auto"/>
              <w:right w:val="single" w:sz="4" w:space="0" w:color="auto"/>
            </w:tcBorders>
            <w:shd w:val="clear" w:color="auto" w:fill="auto"/>
            <w:noWrap/>
            <w:hideMark/>
          </w:tcPr>
          <w:p w14:paraId="45E9D61A" w14:textId="77777777" w:rsidR="00A325C8" w:rsidRPr="00691ABD" w:rsidRDefault="00A325C8" w:rsidP="001E39EE">
            <w:pPr>
              <w:jc w:val="right"/>
              <w:rPr>
                <w:sz w:val="20"/>
                <w:szCs w:val="20"/>
                <w:lang w:val="fr-CA" w:eastAsia="en-CA"/>
              </w:rPr>
            </w:pPr>
            <w:r w:rsidRPr="00691ABD">
              <w:rPr>
                <w:sz w:val="20"/>
                <w:szCs w:val="20"/>
                <w:lang w:val="fr-CA" w:eastAsia="en-CA"/>
              </w:rPr>
              <w:t>100</w:t>
            </w:r>
          </w:p>
        </w:tc>
      </w:tr>
      <w:tr w:rsidR="00A325C8" w:rsidRPr="00691ABD" w14:paraId="74A68052"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0E70B1F" w14:textId="77777777" w:rsidR="00A325C8" w:rsidRPr="00691ABD" w:rsidRDefault="00A325C8" w:rsidP="001E39EE">
            <w:pPr>
              <w:jc w:val="left"/>
              <w:rPr>
                <w:sz w:val="20"/>
                <w:szCs w:val="20"/>
                <w:lang w:val="fr-CA" w:eastAsia="en-CA"/>
              </w:rPr>
            </w:pPr>
            <w:r>
              <w:rPr>
                <w:sz w:val="20"/>
                <w:szCs w:val="20"/>
                <w:lang w:val="fr-CA" w:eastAsia="en-CA"/>
              </w:rPr>
              <w:t>République de Moldova</w:t>
            </w:r>
          </w:p>
        </w:tc>
        <w:tc>
          <w:tcPr>
            <w:tcW w:w="1295" w:type="dxa"/>
            <w:tcBorders>
              <w:top w:val="nil"/>
              <w:left w:val="nil"/>
              <w:bottom w:val="single" w:sz="4" w:space="0" w:color="auto"/>
              <w:right w:val="single" w:sz="4" w:space="0" w:color="auto"/>
            </w:tcBorders>
            <w:shd w:val="clear" w:color="auto" w:fill="auto"/>
            <w:noWrap/>
            <w:hideMark/>
          </w:tcPr>
          <w:p w14:paraId="5AA26513"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230C6850" w14:textId="77777777" w:rsidR="00A325C8" w:rsidRPr="00691ABD" w:rsidRDefault="00A325C8" w:rsidP="001E39EE">
            <w:pPr>
              <w:jc w:val="right"/>
              <w:rPr>
                <w:sz w:val="20"/>
                <w:szCs w:val="20"/>
                <w:lang w:val="fr-CA" w:eastAsia="en-CA"/>
              </w:rPr>
            </w:pPr>
            <w:r w:rsidRPr="00691ABD">
              <w:rPr>
                <w:sz w:val="20"/>
                <w:szCs w:val="20"/>
                <w:lang w:val="fr-CA" w:eastAsia="en-CA"/>
              </w:rPr>
              <w:t>259</w:t>
            </w:r>
            <w:r>
              <w:rPr>
                <w:sz w:val="20"/>
                <w:szCs w:val="20"/>
                <w:lang w:val="fr-CA" w:eastAsia="en-CA"/>
              </w:rPr>
              <w:t xml:space="preserve"> </w:t>
            </w:r>
            <w:r w:rsidRPr="00691ABD">
              <w:rPr>
                <w:sz w:val="20"/>
                <w:szCs w:val="20"/>
                <w:lang w:val="fr-CA" w:eastAsia="en-CA"/>
              </w:rPr>
              <w:t>759</w:t>
            </w:r>
          </w:p>
        </w:tc>
        <w:tc>
          <w:tcPr>
            <w:tcW w:w="1276" w:type="dxa"/>
            <w:tcBorders>
              <w:top w:val="nil"/>
              <w:left w:val="nil"/>
              <w:bottom w:val="single" w:sz="4" w:space="0" w:color="auto"/>
              <w:right w:val="single" w:sz="4" w:space="0" w:color="auto"/>
            </w:tcBorders>
            <w:shd w:val="clear" w:color="auto" w:fill="auto"/>
            <w:noWrap/>
            <w:hideMark/>
          </w:tcPr>
          <w:p w14:paraId="2E0A99CF" w14:textId="77777777" w:rsidR="00A325C8" w:rsidRPr="00691ABD" w:rsidRDefault="00A325C8" w:rsidP="001E39EE">
            <w:pPr>
              <w:jc w:val="right"/>
              <w:rPr>
                <w:sz w:val="20"/>
                <w:szCs w:val="20"/>
                <w:lang w:val="fr-CA" w:eastAsia="en-CA"/>
              </w:rPr>
            </w:pPr>
            <w:r w:rsidRPr="00691ABD">
              <w:rPr>
                <w:sz w:val="20"/>
                <w:szCs w:val="20"/>
                <w:lang w:val="fr-CA" w:eastAsia="en-CA"/>
              </w:rPr>
              <w:t>221</w:t>
            </w:r>
            <w:r>
              <w:rPr>
                <w:sz w:val="20"/>
                <w:szCs w:val="20"/>
                <w:lang w:val="fr-CA" w:eastAsia="en-CA"/>
              </w:rPr>
              <w:t xml:space="preserve"> </w:t>
            </w:r>
            <w:r w:rsidRPr="00691ABD">
              <w:rPr>
                <w:sz w:val="20"/>
                <w:szCs w:val="20"/>
                <w:lang w:val="fr-CA" w:eastAsia="en-CA"/>
              </w:rPr>
              <w:t>793</w:t>
            </w:r>
          </w:p>
        </w:tc>
        <w:tc>
          <w:tcPr>
            <w:tcW w:w="1250" w:type="dxa"/>
            <w:tcBorders>
              <w:top w:val="nil"/>
              <w:left w:val="nil"/>
              <w:bottom w:val="single" w:sz="4" w:space="0" w:color="auto"/>
              <w:right w:val="single" w:sz="4" w:space="0" w:color="auto"/>
            </w:tcBorders>
            <w:shd w:val="clear" w:color="auto" w:fill="auto"/>
            <w:noWrap/>
            <w:hideMark/>
          </w:tcPr>
          <w:p w14:paraId="67BB5E62" w14:textId="77777777" w:rsidR="00A325C8" w:rsidRPr="00691ABD" w:rsidRDefault="00A325C8" w:rsidP="001E39EE">
            <w:pPr>
              <w:jc w:val="right"/>
              <w:rPr>
                <w:sz w:val="20"/>
                <w:szCs w:val="20"/>
                <w:lang w:val="fr-CA" w:eastAsia="en-CA"/>
              </w:rPr>
            </w:pPr>
            <w:r w:rsidRPr="00691ABD">
              <w:rPr>
                <w:sz w:val="20"/>
                <w:szCs w:val="20"/>
                <w:lang w:val="fr-CA" w:eastAsia="en-CA"/>
              </w:rPr>
              <w:t>37</w:t>
            </w:r>
            <w:r>
              <w:rPr>
                <w:sz w:val="20"/>
                <w:szCs w:val="20"/>
                <w:lang w:val="fr-CA" w:eastAsia="en-CA"/>
              </w:rPr>
              <w:t xml:space="preserve"> </w:t>
            </w:r>
            <w:r w:rsidRPr="00691ABD">
              <w:rPr>
                <w:sz w:val="20"/>
                <w:szCs w:val="20"/>
                <w:lang w:val="fr-CA" w:eastAsia="en-CA"/>
              </w:rPr>
              <w:t>966</w:t>
            </w:r>
          </w:p>
        </w:tc>
        <w:tc>
          <w:tcPr>
            <w:tcW w:w="1050" w:type="dxa"/>
            <w:tcBorders>
              <w:top w:val="nil"/>
              <w:left w:val="nil"/>
              <w:bottom w:val="single" w:sz="4" w:space="0" w:color="auto"/>
              <w:right w:val="single" w:sz="4" w:space="0" w:color="auto"/>
            </w:tcBorders>
            <w:shd w:val="clear" w:color="auto" w:fill="auto"/>
            <w:noWrap/>
            <w:hideMark/>
          </w:tcPr>
          <w:p w14:paraId="1A20BAAF" w14:textId="77777777" w:rsidR="00A325C8" w:rsidRPr="00691ABD" w:rsidRDefault="00A325C8" w:rsidP="001E39EE">
            <w:pPr>
              <w:jc w:val="right"/>
              <w:rPr>
                <w:sz w:val="20"/>
                <w:szCs w:val="20"/>
                <w:lang w:val="fr-CA" w:eastAsia="en-CA"/>
              </w:rPr>
            </w:pPr>
            <w:r w:rsidRPr="00691ABD">
              <w:rPr>
                <w:sz w:val="20"/>
                <w:szCs w:val="20"/>
                <w:lang w:val="fr-CA" w:eastAsia="en-CA"/>
              </w:rPr>
              <w:t>85</w:t>
            </w:r>
          </w:p>
        </w:tc>
      </w:tr>
      <w:tr w:rsidR="00A325C8" w:rsidRPr="00691ABD" w14:paraId="2CBE5B13" w14:textId="77777777" w:rsidTr="00691ABD">
        <w:trPr>
          <w:trHeight w:val="61"/>
        </w:trPr>
        <w:tc>
          <w:tcPr>
            <w:tcW w:w="3828" w:type="dxa"/>
            <w:tcBorders>
              <w:top w:val="nil"/>
              <w:left w:val="single" w:sz="4" w:space="0" w:color="auto"/>
              <w:bottom w:val="single" w:sz="4" w:space="0" w:color="auto"/>
              <w:right w:val="single" w:sz="4" w:space="0" w:color="auto"/>
            </w:tcBorders>
            <w:shd w:val="clear" w:color="auto" w:fill="auto"/>
            <w:noWrap/>
            <w:hideMark/>
          </w:tcPr>
          <w:p w14:paraId="3295C532" w14:textId="77777777" w:rsidR="00A325C8" w:rsidRPr="00691ABD" w:rsidRDefault="00A325C8" w:rsidP="001E39EE">
            <w:pPr>
              <w:jc w:val="left"/>
              <w:rPr>
                <w:sz w:val="20"/>
                <w:szCs w:val="20"/>
                <w:lang w:val="fr-CA" w:eastAsia="en-CA"/>
              </w:rPr>
            </w:pPr>
            <w:r>
              <w:rPr>
                <w:sz w:val="20"/>
                <w:szCs w:val="20"/>
                <w:lang w:val="fr-CA" w:eastAsia="en-CA"/>
              </w:rPr>
              <w:t>République démocratique du Congo</w:t>
            </w:r>
          </w:p>
        </w:tc>
        <w:tc>
          <w:tcPr>
            <w:tcW w:w="1295" w:type="dxa"/>
            <w:tcBorders>
              <w:top w:val="nil"/>
              <w:left w:val="nil"/>
              <w:bottom w:val="single" w:sz="4" w:space="0" w:color="auto"/>
              <w:right w:val="single" w:sz="4" w:space="0" w:color="auto"/>
            </w:tcBorders>
            <w:shd w:val="clear" w:color="auto" w:fill="auto"/>
            <w:noWrap/>
            <w:hideMark/>
          </w:tcPr>
          <w:p w14:paraId="36BAEF4C"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w:t>
            </w:r>
            <w:r w:rsidRPr="00691ABD">
              <w:rPr>
                <w:sz w:val="20"/>
                <w:szCs w:val="20"/>
                <w:lang w:val="fr-CA" w:eastAsia="en-CA"/>
              </w:rPr>
              <w:t>8</w:t>
            </w:r>
          </w:p>
        </w:tc>
        <w:tc>
          <w:tcPr>
            <w:tcW w:w="1275" w:type="dxa"/>
            <w:tcBorders>
              <w:top w:val="nil"/>
              <w:left w:val="nil"/>
              <w:bottom w:val="single" w:sz="4" w:space="0" w:color="auto"/>
              <w:right w:val="single" w:sz="4" w:space="0" w:color="auto"/>
            </w:tcBorders>
            <w:shd w:val="clear" w:color="auto" w:fill="auto"/>
            <w:noWrap/>
            <w:hideMark/>
          </w:tcPr>
          <w:p w14:paraId="3C7B122C" w14:textId="77777777" w:rsidR="00A325C8" w:rsidRPr="00691ABD" w:rsidRDefault="00A325C8" w:rsidP="001E39EE">
            <w:pPr>
              <w:jc w:val="right"/>
              <w:rPr>
                <w:sz w:val="20"/>
                <w:szCs w:val="20"/>
                <w:lang w:val="fr-CA" w:eastAsia="en-CA"/>
              </w:rPr>
            </w:pPr>
            <w:r w:rsidRPr="00691ABD">
              <w:rPr>
                <w:sz w:val="20"/>
                <w:szCs w:val="20"/>
                <w:lang w:val="fr-CA" w:eastAsia="en-CA"/>
              </w:rPr>
              <w:t>475</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5874FA79" w14:textId="77777777" w:rsidR="00A325C8" w:rsidRPr="00691ABD" w:rsidRDefault="00A325C8" w:rsidP="001E39EE">
            <w:pPr>
              <w:jc w:val="right"/>
              <w:rPr>
                <w:sz w:val="20"/>
                <w:szCs w:val="20"/>
                <w:lang w:val="fr-CA" w:eastAsia="en-CA"/>
              </w:rPr>
            </w:pPr>
            <w:r w:rsidRPr="00691ABD">
              <w:rPr>
                <w:sz w:val="20"/>
                <w:szCs w:val="20"/>
                <w:lang w:val="fr-CA" w:eastAsia="en-CA"/>
              </w:rPr>
              <w:t>474</w:t>
            </w:r>
            <w:r>
              <w:rPr>
                <w:sz w:val="20"/>
                <w:szCs w:val="20"/>
                <w:lang w:val="fr-CA" w:eastAsia="en-CA"/>
              </w:rPr>
              <w:t xml:space="preserve"> </w:t>
            </w:r>
            <w:r w:rsidRPr="00691ABD">
              <w:rPr>
                <w:sz w:val="20"/>
                <w:szCs w:val="20"/>
                <w:lang w:val="fr-CA" w:eastAsia="en-CA"/>
              </w:rPr>
              <w:t>524</w:t>
            </w:r>
          </w:p>
        </w:tc>
        <w:tc>
          <w:tcPr>
            <w:tcW w:w="1250" w:type="dxa"/>
            <w:tcBorders>
              <w:top w:val="nil"/>
              <w:left w:val="nil"/>
              <w:bottom w:val="single" w:sz="4" w:space="0" w:color="auto"/>
              <w:right w:val="single" w:sz="4" w:space="0" w:color="auto"/>
            </w:tcBorders>
            <w:shd w:val="clear" w:color="auto" w:fill="auto"/>
            <w:noWrap/>
            <w:hideMark/>
          </w:tcPr>
          <w:p w14:paraId="1AB9E1A8" w14:textId="77777777" w:rsidR="00A325C8" w:rsidRPr="00691ABD" w:rsidRDefault="00A325C8" w:rsidP="001E39EE">
            <w:pPr>
              <w:jc w:val="right"/>
              <w:rPr>
                <w:sz w:val="20"/>
                <w:szCs w:val="20"/>
                <w:lang w:val="fr-CA" w:eastAsia="en-CA"/>
              </w:rPr>
            </w:pPr>
            <w:r w:rsidRPr="00691ABD">
              <w:rPr>
                <w:sz w:val="20"/>
                <w:szCs w:val="20"/>
                <w:lang w:val="fr-CA" w:eastAsia="en-CA"/>
              </w:rPr>
              <w:t>476</w:t>
            </w:r>
          </w:p>
        </w:tc>
        <w:tc>
          <w:tcPr>
            <w:tcW w:w="1050" w:type="dxa"/>
            <w:tcBorders>
              <w:top w:val="nil"/>
              <w:left w:val="nil"/>
              <w:bottom w:val="single" w:sz="4" w:space="0" w:color="auto"/>
              <w:right w:val="single" w:sz="4" w:space="0" w:color="auto"/>
            </w:tcBorders>
            <w:shd w:val="clear" w:color="auto" w:fill="auto"/>
            <w:noWrap/>
            <w:hideMark/>
          </w:tcPr>
          <w:p w14:paraId="68129A82" w14:textId="77777777" w:rsidR="00A325C8" w:rsidRPr="00691ABD" w:rsidRDefault="00A325C8" w:rsidP="001E39EE">
            <w:pPr>
              <w:jc w:val="right"/>
              <w:rPr>
                <w:sz w:val="20"/>
                <w:szCs w:val="20"/>
                <w:lang w:val="fr-CA" w:eastAsia="en-CA"/>
              </w:rPr>
            </w:pPr>
            <w:r w:rsidRPr="00691ABD">
              <w:rPr>
                <w:sz w:val="20"/>
                <w:szCs w:val="20"/>
                <w:lang w:val="fr-CA" w:eastAsia="en-CA"/>
              </w:rPr>
              <w:t>100</w:t>
            </w:r>
          </w:p>
        </w:tc>
      </w:tr>
      <w:tr w:rsidR="00A325C8" w:rsidRPr="00691ABD" w14:paraId="48539B45"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1DB8A652" w14:textId="77777777" w:rsidR="00A325C8" w:rsidRPr="00691ABD" w:rsidRDefault="00A325C8" w:rsidP="001E39EE">
            <w:pPr>
              <w:jc w:val="left"/>
              <w:rPr>
                <w:sz w:val="20"/>
                <w:szCs w:val="20"/>
                <w:lang w:val="fr-CA" w:eastAsia="en-CA"/>
              </w:rPr>
            </w:pPr>
            <w:r>
              <w:rPr>
                <w:sz w:val="20"/>
                <w:szCs w:val="20"/>
                <w:lang w:val="fr-CA" w:eastAsia="en-CA"/>
              </w:rPr>
              <w:t>République démocratique populaire lao</w:t>
            </w:r>
          </w:p>
        </w:tc>
        <w:tc>
          <w:tcPr>
            <w:tcW w:w="1295" w:type="dxa"/>
            <w:tcBorders>
              <w:top w:val="nil"/>
              <w:left w:val="nil"/>
              <w:bottom w:val="single" w:sz="4" w:space="0" w:color="auto"/>
              <w:right w:val="single" w:sz="4" w:space="0" w:color="auto"/>
            </w:tcBorders>
            <w:shd w:val="clear" w:color="auto" w:fill="auto"/>
            <w:noWrap/>
            <w:hideMark/>
          </w:tcPr>
          <w:p w14:paraId="4FD15707"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8</w:t>
            </w:r>
          </w:p>
        </w:tc>
        <w:tc>
          <w:tcPr>
            <w:tcW w:w="1275" w:type="dxa"/>
            <w:tcBorders>
              <w:top w:val="nil"/>
              <w:left w:val="nil"/>
              <w:bottom w:val="single" w:sz="4" w:space="0" w:color="auto"/>
              <w:right w:val="single" w:sz="4" w:space="0" w:color="auto"/>
            </w:tcBorders>
            <w:shd w:val="clear" w:color="auto" w:fill="auto"/>
            <w:noWrap/>
            <w:hideMark/>
          </w:tcPr>
          <w:p w14:paraId="2D048D13" w14:textId="77777777" w:rsidR="00A325C8" w:rsidRPr="00691ABD" w:rsidRDefault="00A325C8" w:rsidP="001E39EE">
            <w:pPr>
              <w:jc w:val="right"/>
              <w:rPr>
                <w:sz w:val="20"/>
                <w:szCs w:val="20"/>
                <w:lang w:val="fr-CA" w:eastAsia="en-CA"/>
              </w:rPr>
            </w:pPr>
            <w:r w:rsidRPr="00691ABD">
              <w:rPr>
                <w:sz w:val="20"/>
                <w:szCs w:val="20"/>
                <w:lang w:val="fr-CA" w:eastAsia="en-CA"/>
              </w:rPr>
              <w:t>493</w:t>
            </w:r>
            <w:r>
              <w:rPr>
                <w:sz w:val="20"/>
                <w:szCs w:val="20"/>
                <w:lang w:val="fr-CA" w:eastAsia="en-CA"/>
              </w:rPr>
              <w:t xml:space="preserve"> </w:t>
            </w:r>
            <w:r w:rsidRPr="00691ABD">
              <w:rPr>
                <w:sz w:val="20"/>
                <w:szCs w:val="20"/>
                <w:lang w:val="fr-CA" w:eastAsia="en-CA"/>
              </w:rPr>
              <w:t>400</w:t>
            </w:r>
          </w:p>
        </w:tc>
        <w:tc>
          <w:tcPr>
            <w:tcW w:w="1276" w:type="dxa"/>
            <w:tcBorders>
              <w:top w:val="nil"/>
              <w:left w:val="nil"/>
              <w:bottom w:val="single" w:sz="4" w:space="0" w:color="auto"/>
              <w:right w:val="single" w:sz="4" w:space="0" w:color="auto"/>
            </w:tcBorders>
            <w:shd w:val="clear" w:color="auto" w:fill="auto"/>
            <w:noWrap/>
            <w:hideMark/>
          </w:tcPr>
          <w:p w14:paraId="22A4CA1A" w14:textId="77777777" w:rsidR="00A325C8" w:rsidRPr="00691ABD" w:rsidRDefault="00A325C8" w:rsidP="001E39EE">
            <w:pPr>
              <w:jc w:val="right"/>
              <w:rPr>
                <w:sz w:val="20"/>
                <w:szCs w:val="20"/>
                <w:lang w:val="fr-CA" w:eastAsia="en-CA"/>
              </w:rPr>
            </w:pPr>
            <w:r w:rsidRPr="00691ABD">
              <w:rPr>
                <w:sz w:val="20"/>
                <w:szCs w:val="20"/>
                <w:lang w:val="fr-CA" w:eastAsia="en-CA"/>
              </w:rPr>
              <w:t>200</w:t>
            </w:r>
            <w:r>
              <w:rPr>
                <w:sz w:val="20"/>
                <w:szCs w:val="20"/>
                <w:lang w:val="fr-CA" w:eastAsia="en-CA"/>
              </w:rPr>
              <w:t xml:space="preserve"> </w:t>
            </w:r>
            <w:r w:rsidRPr="00691ABD">
              <w:rPr>
                <w:sz w:val="20"/>
                <w:szCs w:val="20"/>
                <w:lang w:val="fr-CA" w:eastAsia="en-CA"/>
              </w:rPr>
              <w:t>500</w:t>
            </w:r>
          </w:p>
        </w:tc>
        <w:tc>
          <w:tcPr>
            <w:tcW w:w="1250" w:type="dxa"/>
            <w:tcBorders>
              <w:top w:val="nil"/>
              <w:left w:val="nil"/>
              <w:bottom w:val="single" w:sz="4" w:space="0" w:color="auto"/>
              <w:right w:val="single" w:sz="4" w:space="0" w:color="auto"/>
            </w:tcBorders>
            <w:shd w:val="clear" w:color="auto" w:fill="auto"/>
            <w:noWrap/>
            <w:hideMark/>
          </w:tcPr>
          <w:p w14:paraId="26EA03C4" w14:textId="77777777" w:rsidR="00A325C8" w:rsidRPr="00691ABD" w:rsidRDefault="00A325C8" w:rsidP="001E39EE">
            <w:pPr>
              <w:jc w:val="right"/>
              <w:rPr>
                <w:sz w:val="20"/>
                <w:szCs w:val="20"/>
                <w:lang w:val="fr-CA" w:eastAsia="en-CA"/>
              </w:rPr>
            </w:pPr>
            <w:r w:rsidRPr="00691ABD">
              <w:rPr>
                <w:sz w:val="20"/>
                <w:szCs w:val="20"/>
                <w:lang w:val="fr-CA" w:eastAsia="en-CA"/>
              </w:rPr>
              <w:t>292</w:t>
            </w:r>
            <w:r>
              <w:rPr>
                <w:sz w:val="20"/>
                <w:szCs w:val="20"/>
                <w:lang w:val="fr-CA" w:eastAsia="en-CA"/>
              </w:rPr>
              <w:t xml:space="preserve"> </w:t>
            </w:r>
            <w:r w:rsidRPr="00691ABD">
              <w:rPr>
                <w:sz w:val="20"/>
                <w:szCs w:val="20"/>
                <w:lang w:val="fr-CA" w:eastAsia="en-CA"/>
              </w:rPr>
              <w:t>900</w:t>
            </w:r>
          </w:p>
        </w:tc>
        <w:tc>
          <w:tcPr>
            <w:tcW w:w="1050" w:type="dxa"/>
            <w:tcBorders>
              <w:top w:val="nil"/>
              <w:left w:val="nil"/>
              <w:bottom w:val="single" w:sz="4" w:space="0" w:color="auto"/>
              <w:right w:val="single" w:sz="4" w:space="0" w:color="auto"/>
            </w:tcBorders>
            <w:shd w:val="clear" w:color="auto" w:fill="auto"/>
            <w:noWrap/>
            <w:hideMark/>
          </w:tcPr>
          <w:p w14:paraId="7A9F3224" w14:textId="77777777" w:rsidR="00A325C8" w:rsidRPr="00691ABD" w:rsidRDefault="00A325C8" w:rsidP="001E39EE">
            <w:pPr>
              <w:jc w:val="right"/>
              <w:rPr>
                <w:sz w:val="20"/>
                <w:szCs w:val="20"/>
                <w:lang w:val="fr-CA" w:eastAsia="en-CA"/>
              </w:rPr>
            </w:pPr>
            <w:r w:rsidRPr="00691ABD">
              <w:rPr>
                <w:sz w:val="20"/>
                <w:szCs w:val="20"/>
                <w:lang w:val="fr-CA" w:eastAsia="en-CA"/>
              </w:rPr>
              <w:t>41</w:t>
            </w:r>
          </w:p>
        </w:tc>
      </w:tr>
      <w:tr w:rsidR="00A325C8" w:rsidRPr="00691ABD" w14:paraId="22E2FA2A"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A787A36" w14:textId="77777777" w:rsidR="00A325C8" w:rsidRPr="00691ABD" w:rsidRDefault="00A325C8" w:rsidP="001E39EE">
            <w:pPr>
              <w:jc w:val="left"/>
              <w:rPr>
                <w:sz w:val="20"/>
                <w:szCs w:val="20"/>
                <w:lang w:val="fr-CA" w:eastAsia="en-CA"/>
              </w:rPr>
            </w:pPr>
            <w:r>
              <w:rPr>
                <w:sz w:val="20"/>
                <w:szCs w:val="20"/>
                <w:lang w:val="fr-CA" w:eastAsia="en-CA"/>
              </w:rPr>
              <w:t>République dominicaine</w:t>
            </w:r>
          </w:p>
        </w:tc>
        <w:tc>
          <w:tcPr>
            <w:tcW w:w="1295" w:type="dxa"/>
            <w:tcBorders>
              <w:top w:val="nil"/>
              <w:left w:val="nil"/>
              <w:bottom w:val="single" w:sz="4" w:space="0" w:color="auto"/>
              <w:right w:val="single" w:sz="4" w:space="0" w:color="auto"/>
            </w:tcBorders>
            <w:shd w:val="clear" w:color="auto" w:fill="auto"/>
            <w:noWrap/>
            <w:hideMark/>
          </w:tcPr>
          <w:p w14:paraId="0AF542C9" w14:textId="77777777" w:rsidR="00A325C8" w:rsidRPr="00691ABD" w:rsidRDefault="00A325C8" w:rsidP="001E39EE">
            <w:pPr>
              <w:jc w:val="right"/>
              <w:rPr>
                <w:sz w:val="20"/>
                <w:szCs w:val="20"/>
                <w:lang w:val="fr-CA" w:eastAsia="en-CA"/>
              </w:rPr>
            </w:pPr>
            <w:r w:rsidRPr="00691ABD">
              <w:rPr>
                <w:sz w:val="20"/>
                <w:szCs w:val="20"/>
                <w:lang w:val="fr-CA" w:eastAsia="en-CA"/>
              </w:rPr>
              <w:t>12</w:t>
            </w:r>
            <w:r>
              <w:rPr>
                <w:sz w:val="20"/>
                <w:szCs w:val="20"/>
                <w:lang w:val="fr-CA" w:eastAsia="en-CA"/>
              </w:rPr>
              <w:t>,</w:t>
            </w:r>
            <w:r w:rsidRPr="00691ABD">
              <w:rPr>
                <w:sz w:val="20"/>
                <w:szCs w:val="20"/>
                <w:lang w:val="fr-CA" w:eastAsia="en-CA"/>
              </w:rPr>
              <w:t>5</w:t>
            </w:r>
          </w:p>
        </w:tc>
        <w:tc>
          <w:tcPr>
            <w:tcW w:w="1275" w:type="dxa"/>
            <w:tcBorders>
              <w:top w:val="nil"/>
              <w:left w:val="nil"/>
              <w:bottom w:val="single" w:sz="4" w:space="0" w:color="auto"/>
              <w:right w:val="single" w:sz="4" w:space="0" w:color="auto"/>
            </w:tcBorders>
            <w:shd w:val="clear" w:color="auto" w:fill="auto"/>
            <w:noWrap/>
            <w:hideMark/>
          </w:tcPr>
          <w:p w14:paraId="7E0FD256"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 xml:space="preserve"> </w:t>
            </w:r>
            <w:r w:rsidRPr="00691ABD">
              <w:rPr>
                <w:sz w:val="20"/>
                <w:szCs w:val="20"/>
                <w:lang w:val="fr-CA" w:eastAsia="en-CA"/>
              </w:rPr>
              <w:t>840</w:t>
            </w:r>
            <w:r>
              <w:rPr>
                <w:sz w:val="20"/>
                <w:szCs w:val="20"/>
                <w:lang w:val="fr-CA" w:eastAsia="en-CA"/>
              </w:rPr>
              <w:t xml:space="preserve"> </w:t>
            </w:r>
            <w:r w:rsidRPr="00691ABD">
              <w:rPr>
                <w:sz w:val="20"/>
                <w:szCs w:val="20"/>
                <w:lang w:val="fr-CA" w:eastAsia="en-CA"/>
              </w:rPr>
              <w:t>636</w:t>
            </w:r>
          </w:p>
        </w:tc>
        <w:tc>
          <w:tcPr>
            <w:tcW w:w="1276" w:type="dxa"/>
            <w:tcBorders>
              <w:top w:val="nil"/>
              <w:left w:val="nil"/>
              <w:bottom w:val="single" w:sz="4" w:space="0" w:color="auto"/>
              <w:right w:val="single" w:sz="4" w:space="0" w:color="auto"/>
            </w:tcBorders>
            <w:shd w:val="clear" w:color="auto" w:fill="auto"/>
            <w:noWrap/>
            <w:hideMark/>
          </w:tcPr>
          <w:p w14:paraId="40052BB9"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717</w:t>
            </w:r>
            <w:r>
              <w:rPr>
                <w:sz w:val="20"/>
                <w:szCs w:val="20"/>
                <w:lang w:val="fr-CA" w:eastAsia="en-CA"/>
              </w:rPr>
              <w:t xml:space="preserve"> </w:t>
            </w:r>
            <w:r w:rsidRPr="00691ABD">
              <w:rPr>
                <w:sz w:val="20"/>
                <w:szCs w:val="20"/>
                <w:lang w:val="fr-CA" w:eastAsia="en-CA"/>
              </w:rPr>
              <w:t>187</w:t>
            </w:r>
          </w:p>
        </w:tc>
        <w:tc>
          <w:tcPr>
            <w:tcW w:w="1250" w:type="dxa"/>
            <w:tcBorders>
              <w:top w:val="nil"/>
              <w:left w:val="nil"/>
              <w:bottom w:val="single" w:sz="4" w:space="0" w:color="auto"/>
              <w:right w:val="single" w:sz="4" w:space="0" w:color="auto"/>
            </w:tcBorders>
            <w:shd w:val="clear" w:color="auto" w:fill="auto"/>
            <w:noWrap/>
            <w:hideMark/>
          </w:tcPr>
          <w:p w14:paraId="216B2310"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123</w:t>
            </w:r>
            <w:r>
              <w:rPr>
                <w:sz w:val="20"/>
                <w:szCs w:val="20"/>
                <w:lang w:val="fr-CA" w:eastAsia="en-CA"/>
              </w:rPr>
              <w:t xml:space="preserve"> </w:t>
            </w:r>
            <w:r w:rsidRPr="00691ABD">
              <w:rPr>
                <w:sz w:val="20"/>
                <w:szCs w:val="20"/>
                <w:lang w:val="fr-CA" w:eastAsia="en-CA"/>
              </w:rPr>
              <w:t>449</w:t>
            </w:r>
          </w:p>
        </w:tc>
        <w:tc>
          <w:tcPr>
            <w:tcW w:w="1050" w:type="dxa"/>
            <w:tcBorders>
              <w:top w:val="nil"/>
              <w:left w:val="nil"/>
              <w:bottom w:val="single" w:sz="4" w:space="0" w:color="auto"/>
              <w:right w:val="single" w:sz="4" w:space="0" w:color="auto"/>
            </w:tcBorders>
            <w:shd w:val="clear" w:color="auto" w:fill="auto"/>
            <w:noWrap/>
            <w:hideMark/>
          </w:tcPr>
          <w:p w14:paraId="262CE1E6" w14:textId="77777777" w:rsidR="00A325C8" w:rsidRPr="00691ABD" w:rsidRDefault="00A325C8" w:rsidP="001E39EE">
            <w:pPr>
              <w:jc w:val="right"/>
              <w:rPr>
                <w:sz w:val="20"/>
                <w:szCs w:val="20"/>
                <w:lang w:val="fr-CA" w:eastAsia="en-CA"/>
              </w:rPr>
            </w:pPr>
            <w:r w:rsidRPr="00691ABD">
              <w:rPr>
                <w:sz w:val="20"/>
                <w:szCs w:val="20"/>
                <w:lang w:val="fr-CA" w:eastAsia="en-CA"/>
              </w:rPr>
              <w:t>71</w:t>
            </w:r>
          </w:p>
        </w:tc>
      </w:tr>
      <w:tr w:rsidR="00A325C8" w:rsidRPr="00691ABD" w14:paraId="039CDCB2" w14:textId="77777777" w:rsidTr="00691ABD">
        <w:trPr>
          <w:trHeight w:val="150"/>
        </w:trPr>
        <w:tc>
          <w:tcPr>
            <w:tcW w:w="3828" w:type="dxa"/>
            <w:tcBorders>
              <w:top w:val="nil"/>
              <w:left w:val="single" w:sz="4" w:space="0" w:color="auto"/>
              <w:bottom w:val="single" w:sz="4" w:space="0" w:color="auto"/>
              <w:right w:val="single" w:sz="4" w:space="0" w:color="auto"/>
            </w:tcBorders>
            <w:shd w:val="clear" w:color="auto" w:fill="auto"/>
            <w:noWrap/>
            <w:hideMark/>
          </w:tcPr>
          <w:p w14:paraId="78A3ED47" w14:textId="77777777" w:rsidR="00A325C8" w:rsidRPr="00691ABD" w:rsidRDefault="00A325C8" w:rsidP="001E39EE">
            <w:pPr>
              <w:ind w:right="-112"/>
              <w:jc w:val="left"/>
              <w:rPr>
                <w:sz w:val="20"/>
                <w:szCs w:val="20"/>
                <w:lang w:val="fr-CA" w:eastAsia="en-CA"/>
              </w:rPr>
            </w:pPr>
            <w:r>
              <w:rPr>
                <w:sz w:val="20"/>
                <w:szCs w:val="20"/>
                <w:lang w:val="fr-CA" w:eastAsia="en-CA"/>
              </w:rPr>
              <w:t>République populaire démocratique de Corée</w:t>
            </w:r>
          </w:p>
        </w:tc>
        <w:tc>
          <w:tcPr>
            <w:tcW w:w="1295" w:type="dxa"/>
            <w:tcBorders>
              <w:top w:val="nil"/>
              <w:left w:val="nil"/>
              <w:bottom w:val="single" w:sz="4" w:space="0" w:color="auto"/>
              <w:right w:val="single" w:sz="4" w:space="0" w:color="auto"/>
            </w:tcBorders>
            <w:shd w:val="clear" w:color="auto" w:fill="auto"/>
            <w:noWrap/>
            <w:hideMark/>
          </w:tcPr>
          <w:p w14:paraId="43D2BCB2" w14:textId="77777777" w:rsidR="00A325C8" w:rsidRPr="00691ABD" w:rsidRDefault="00A325C8" w:rsidP="001E39EE">
            <w:pPr>
              <w:jc w:val="right"/>
              <w:rPr>
                <w:sz w:val="20"/>
                <w:szCs w:val="20"/>
                <w:lang w:val="fr-CA" w:eastAsia="en-CA"/>
              </w:rPr>
            </w:pPr>
            <w:r w:rsidRPr="00691ABD">
              <w:rPr>
                <w:sz w:val="20"/>
                <w:szCs w:val="20"/>
                <w:lang w:val="fr-CA" w:eastAsia="en-CA"/>
              </w:rPr>
              <w:t>19</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069DD4E8" w14:textId="77777777" w:rsidR="00A325C8" w:rsidRPr="00691ABD" w:rsidRDefault="00A325C8" w:rsidP="001E39EE">
            <w:pPr>
              <w:jc w:val="right"/>
              <w:rPr>
                <w:sz w:val="20"/>
                <w:szCs w:val="20"/>
                <w:lang w:val="fr-CA" w:eastAsia="en-CA"/>
              </w:rPr>
            </w:pPr>
            <w:r w:rsidRPr="00691ABD">
              <w:rPr>
                <w:sz w:val="20"/>
                <w:szCs w:val="20"/>
                <w:lang w:val="fr-CA" w:eastAsia="en-CA"/>
              </w:rPr>
              <w:t>804</w:t>
            </w:r>
            <w:r>
              <w:rPr>
                <w:sz w:val="20"/>
                <w:szCs w:val="20"/>
                <w:lang w:val="fr-CA" w:eastAsia="en-CA"/>
              </w:rPr>
              <w:t xml:space="preserve"> </w:t>
            </w:r>
            <w:r w:rsidRPr="00691ABD">
              <w:rPr>
                <w:sz w:val="20"/>
                <w:szCs w:val="20"/>
                <w:lang w:val="fr-CA" w:eastAsia="en-CA"/>
              </w:rPr>
              <w:t>255</w:t>
            </w:r>
          </w:p>
        </w:tc>
        <w:tc>
          <w:tcPr>
            <w:tcW w:w="1276" w:type="dxa"/>
            <w:tcBorders>
              <w:top w:val="nil"/>
              <w:left w:val="nil"/>
              <w:bottom w:val="single" w:sz="4" w:space="0" w:color="auto"/>
              <w:right w:val="single" w:sz="4" w:space="0" w:color="auto"/>
            </w:tcBorders>
            <w:shd w:val="clear" w:color="auto" w:fill="auto"/>
            <w:noWrap/>
            <w:hideMark/>
          </w:tcPr>
          <w:p w14:paraId="6FFD6C65" w14:textId="77777777" w:rsidR="00A325C8" w:rsidRPr="00691ABD" w:rsidRDefault="00A325C8" w:rsidP="001E39EE">
            <w:pPr>
              <w:jc w:val="right"/>
              <w:rPr>
                <w:sz w:val="20"/>
                <w:szCs w:val="20"/>
                <w:lang w:val="fr-CA" w:eastAsia="en-CA"/>
              </w:rPr>
            </w:pPr>
            <w:r w:rsidRPr="00691ABD">
              <w:rPr>
                <w:sz w:val="20"/>
                <w:szCs w:val="20"/>
                <w:lang w:val="fr-CA" w:eastAsia="en-CA"/>
              </w:rPr>
              <w:t>271</w:t>
            </w:r>
            <w:r>
              <w:rPr>
                <w:sz w:val="20"/>
                <w:szCs w:val="20"/>
                <w:lang w:val="fr-CA" w:eastAsia="en-CA"/>
              </w:rPr>
              <w:t xml:space="preserve"> </w:t>
            </w:r>
            <w:r w:rsidRPr="00691ABD">
              <w:rPr>
                <w:sz w:val="20"/>
                <w:szCs w:val="20"/>
                <w:lang w:val="fr-CA" w:eastAsia="en-CA"/>
              </w:rPr>
              <w:t>048</w:t>
            </w:r>
          </w:p>
        </w:tc>
        <w:tc>
          <w:tcPr>
            <w:tcW w:w="1250" w:type="dxa"/>
            <w:tcBorders>
              <w:top w:val="nil"/>
              <w:left w:val="nil"/>
              <w:bottom w:val="single" w:sz="4" w:space="0" w:color="auto"/>
              <w:right w:val="single" w:sz="4" w:space="0" w:color="auto"/>
            </w:tcBorders>
            <w:shd w:val="clear" w:color="auto" w:fill="auto"/>
            <w:noWrap/>
            <w:hideMark/>
          </w:tcPr>
          <w:p w14:paraId="68344DA8" w14:textId="77777777" w:rsidR="00A325C8" w:rsidRPr="00691ABD" w:rsidRDefault="00A325C8" w:rsidP="001E39EE">
            <w:pPr>
              <w:jc w:val="right"/>
              <w:rPr>
                <w:sz w:val="20"/>
                <w:szCs w:val="20"/>
                <w:lang w:val="fr-CA" w:eastAsia="en-CA"/>
              </w:rPr>
            </w:pPr>
            <w:r w:rsidRPr="00691ABD">
              <w:rPr>
                <w:sz w:val="20"/>
                <w:szCs w:val="20"/>
                <w:lang w:val="fr-CA" w:eastAsia="en-CA"/>
              </w:rPr>
              <w:t>533</w:t>
            </w:r>
            <w:r>
              <w:rPr>
                <w:sz w:val="20"/>
                <w:szCs w:val="20"/>
                <w:lang w:val="fr-CA" w:eastAsia="en-CA"/>
              </w:rPr>
              <w:t xml:space="preserve"> </w:t>
            </w:r>
            <w:r w:rsidRPr="00691ABD">
              <w:rPr>
                <w:sz w:val="20"/>
                <w:szCs w:val="20"/>
                <w:lang w:val="fr-CA" w:eastAsia="en-CA"/>
              </w:rPr>
              <w:t>207</w:t>
            </w:r>
          </w:p>
        </w:tc>
        <w:tc>
          <w:tcPr>
            <w:tcW w:w="1050" w:type="dxa"/>
            <w:tcBorders>
              <w:top w:val="nil"/>
              <w:left w:val="nil"/>
              <w:bottom w:val="single" w:sz="4" w:space="0" w:color="auto"/>
              <w:right w:val="single" w:sz="4" w:space="0" w:color="auto"/>
            </w:tcBorders>
            <w:shd w:val="clear" w:color="auto" w:fill="auto"/>
            <w:noWrap/>
            <w:hideMark/>
          </w:tcPr>
          <w:p w14:paraId="399426AF" w14:textId="77777777" w:rsidR="00A325C8" w:rsidRPr="00691ABD" w:rsidRDefault="00A325C8" w:rsidP="001E39EE">
            <w:pPr>
              <w:jc w:val="right"/>
              <w:rPr>
                <w:sz w:val="20"/>
                <w:szCs w:val="20"/>
                <w:lang w:val="fr-CA" w:eastAsia="en-CA"/>
              </w:rPr>
            </w:pPr>
            <w:r w:rsidRPr="00691ABD">
              <w:rPr>
                <w:sz w:val="20"/>
                <w:szCs w:val="20"/>
                <w:lang w:val="fr-CA" w:eastAsia="en-CA"/>
              </w:rPr>
              <w:t>34</w:t>
            </w:r>
          </w:p>
        </w:tc>
      </w:tr>
      <w:tr w:rsidR="00A325C8" w:rsidRPr="00691ABD" w14:paraId="4582D2F2"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3CB5954" w14:textId="77777777" w:rsidR="00A325C8" w:rsidRPr="00691ABD" w:rsidRDefault="00A325C8" w:rsidP="00A325C8">
            <w:pPr>
              <w:jc w:val="left"/>
              <w:rPr>
                <w:sz w:val="20"/>
                <w:szCs w:val="20"/>
                <w:lang w:val="fr-CA" w:eastAsia="en-CA"/>
              </w:rPr>
            </w:pPr>
            <w:r>
              <w:rPr>
                <w:sz w:val="20"/>
                <w:szCs w:val="20"/>
                <w:lang w:val="fr-CA" w:eastAsia="en-CA"/>
              </w:rPr>
              <w:t>République unie de Tanzanie</w:t>
            </w:r>
          </w:p>
        </w:tc>
        <w:tc>
          <w:tcPr>
            <w:tcW w:w="1295" w:type="dxa"/>
            <w:tcBorders>
              <w:top w:val="nil"/>
              <w:left w:val="nil"/>
              <w:bottom w:val="single" w:sz="4" w:space="0" w:color="auto"/>
              <w:right w:val="single" w:sz="4" w:space="0" w:color="auto"/>
            </w:tcBorders>
            <w:shd w:val="clear" w:color="auto" w:fill="auto"/>
            <w:noWrap/>
            <w:hideMark/>
          </w:tcPr>
          <w:p w14:paraId="1B2EBBFE"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6AEEB5E5" w14:textId="77777777" w:rsidR="00A325C8" w:rsidRPr="00691ABD" w:rsidRDefault="00A325C8" w:rsidP="001E39EE">
            <w:pPr>
              <w:jc w:val="right"/>
              <w:rPr>
                <w:sz w:val="20"/>
                <w:szCs w:val="20"/>
                <w:lang w:val="fr-CA" w:eastAsia="en-CA"/>
              </w:rPr>
            </w:pPr>
            <w:r w:rsidRPr="00691ABD">
              <w:rPr>
                <w:sz w:val="20"/>
                <w:szCs w:val="20"/>
                <w:lang w:val="fr-CA" w:eastAsia="en-CA"/>
              </w:rPr>
              <w:t>209</w:t>
            </w:r>
            <w:r>
              <w:rPr>
                <w:sz w:val="20"/>
                <w:szCs w:val="20"/>
                <w:lang w:val="fr-CA" w:eastAsia="en-CA"/>
              </w:rPr>
              <w:t xml:space="preserve"> </w:t>
            </w:r>
            <w:r w:rsidRPr="00691ABD">
              <w:rPr>
                <w:sz w:val="20"/>
                <w:szCs w:val="20"/>
                <w:lang w:val="fr-CA" w:eastAsia="en-CA"/>
              </w:rPr>
              <w:t>875</w:t>
            </w:r>
          </w:p>
        </w:tc>
        <w:tc>
          <w:tcPr>
            <w:tcW w:w="1276" w:type="dxa"/>
            <w:tcBorders>
              <w:top w:val="nil"/>
              <w:left w:val="nil"/>
              <w:bottom w:val="single" w:sz="4" w:space="0" w:color="auto"/>
              <w:right w:val="single" w:sz="4" w:space="0" w:color="auto"/>
            </w:tcBorders>
            <w:shd w:val="clear" w:color="auto" w:fill="auto"/>
            <w:noWrap/>
            <w:hideMark/>
          </w:tcPr>
          <w:p w14:paraId="62C4FBFD" w14:textId="77777777" w:rsidR="00A325C8" w:rsidRPr="00691ABD" w:rsidRDefault="00A325C8" w:rsidP="001E39EE">
            <w:pPr>
              <w:jc w:val="right"/>
              <w:rPr>
                <w:sz w:val="20"/>
                <w:szCs w:val="20"/>
                <w:lang w:val="fr-CA" w:eastAsia="en-CA"/>
              </w:rPr>
            </w:pPr>
            <w:r w:rsidRPr="00691ABD">
              <w:rPr>
                <w:sz w:val="20"/>
                <w:szCs w:val="20"/>
                <w:lang w:val="fr-CA" w:eastAsia="en-CA"/>
              </w:rPr>
              <w:t>151</w:t>
            </w:r>
            <w:r>
              <w:rPr>
                <w:sz w:val="20"/>
                <w:szCs w:val="20"/>
                <w:lang w:val="fr-CA" w:eastAsia="en-CA"/>
              </w:rPr>
              <w:t xml:space="preserve"> </w:t>
            </w:r>
            <w:r w:rsidRPr="00691ABD">
              <w:rPr>
                <w:sz w:val="20"/>
                <w:szCs w:val="20"/>
                <w:lang w:val="fr-CA" w:eastAsia="en-CA"/>
              </w:rPr>
              <w:t>025</w:t>
            </w:r>
          </w:p>
        </w:tc>
        <w:tc>
          <w:tcPr>
            <w:tcW w:w="1250" w:type="dxa"/>
            <w:tcBorders>
              <w:top w:val="nil"/>
              <w:left w:val="nil"/>
              <w:bottom w:val="single" w:sz="4" w:space="0" w:color="auto"/>
              <w:right w:val="single" w:sz="4" w:space="0" w:color="auto"/>
            </w:tcBorders>
            <w:shd w:val="clear" w:color="auto" w:fill="auto"/>
            <w:noWrap/>
            <w:hideMark/>
          </w:tcPr>
          <w:p w14:paraId="3A040508" w14:textId="77777777" w:rsidR="00A325C8" w:rsidRPr="00691ABD" w:rsidRDefault="00A325C8" w:rsidP="001E39EE">
            <w:pPr>
              <w:jc w:val="right"/>
              <w:rPr>
                <w:sz w:val="20"/>
                <w:szCs w:val="20"/>
                <w:lang w:val="fr-CA" w:eastAsia="en-CA"/>
              </w:rPr>
            </w:pPr>
            <w:r w:rsidRPr="00691ABD">
              <w:rPr>
                <w:sz w:val="20"/>
                <w:szCs w:val="20"/>
                <w:lang w:val="fr-CA" w:eastAsia="en-CA"/>
              </w:rPr>
              <w:t>58</w:t>
            </w:r>
            <w:r>
              <w:rPr>
                <w:sz w:val="20"/>
                <w:szCs w:val="20"/>
                <w:lang w:val="fr-CA" w:eastAsia="en-CA"/>
              </w:rPr>
              <w:t xml:space="preserve"> </w:t>
            </w:r>
            <w:r w:rsidRPr="00691ABD">
              <w:rPr>
                <w:sz w:val="20"/>
                <w:szCs w:val="20"/>
                <w:lang w:val="fr-CA" w:eastAsia="en-CA"/>
              </w:rPr>
              <w:t>849</w:t>
            </w:r>
          </w:p>
        </w:tc>
        <w:tc>
          <w:tcPr>
            <w:tcW w:w="1050" w:type="dxa"/>
            <w:tcBorders>
              <w:top w:val="nil"/>
              <w:left w:val="nil"/>
              <w:bottom w:val="single" w:sz="4" w:space="0" w:color="auto"/>
              <w:right w:val="single" w:sz="4" w:space="0" w:color="auto"/>
            </w:tcBorders>
            <w:shd w:val="clear" w:color="auto" w:fill="auto"/>
            <w:noWrap/>
            <w:hideMark/>
          </w:tcPr>
          <w:p w14:paraId="4741E1DE" w14:textId="77777777" w:rsidR="00A325C8" w:rsidRPr="00691ABD" w:rsidRDefault="00A325C8" w:rsidP="001E39EE">
            <w:pPr>
              <w:jc w:val="right"/>
              <w:rPr>
                <w:sz w:val="20"/>
                <w:szCs w:val="20"/>
                <w:lang w:val="fr-CA" w:eastAsia="en-CA"/>
              </w:rPr>
            </w:pPr>
            <w:r w:rsidRPr="00691ABD">
              <w:rPr>
                <w:sz w:val="20"/>
                <w:szCs w:val="20"/>
                <w:lang w:val="fr-CA" w:eastAsia="en-CA"/>
              </w:rPr>
              <w:t>72</w:t>
            </w:r>
          </w:p>
        </w:tc>
      </w:tr>
      <w:tr w:rsidR="00A325C8" w:rsidRPr="00691ABD" w14:paraId="45ECC080" w14:textId="77777777" w:rsidTr="00691ABD">
        <w:trPr>
          <w:trHeight w:val="173"/>
        </w:trPr>
        <w:tc>
          <w:tcPr>
            <w:tcW w:w="3828" w:type="dxa"/>
            <w:tcBorders>
              <w:top w:val="nil"/>
              <w:left w:val="single" w:sz="4" w:space="0" w:color="auto"/>
              <w:bottom w:val="single" w:sz="4" w:space="0" w:color="auto"/>
              <w:right w:val="single" w:sz="4" w:space="0" w:color="auto"/>
            </w:tcBorders>
            <w:shd w:val="clear" w:color="auto" w:fill="auto"/>
            <w:noWrap/>
            <w:hideMark/>
          </w:tcPr>
          <w:p w14:paraId="46E36AD3" w14:textId="77777777" w:rsidR="00A325C8" w:rsidRPr="00691ABD" w:rsidRDefault="00A325C8" w:rsidP="001E39EE">
            <w:pPr>
              <w:jc w:val="left"/>
              <w:rPr>
                <w:sz w:val="20"/>
                <w:szCs w:val="20"/>
                <w:lang w:val="fr-CA" w:eastAsia="en-CA"/>
              </w:rPr>
            </w:pPr>
            <w:r w:rsidRPr="00691ABD">
              <w:rPr>
                <w:sz w:val="20"/>
                <w:szCs w:val="20"/>
                <w:lang w:val="fr-CA" w:eastAsia="en-CA"/>
              </w:rPr>
              <w:t>Rwanda</w:t>
            </w:r>
          </w:p>
        </w:tc>
        <w:tc>
          <w:tcPr>
            <w:tcW w:w="1295" w:type="dxa"/>
            <w:tcBorders>
              <w:top w:val="nil"/>
              <w:left w:val="nil"/>
              <w:bottom w:val="single" w:sz="4" w:space="0" w:color="auto"/>
              <w:right w:val="single" w:sz="4" w:space="0" w:color="auto"/>
            </w:tcBorders>
            <w:shd w:val="clear" w:color="auto" w:fill="auto"/>
            <w:noWrap/>
            <w:hideMark/>
          </w:tcPr>
          <w:p w14:paraId="1D86037C"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9</w:t>
            </w:r>
          </w:p>
        </w:tc>
        <w:tc>
          <w:tcPr>
            <w:tcW w:w="1275" w:type="dxa"/>
            <w:tcBorders>
              <w:top w:val="nil"/>
              <w:left w:val="nil"/>
              <w:bottom w:val="single" w:sz="4" w:space="0" w:color="auto"/>
              <w:right w:val="single" w:sz="4" w:space="0" w:color="auto"/>
            </w:tcBorders>
            <w:shd w:val="clear" w:color="auto" w:fill="auto"/>
            <w:noWrap/>
            <w:hideMark/>
          </w:tcPr>
          <w:p w14:paraId="394075ED" w14:textId="77777777" w:rsidR="00A325C8" w:rsidRPr="00691ABD" w:rsidRDefault="00A325C8" w:rsidP="001E39EE">
            <w:pPr>
              <w:jc w:val="right"/>
              <w:rPr>
                <w:sz w:val="20"/>
                <w:szCs w:val="20"/>
                <w:lang w:val="fr-CA" w:eastAsia="en-CA"/>
              </w:rPr>
            </w:pPr>
            <w:r w:rsidRPr="00691ABD">
              <w:rPr>
                <w:sz w:val="20"/>
                <w:szCs w:val="20"/>
                <w:lang w:val="fr-CA" w:eastAsia="en-CA"/>
              </w:rPr>
              <w:t>437</w:t>
            </w:r>
            <w:r>
              <w:rPr>
                <w:sz w:val="20"/>
                <w:szCs w:val="20"/>
                <w:lang w:val="fr-CA" w:eastAsia="en-CA"/>
              </w:rPr>
              <w:t xml:space="preserve"> </w:t>
            </w:r>
            <w:r w:rsidRPr="00691ABD">
              <w:rPr>
                <w:sz w:val="20"/>
                <w:szCs w:val="20"/>
                <w:lang w:val="fr-CA" w:eastAsia="en-CA"/>
              </w:rPr>
              <w:t>399</w:t>
            </w:r>
          </w:p>
        </w:tc>
        <w:tc>
          <w:tcPr>
            <w:tcW w:w="1276" w:type="dxa"/>
            <w:tcBorders>
              <w:top w:val="nil"/>
              <w:left w:val="nil"/>
              <w:bottom w:val="single" w:sz="4" w:space="0" w:color="auto"/>
              <w:right w:val="single" w:sz="4" w:space="0" w:color="auto"/>
            </w:tcBorders>
            <w:shd w:val="clear" w:color="auto" w:fill="auto"/>
            <w:noWrap/>
            <w:hideMark/>
          </w:tcPr>
          <w:p w14:paraId="78F8E2AE" w14:textId="77777777" w:rsidR="00A325C8" w:rsidRPr="00691ABD" w:rsidRDefault="00A325C8" w:rsidP="001E39EE">
            <w:pPr>
              <w:jc w:val="right"/>
              <w:rPr>
                <w:sz w:val="20"/>
                <w:szCs w:val="20"/>
                <w:lang w:val="fr-CA" w:eastAsia="en-CA"/>
              </w:rPr>
            </w:pPr>
            <w:r w:rsidRPr="00691ABD">
              <w:rPr>
                <w:sz w:val="20"/>
                <w:szCs w:val="20"/>
                <w:lang w:val="fr-CA" w:eastAsia="en-CA"/>
              </w:rPr>
              <w:t>219</w:t>
            </w:r>
            <w:r>
              <w:rPr>
                <w:sz w:val="20"/>
                <w:szCs w:val="20"/>
                <w:lang w:val="fr-CA" w:eastAsia="en-CA"/>
              </w:rPr>
              <w:t xml:space="preserve"> </w:t>
            </w:r>
            <w:r w:rsidRPr="00691ABD">
              <w:rPr>
                <w:sz w:val="20"/>
                <w:szCs w:val="20"/>
                <w:lang w:val="fr-CA" w:eastAsia="en-CA"/>
              </w:rPr>
              <w:t>063</w:t>
            </w:r>
          </w:p>
        </w:tc>
        <w:tc>
          <w:tcPr>
            <w:tcW w:w="1250" w:type="dxa"/>
            <w:tcBorders>
              <w:top w:val="nil"/>
              <w:left w:val="nil"/>
              <w:bottom w:val="single" w:sz="4" w:space="0" w:color="auto"/>
              <w:right w:val="single" w:sz="4" w:space="0" w:color="auto"/>
            </w:tcBorders>
            <w:shd w:val="clear" w:color="auto" w:fill="auto"/>
            <w:noWrap/>
            <w:hideMark/>
          </w:tcPr>
          <w:p w14:paraId="7F1D2864" w14:textId="77777777" w:rsidR="00A325C8" w:rsidRPr="00691ABD" w:rsidRDefault="00A325C8" w:rsidP="001E39EE">
            <w:pPr>
              <w:jc w:val="right"/>
              <w:rPr>
                <w:sz w:val="20"/>
                <w:szCs w:val="20"/>
                <w:lang w:val="fr-CA" w:eastAsia="en-CA"/>
              </w:rPr>
            </w:pPr>
            <w:r w:rsidRPr="00691ABD">
              <w:rPr>
                <w:sz w:val="20"/>
                <w:szCs w:val="20"/>
                <w:lang w:val="fr-CA" w:eastAsia="en-CA"/>
              </w:rPr>
              <w:t>218</w:t>
            </w:r>
            <w:r>
              <w:rPr>
                <w:sz w:val="20"/>
                <w:szCs w:val="20"/>
                <w:lang w:val="fr-CA" w:eastAsia="en-CA"/>
              </w:rPr>
              <w:t xml:space="preserve"> </w:t>
            </w:r>
            <w:r w:rsidRPr="00691ABD">
              <w:rPr>
                <w:sz w:val="20"/>
                <w:szCs w:val="20"/>
                <w:lang w:val="fr-CA" w:eastAsia="en-CA"/>
              </w:rPr>
              <w:t>336</w:t>
            </w:r>
          </w:p>
        </w:tc>
        <w:tc>
          <w:tcPr>
            <w:tcW w:w="1050" w:type="dxa"/>
            <w:tcBorders>
              <w:top w:val="nil"/>
              <w:left w:val="nil"/>
              <w:bottom w:val="single" w:sz="4" w:space="0" w:color="auto"/>
              <w:right w:val="single" w:sz="4" w:space="0" w:color="auto"/>
            </w:tcBorders>
            <w:shd w:val="clear" w:color="auto" w:fill="auto"/>
            <w:noWrap/>
            <w:hideMark/>
          </w:tcPr>
          <w:p w14:paraId="1CA375D9" w14:textId="77777777" w:rsidR="00A325C8" w:rsidRPr="00691ABD" w:rsidRDefault="00A325C8" w:rsidP="001E39EE">
            <w:pPr>
              <w:jc w:val="right"/>
              <w:rPr>
                <w:sz w:val="20"/>
                <w:szCs w:val="20"/>
                <w:lang w:val="fr-CA" w:eastAsia="en-CA"/>
              </w:rPr>
            </w:pPr>
            <w:r w:rsidRPr="00691ABD">
              <w:rPr>
                <w:sz w:val="20"/>
                <w:szCs w:val="20"/>
                <w:lang w:val="fr-CA" w:eastAsia="en-CA"/>
              </w:rPr>
              <w:t>50</w:t>
            </w:r>
          </w:p>
        </w:tc>
      </w:tr>
      <w:tr w:rsidR="00A325C8" w:rsidRPr="00691ABD" w14:paraId="17EB9A82" w14:textId="77777777" w:rsidTr="00691ABD">
        <w:trPr>
          <w:trHeight w:val="109"/>
        </w:trPr>
        <w:tc>
          <w:tcPr>
            <w:tcW w:w="3828" w:type="dxa"/>
            <w:tcBorders>
              <w:top w:val="nil"/>
              <w:left w:val="single" w:sz="4" w:space="0" w:color="auto"/>
              <w:bottom w:val="single" w:sz="4" w:space="0" w:color="auto"/>
              <w:right w:val="single" w:sz="4" w:space="0" w:color="auto"/>
            </w:tcBorders>
            <w:shd w:val="clear" w:color="auto" w:fill="auto"/>
            <w:noWrap/>
            <w:hideMark/>
          </w:tcPr>
          <w:p w14:paraId="26A1D0F5" w14:textId="77777777" w:rsidR="00A325C8" w:rsidRPr="00691ABD" w:rsidRDefault="00A325C8" w:rsidP="008028B2">
            <w:pPr>
              <w:jc w:val="left"/>
              <w:rPr>
                <w:sz w:val="20"/>
                <w:szCs w:val="20"/>
                <w:lang w:val="fr-CA" w:eastAsia="en-CA"/>
              </w:rPr>
            </w:pPr>
            <w:r w:rsidRPr="00691ABD">
              <w:rPr>
                <w:sz w:val="20"/>
                <w:szCs w:val="20"/>
                <w:lang w:val="fr-CA" w:eastAsia="en-CA"/>
              </w:rPr>
              <w:t>Saint</w:t>
            </w:r>
            <w:r>
              <w:rPr>
                <w:sz w:val="20"/>
                <w:szCs w:val="20"/>
                <w:lang w:val="fr-CA" w:eastAsia="en-CA"/>
              </w:rPr>
              <w:t>e-Lucie</w:t>
            </w:r>
          </w:p>
        </w:tc>
        <w:tc>
          <w:tcPr>
            <w:tcW w:w="1295" w:type="dxa"/>
            <w:tcBorders>
              <w:top w:val="nil"/>
              <w:left w:val="nil"/>
              <w:bottom w:val="single" w:sz="4" w:space="0" w:color="auto"/>
              <w:right w:val="single" w:sz="4" w:space="0" w:color="auto"/>
            </w:tcBorders>
            <w:shd w:val="clear" w:color="auto" w:fill="auto"/>
            <w:noWrap/>
            <w:hideMark/>
          </w:tcPr>
          <w:p w14:paraId="28DA1468"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514DA59C" w14:textId="77777777" w:rsidR="00A325C8" w:rsidRPr="00691ABD" w:rsidRDefault="00A325C8" w:rsidP="001E39EE">
            <w:pPr>
              <w:jc w:val="right"/>
              <w:rPr>
                <w:sz w:val="20"/>
                <w:szCs w:val="20"/>
                <w:lang w:val="fr-CA" w:eastAsia="en-CA"/>
              </w:rPr>
            </w:pPr>
            <w:r w:rsidRPr="00691ABD">
              <w:rPr>
                <w:sz w:val="20"/>
                <w:szCs w:val="20"/>
                <w:lang w:val="fr-CA" w:eastAsia="en-CA"/>
              </w:rPr>
              <w:t>184</w:t>
            </w:r>
            <w:r>
              <w:rPr>
                <w:sz w:val="20"/>
                <w:szCs w:val="20"/>
                <w:lang w:val="fr-CA" w:eastAsia="en-CA"/>
              </w:rPr>
              <w:t xml:space="preserve"> </w:t>
            </w:r>
            <w:r w:rsidRPr="00691ABD">
              <w:rPr>
                <w:sz w:val="20"/>
                <w:szCs w:val="20"/>
                <w:lang w:val="fr-CA" w:eastAsia="en-CA"/>
              </w:rPr>
              <w:t>418</w:t>
            </w:r>
          </w:p>
        </w:tc>
        <w:tc>
          <w:tcPr>
            <w:tcW w:w="1276" w:type="dxa"/>
            <w:tcBorders>
              <w:top w:val="nil"/>
              <w:left w:val="nil"/>
              <w:bottom w:val="single" w:sz="4" w:space="0" w:color="auto"/>
              <w:right w:val="single" w:sz="4" w:space="0" w:color="auto"/>
            </w:tcBorders>
            <w:shd w:val="clear" w:color="auto" w:fill="auto"/>
            <w:noWrap/>
            <w:hideMark/>
          </w:tcPr>
          <w:p w14:paraId="2AD7249E" w14:textId="77777777" w:rsidR="00A325C8" w:rsidRPr="00691ABD" w:rsidRDefault="00A325C8" w:rsidP="001E39EE">
            <w:pPr>
              <w:jc w:val="right"/>
              <w:rPr>
                <w:sz w:val="20"/>
                <w:szCs w:val="20"/>
                <w:lang w:val="fr-CA" w:eastAsia="en-CA"/>
              </w:rPr>
            </w:pPr>
            <w:r w:rsidRPr="00691ABD">
              <w:rPr>
                <w:sz w:val="20"/>
                <w:szCs w:val="20"/>
                <w:lang w:val="fr-CA" w:eastAsia="en-CA"/>
              </w:rPr>
              <w:t>175</w:t>
            </w:r>
            <w:r>
              <w:rPr>
                <w:sz w:val="20"/>
                <w:szCs w:val="20"/>
                <w:lang w:val="fr-CA" w:eastAsia="en-CA"/>
              </w:rPr>
              <w:t xml:space="preserve"> </w:t>
            </w:r>
            <w:r w:rsidRPr="00691ABD">
              <w:rPr>
                <w:sz w:val="20"/>
                <w:szCs w:val="20"/>
                <w:lang w:val="fr-CA" w:eastAsia="en-CA"/>
              </w:rPr>
              <w:t>218</w:t>
            </w:r>
          </w:p>
        </w:tc>
        <w:tc>
          <w:tcPr>
            <w:tcW w:w="1250" w:type="dxa"/>
            <w:tcBorders>
              <w:top w:val="nil"/>
              <w:left w:val="nil"/>
              <w:bottom w:val="single" w:sz="4" w:space="0" w:color="auto"/>
              <w:right w:val="single" w:sz="4" w:space="0" w:color="auto"/>
            </w:tcBorders>
            <w:shd w:val="clear" w:color="auto" w:fill="auto"/>
            <w:noWrap/>
            <w:hideMark/>
          </w:tcPr>
          <w:p w14:paraId="1AA49E2A" w14:textId="77777777" w:rsidR="00A325C8" w:rsidRPr="00691ABD" w:rsidRDefault="00A325C8" w:rsidP="001E39EE">
            <w:pPr>
              <w:jc w:val="right"/>
              <w:rPr>
                <w:sz w:val="20"/>
                <w:szCs w:val="20"/>
                <w:lang w:val="fr-CA" w:eastAsia="en-CA"/>
              </w:rPr>
            </w:pPr>
            <w:r w:rsidRPr="00691ABD">
              <w:rPr>
                <w:sz w:val="20"/>
                <w:szCs w:val="20"/>
                <w:lang w:val="fr-CA" w:eastAsia="en-CA"/>
              </w:rPr>
              <w:t>9</w:t>
            </w:r>
            <w:r>
              <w:rPr>
                <w:sz w:val="20"/>
                <w:szCs w:val="20"/>
                <w:lang w:val="fr-CA" w:eastAsia="en-CA"/>
              </w:rPr>
              <w:t xml:space="preserve"> </w:t>
            </w:r>
            <w:r w:rsidRPr="00691ABD">
              <w:rPr>
                <w:sz w:val="20"/>
                <w:szCs w:val="20"/>
                <w:lang w:val="fr-CA" w:eastAsia="en-CA"/>
              </w:rPr>
              <w:t>200</w:t>
            </w:r>
          </w:p>
        </w:tc>
        <w:tc>
          <w:tcPr>
            <w:tcW w:w="1050" w:type="dxa"/>
            <w:tcBorders>
              <w:top w:val="nil"/>
              <w:left w:val="nil"/>
              <w:bottom w:val="single" w:sz="4" w:space="0" w:color="auto"/>
              <w:right w:val="single" w:sz="4" w:space="0" w:color="auto"/>
            </w:tcBorders>
            <w:shd w:val="clear" w:color="auto" w:fill="auto"/>
            <w:noWrap/>
            <w:hideMark/>
          </w:tcPr>
          <w:p w14:paraId="38545FCA" w14:textId="77777777" w:rsidR="00A325C8" w:rsidRPr="00691ABD" w:rsidRDefault="00A325C8" w:rsidP="001E39EE">
            <w:pPr>
              <w:jc w:val="right"/>
              <w:rPr>
                <w:sz w:val="20"/>
                <w:szCs w:val="20"/>
                <w:lang w:val="fr-CA" w:eastAsia="en-CA"/>
              </w:rPr>
            </w:pPr>
            <w:r w:rsidRPr="00691ABD">
              <w:rPr>
                <w:sz w:val="20"/>
                <w:szCs w:val="20"/>
                <w:lang w:val="fr-CA" w:eastAsia="en-CA"/>
              </w:rPr>
              <w:t>95</w:t>
            </w:r>
          </w:p>
        </w:tc>
      </w:tr>
      <w:tr w:rsidR="00A325C8" w:rsidRPr="00691ABD" w14:paraId="11858001" w14:textId="77777777" w:rsidTr="00691ABD">
        <w:trPr>
          <w:trHeight w:val="76"/>
        </w:trPr>
        <w:tc>
          <w:tcPr>
            <w:tcW w:w="3828" w:type="dxa"/>
            <w:tcBorders>
              <w:top w:val="nil"/>
              <w:left w:val="single" w:sz="4" w:space="0" w:color="auto"/>
              <w:bottom w:val="single" w:sz="4" w:space="0" w:color="auto"/>
              <w:right w:val="single" w:sz="4" w:space="0" w:color="auto"/>
            </w:tcBorders>
            <w:shd w:val="clear" w:color="auto" w:fill="auto"/>
            <w:noWrap/>
            <w:hideMark/>
          </w:tcPr>
          <w:p w14:paraId="449323B3" w14:textId="77777777" w:rsidR="00A325C8" w:rsidRPr="00691ABD" w:rsidRDefault="00A325C8" w:rsidP="008028B2">
            <w:pPr>
              <w:jc w:val="left"/>
              <w:rPr>
                <w:sz w:val="20"/>
                <w:szCs w:val="20"/>
                <w:lang w:val="fr-CA" w:eastAsia="en-CA"/>
              </w:rPr>
            </w:pPr>
            <w:r w:rsidRPr="00691ABD">
              <w:rPr>
                <w:sz w:val="20"/>
                <w:szCs w:val="20"/>
                <w:lang w:val="fr-CA" w:eastAsia="en-CA"/>
              </w:rPr>
              <w:t>Saint</w:t>
            </w:r>
            <w:r>
              <w:rPr>
                <w:sz w:val="20"/>
                <w:szCs w:val="20"/>
                <w:lang w:val="fr-CA" w:eastAsia="en-CA"/>
              </w:rPr>
              <w:t>-</w:t>
            </w:r>
            <w:r w:rsidRPr="00691ABD">
              <w:rPr>
                <w:sz w:val="20"/>
                <w:szCs w:val="20"/>
                <w:lang w:val="fr-CA" w:eastAsia="en-CA"/>
              </w:rPr>
              <w:t>Kitts</w:t>
            </w:r>
            <w:r>
              <w:rPr>
                <w:sz w:val="20"/>
                <w:szCs w:val="20"/>
                <w:lang w:val="fr-CA" w:eastAsia="en-CA"/>
              </w:rPr>
              <w:t>-et-</w:t>
            </w:r>
            <w:r w:rsidRPr="00691ABD">
              <w:rPr>
                <w:sz w:val="20"/>
                <w:szCs w:val="20"/>
                <w:lang w:val="fr-CA" w:eastAsia="en-CA"/>
              </w:rPr>
              <w:t>Nevis</w:t>
            </w:r>
          </w:p>
        </w:tc>
        <w:tc>
          <w:tcPr>
            <w:tcW w:w="1295" w:type="dxa"/>
            <w:tcBorders>
              <w:top w:val="nil"/>
              <w:left w:val="nil"/>
              <w:bottom w:val="single" w:sz="4" w:space="0" w:color="auto"/>
              <w:right w:val="single" w:sz="4" w:space="0" w:color="auto"/>
            </w:tcBorders>
            <w:shd w:val="clear" w:color="auto" w:fill="auto"/>
            <w:noWrap/>
            <w:hideMark/>
          </w:tcPr>
          <w:p w14:paraId="5BCD65E3"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71CAA9D3" w14:textId="77777777" w:rsidR="00A325C8" w:rsidRPr="00691ABD" w:rsidRDefault="00A325C8" w:rsidP="001E39EE">
            <w:pPr>
              <w:jc w:val="right"/>
              <w:rPr>
                <w:sz w:val="20"/>
                <w:szCs w:val="20"/>
                <w:lang w:val="fr-CA" w:eastAsia="en-CA"/>
              </w:rPr>
            </w:pPr>
            <w:r w:rsidRPr="00691ABD">
              <w:rPr>
                <w:sz w:val="20"/>
                <w:szCs w:val="20"/>
                <w:lang w:val="fr-CA" w:eastAsia="en-CA"/>
              </w:rPr>
              <w:t>147</w:t>
            </w:r>
            <w:r>
              <w:rPr>
                <w:sz w:val="20"/>
                <w:szCs w:val="20"/>
                <w:lang w:val="fr-CA" w:eastAsia="en-CA"/>
              </w:rPr>
              <w:t xml:space="preserve"> </w:t>
            </w:r>
            <w:r w:rsidRPr="00691ABD">
              <w:rPr>
                <w:sz w:val="20"/>
                <w:szCs w:val="20"/>
                <w:lang w:val="fr-CA" w:eastAsia="en-CA"/>
              </w:rPr>
              <w:t>600</w:t>
            </w:r>
          </w:p>
        </w:tc>
        <w:tc>
          <w:tcPr>
            <w:tcW w:w="1276" w:type="dxa"/>
            <w:tcBorders>
              <w:top w:val="nil"/>
              <w:left w:val="nil"/>
              <w:bottom w:val="single" w:sz="4" w:space="0" w:color="auto"/>
              <w:right w:val="single" w:sz="4" w:space="0" w:color="auto"/>
            </w:tcBorders>
            <w:shd w:val="clear" w:color="auto" w:fill="auto"/>
            <w:noWrap/>
            <w:hideMark/>
          </w:tcPr>
          <w:p w14:paraId="06E2073B" w14:textId="77777777" w:rsidR="00A325C8" w:rsidRPr="00691ABD" w:rsidRDefault="00A325C8" w:rsidP="001E39EE">
            <w:pPr>
              <w:jc w:val="right"/>
              <w:rPr>
                <w:sz w:val="20"/>
                <w:szCs w:val="20"/>
                <w:lang w:val="fr-CA" w:eastAsia="en-CA"/>
              </w:rPr>
            </w:pPr>
            <w:r w:rsidRPr="00691ABD">
              <w:rPr>
                <w:sz w:val="20"/>
                <w:szCs w:val="20"/>
                <w:lang w:val="fr-CA" w:eastAsia="en-CA"/>
              </w:rPr>
              <w:t>98</w:t>
            </w:r>
            <w:r>
              <w:rPr>
                <w:sz w:val="20"/>
                <w:szCs w:val="20"/>
                <w:lang w:val="fr-CA" w:eastAsia="en-CA"/>
              </w:rPr>
              <w:t xml:space="preserve"> </w:t>
            </w:r>
            <w:r w:rsidRPr="00691ABD">
              <w:rPr>
                <w:sz w:val="20"/>
                <w:szCs w:val="20"/>
                <w:lang w:val="fr-CA" w:eastAsia="en-CA"/>
              </w:rPr>
              <w:t>342</w:t>
            </w:r>
          </w:p>
        </w:tc>
        <w:tc>
          <w:tcPr>
            <w:tcW w:w="1250" w:type="dxa"/>
            <w:tcBorders>
              <w:top w:val="nil"/>
              <w:left w:val="nil"/>
              <w:bottom w:val="single" w:sz="4" w:space="0" w:color="auto"/>
              <w:right w:val="single" w:sz="4" w:space="0" w:color="auto"/>
            </w:tcBorders>
            <w:shd w:val="clear" w:color="auto" w:fill="auto"/>
            <w:noWrap/>
            <w:hideMark/>
          </w:tcPr>
          <w:p w14:paraId="283C146A" w14:textId="77777777" w:rsidR="00A325C8" w:rsidRPr="00691ABD" w:rsidRDefault="00A325C8" w:rsidP="001E39EE">
            <w:pPr>
              <w:jc w:val="right"/>
              <w:rPr>
                <w:sz w:val="20"/>
                <w:szCs w:val="20"/>
                <w:lang w:val="fr-CA" w:eastAsia="en-CA"/>
              </w:rPr>
            </w:pPr>
            <w:r w:rsidRPr="00691ABD">
              <w:rPr>
                <w:sz w:val="20"/>
                <w:szCs w:val="20"/>
                <w:lang w:val="fr-CA" w:eastAsia="en-CA"/>
              </w:rPr>
              <w:t>49</w:t>
            </w:r>
            <w:r>
              <w:rPr>
                <w:sz w:val="20"/>
                <w:szCs w:val="20"/>
                <w:lang w:val="fr-CA" w:eastAsia="en-CA"/>
              </w:rPr>
              <w:t xml:space="preserve"> </w:t>
            </w:r>
            <w:r w:rsidRPr="00691ABD">
              <w:rPr>
                <w:sz w:val="20"/>
                <w:szCs w:val="20"/>
                <w:lang w:val="fr-CA" w:eastAsia="en-CA"/>
              </w:rPr>
              <w:t>258</w:t>
            </w:r>
          </w:p>
        </w:tc>
        <w:tc>
          <w:tcPr>
            <w:tcW w:w="1050" w:type="dxa"/>
            <w:tcBorders>
              <w:top w:val="nil"/>
              <w:left w:val="nil"/>
              <w:bottom w:val="single" w:sz="4" w:space="0" w:color="auto"/>
              <w:right w:val="single" w:sz="4" w:space="0" w:color="auto"/>
            </w:tcBorders>
            <w:shd w:val="clear" w:color="auto" w:fill="auto"/>
            <w:noWrap/>
            <w:hideMark/>
          </w:tcPr>
          <w:p w14:paraId="23E7DFE8" w14:textId="77777777" w:rsidR="00A325C8" w:rsidRPr="00691ABD" w:rsidRDefault="00A325C8" w:rsidP="001E39EE">
            <w:pPr>
              <w:jc w:val="right"/>
              <w:rPr>
                <w:sz w:val="20"/>
                <w:szCs w:val="20"/>
                <w:lang w:val="fr-CA" w:eastAsia="en-CA"/>
              </w:rPr>
            </w:pPr>
            <w:r w:rsidRPr="00691ABD">
              <w:rPr>
                <w:sz w:val="20"/>
                <w:szCs w:val="20"/>
                <w:lang w:val="fr-CA" w:eastAsia="en-CA"/>
              </w:rPr>
              <w:t>67</w:t>
            </w:r>
          </w:p>
        </w:tc>
      </w:tr>
      <w:tr w:rsidR="00A325C8" w:rsidRPr="00691ABD" w14:paraId="740E65EF"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98C6D18" w14:textId="77777777" w:rsidR="00A325C8" w:rsidRPr="00691ABD" w:rsidRDefault="00A325C8" w:rsidP="008028B2">
            <w:pPr>
              <w:jc w:val="left"/>
              <w:rPr>
                <w:sz w:val="20"/>
                <w:szCs w:val="20"/>
                <w:lang w:val="fr-CA" w:eastAsia="en-CA"/>
              </w:rPr>
            </w:pPr>
            <w:r>
              <w:rPr>
                <w:sz w:val="20"/>
                <w:szCs w:val="20"/>
                <w:lang w:val="fr-CA" w:eastAsia="en-CA"/>
              </w:rPr>
              <w:t>Saint-</w:t>
            </w:r>
            <w:r w:rsidRPr="00691ABD">
              <w:rPr>
                <w:sz w:val="20"/>
                <w:szCs w:val="20"/>
                <w:lang w:val="fr-CA" w:eastAsia="en-CA"/>
              </w:rPr>
              <w:t>Vincent</w:t>
            </w:r>
            <w:r>
              <w:rPr>
                <w:sz w:val="20"/>
                <w:szCs w:val="20"/>
                <w:lang w:val="fr-CA" w:eastAsia="en-CA"/>
              </w:rPr>
              <w:t>-et-les-</w:t>
            </w:r>
            <w:r w:rsidRPr="00691ABD">
              <w:rPr>
                <w:sz w:val="20"/>
                <w:szCs w:val="20"/>
                <w:lang w:val="fr-CA" w:eastAsia="en-CA"/>
              </w:rPr>
              <w:t>Grenadines</w:t>
            </w:r>
          </w:p>
        </w:tc>
        <w:tc>
          <w:tcPr>
            <w:tcW w:w="1295" w:type="dxa"/>
            <w:tcBorders>
              <w:top w:val="nil"/>
              <w:left w:val="nil"/>
              <w:bottom w:val="single" w:sz="4" w:space="0" w:color="auto"/>
              <w:right w:val="single" w:sz="4" w:space="0" w:color="auto"/>
            </w:tcBorders>
            <w:shd w:val="clear" w:color="auto" w:fill="auto"/>
            <w:noWrap/>
            <w:hideMark/>
          </w:tcPr>
          <w:p w14:paraId="2B421D8B"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2</w:t>
            </w:r>
          </w:p>
        </w:tc>
        <w:tc>
          <w:tcPr>
            <w:tcW w:w="1275" w:type="dxa"/>
            <w:tcBorders>
              <w:top w:val="nil"/>
              <w:left w:val="nil"/>
              <w:bottom w:val="single" w:sz="4" w:space="0" w:color="auto"/>
              <w:right w:val="single" w:sz="4" w:space="0" w:color="auto"/>
            </w:tcBorders>
            <w:shd w:val="clear" w:color="auto" w:fill="auto"/>
            <w:noWrap/>
            <w:hideMark/>
          </w:tcPr>
          <w:p w14:paraId="22741F96" w14:textId="77777777" w:rsidR="00A325C8" w:rsidRPr="00691ABD" w:rsidRDefault="00A325C8" w:rsidP="001E39EE">
            <w:pPr>
              <w:jc w:val="right"/>
              <w:rPr>
                <w:sz w:val="20"/>
                <w:szCs w:val="20"/>
                <w:lang w:val="fr-CA" w:eastAsia="en-CA"/>
              </w:rPr>
            </w:pPr>
            <w:r w:rsidRPr="00691ABD">
              <w:rPr>
                <w:sz w:val="20"/>
                <w:szCs w:val="20"/>
                <w:lang w:val="fr-CA" w:eastAsia="en-CA"/>
              </w:rPr>
              <w:t>421</w:t>
            </w:r>
            <w:r>
              <w:rPr>
                <w:sz w:val="20"/>
                <w:szCs w:val="20"/>
                <w:lang w:val="fr-CA" w:eastAsia="en-CA"/>
              </w:rPr>
              <w:t xml:space="preserve"> </w:t>
            </w:r>
            <w:r w:rsidRPr="00691ABD">
              <w:rPr>
                <w:sz w:val="20"/>
                <w:szCs w:val="20"/>
                <w:lang w:val="fr-CA" w:eastAsia="en-CA"/>
              </w:rPr>
              <w:t>951</w:t>
            </w:r>
          </w:p>
        </w:tc>
        <w:tc>
          <w:tcPr>
            <w:tcW w:w="1276" w:type="dxa"/>
            <w:tcBorders>
              <w:top w:val="nil"/>
              <w:left w:val="nil"/>
              <w:bottom w:val="single" w:sz="4" w:space="0" w:color="auto"/>
              <w:right w:val="single" w:sz="4" w:space="0" w:color="auto"/>
            </w:tcBorders>
            <w:shd w:val="clear" w:color="auto" w:fill="auto"/>
            <w:noWrap/>
            <w:hideMark/>
          </w:tcPr>
          <w:p w14:paraId="5BEC78E9" w14:textId="77777777" w:rsidR="00A325C8" w:rsidRPr="00691ABD" w:rsidRDefault="00A325C8" w:rsidP="001E39EE">
            <w:pPr>
              <w:jc w:val="right"/>
              <w:rPr>
                <w:sz w:val="20"/>
                <w:szCs w:val="20"/>
                <w:lang w:val="fr-CA" w:eastAsia="en-CA"/>
              </w:rPr>
            </w:pPr>
            <w:r w:rsidRPr="00691ABD">
              <w:rPr>
                <w:sz w:val="20"/>
                <w:szCs w:val="20"/>
                <w:lang w:val="fr-CA" w:eastAsia="en-CA"/>
              </w:rPr>
              <w:t>252</w:t>
            </w:r>
            <w:r>
              <w:rPr>
                <w:sz w:val="20"/>
                <w:szCs w:val="20"/>
                <w:lang w:val="fr-CA" w:eastAsia="en-CA"/>
              </w:rPr>
              <w:t xml:space="preserve"> </w:t>
            </w:r>
            <w:r w:rsidRPr="00691ABD">
              <w:rPr>
                <w:sz w:val="20"/>
                <w:szCs w:val="20"/>
                <w:lang w:val="fr-CA" w:eastAsia="en-CA"/>
              </w:rPr>
              <w:t>365</w:t>
            </w:r>
          </w:p>
        </w:tc>
        <w:tc>
          <w:tcPr>
            <w:tcW w:w="1250" w:type="dxa"/>
            <w:tcBorders>
              <w:top w:val="nil"/>
              <w:left w:val="nil"/>
              <w:bottom w:val="single" w:sz="4" w:space="0" w:color="auto"/>
              <w:right w:val="single" w:sz="4" w:space="0" w:color="auto"/>
            </w:tcBorders>
            <w:shd w:val="clear" w:color="auto" w:fill="auto"/>
            <w:noWrap/>
            <w:hideMark/>
          </w:tcPr>
          <w:p w14:paraId="19E75E0F" w14:textId="77777777" w:rsidR="00A325C8" w:rsidRPr="00691ABD" w:rsidRDefault="00A325C8" w:rsidP="001E39EE">
            <w:pPr>
              <w:jc w:val="right"/>
              <w:rPr>
                <w:sz w:val="20"/>
                <w:szCs w:val="20"/>
                <w:lang w:val="fr-CA" w:eastAsia="en-CA"/>
              </w:rPr>
            </w:pPr>
            <w:r w:rsidRPr="00691ABD">
              <w:rPr>
                <w:sz w:val="20"/>
                <w:szCs w:val="20"/>
                <w:lang w:val="fr-CA" w:eastAsia="en-CA"/>
              </w:rPr>
              <w:t>169</w:t>
            </w:r>
            <w:r>
              <w:rPr>
                <w:sz w:val="20"/>
                <w:szCs w:val="20"/>
                <w:lang w:val="fr-CA" w:eastAsia="en-CA"/>
              </w:rPr>
              <w:t xml:space="preserve"> </w:t>
            </w:r>
            <w:r w:rsidRPr="00691ABD">
              <w:rPr>
                <w:sz w:val="20"/>
                <w:szCs w:val="20"/>
                <w:lang w:val="fr-CA" w:eastAsia="en-CA"/>
              </w:rPr>
              <w:t>586</w:t>
            </w:r>
          </w:p>
        </w:tc>
        <w:tc>
          <w:tcPr>
            <w:tcW w:w="1050" w:type="dxa"/>
            <w:tcBorders>
              <w:top w:val="nil"/>
              <w:left w:val="nil"/>
              <w:bottom w:val="single" w:sz="4" w:space="0" w:color="auto"/>
              <w:right w:val="single" w:sz="4" w:space="0" w:color="auto"/>
            </w:tcBorders>
            <w:shd w:val="clear" w:color="auto" w:fill="auto"/>
            <w:noWrap/>
            <w:hideMark/>
          </w:tcPr>
          <w:p w14:paraId="5C103000" w14:textId="77777777" w:rsidR="00A325C8" w:rsidRPr="00691ABD" w:rsidRDefault="00A325C8" w:rsidP="001E39EE">
            <w:pPr>
              <w:jc w:val="right"/>
              <w:rPr>
                <w:sz w:val="20"/>
                <w:szCs w:val="20"/>
                <w:lang w:val="fr-CA" w:eastAsia="en-CA"/>
              </w:rPr>
            </w:pPr>
            <w:r w:rsidRPr="00691ABD">
              <w:rPr>
                <w:sz w:val="20"/>
                <w:szCs w:val="20"/>
                <w:lang w:val="fr-CA" w:eastAsia="en-CA"/>
              </w:rPr>
              <w:t>60</w:t>
            </w:r>
          </w:p>
        </w:tc>
      </w:tr>
      <w:tr w:rsidR="00A325C8" w:rsidRPr="00691ABD" w14:paraId="5EC2261C" w14:textId="77777777" w:rsidTr="00691ABD">
        <w:trPr>
          <w:trHeight w:val="59"/>
        </w:trPr>
        <w:tc>
          <w:tcPr>
            <w:tcW w:w="3828" w:type="dxa"/>
            <w:tcBorders>
              <w:top w:val="nil"/>
              <w:left w:val="single" w:sz="4" w:space="0" w:color="auto"/>
              <w:bottom w:val="single" w:sz="4" w:space="0" w:color="auto"/>
              <w:right w:val="single" w:sz="4" w:space="0" w:color="auto"/>
            </w:tcBorders>
            <w:shd w:val="clear" w:color="auto" w:fill="auto"/>
            <w:noWrap/>
            <w:hideMark/>
          </w:tcPr>
          <w:p w14:paraId="67697E47" w14:textId="77777777" w:rsidR="00A325C8" w:rsidRPr="00691ABD" w:rsidRDefault="00A325C8" w:rsidP="001E39EE">
            <w:pPr>
              <w:jc w:val="left"/>
              <w:rPr>
                <w:sz w:val="20"/>
                <w:szCs w:val="20"/>
                <w:lang w:val="fr-CA" w:eastAsia="en-CA"/>
              </w:rPr>
            </w:pPr>
            <w:r w:rsidRPr="00691ABD">
              <w:rPr>
                <w:sz w:val="20"/>
                <w:szCs w:val="20"/>
                <w:lang w:val="fr-CA" w:eastAsia="en-CA"/>
              </w:rPr>
              <w:t>Samoa</w:t>
            </w:r>
          </w:p>
        </w:tc>
        <w:tc>
          <w:tcPr>
            <w:tcW w:w="1295" w:type="dxa"/>
            <w:tcBorders>
              <w:top w:val="nil"/>
              <w:left w:val="nil"/>
              <w:bottom w:val="single" w:sz="4" w:space="0" w:color="auto"/>
              <w:right w:val="single" w:sz="4" w:space="0" w:color="auto"/>
            </w:tcBorders>
            <w:shd w:val="clear" w:color="auto" w:fill="auto"/>
            <w:noWrap/>
            <w:hideMark/>
          </w:tcPr>
          <w:p w14:paraId="551E5EC1"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2</w:t>
            </w:r>
          </w:p>
        </w:tc>
        <w:tc>
          <w:tcPr>
            <w:tcW w:w="1275" w:type="dxa"/>
            <w:tcBorders>
              <w:top w:val="nil"/>
              <w:left w:val="nil"/>
              <w:bottom w:val="single" w:sz="4" w:space="0" w:color="auto"/>
              <w:right w:val="single" w:sz="4" w:space="0" w:color="auto"/>
            </w:tcBorders>
            <w:shd w:val="clear" w:color="auto" w:fill="auto"/>
            <w:noWrap/>
            <w:hideMark/>
          </w:tcPr>
          <w:p w14:paraId="092600B6" w14:textId="77777777" w:rsidR="00A325C8" w:rsidRPr="00691ABD" w:rsidRDefault="00A325C8" w:rsidP="001E39EE">
            <w:pPr>
              <w:jc w:val="right"/>
              <w:rPr>
                <w:sz w:val="20"/>
                <w:szCs w:val="20"/>
                <w:lang w:val="fr-CA" w:eastAsia="en-CA"/>
              </w:rPr>
            </w:pPr>
            <w:r w:rsidRPr="00691ABD">
              <w:rPr>
                <w:sz w:val="20"/>
                <w:szCs w:val="20"/>
                <w:lang w:val="fr-CA" w:eastAsia="en-CA"/>
              </w:rPr>
              <w:t>344</w:t>
            </w:r>
            <w:r>
              <w:rPr>
                <w:sz w:val="20"/>
                <w:szCs w:val="20"/>
                <w:lang w:val="fr-CA" w:eastAsia="en-CA"/>
              </w:rPr>
              <w:t xml:space="preserve"> </w:t>
            </w:r>
            <w:r w:rsidRPr="00691ABD">
              <w:rPr>
                <w:sz w:val="20"/>
                <w:szCs w:val="20"/>
                <w:lang w:val="fr-CA" w:eastAsia="en-CA"/>
              </w:rPr>
              <w:t>450</w:t>
            </w:r>
          </w:p>
        </w:tc>
        <w:tc>
          <w:tcPr>
            <w:tcW w:w="1276" w:type="dxa"/>
            <w:tcBorders>
              <w:top w:val="nil"/>
              <w:left w:val="nil"/>
              <w:bottom w:val="single" w:sz="4" w:space="0" w:color="auto"/>
              <w:right w:val="single" w:sz="4" w:space="0" w:color="auto"/>
            </w:tcBorders>
            <w:shd w:val="clear" w:color="auto" w:fill="auto"/>
            <w:noWrap/>
            <w:hideMark/>
          </w:tcPr>
          <w:p w14:paraId="11F5FD7E" w14:textId="77777777" w:rsidR="00A325C8" w:rsidRPr="00691ABD" w:rsidRDefault="00A325C8" w:rsidP="001E39EE">
            <w:pPr>
              <w:jc w:val="right"/>
              <w:rPr>
                <w:sz w:val="20"/>
                <w:szCs w:val="20"/>
                <w:lang w:val="fr-CA" w:eastAsia="en-CA"/>
              </w:rPr>
            </w:pPr>
            <w:r w:rsidRPr="00691ABD">
              <w:rPr>
                <w:sz w:val="20"/>
                <w:szCs w:val="20"/>
                <w:lang w:val="fr-CA" w:eastAsia="en-CA"/>
              </w:rPr>
              <w:t>139</w:t>
            </w:r>
            <w:r>
              <w:rPr>
                <w:sz w:val="20"/>
                <w:szCs w:val="20"/>
                <w:lang w:val="fr-CA" w:eastAsia="en-CA"/>
              </w:rPr>
              <w:t xml:space="preserve"> </w:t>
            </w:r>
            <w:r w:rsidRPr="00691ABD">
              <w:rPr>
                <w:sz w:val="20"/>
                <w:szCs w:val="20"/>
                <w:lang w:val="fr-CA" w:eastAsia="en-CA"/>
              </w:rPr>
              <w:t>650</w:t>
            </w:r>
          </w:p>
        </w:tc>
        <w:tc>
          <w:tcPr>
            <w:tcW w:w="1250" w:type="dxa"/>
            <w:tcBorders>
              <w:top w:val="nil"/>
              <w:left w:val="nil"/>
              <w:bottom w:val="single" w:sz="4" w:space="0" w:color="auto"/>
              <w:right w:val="single" w:sz="4" w:space="0" w:color="auto"/>
            </w:tcBorders>
            <w:shd w:val="clear" w:color="auto" w:fill="auto"/>
            <w:noWrap/>
            <w:hideMark/>
          </w:tcPr>
          <w:p w14:paraId="250A872B" w14:textId="77777777" w:rsidR="00A325C8" w:rsidRPr="00691ABD" w:rsidRDefault="00A325C8" w:rsidP="001E39EE">
            <w:pPr>
              <w:jc w:val="right"/>
              <w:rPr>
                <w:sz w:val="20"/>
                <w:szCs w:val="20"/>
                <w:lang w:val="fr-CA" w:eastAsia="en-CA"/>
              </w:rPr>
            </w:pPr>
            <w:r w:rsidRPr="00691ABD">
              <w:rPr>
                <w:sz w:val="20"/>
                <w:szCs w:val="20"/>
                <w:lang w:val="fr-CA" w:eastAsia="en-CA"/>
              </w:rPr>
              <w:t>204</w:t>
            </w:r>
            <w:r>
              <w:rPr>
                <w:sz w:val="20"/>
                <w:szCs w:val="20"/>
                <w:lang w:val="fr-CA" w:eastAsia="en-CA"/>
              </w:rPr>
              <w:t xml:space="preserve"> </w:t>
            </w:r>
            <w:r w:rsidRPr="00691ABD">
              <w:rPr>
                <w:sz w:val="20"/>
                <w:szCs w:val="20"/>
                <w:lang w:val="fr-CA" w:eastAsia="en-CA"/>
              </w:rPr>
              <w:t>800</w:t>
            </w:r>
          </w:p>
        </w:tc>
        <w:tc>
          <w:tcPr>
            <w:tcW w:w="1050" w:type="dxa"/>
            <w:tcBorders>
              <w:top w:val="nil"/>
              <w:left w:val="nil"/>
              <w:bottom w:val="single" w:sz="4" w:space="0" w:color="auto"/>
              <w:right w:val="single" w:sz="4" w:space="0" w:color="auto"/>
            </w:tcBorders>
            <w:shd w:val="clear" w:color="auto" w:fill="auto"/>
            <w:noWrap/>
            <w:hideMark/>
          </w:tcPr>
          <w:p w14:paraId="1FF03F89" w14:textId="77777777" w:rsidR="00A325C8" w:rsidRPr="00691ABD" w:rsidRDefault="00A325C8" w:rsidP="001E39EE">
            <w:pPr>
              <w:jc w:val="right"/>
              <w:rPr>
                <w:sz w:val="20"/>
                <w:szCs w:val="20"/>
                <w:lang w:val="fr-CA" w:eastAsia="en-CA"/>
              </w:rPr>
            </w:pPr>
            <w:r w:rsidRPr="00691ABD">
              <w:rPr>
                <w:sz w:val="20"/>
                <w:szCs w:val="20"/>
                <w:lang w:val="fr-CA" w:eastAsia="en-CA"/>
              </w:rPr>
              <w:t>41</w:t>
            </w:r>
          </w:p>
        </w:tc>
      </w:tr>
      <w:tr w:rsidR="00A325C8" w:rsidRPr="00691ABD" w14:paraId="07200681" w14:textId="77777777" w:rsidTr="00691ABD">
        <w:trPr>
          <w:trHeight w:val="105"/>
        </w:trPr>
        <w:tc>
          <w:tcPr>
            <w:tcW w:w="3828" w:type="dxa"/>
            <w:tcBorders>
              <w:top w:val="nil"/>
              <w:left w:val="single" w:sz="4" w:space="0" w:color="auto"/>
              <w:bottom w:val="single" w:sz="4" w:space="0" w:color="auto"/>
              <w:right w:val="single" w:sz="4" w:space="0" w:color="auto"/>
            </w:tcBorders>
            <w:shd w:val="clear" w:color="auto" w:fill="auto"/>
            <w:noWrap/>
            <w:hideMark/>
          </w:tcPr>
          <w:p w14:paraId="593CFAFA" w14:textId="77777777" w:rsidR="00A325C8" w:rsidRPr="00691ABD" w:rsidRDefault="00A325C8" w:rsidP="008028B2">
            <w:pPr>
              <w:jc w:val="left"/>
              <w:rPr>
                <w:sz w:val="20"/>
                <w:szCs w:val="20"/>
                <w:lang w:val="fr-CA" w:eastAsia="en-CA"/>
              </w:rPr>
            </w:pPr>
            <w:r w:rsidRPr="00691ABD">
              <w:rPr>
                <w:sz w:val="20"/>
                <w:szCs w:val="20"/>
                <w:lang w:val="fr-CA" w:eastAsia="en-CA"/>
              </w:rPr>
              <w:t>Sao Tom</w:t>
            </w:r>
            <w:r>
              <w:rPr>
                <w:sz w:val="20"/>
                <w:szCs w:val="20"/>
                <w:lang w:val="fr-CA" w:eastAsia="en-CA"/>
              </w:rPr>
              <w:t>é-et-</w:t>
            </w:r>
            <w:r w:rsidRPr="00691ABD">
              <w:rPr>
                <w:sz w:val="20"/>
                <w:szCs w:val="20"/>
                <w:lang w:val="fr-CA" w:eastAsia="en-CA"/>
              </w:rPr>
              <w:t>Principe</w:t>
            </w:r>
          </w:p>
        </w:tc>
        <w:tc>
          <w:tcPr>
            <w:tcW w:w="1295" w:type="dxa"/>
            <w:tcBorders>
              <w:top w:val="nil"/>
              <w:left w:val="nil"/>
              <w:bottom w:val="single" w:sz="4" w:space="0" w:color="auto"/>
              <w:right w:val="single" w:sz="4" w:space="0" w:color="auto"/>
            </w:tcBorders>
            <w:shd w:val="clear" w:color="auto" w:fill="auto"/>
            <w:noWrap/>
            <w:hideMark/>
          </w:tcPr>
          <w:p w14:paraId="13753DDD"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13D2F020" w14:textId="77777777" w:rsidR="00A325C8" w:rsidRPr="00691ABD" w:rsidRDefault="00A325C8" w:rsidP="001E39EE">
            <w:pPr>
              <w:jc w:val="right"/>
              <w:rPr>
                <w:sz w:val="20"/>
                <w:szCs w:val="20"/>
                <w:lang w:val="fr-CA" w:eastAsia="en-CA"/>
              </w:rPr>
            </w:pPr>
            <w:r w:rsidRPr="00691ABD">
              <w:rPr>
                <w:sz w:val="20"/>
                <w:szCs w:val="20"/>
                <w:lang w:val="fr-CA" w:eastAsia="en-CA"/>
              </w:rPr>
              <w:t>155</w:t>
            </w:r>
            <w:r>
              <w:rPr>
                <w:sz w:val="20"/>
                <w:szCs w:val="20"/>
                <w:lang w:val="fr-CA" w:eastAsia="en-CA"/>
              </w:rPr>
              <w:t xml:space="preserve"> </w:t>
            </w:r>
            <w:r w:rsidRPr="00691ABD">
              <w:rPr>
                <w:sz w:val="20"/>
                <w:szCs w:val="20"/>
                <w:lang w:val="fr-CA" w:eastAsia="en-CA"/>
              </w:rPr>
              <w:t>012</w:t>
            </w:r>
          </w:p>
        </w:tc>
        <w:tc>
          <w:tcPr>
            <w:tcW w:w="1276" w:type="dxa"/>
            <w:tcBorders>
              <w:top w:val="nil"/>
              <w:left w:val="nil"/>
              <w:bottom w:val="single" w:sz="4" w:space="0" w:color="auto"/>
              <w:right w:val="single" w:sz="4" w:space="0" w:color="auto"/>
            </w:tcBorders>
            <w:shd w:val="clear" w:color="auto" w:fill="auto"/>
            <w:noWrap/>
            <w:hideMark/>
          </w:tcPr>
          <w:p w14:paraId="1E52AEE1" w14:textId="77777777" w:rsidR="00A325C8" w:rsidRPr="00691ABD" w:rsidRDefault="00A325C8" w:rsidP="001E39EE">
            <w:pPr>
              <w:jc w:val="right"/>
              <w:rPr>
                <w:sz w:val="20"/>
                <w:szCs w:val="20"/>
                <w:lang w:val="fr-CA" w:eastAsia="en-CA"/>
              </w:rPr>
            </w:pPr>
            <w:r w:rsidRPr="00691ABD">
              <w:rPr>
                <w:sz w:val="20"/>
                <w:szCs w:val="20"/>
                <w:lang w:val="fr-CA" w:eastAsia="en-CA"/>
              </w:rPr>
              <w:t>123</w:t>
            </w:r>
            <w:r>
              <w:rPr>
                <w:sz w:val="20"/>
                <w:szCs w:val="20"/>
                <w:lang w:val="fr-CA" w:eastAsia="en-CA"/>
              </w:rPr>
              <w:t xml:space="preserve"> </w:t>
            </w:r>
            <w:r w:rsidRPr="00691ABD">
              <w:rPr>
                <w:sz w:val="20"/>
                <w:szCs w:val="20"/>
                <w:lang w:val="fr-CA" w:eastAsia="en-CA"/>
              </w:rPr>
              <w:t>088</w:t>
            </w:r>
          </w:p>
        </w:tc>
        <w:tc>
          <w:tcPr>
            <w:tcW w:w="1250" w:type="dxa"/>
            <w:tcBorders>
              <w:top w:val="nil"/>
              <w:left w:val="nil"/>
              <w:bottom w:val="single" w:sz="4" w:space="0" w:color="auto"/>
              <w:right w:val="single" w:sz="4" w:space="0" w:color="auto"/>
            </w:tcBorders>
            <w:shd w:val="clear" w:color="auto" w:fill="auto"/>
            <w:noWrap/>
            <w:hideMark/>
          </w:tcPr>
          <w:p w14:paraId="650BAA81" w14:textId="77777777" w:rsidR="00A325C8" w:rsidRPr="00691ABD" w:rsidRDefault="00A325C8" w:rsidP="001E39EE">
            <w:pPr>
              <w:jc w:val="right"/>
              <w:rPr>
                <w:sz w:val="20"/>
                <w:szCs w:val="20"/>
                <w:lang w:val="fr-CA" w:eastAsia="en-CA"/>
              </w:rPr>
            </w:pPr>
            <w:r w:rsidRPr="00691ABD">
              <w:rPr>
                <w:sz w:val="20"/>
                <w:szCs w:val="20"/>
                <w:lang w:val="fr-CA" w:eastAsia="en-CA"/>
              </w:rPr>
              <w:t>31</w:t>
            </w:r>
            <w:r>
              <w:rPr>
                <w:sz w:val="20"/>
                <w:szCs w:val="20"/>
                <w:lang w:val="fr-CA" w:eastAsia="en-CA"/>
              </w:rPr>
              <w:t xml:space="preserve"> </w:t>
            </w:r>
            <w:r w:rsidRPr="00691ABD">
              <w:rPr>
                <w:sz w:val="20"/>
                <w:szCs w:val="20"/>
                <w:lang w:val="fr-CA" w:eastAsia="en-CA"/>
              </w:rPr>
              <w:t>924</w:t>
            </w:r>
          </w:p>
        </w:tc>
        <w:tc>
          <w:tcPr>
            <w:tcW w:w="1050" w:type="dxa"/>
            <w:tcBorders>
              <w:top w:val="nil"/>
              <w:left w:val="nil"/>
              <w:bottom w:val="single" w:sz="4" w:space="0" w:color="auto"/>
              <w:right w:val="single" w:sz="4" w:space="0" w:color="auto"/>
            </w:tcBorders>
            <w:shd w:val="clear" w:color="auto" w:fill="auto"/>
            <w:noWrap/>
            <w:hideMark/>
          </w:tcPr>
          <w:p w14:paraId="0B98FC9F" w14:textId="77777777" w:rsidR="00A325C8" w:rsidRPr="00691ABD" w:rsidRDefault="00A325C8" w:rsidP="001E39EE">
            <w:pPr>
              <w:jc w:val="right"/>
              <w:rPr>
                <w:sz w:val="20"/>
                <w:szCs w:val="20"/>
                <w:lang w:val="fr-CA" w:eastAsia="en-CA"/>
              </w:rPr>
            </w:pPr>
            <w:r w:rsidRPr="00691ABD">
              <w:rPr>
                <w:sz w:val="20"/>
                <w:szCs w:val="20"/>
                <w:lang w:val="fr-CA" w:eastAsia="en-CA"/>
              </w:rPr>
              <w:t>79</w:t>
            </w:r>
          </w:p>
        </w:tc>
      </w:tr>
      <w:tr w:rsidR="00A325C8" w:rsidRPr="00691ABD" w14:paraId="6A85E720"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2A632D1" w14:textId="77777777" w:rsidR="00A325C8" w:rsidRPr="00691ABD" w:rsidRDefault="00A325C8" w:rsidP="001E39EE">
            <w:pPr>
              <w:jc w:val="left"/>
              <w:rPr>
                <w:sz w:val="20"/>
                <w:szCs w:val="20"/>
                <w:lang w:val="fr-CA" w:eastAsia="en-CA"/>
              </w:rPr>
            </w:pPr>
            <w:r>
              <w:rPr>
                <w:sz w:val="20"/>
                <w:szCs w:val="20"/>
                <w:lang w:val="fr-CA" w:eastAsia="en-CA"/>
              </w:rPr>
              <w:t>Séné</w:t>
            </w:r>
            <w:r w:rsidRPr="00691ABD">
              <w:rPr>
                <w:sz w:val="20"/>
                <w:szCs w:val="20"/>
                <w:lang w:val="fr-CA" w:eastAsia="en-CA"/>
              </w:rPr>
              <w:t>gal</w:t>
            </w:r>
          </w:p>
        </w:tc>
        <w:tc>
          <w:tcPr>
            <w:tcW w:w="1295" w:type="dxa"/>
            <w:tcBorders>
              <w:top w:val="nil"/>
              <w:left w:val="nil"/>
              <w:bottom w:val="single" w:sz="4" w:space="0" w:color="auto"/>
              <w:right w:val="single" w:sz="4" w:space="0" w:color="auto"/>
            </w:tcBorders>
            <w:shd w:val="clear" w:color="auto" w:fill="auto"/>
            <w:noWrap/>
            <w:hideMark/>
          </w:tcPr>
          <w:p w14:paraId="6CF85F5A" w14:textId="77777777" w:rsidR="00A325C8" w:rsidRPr="00691ABD" w:rsidRDefault="00A325C8" w:rsidP="001E39EE">
            <w:pPr>
              <w:jc w:val="right"/>
              <w:rPr>
                <w:sz w:val="20"/>
                <w:szCs w:val="20"/>
                <w:lang w:val="fr-CA" w:eastAsia="en-CA"/>
              </w:rPr>
            </w:pPr>
            <w:r w:rsidRPr="00691ABD">
              <w:rPr>
                <w:sz w:val="20"/>
                <w:szCs w:val="20"/>
                <w:lang w:val="fr-CA" w:eastAsia="en-CA"/>
              </w:rPr>
              <w:t>3</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0F6F0166" w14:textId="77777777" w:rsidR="00A325C8" w:rsidRPr="00691ABD" w:rsidRDefault="00A325C8" w:rsidP="001E39EE">
            <w:pPr>
              <w:jc w:val="right"/>
              <w:rPr>
                <w:sz w:val="20"/>
                <w:szCs w:val="20"/>
                <w:lang w:val="fr-CA" w:eastAsia="en-CA"/>
              </w:rPr>
            </w:pPr>
            <w:r w:rsidRPr="00691ABD">
              <w:rPr>
                <w:sz w:val="20"/>
                <w:szCs w:val="20"/>
                <w:lang w:val="fr-CA" w:eastAsia="en-CA"/>
              </w:rPr>
              <w:t>624</w:t>
            </w:r>
            <w:r>
              <w:rPr>
                <w:sz w:val="20"/>
                <w:szCs w:val="20"/>
                <w:lang w:val="fr-CA" w:eastAsia="en-CA"/>
              </w:rPr>
              <w:t xml:space="preserve"> </w:t>
            </w:r>
            <w:r w:rsidRPr="00691ABD">
              <w:rPr>
                <w:sz w:val="20"/>
                <w:szCs w:val="20"/>
                <w:lang w:val="fr-CA" w:eastAsia="en-CA"/>
              </w:rPr>
              <w:t>023</w:t>
            </w:r>
          </w:p>
        </w:tc>
        <w:tc>
          <w:tcPr>
            <w:tcW w:w="1276" w:type="dxa"/>
            <w:tcBorders>
              <w:top w:val="nil"/>
              <w:left w:val="nil"/>
              <w:bottom w:val="single" w:sz="4" w:space="0" w:color="auto"/>
              <w:right w:val="single" w:sz="4" w:space="0" w:color="auto"/>
            </w:tcBorders>
            <w:shd w:val="clear" w:color="auto" w:fill="auto"/>
            <w:noWrap/>
            <w:hideMark/>
          </w:tcPr>
          <w:p w14:paraId="309569B7" w14:textId="77777777" w:rsidR="00A325C8" w:rsidRPr="00691ABD" w:rsidRDefault="00A325C8" w:rsidP="001E39EE">
            <w:pPr>
              <w:jc w:val="right"/>
              <w:rPr>
                <w:sz w:val="20"/>
                <w:szCs w:val="20"/>
                <w:lang w:val="fr-CA" w:eastAsia="en-CA"/>
              </w:rPr>
            </w:pPr>
            <w:r w:rsidRPr="00691ABD">
              <w:rPr>
                <w:sz w:val="20"/>
                <w:szCs w:val="20"/>
                <w:lang w:val="fr-CA" w:eastAsia="en-CA"/>
              </w:rPr>
              <w:t>451</w:t>
            </w:r>
            <w:r>
              <w:rPr>
                <w:sz w:val="20"/>
                <w:szCs w:val="20"/>
                <w:lang w:val="fr-CA" w:eastAsia="en-CA"/>
              </w:rPr>
              <w:t xml:space="preserve"> </w:t>
            </w:r>
            <w:r w:rsidRPr="00691ABD">
              <w:rPr>
                <w:sz w:val="20"/>
                <w:szCs w:val="20"/>
                <w:lang w:val="fr-CA" w:eastAsia="en-CA"/>
              </w:rPr>
              <w:t>328</w:t>
            </w:r>
          </w:p>
        </w:tc>
        <w:tc>
          <w:tcPr>
            <w:tcW w:w="1250" w:type="dxa"/>
            <w:tcBorders>
              <w:top w:val="nil"/>
              <w:left w:val="nil"/>
              <w:bottom w:val="single" w:sz="4" w:space="0" w:color="auto"/>
              <w:right w:val="single" w:sz="4" w:space="0" w:color="auto"/>
            </w:tcBorders>
            <w:shd w:val="clear" w:color="auto" w:fill="auto"/>
            <w:noWrap/>
            <w:hideMark/>
          </w:tcPr>
          <w:p w14:paraId="6F056C24" w14:textId="77777777" w:rsidR="00A325C8" w:rsidRPr="00691ABD" w:rsidRDefault="00A325C8" w:rsidP="001E39EE">
            <w:pPr>
              <w:jc w:val="right"/>
              <w:rPr>
                <w:sz w:val="20"/>
                <w:szCs w:val="20"/>
                <w:lang w:val="fr-CA" w:eastAsia="en-CA"/>
              </w:rPr>
            </w:pPr>
            <w:r w:rsidRPr="00691ABD">
              <w:rPr>
                <w:sz w:val="20"/>
                <w:szCs w:val="20"/>
                <w:lang w:val="fr-CA" w:eastAsia="en-CA"/>
              </w:rPr>
              <w:t>172</w:t>
            </w:r>
            <w:r>
              <w:rPr>
                <w:sz w:val="20"/>
                <w:szCs w:val="20"/>
                <w:lang w:val="fr-CA" w:eastAsia="en-CA"/>
              </w:rPr>
              <w:t xml:space="preserve"> </w:t>
            </w:r>
            <w:r w:rsidRPr="00691ABD">
              <w:rPr>
                <w:sz w:val="20"/>
                <w:szCs w:val="20"/>
                <w:lang w:val="fr-CA" w:eastAsia="en-CA"/>
              </w:rPr>
              <w:t>695</w:t>
            </w:r>
          </w:p>
        </w:tc>
        <w:tc>
          <w:tcPr>
            <w:tcW w:w="1050" w:type="dxa"/>
            <w:tcBorders>
              <w:top w:val="nil"/>
              <w:left w:val="nil"/>
              <w:bottom w:val="single" w:sz="4" w:space="0" w:color="auto"/>
              <w:right w:val="single" w:sz="4" w:space="0" w:color="auto"/>
            </w:tcBorders>
            <w:shd w:val="clear" w:color="auto" w:fill="auto"/>
            <w:noWrap/>
            <w:hideMark/>
          </w:tcPr>
          <w:p w14:paraId="3E12990A" w14:textId="77777777" w:rsidR="00A325C8" w:rsidRPr="00691ABD" w:rsidRDefault="00A325C8" w:rsidP="001E39EE">
            <w:pPr>
              <w:jc w:val="right"/>
              <w:rPr>
                <w:sz w:val="20"/>
                <w:szCs w:val="20"/>
                <w:lang w:val="fr-CA" w:eastAsia="en-CA"/>
              </w:rPr>
            </w:pPr>
            <w:r w:rsidRPr="00691ABD">
              <w:rPr>
                <w:sz w:val="20"/>
                <w:szCs w:val="20"/>
                <w:lang w:val="fr-CA" w:eastAsia="en-CA"/>
              </w:rPr>
              <w:t>72</w:t>
            </w:r>
          </w:p>
        </w:tc>
      </w:tr>
      <w:tr w:rsidR="00A325C8" w:rsidRPr="00691ABD" w14:paraId="539C8259"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2E00B64E" w14:textId="77777777" w:rsidR="00A325C8" w:rsidRPr="00691ABD" w:rsidRDefault="00A325C8" w:rsidP="00A325C8">
            <w:pPr>
              <w:jc w:val="left"/>
              <w:rPr>
                <w:sz w:val="20"/>
                <w:szCs w:val="20"/>
                <w:lang w:val="fr-CA" w:eastAsia="en-CA"/>
              </w:rPr>
            </w:pPr>
            <w:r w:rsidRPr="00691ABD">
              <w:rPr>
                <w:sz w:val="20"/>
                <w:szCs w:val="20"/>
                <w:lang w:val="fr-CA" w:eastAsia="en-CA"/>
              </w:rPr>
              <w:t>Serb</w:t>
            </w:r>
            <w:r>
              <w:rPr>
                <w:sz w:val="20"/>
                <w:szCs w:val="20"/>
                <w:lang w:val="fr-CA" w:eastAsia="en-CA"/>
              </w:rPr>
              <w:t>ie</w:t>
            </w:r>
          </w:p>
        </w:tc>
        <w:tc>
          <w:tcPr>
            <w:tcW w:w="1295" w:type="dxa"/>
            <w:tcBorders>
              <w:top w:val="nil"/>
              <w:left w:val="nil"/>
              <w:bottom w:val="single" w:sz="4" w:space="0" w:color="auto"/>
              <w:right w:val="single" w:sz="4" w:space="0" w:color="auto"/>
            </w:tcBorders>
            <w:shd w:val="clear" w:color="auto" w:fill="auto"/>
            <w:noWrap/>
            <w:hideMark/>
          </w:tcPr>
          <w:p w14:paraId="6C5E9597"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w:t>
            </w:r>
            <w:r w:rsidRPr="00691ABD">
              <w:rPr>
                <w:sz w:val="20"/>
                <w:szCs w:val="20"/>
                <w:lang w:val="fr-CA" w:eastAsia="en-CA"/>
              </w:rPr>
              <w:t>2</w:t>
            </w:r>
          </w:p>
        </w:tc>
        <w:tc>
          <w:tcPr>
            <w:tcW w:w="1275" w:type="dxa"/>
            <w:tcBorders>
              <w:top w:val="nil"/>
              <w:left w:val="nil"/>
              <w:bottom w:val="single" w:sz="4" w:space="0" w:color="auto"/>
              <w:right w:val="single" w:sz="4" w:space="0" w:color="auto"/>
            </w:tcBorders>
            <w:shd w:val="clear" w:color="auto" w:fill="auto"/>
            <w:noWrap/>
            <w:hideMark/>
          </w:tcPr>
          <w:p w14:paraId="039DB819"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110</w:t>
            </w:r>
            <w:r>
              <w:rPr>
                <w:sz w:val="20"/>
                <w:szCs w:val="20"/>
                <w:lang w:val="fr-CA" w:eastAsia="en-CA"/>
              </w:rPr>
              <w:t xml:space="preserve"> </w:t>
            </w:r>
            <w:r w:rsidRPr="00691ABD">
              <w:rPr>
                <w:sz w:val="20"/>
                <w:szCs w:val="20"/>
                <w:lang w:val="fr-CA" w:eastAsia="en-CA"/>
              </w:rPr>
              <w:t>641</w:t>
            </w:r>
          </w:p>
        </w:tc>
        <w:tc>
          <w:tcPr>
            <w:tcW w:w="1276" w:type="dxa"/>
            <w:tcBorders>
              <w:top w:val="nil"/>
              <w:left w:val="nil"/>
              <w:bottom w:val="single" w:sz="4" w:space="0" w:color="auto"/>
              <w:right w:val="single" w:sz="4" w:space="0" w:color="auto"/>
            </w:tcBorders>
            <w:shd w:val="clear" w:color="auto" w:fill="auto"/>
            <w:noWrap/>
            <w:hideMark/>
          </w:tcPr>
          <w:p w14:paraId="54AC3C78" w14:textId="77777777" w:rsidR="00A325C8" w:rsidRPr="00691ABD" w:rsidRDefault="00A325C8" w:rsidP="001E39EE">
            <w:pPr>
              <w:jc w:val="right"/>
              <w:rPr>
                <w:sz w:val="20"/>
                <w:szCs w:val="20"/>
                <w:lang w:val="fr-CA" w:eastAsia="en-CA"/>
              </w:rPr>
            </w:pPr>
            <w:r w:rsidRPr="00691ABD">
              <w:rPr>
                <w:sz w:val="20"/>
                <w:szCs w:val="20"/>
                <w:lang w:val="fr-CA" w:eastAsia="en-CA"/>
              </w:rPr>
              <w:t>931</w:t>
            </w:r>
            <w:r>
              <w:rPr>
                <w:sz w:val="20"/>
                <w:szCs w:val="20"/>
                <w:lang w:val="fr-CA" w:eastAsia="en-CA"/>
              </w:rPr>
              <w:t xml:space="preserve"> </w:t>
            </w:r>
            <w:r w:rsidRPr="00691ABD">
              <w:rPr>
                <w:sz w:val="20"/>
                <w:szCs w:val="20"/>
                <w:lang w:val="fr-CA" w:eastAsia="en-CA"/>
              </w:rPr>
              <w:t>807</w:t>
            </w:r>
          </w:p>
        </w:tc>
        <w:tc>
          <w:tcPr>
            <w:tcW w:w="1250" w:type="dxa"/>
            <w:tcBorders>
              <w:top w:val="nil"/>
              <w:left w:val="nil"/>
              <w:bottom w:val="single" w:sz="4" w:space="0" w:color="auto"/>
              <w:right w:val="single" w:sz="4" w:space="0" w:color="auto"/>
            </w:tcBorders>
            <w:shd w:val="clear" w:color="auto" w:fill="auto"/>
            <w:noWrap/>
            <w:hideMark/>
          </w:tcPr>
          <w:p w14:paraId="6E98B9EF" w14:textId="77777777" w:rsidR="00A325C8" w:rsidRPr="00691ABD" w:rsidRDefault="00A325C8" w:rsidP="001E39EE">
            <w:pPr>
              <w:jc w:val="right"/>
              <w:rPr>
                <w:sz w:val="20"/>
                <w:szCs w:val="20"/>
                <w:lang w:val="fr-CA" w:eastAsia="en-CA"/>
              </w:rPr>
            </w:pPr>
            <w:r w:rsidRPr="00691ABD">
              <w:rPr>
                <w:sz w:val="20"/>
                <w:szCs w:val="20"/>
                <w:lang w:val="fr-CA" w:eastAsia="en-CA"/>
              </w:rPr>
              <w:t>178</w:t>
            </w:r>
            <w:r>
              <w:rPr>
                <w:sz w:val="20"/>
                <w:szCs w:val="20"/>
                <w:lang w:val="fr-CA" w:eastAsia="en-CA"/>
              </w:rPr>
              <w:t xml:space="preserve"> </w:t>
            </w:r>
            <w:r w:rsidRPr="00691ABD">
              <w:rPr>
                <w:sz w:val="20"/>
                <w:szCs w:val="20"/>
                <w:lang w:val="fr-CA" w:eastAsia="en-CA"/>
              </w:rPr>
              <w:t>834</w:t>
            </w:r>
          </w:p>
        </w:tc>
        <w:tc>
          <w:tcPr>
            <w:tcW w:w="1050" w:type="dxa"/>
            <w:tcBorders>
              <w:top w:val="nil"/>
              <w:left w:val="nil"/>
              <w:bottom w:val="single" w:sz="4" w:space="0" w:color="auto"/>
              <w:right w:val="single" w:sz="4" w:space="0" w:color="auto"/>
            </w:tcBorders>
            <w:shd w:val="clear" w:color="auto" w:fill="auto"/>
            <w:noWrap/>
            <w:hideMark/>
          </w:tcPr>
          <w:p w14:paraId="7421E6B4" w14:textId="77777777" w:rsidR="00A325C8" w:rsidRPr="00691ABD" w:rsidRDefault="00A325C8" w:rsidP="001E39EE">
            <w:pPr>
              <w:jc w:val="right"/>
              <w:rPr>
                <w:sz w:val="20"/>
                <w:szCs w:val="20"/>
                <w:lang w:val="fr-CA" w:eastAsia="en-CA"/>
              </w:rPr>
            </w:pPr>
            <w:r w:rsidRPr="00691ABD">
              <w:rPr>
                <w:sz w:val="20"/>
                <w:szCs w:val="20"/>
                <w:lang w:val="fr-CA" w:eastAsia="en-CA"/>
              </w:rPr>
              <w:t>84</w:t>
            </w:r>
          </w:p>
        </w:tc>
      </w:tr>
      <w:tr w:rsidR="00A325C8" w:rsidRPr="00691ABD" w14:paraId="1C6AAC6A"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6416D05" w14:textId="77777777" w:rsidR="00A325C8" w:rsidRPr="00691ABD" w:rsidRDefault="00A325C8" w:rsidP="001E39EE">
            <w:pPr>
              <w:jc w:val="left"/>
              <w:rPr>
                <w:sz w:val="20"/>
                <w:szCs w:val="20"/>
                <w:lang w:val="fr-CA" w:eastAsia="en-CA"/>
              </w:rPr>
            </w:pPr>
            <w:r w:rsidRPr="00691ABD">
              <w:rPr>
                <w:sz w:val="20"/>
                <w:szCs w:val="20"/>
                <w:lang w:val="fr-CA" w:eastAsia="en-CA"/>
              </w:rPr>
              <w:t>Seychelles</w:t>
            </w:r>
          </w:p>
        </w:tc>
        <w:tc>
          <w:tcPr>
            <w:tcW w:w="1295" w:type="dxa"/>
            <w:tcBorders>
              <w:top w:val="nil"/>
              <w:left w:val="nil"/>
              <w:bottom w:val="single" w:sz="4" w:space="0" w:color="auto"/>
              <w:right w:val="single" w:sz="4" w:space="0" w:color="auto"/>
            </w:tcBorders>
            <w:shd w:val="clear" w:color="auto" w:fill="auto"/>
            <w:noWrap/>
            <w:hideMark/>
          </w:tcPr>
          <w:p w14:paraId="070026BF"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2BDB1D44" w14:textId="77777777" w:rsidR="00A325C8" w:rsidRPr="00691ABD" w:rsidRDefault="00A325C8" w:rsidP="001E39EE">
            <w:pPr>
              <w:jc w:val="right"/>
              <w:rPr>
                <w:sz w:val="20"/>
                <w:szCs w:val="20"/>
                <w:lang w:val="fr-CA" w:eastAsia="en-CA"/>
              </w:rPr>
            </w:pPr>
            <w:r w:rsidRPr="00691ABD">
              <w:rPr>
                <w:sz w:val="20"/>
                <w:szCs w:val="20"/>
                <w:lang w:val="fr-CA" w:eastAsia="en-CA"/>
              </w:rPr>
              <w:t>540</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0FFE962B" w14:textId="77777777" w:rsidR="00A325C8" w:rsidRPr="00691ABD" w:rsidRDefault="00A325C8" w:rsidP="001E39EE">
            <w:pPr>
              <w:jc w:val="right"/>
              <w:rPr>
                <w:sz w:val="20"/>
                <w:szCs w:val="20"/>
                <w:lang w:val="fr-CA" w:eastAsia="en-CA"/>
              </w:rPr>
            </w:pPr>
            <w:r w:rsidRPr="00691ABD">
              <w:rPr>
                <w:sz w:val="20"/>
                <w:szCs w:val="20"/>
                <w:lang w:val="fr-CA" w:eastAsia="en-CA"/>
              </w:rPr>
              <w:t>351</w:t>
            </w:r>
            <w:r>
              <w:rPr>
                <w:sz w:val="20"/>
                <w:szCs w:val="20"/>
                <w:lang w:val="fr-CA" w:eastAsia="en-CA"/>
              </w:rPr>
              <w:t xml:space="preserve"> </w:t>
            </w:r>
            <w:r w:rsidRPr="00691ABD">
              <w:rPr>
                <w:sz w:val="20"/>
                <w:szCs w:val="20"/>
                <w:lang w:val="fr-CA" w:eastAsia="en-CA"/>
              </w:rPr>
              <w:t>375</w:t>
            </w:r>
          </w:p>
        </w:tc>
        <w:tc>
          <w:tcPr>
            <w:tcW w:w="1250" w:type="dxa"/>
            <w:tcBorders>
              <w:top w:val="nil"/>
              <w:left w:val="nil"/>
              <w:bottom w:val="single" w:sz="4" w:space="0" w:color="auto"/>
              <w:right w:val="single" w:sz="4" w:space="0" w:color="auto"/>
            </w:tcBorders>
            <w:shd w:val="clear" w:color="auto" w:fill="auto"/>
            <w:noWrap/>
            <w:hideMark/>
          </w:tcPr>
          <w:p w14:paraId="34D3A8A4" w14:textId="77777777" w:rsidR="00A325C8" w:rsidRPr="00691ABD" w:rsidRDefault="00A325C8" w:rsidP="001E39EE">
            <w:pPr>
              <w:jc w:val="right"/>
              <w:rPr>
                <w:sz w:val="20"/>
                <w:szCs w:val="20"/>
                <w:lang w:val="fr-CA" w:eastAsia="en-CA"/>
              </w:rPr>
            </w:pPr>
            <w:r w:rsidRPr="00691ABD">
              <w:rPr>
                <w:sz w:val="20"/>
                <w:szCs w:val="20"/>
                <w:lang w:val="fr-CA" w:eastAsia="en-CA"/>
              </w:rPr>
              <w:t>188</w:t>
            </w:r>
            <w:r>
              <w:rPr>
                <w:sz w:val="20"/>
                <w:szCs w:val="20"/>
                <w:lang w:val="fr-CA" w:eastAsia="en-CA"/>
              </w:rPr>
              <w:t xml:space="preserve"> </w:t>
            </w:r>
            <w:r w:rsidRPr="00691ABD">
              <w:rPr>
                <w:sz w:val="20"/>
                <w:szCs w:val="20"/>
                <w:lang w:val="fr-CA" w:eastAsia="en-CA"/>
              </w:rPr>
              <w:t>625</w:t>
            </w:r>
          </w:p>
        </w:tc>
        <w:tc>
          <w:tcPr>
            <w:tcW w:w="1050" w:type="dxa"/>
            <w:tcBorders>
              <w:top w:val="nil"/>
              <w:left w:val="nil"/>
              <w:bottom w:val="single" w:sz="4" w:space="0" w:color="auto"/>
              <w:right w:val="single" w:sz="4" w:space="0" w:color="auto"/>
            </w:tcBorders>
            <w:shd w:val="clear" w:color="auto" w:fill="auto"/>
            <w:noWrap/>
            <w:hideMark/>
          </w:tcPr>
          <w:p w14:paraId="36F97E2F" w14:textId="77777777" w:rsidR="00A325C8" w:rsidRPr="00691ABD" w:rsidRDefault="00A325C8" w:rsidP="001E39EE">
            <w:pPr>
              <w:jc w:val="right"/>
              <w:rPr>
                <w:sz w:val="20"/>
                <w:szCs w:val="20"/>
                <w:lang w:val="fr-CA" w:eastAsia="en-CA"/>
              </w:rPr>
            </w:pPr>
            <w:r w:rsidRPr="00691ABD">
              <w:rPr>
                <w:sz w:val="20"/>
                <w:szCs w:val="20"/>
                <w:lang w:val="fr-CA" w:eastAsia="en-CA"/>
              </w:rPr>
              <w:t>65</w:t>
            </w:r>
          </w:p>
        </w:tc>
      </w:tr>
      <w:tr w:rsidR="00A325C8" w:rsidRPr="00691ABD" w14:paraId="65A7EB10"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3652218" w14:textId="77777777" w:rsidR="00A325C8" w:rsidRPr="00691ABD" w:rsidRDefault="00A325C8" w:rsidP="001E39EE">
            <w:pPr>
              <w:jc w:val="left"/>
              <w:rPr>
                <w:sz w:val="20"/>
                <w:szCs w:val="20"/>
                <w:lang w:val="fr-CA" w:eastAsia="en-CA"/>
              </w:rPr>
            </w:pPr>
            <w:r w:rsidRPr="00691ABD">
              <w:rPr>
                <w:sz w:val="20"/>
                <w:szCs w:val="20"/>
                <w:lang w:val="fr-CA" w:eastAsia="en-CA"/>
              </w:rPr>
              <w:t>Sierra Leone</w:t>
            </w:r>
          </w:p>
        </w:tc>
        <w:tc>
          <w:tcPr>
            <w:tcW w:w="1295" w:type="dxa"/>
            <w:tcBorders>
              <w:top w:val="nil"/>
              <w:left w:val="nil"/>
              <w:bottom w:val="single" w:sz="4" w:space="0" w:color="auto"/>
              <w:right w:val="single" w:sz="4" w:space="0" w:color="auto"/>
            </w:tcBorders>
            <w:shd w:val="clear" w:color="auto" w:fill="auto"/>
            <w:noWrap/>
            <w:hideMark/>
          </w:tcPr>
          <w:p w14:paraId="19D9C66B"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529DA63A" w14:textId="77777777" w:rsidR="00A325C8" w:rsidRPr="00691ABD" w:rsidRDefault="00A325C8" w:rsidP="001E39EE">
            <w:pPr>
              <w:jc w:val="right"/>
              <w:rPr>
                <w:sz w:val="20"/>
                <w:szCs w:val="20"/>
                <w:lang w:val="fr-CA" w:eastAsia="en-CA"/>
              </w:rPr>
            </w:pPr>
            <w:r w:rsidRPr="00691ABD">
              <w:rPr>
                <w:sz w:val="20"/>
                <w:szCs w:val="20"/>
                <w:lang w:val="fr-CA" w:eastAsia="en-CA"/>
              </w:rPr>
              <w:t>207</w:t>
            </w:r>
            <w:r>
              <w:rPr>
                <w:sz w:val="20"/>
                <w:szCs w:val="20"/>
                <w:lang w:val="fr-CA" w:eastAsia="en-CA"/>
              </w:rPr>
              <w:t xml:space="preserve"> </w:t>
            </w:r>
            <w:r w:rsidRPr="00691ABD">
              <w:rPr>
                <w:sz w:val="20"/>
                <w:szCs w:val="20"/>
                <w:lang w:val="fr-CA" w:eastAsia="en-CA"/>
              </w:rPr>
              <w:t>620</w:t>
            </w:r>
          </w:p>
        </w:tc>
        <w:tc>
          <w:tcPr>
            <w:tcW w:w="1276" w:type="dxa"/>
            <w:tcBorders>
              <w:top w:val="nil"/>
              <w:left w:val="nil"/>
              <w:bottom w:val="single" w:sz="4" w:space="0" w:color="auto"/>
              <w:right w:val="single" w:sz="4" w:space="0" w:color="auto"/>
            </w:tcBorders>
            <w:shd w:val="clear" w:color="auto" w:fill="auto"/>
            <w:noWrap/>
            <w:hideMark/>
          </w:tcPr>
          <w:p w14:paraId="04FED11F" w14:textId="77777777" w:rsidR="00A325C8" w:rsidRPr="00691ABD" w:rsidRDefault="00A325C8" w:rsidP="001E39EE">
            <w:pPr>
              <w:jc w:val="right"/>
              <w:rPr>
                <w:sz w:val="20"/>
                <w:szCs w:val="20"/>
                <w:lang w:val="fr-CA" w:eastAsia="en-CA"/>
              </w:rPr>
            </w:pPr>
            <w:r w:rsidRPr="00691ABD">
              <w:rPr>
                <w:sz w:val="20"/>
                <w:szCs w:val="20"/>
                <w:lang w:val="fr-CA" w:eastAsia="en-CA"/>
              </w:rPr>
              <w:t>175</w:t>
            </w:r>
            <w:r>
              <w:rPr>
                <w:sz w:val="20"/>
                <w:szCs w:val="20"/>
                <w:lang w:val="fr-CA" w:eastAsia="en-CA"/>
              </w:rPr>
              <w:t xml:space="preserve"> </w:t>
            </w:r>
            <w:r w:rsidRPr="00691ABD">
              <w:rPr>
                <w:sz w:val="20"/>
                <w:szCs w:val="20"/>
                <w:lang w:val="fr-CA" w:eastAsia="en-CA"/>
              </w:rPr>
              <w:t>475</w:t>
            </w:r>
          </w:p>
        </w:tc>
        <w:tc>
          <w:tcPr>
            <w:tcW w:w="1250" w:type="dxa"/>
            <w:tcBorders>
              <w:top w:val="nil"/>
              <w:left w:val="nil"/>
              <w:bottom w:val="single" w:sz="4" w:space="0" w:color="auto"/>
              <w:right w:val="single" w:sz="4" w:space="0" w:color="auto"/>
            </w:tcBorders>
            <w:shd w:val="clear" w:color="auto" w:fill="auto"/>
            <w:noWrap/>
            <w:hideMark/>
          </w:tcPr>
          <w:p w14:paraId="3EA941C4" w14:textId="77777777" w:rsidR="00A325C8" w:rsidRPr="00691ABD" w:rsidRDefault="00A325C8" w:rsidP="001E39EE">
            <w:pPr>
              <w:jc w:val="right"/>
              <w:rPr>
                <w:sz w:val="20"/>
                <w:szCs w:val="20"/>
                <w:lang w:val="fr-CA" w:eastAsia="en-CA"/>
              </w:rPr>
            </w:pPr>
            <w:r w:rsidRPr="00691ABD">
              <w:rPr>
                <w:sz w:val="20"/>
                <w:szCs w:val="20"/>
                <w:lang w:val="fr-CA" w:eastAsia="en-CA"/>
              </w:rPr>
              <w:t>32</w:t>
            </w:r>
            <w:r>
              <w:rPr>
                <w:sz w:val="20"/>
                <w:szCs w:val="20"/>
                <w:lang w:val="fr-CA" w:eastAsia="en-CA"/>
              </w:rPr>
              <w:t xml:space="preserve"> </w:t>
            </w:r>
            <w:r w:rsidRPr="00691ABD">
              <w:rPr>
                <w:sz w:val="20"/>
                <w:szCs w:val="20"/>
                <w:lang w:val="fr-CA" w:eastAsia="en-CA"/>
              </w:rPr>
              <w:t>145</w:t>
            </w:r>
          </w:p>
        </w:tc>
        <w:tc>
          <w:tcPr>
            <w:tcW w:w="1050" w:type="dxa"/>
            <w:tcBorders>
              <w:top w:val="nil"/>
              <w:left w:val="nil"/>
              <w:bottom w:val="single" w:sz="4" w:space="0" w:color="auto"/>
              <w:right w:val="single" w:sz="4" w:space="0" w:color="auto"/>
            </w:tcBorders>
            <w:shd w:val="clear" w:color="auto" w:fill="auto"/>
            <w:noWrap/>
            <w:hideMark/>
          </w:tcPr>
          <w:p w14:paraId="7E4CDC2F" w14:textId="77777777" w:rsidR="00A325C8" w:rsidRPr="00691ABD" w:rsidRDefault="00A325C8" w:rsidP="001E39EE">
            <w:pPr>
              <w:jc w:val="right"/>
              <w:rPr>
                <w:sz w:val="20"/>
                <w:szCs w:val="20"/>
                <w:lang w:val="fr-CA" w:eastAsia="en-CA"/>
              </w:rPr>
            </w:pPr>
            <w:r w:rsidRPr="00691ABD">
              <w:rPr>
                <w:sz w:val="20"/>
                <w:szCs w:val="20"/>
                <w:lang w:val="fr-CA" w:eastAsia="en-CA"/>
              </w:rPr>
              <w:t>85</w:t>
            </w:r>
          </w:p>
        </w:tc>
      </w:tr>
      <w:tr w:rsidR="00A325C8" w:rsidRPr="00691ABD" w14:paraId="4ACCF380"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5F1A58B" w14:textId="77777777" w:rsidR="00A325C8" w:rsidRPr="00691ABD" w:rsidRDefault="00A325C8" w:rsidP="001E39EE">
            <w:pPr>
              <w:jc w:val="left"/>
              <w:rPr>
                <w:sz w:val="20"/>
                <w:szCs w:val="20"/>
                <w:lang w:val="fr-CA" w:eastAsia="en-CA"/>
              </w:rPr>
            </w:pPr>
            <w:r>
              <w:rPr>
                <w:sz w:val="20"/>
                <w:szCs w:val="20"/>
                <w:lang w:val="fr-CA" w:eastAsia="en-CA"/>
              </w:rPr>
              <w:t>Somalie</w:t>
            </w:r>
          </w:p>
        </w:tc>
        <w:tc>
          <w:tcPr>
            <w:tcW w:w="1295" w:type="dxa"/>
            <w:tcBorders>
              <w:top w:val="nil"/>
              <w:left w:val="nil"/>
              <w:bottom w:val="single" w:sz="4" w:space="0" w:color="auto"/>
              <w:right w:val="single" w:sz="4" w:space="0" w:color="auto"/>
            </w:tcBorders>
            <w:shd w:val="clear" w:color="auto" w:fill="auto"/>
            <w:noWrap/>
            <w:hideMark/>
          </w:tcPr>
          <w:p w14:paraId="5268B271"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w:t>
            </w:r>
            <w:r w:rsidRPr="00691ABD">
              <w:rPr>
                <w:sz w:val="20"/>
                <w:szCs w:val="20"/>
                <w:lang w:val="fr-CA" w:eastAsia="en-CA"/>
              </w:rPr>
              <w:t>8</w:t>
            </w:r>
          </w:p>
        </w:tc>
        <w:tc>
          <w:tcPr>
            <w:tcW w:w="1275" w:type="dxa"/>
            <w:tcBorders>
              <w:top w:val="nil"/>
              <w:left w:val="nil"/>
              <w:bottom w:val="single" w:sz="4" w:space="0" w:color="auto"/>
              <w:right w:val="single" w:sz="4" w:space="0" w:color="auto"/>
            </w:tcBorders>
            <w:shd w:val="clear" w:color="auto" w:fill="auto"/>
            <w:noWrap/>
            <w:hideMark/>
          </w:tcPr>
          <w:p w14:paraId="15927717" w14:textId="77777777" w:rsidR="00A325C8" w:rsidRPr="00691ABD" w:rsidRDefault="00A325C8" w:rsidP="001E39EE">
            <w:pPr>
              <w:jc w:val="right"/>
              <w:rPr>
                <w:sz w:val="20"/>
                <w:szCs w:val="20"/>
                <w:lang w:val="fr-CA" w:eastAsia="en-CA"/>
              </w:rPr>
            </w:pPr>
            <w:r w:rsidRPr="00691ABD">
              <w:rPr>
                <w:sz w:val="20"/>
                <w:szCs w:val="20"/>
                <w:lang w:val="fr-CA" w:eastAsia="en-CA"/>
              </w:rPr>
              <w:t>353</w:t>
            </w:r>
            <w:r>
              <w:rPr>
                <w:sz w:val="20"/>
                <w:szCs w:val="20"/>
                <w:lang w:val="fr-CA" w:eastAsia="en-CA"/>
              </w:rPr>
              <w:t xml:space="preserve"> </w:t>
            </w:r>
            <w:r w:rsidRPr="00691ABD">
              <w:rPr>
                <w:sz w:val="20"/>
                <w:szCs w:val="20"/>
                <w:lang w:val="fr-CA" w:eastAsia="en-CA"/>
              </w:rPr>
              <w:t>746</w:t>
            </w:r>
          </w:p>
        </w:tc>
        <w:tc>
          <w:tcPr>
            <w:tcW w:w="1276" w:type="dxa"/>
            <w:tcBorders>
              <w:top w:val="nil"/>
              <w:left w:val="nil"/>
              <w:bottom w:val="single" w:sz="4" w:space="0" w:color="auto"/>
              <w:right w:val="single" w:sz="4" w:space="0" w:color="auto"/>
            </w:tcBorders>
            <w:shd w:val="clear" w:color="auto" w:fill="auto"/>
            <w:noWrap/>
            <w:hideMark/>
          </w:tcPr>
          <w:p w14:paraId="2EEF5F42" w14:textId="77777777" w:rsidR="00A325C8" w:rsidRPr="00691ABD" w:rsidRDefault="00A325C8" w:rsidP="001E39EE">
            <w:pPr>
              <w:jc w:val="right"/>
              <w:rPr>
                <w:sz w:val="20"/>
                <w:szCs w:val="20"/>
                <w:lang w:val="fr-CA" w:eastAsia="en-CA"/>
              </w:rPr>
            </w:pPr>
            <w:r w:rsidRPr="00691ABD">
              <w:rPr>
                <w:sz w:val="20"/>
                <w:szCs w:val="20"/>
                <w:lang w:val="fr-CA" w:eastAsia="en-CA"/>
              </w:rPr>
              <w:t>320</w:t>
            </w:r>
            <w:r>
              <w:rPr>
                <w:sz w:val="20"/>
                <w:szCs w:val="20"/>
                <w:lang w:val="fr-CA" w:eastAsia="en-CA"/>
              </w:rPr>
              <w:t xml:space="preserve"> </w:t>
            </w:r>
            <w:r w:rsidRPr="00691ABD">
              <w:rPr>
                <w:sz w:val="20"/>
                <w:szCs w:val="20"/>
                <w:lang w:val="fr-CA" w:eastAsia="en-CA"/>
              </w:rPr>
              <w:t>332</w:t>
            </w:r>
          </w:p>
        </w:tc>
        <w:tc>
          <w:tcPr>
            <w:tcW w:w="1250" w:type="dxa"/>
            <w:tcBorders>
              <w:top w:val="nil"/>
              <w:left w:val="nil"/>
              <w:bottom w:val="single" w:sz="4" w:space="0" w:color="auto"/>
              <w:right w:val="single" w:sz="4" w:space="0" w:color="auto"/>
            </w:tcBorders>
            <w:shd w:val="clear" w:color="auto" w:fill="auto"/>
            <w:noWrap/>
            <w:hideMark/>
          </w:tcPr>
          <w:p w14:paraId="30263FC5" w14:textId="77777777" w:rsidR="00A325C8" w:rsidRPr="00691ABD" w:rsidRDefault="00A325C8" w:rsidP="001E39EE">
            <w:pPr>
              <w:jc w:val="right"/>
              <w:rPr>
                <w:sz w:val="20"/>
                <w:szCs w:val="20"/>
                <w:lang w:val="fr-CA" w:eastAsia="en-CA"/>
              </w:rPr>
            </w:pPr>
            <w:r w:rsidRPr="00691ABD">
              <w:rPr>
                <w:sz w:val="20"/>
                <w:szCs w:val="20"/>
                <w:lang w:val="fr-CA" w:eastAsia="en-CA"/>
              </w:rPr>
              <w:t>33</w:t>
            </w:r>
            <w:r>
              <w:rPr>
                <w:sz w:val="20"/>
                <w:szCs w:val="20"/>
                <w:lang w:val="fr-CA" w:eastAsia="en-CA"/>
              </w:rPr>
              <w:t xml:space="preserve"> </w:t>
            </w:r>
            <w:r w:rsidRPr="00691ABD">
              <w:rPr>
                <w:sz w:val="20"/>
                <w:szCs w:val="20"/>
                <w:lang w:val="fr-CA" w:eastAsia="en-CA"/>
              </w:rPr>
              <w:t>414</w:t>
            </w:r>
          </w:p>
        </w:tc>
        <w:tc>
          <w:tcPr>
            <w:tcW w:w="1050" w:type="dxa"/>
            <w:tcBorders>
              <w:top w:val="nil"/>
              <w:left w:val="nil"/>
              <w:bottom w:val="single" w:sz="4" w:space="0" w:color="auto"/>
              <w:right w:val="single" w:sz="4" w:space="0" w:color="auto"/>
            </w:tcBorders>
            <w:shd w:val="clear" w:color="auto" w:fill="auto"/>
            <w:noWrap/>
            <w:hideMark/>
          </w:tcPr>
          <w:p w14:paraId="46692568" w14:textId="77777777" w:rsidR="00A325C8" w:rsidRPr="00691ABD" w:rsidRDefault="00A325C8" w:rsidP="001E39EE">
            <w:pPr>
              <w:jc w:val="right"/>
              <w:rPr>
                <w:sz w:val="20"/>
                <w:szCs w:val="20"/>
                <w:lang w:val="fr-CA" w:eastAsia="en-CA"/>
              </w:rPr>
            </w:pPr>
            <w:r w:rsidRPr="00691ABD">
              <w:rPr>
                <w:sz w:val="20"/>
                <w:szCs w:val="20"/>
                <w:lang w:val="fr-CA" w:eastAsia="en-CA"/>
              </w:rPr>
              <w:t>91</w:t>
            </w:r>
          </w:p>
        </w:tc>
      </w:tr>
      <w:tr w:rsidR="00A325C8" w:rsidRPr="00691ABD" w14:paraId="6003A3D0"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3A664D8" w14:textId="77777777" w:rsidR="00A325C8" w:rsidRPr="00691ABD" w:rsidRDefault="00A325C8" w:rsidP="001E39EE">
            <w:pPr>
              <w:jc w:val="left"/>
              <w:rPr>
                <w:sz w:val="20"/>
                <w:szCs w:val="20"/>
                <w:lang w:val="fr-CA" w:eastAsia="en-CA"/>
              </w:rPr>
            </w:pPr>
            <w:r>
              <w:rPr>
                <w:sz w:val="20"/>
                <w:szCs w:val="20"/>
                <w:lang w:val="fr-CA" w:eastAsia="en-CA"/>
              </w:rPr>
              <w:t>Soudan</w:t>
            </w:r>
          </w:p>
        </w:tc>
        <w:tc>
          <w:tcPr>
            <w:tcW w:w="1295" w:type="dxa"/>
            <w:tcBorders>
              <w:top w:val="nil"/>
              <w:left w:val="nil"/>
              <w:bottom w:val="single" w:sz="4" w:space="0" w:color="auto"/>
              <w:right w:val="single" w:sz="4" w:space="0" w:color="auto"/>
            </w:tcBorders>
            <w:shd w:val="clear" w:color="auto" w:fill="auto"/>
            <w:noWrap/>
            <w:hideMark/>
          </w:tcPr>
          <w:p w14:paraId="1177892A" w14:textId="77777777" w:rsidR="00A325C8" w:rsidRPr="00691ABD" w:rsidRDefault="00A325C8" w:rsidP="001E39EE">
            <w:pPr>
              <w:jc w:val="right"/>
              <w:rPr>
                <w:sz w:val="20"/>
                <w:szCs w:val="20"/>
                <w:lang w:val="fr-CA" w:eastAsia="en-CA"/>
              </w:rPr>
            </w:pPr>
            <w:r w:rsidRPr="00691ABD">
              <w:rPr>
                <w:sz w:val="20"/>
                <w:szCs w:val="20"/>
                <w:lang w:val="fr-CA" w:eastAsia="en-CA"/>
              </w:rPr>
              <w:t>47</w:t>
            </w:r>
            <w:r>
              <w:rPr>
                <w:sz w:val="20"/>
                <w:szCs w:val="20"/>
                <w:lang w:val="fr-CA" w:eastAsia="en-CA"/>
              </w:rPr>
              <w:t>,</w:t>
            </w:r>
            <w:r w:rsidRPr="00691ABD">
              <w:rPr>
                <w:sz w:val="20"/>
                <w:szCs w:val="20"/>
                <w:lang w:val="fr-CA" w:eastAsia="en-CA"/>
              </w:rPr>
              <w:t>5</w:t>
            </w:r>
          </w:p>
        </w:tc>
        <w:tc>
          <w:tcPr>
            <w:tcW w:w="1275" w:type="dxa"/>
            <w:tcBorders>
              <w:top w:val="nil"/>
              <w:left w:val="nil"/>
              <w:bottom w:val="single" w:sz="4" w:space="0" w:color="auto"/>
              <w:right w:val="single" w:sz="4" w:space="0" w:color="auto"/>
            </w:tcBorders>
            <w:shd w:val="clear" w:color="auto" w:fill="auto"/>
            <w:noWrap/>
            <w:hideMark/>
          </w:tcPr>
          <w:p w14:paraId="31D5C9CE" w14:textId="77777777" w:rsidR="00A325C8" w:rsidRPr="00691ABD" w:rsidRDefault="00A325C8" w:rsidP="001E39EE">
            <w:pPr>
              <w:jc w:val="right"/>
              <w:rPr>
                <w:sz w:val="20"/>
                <w:szCs w:val="20"/>
                <w:lang w:val="fr-CA" w:eastAsia="en-CA"/>
              </w:rPr>
            </w:pPr>
            <w:r w:rsidRPr="00691ABD">
              <w:rPr>
                <w:sz w:val="20"/>
                <w:szCs w:val="20"/>
                <w:lang w:val="fr-CA" w:eastAsia="en-CA"/>
              </w:rPr>
              <w:t>4</w:t>
            </w:r>
            <w:r>
              <w:rPr>
                <w:sz w:val="20"/>
                <w:szCs w:val="20"/>
                <w:lang w:val="fr-CA" w:eastAsia="en-CA"/>
              </w:rPr>
              <w:t xml:space="preserve"> </w:t>
            </w:r>
            <w:r w:rsidRPr="00691ABD">
              <w:rPr>
                <w:sz w:val="20"/>
                <w:szCs w:val="20"/>
                <w:lang w:val="fr-CA" w:eastAsia="en-CA"/>
              </w:rPr>
              <w:t>203</w:t>
            </w:r>
            <w:r>
              <w:rPr>
                <w:sz w:val="20"/>
                <w:szCs w:val="20"/>
                <w:lang w:val="fr-CA" w:eastAsia="en-CA"/>
              </w:rPr>
              <w:t xml:space="preserve"> </w:t>
            </w:r>
            <w:r w:rsidRPr="00691ABD">
              <w:rPr>
                <w:sz w:val="20"/>
                <w:szCs w:val="20"/>
                <w:lang w:val="fr-CA" w:eastAsia="en-CA"/>
              </w:rPr>
              <w:t>396</w:t>
            </w:r>
          </w:p>
        </w:tc>
        <w:tc>
          <w:tcPr>
            <w:tcW w:w="1276" w:type="dxa"/>
            <w:tcBorders>
              <w:top w:val="nil"/>
              <w:left w:val="nil"/>
              <w:bottom w:val="single" w:sz="4" w:space="0" w:color="auto"/>
              <w:right w:val="single" w:sz="4" w:space="0" w:color="auto"/>
            </w:tcBorders>
            <w:shd w:val="clear" w:color="auto" w:fill="auto"/>
            <w:noWrap/>
            <w:hideMark/>
          </w:tcPr>
          <w:p w14:paraId="71ABAA7E"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246</w:t>
            </w:r>
            <w:r>
              <w:rPr>
                <w:sz w:val="20"/>
                <w:szCs w:val="20"/>
                <w:lang w:val="fr-CA" w:eastAsia="en-CA"/>
              </w:rPr>
              <w:t xml:space="preserve"> </w:t>
            </w:r>
            <w:r w:rsidRPr="00691ABD">
              <w:rPr>
                <w:sz w:val="20"/>
                <w:szCs w:val="20"/>
                <w:lang w:val="fr-CA" w:eastAsia="en-CA"/>
              </w:rPr>
              <w:t>789</w:t>
            </w:r>
          </w:p>
        </w:tc>
        <w:tc>
          <w:tcPr>
            <w:tcW w:w="1250" w:type="dxa"/>
            <w:tcBorders>
              <w:top w:val="nil"/>
              <w:left w:val="nil"/>
              <w:bottom w:val="single" w:sz="4" w:space="0" w:color="auto"/>
              <w:right w:val="single" w:sz="4" w:space="0" w:color="auto"/>
            </w:tcBorders>
            <w:shd w:val="clear" w:color="auto" w:fill="auto"/>
            <w:noWrap/>
            <w:hideMark/>
          </w:tcPr>
          <w:p w14:paraId="61B888A0"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956</w:t>
            </w:r>
            <w:r>
              <w:rPr>
                <w:sz w:val="20"/>
                <w:szCs w:val="20"/>
                <w:lang w:val="fr-CA" w:eastAsia="en-CA"/>
              </w:rPr>
              <w:t xml:space="preserve"> </w:t>
            </w:r>
            <w:r w:rsidRPr="00691ABD">
              <w:rPr>
                <w:sz w:val="20"/>
                <w:szCs w:val="20"/>
                <w:lang w:val="fr-CA" w:eastAsia="en-CA"/>
              </w:rPr>
              <w:t>607</w:t>
            </w:r>
          </w:p>
        </w:tc>
        <w:tc>
          <w:tcPr>
            <w:tcW w:w="1050" w:type="dxa"/>
            <w:tcBorders>
              <w:top w:val="nil"/>
              <w:left w:val="nil"/>
              <w:bottom w:val="single" w:sz="4" w:space="0" w:color="auto"/>
              <w:right w:val="single" w:sz="4" w:space="0" w:color="auto"/>
            </w:tcBorders>
            <w:shd w:val="clear" w:color="auto" w:fill="auto"/>
            <w:noWrap/>
            <w:hideMark/>
          </w:tcPr>
          <w:p w14:paraId="7F5E4ED8" w14:textId="77777777" w:rsidR="00A325C8" w:rsidRPr="00691ABD" w:rsidRDefault="00A325C8" w:rsidP="001E39EE">
            <w:pPr>
              <w:jc w:val="right"/>
              <w:rPr>
                <w:sz w:val="20"/>
                <w:szCs w:val="20"/>
                <w:lang w:val="fr-CA" w:eastAsia="en-CA"/>
              </w:rPr>
            </w:pPr>
            <w:r w:rsidRPr="00691ABD">
              <w:rPr>
                <w:sz w:val="20"/>
                <w:szCs w:val="20"/>
                <w:lang w:val="fr-CA" w:eastAsia="en-CA"/>
              </w:rPr>
              <w:t>53</w:t>
            </w:r>
          </w:p>
        </w:tc>
      </w:tr>
      <w:tr w:rsidR="00A325C8" w:rsidRPr="00691ABD" w14:paraId="3E619820" w14:textId="77777777" w:rsidTr="00691ABD">
        <w:trPr>
          <w:trHeight w:val="65"/>
        </w:trPr>
        <w:tc>
          <w:tcPr>
            <w:tcW w:w="3828" w:type="dxa"/>
            <w:tcBorders>
              <w:top w:val="nil"/>
              <w:left w:val="single" w:sz="4" w:space="0" w:color="auto"/>
              <w:bottom w:val="single" w:sz="4" w:space="0" w:color="auto"/>
              <w:right w:val="single" w:sz="4" w:space="0" w:color="auto"/>
            </w:tcBorders>
            <w:shd w:val="clear" w:color="auto" w:fill="auto"/>
            <w:noWrap/>
            <w:hideMark/>
          </w:tcPr>
          <w:p w14:paraId="06B03969" w14:textId="77777777" w:rsidR="00A325C8" w:rsidRPr="00691ABD" w:rsidRDefault="00A325C8" w:rsidP="001E39EE">
            <w:pPr>
              <w:jc w:val="left"/>
              <w:rPr>
                <w:sz w:val="20"/>
                <w:szCs w:val="20"/>
                <w:lang w:val="fr-CA" w:eastAsia="en-CA"/>
              </w:rPr>
            </w:pPr>
            <w:r>
              <w:rPr>
                <w:sz w:val="20"/>
                <w:szCs w:val="20"/>
                <w:lang w:val="fr-CA" w:eastAsia="en-CA"/>
              </w:rPr>
              <w:t>Soudan du Sud</w:t>
            </w:r>
          </w:p>
        </w:tc>
        <w:tc>
          <w:tcPr>
            <w:tcW w:w="1295" w:type="dxa"/>
            <w:tcBorders>
              <w:top w:val="nil"/>
              <w:left w:val="nil"/>
              <w:bottom w:val="single" w:sz="4" w:space="0" w:color="auto"/>
              <w:right w:val="single" w:sz="4" w:space="0" w:color="auto"/>
            </w:tcBorders>
            <w:shd w:val="clear" w:color="auto" w:fill="auto"/>
            <w:noWrap/>
            <w:hideMark/>
          </w:tcPr>
          <w:p w14:paraId="31971244"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0BA4791F" w14:textId="77777777" w:rsidR="00A325C8" w:rsidRPr="00691ABD" w:rsidRDefault="00A325C8" w:rsidP="001E39EE">
            <w:pPr>
              <w:jc w:val="right"/>
              <w:rPr>
                <w:sz w:val="20"/>
                <w:szCs w:val="20"/>
                <w:lang w:val="fr-CA" w:eastAsia="en-CA"/>
              </w:rPr>
            </w:pPr>
            <w:r w:rsidRPr="00691ABD">
              <w:rPr>
                <w:sz w:val="20"/>
                <w:szCs w:val="20"/>
                <w:lang w:val="fr-CA" w:eastAsia="en-CA"/>
              </w:rPr>
              <w:t>20</w:t>
            </w:r>
            <w:r>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3FC75980" w14:textId="77777777" w:rsidR="00A325C8" w:rsidRPr="00691ABD" w:rsidRDefault="00A325C8" w:rsidP="001E39EE">
            <w:pPr>
              <w:jc w:val="right"/>
              <w:rPr>
                <w:sz w:val="20"/>
                <w:szCs w:val="20"/>
                <w:lang w:val="fr-CA" w:eastAsia="en-CA"/>
              </w:rPr>
            </w:pPr>
            <w:r w:rsidRPr="00691ABD">
              <w:rPr>
                <w:sz w:val="20"/>
                <w:szCs w:val="20"/>
                <w:lang w:val="fr-CA" w:eastAsia="en-CA"/>
              </w:rPr>
              <w:t>0</w:t>
            </w:r>
          </w:p>
        </w:tc>
        <w:tc>
          <w:tcPr>
            <w:tcW w:w="1250" w:type="dxa"/>
            <w:tcBorders>
              <w:top w:val="nil"/>
              <w:left w:val="nil"/>
              <w:bottom w:val="single" w:sz="4" w:space="0" w:color="auto"/>
              <w:right w:val="single" w:sz="4" w:space="0" w:color="auto"/>
            </w:tcBorders>
            <w:shd w:val="clear" w:color="auto" w:fill="auto"/>
            <w:noWrap/>
            <w:hideMark/>
          </w:tcPr>
          <w:p w14:paraId="5DC16907" w14:textId="77777777" w:rsidR="00A325C8" w:rsidRPr="00691ABD" w:rsidRDefault="00A325C8" w:rsidP="001E39EE">
            <w:pPr>
              <w:jc w:val="right"/>
              <w:rPr>
                <w:sz w:val="20"/>
                <w:szCs w:val="20"/>
                <w:lang w:val="fr-CA" w:eastAsia="en-CA"/>
              </w:rPr>
            </w:pPr>
            <w:r w:rsidRPr="00691ABD">
              <w:rPr>
                <w:sz w:val="20"/>
                <w:szCs w:val="20"/>
                <w:lang w:val="fr-CA" w:eastAsia="en-CA"/>
              </w:rPr>
              <w:t>20</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5FE7101A" w14:textId="77777777" w:rsidR="00A325C8" w:rsidRPr="00691ABD" w:rsidRDefault="00A325C8" w:rsidP="001E39EE">
            <w:pPr>
              <w:jc w:val="right"/>
              <w:rPr>
                <w:sz w:val="20"/>
                <w:szCs w:val="20"/>
                <w:lang w:val="fr-CA" w:eastAsia="en-CA"/>
              </w:rPr>
            </w:pPr>
            <w:r w:rsidRPr="00691ABD">
              <w:rPr>
                <w:sz w:val="20"/>
                <w:szCs w:val="20"/>
                <w:lang w:val="fr-CA" w:eastAsia="en-CA"/>
              </w:rPr>
              <w:t>0</w:t>
            </w:r>
          </w:p>
        </w:tc>
      </w:tr>
      <w:tr w:rsidR="00A325C8" w:rsidRPr="00691ABD" w14:paraId="36B19554"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115E5EE" w14:textId="77777777" w:rsidR="00A325C8" w:rsidRPr="00691ABD" w:rsidRDefault="00A325C8" w:rsidP="001E39EE">
            <w:pPr>
              <w:jc w:val="left"/>
              <w:rPr>
                <w:sz w:val="20"/>
                <w:szCs w:val="20"/>
                <w:lang w:val="fr-CA" w:eastAsia="en-CA"/>
              </w:rPr>
            </w:pPr>
            <w:r w:rsidRPr="00691ABD">
              <w:rPr>
                <w:sz w:val="20"/>
                <w:szCs w:val="20"/>
                <w:lang w:val="fr-CA" w:eastAsia="en-CA"/>
              </w:rPr>
              <w:t>Sri Lanka</w:t>
            </w:r>
          </w:p>
        </w:tc>
        <w:tc>
          <w:tcPr>
            <w:tcW w:w="1295" w:type="dxa"/>
            <w:tcBorders>
              <w:top w:val="nil"/>
              <w:left w:val="nil"/>
              <w:bottom w:val="single" w:sz="4" w:space="0" w:color="auto"/>
              <w:right w:val="single" w:sz="4" w:space="0" w:color="auto"/>
            </w:tcBorders>
            <w:shd w:val="clear" w:color="auto" w:fill="auto"/>
            <w:noWrap/>
            <w:hideMark/>
          </w:tcPr>
          <w:p w14:paraId="0022C14B" w14:textId="77777777" w:rsidR="00A325C8" w:rsidRPr="00691ABD" w:rsidRDefault="00A325C8" w:rsidP="001E39EE">
            <w:pPr>
              <w:jc w:val="right"/>
              <w:rPr>
                <w:sz w:val="20"/>
                <w:szCs w:val="20"/>
                <w:lang w:val="fr-CA" w:eastAsia="en-CA"/>
              </w:rPr>
            </w:pPr>
            <w:r w:rsidRPr="00691ABD">
              <w:rPr>
                <w:sz w:val="20"/>
                <w:szCs w:val="20"/>
                <w:lang w:val="fr-CA" w:eastAsia="en-CA"/>
              </w:rPr>
              <w:t>10</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505E07F4"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064</w:t>
            </w:r>
            <w:r>
              <w:rPr>
                <w:sz w:val="20"/>
                <w:szCs w:val="20"/>
                <w:lang w:val="fr-CA" w:eastAsia="en-CA"/>
              </w:rPr>
              <w:t xml:space="preserve"> </w:t>
            </w:r>
            <w:r w:rsidRPr="00691ABD">
              <w:rPr>
                <w:sz w:val="20"/>
                <w:szCs w:val="20"/>
                <w:lang w:val="fr-CA" w:eastAsia="en-CA"/>
              </w:rPr>
              <w:t>866</w:t>
            </w:r>
          </w:p>
        </w:tc>
        <w:tc>
          <w:tcPr>
            <w:tcW w:w="1276" w:type="dxa"/>
            <w:tcBorders>
              <w:top w:val="nil"/>
              <w:left w:val="nil"/>
              <w:bottom w:val="single" w:sz="4" w:space="0" w:color="auto"/>
              <w:right w:val="single" w:sz="4" w:space="0" w:color="auto"/>
            </w:tcBorders>
            <w:shd w:val="clear" w:color="auto" w:fill="auto"/>
            <w:noWrap/>
            <w:hideMark/>
          </w:tcPr>
          <w:p w14:paraId="4263EDD7" w14:textId="77777777" w:rsidR="00A325C8" w:rsidRPr="00691ABD" w:rsidRDefault="00A325C8" w:rsidP="001E39EE">
            <w:pPr>
              <w:jc w:val="right"/>
              <w:rPr>
                <w:sz w:val="20"/>
                <w:szCs w:val="20"/>
                <w:lang w:val="fr-CA" w:eastAsia="en-CA"/>
              </w:rPr>
            </w:pPr>
            <w:r w:rsidRPr="00691ABD">
              <w:rPr>
                <w:sz w:val="20"/>
                <w:szCs w:val="20"/>
                <w:lang w:val="fr-CA" w:eastAsia="en-CA"/>
              </w:rPr>
              <w:t>593</w:t>
            </w:r>
            <w:r>
              <w:rPr>
                <w:sz w:val="20"/>
                <w:szCs w:val="20"/>
                <w:lang w:val="fr-CA" w:eastAsia="en-CA"/>
              </w:rPr>
              <w:t xml:space="preserve"> </w:t>
            </w:r>
            <w:r w:rsidRPr="00691ABD">
              <w:rPr>
                <w:sz w:val="20"/>
                <w:szCs w:val="20"/>
                <w:lang w:val="fr-CA" w:eastAsia="en-CA"/>
              </w:rPr>
              <w:t>522</w:t>
            </w:r>
          </w:p>
        </w:tc>
        <w:tc>
          <w:tcPr>
            <w:tcW w:w="1250" w:type="dxa"/>
            <w:tcBorders>
              <w:top w:val="nil"/>
              <w:left w:val="nil"/>
              <w:bottom w:val="single" w:sz="4" w:space="0" w:color="auto"/>
              <w:right w:val="single" w:sz="4" w:space="0" w:color="auto"/>
            </w:tcBorders>
            <w:shd w:val="clear" w:color="auto" w:fill="auto"/>
            <w:noWrap/>
            <w:hideMark/>
          </w:tcPr>
          <w:p w14:paraId="0EA81CF0" w14:textId="77777777" w:rsidR="00A325C8" w:rsidRPr="00691ABD" w:rsidRDefault="00A325C8" w:rsidP="001E39EE">
            <w:pPr>
              <w:jc w:val="right"/>
              <w:rPr>
                <w:sz w:val="20"/>
                <w:szCs w:val="20"/>
                <w:lang w:val="fr-CA" w:eastAsia="en-CA"/>
              </w:rPr>
            </w:pPr>
            <w:r w:rsidRPr="00691ABD">
              <w:rPr>
                <w:sz w:val="20"/>
                <w:szCs w:val="20"/>
                <w:lang w:val="fr-CA" w:eastAsia="en-CA"/>
              </w:rPr>
              <w:t>471</w:t>
            </w:r>
            <w:r>
              <w:rPr>
                <w:sz w:val="20"/>
                <w:szCs w:val="20"/>
                <w:lang w:val="fr-CA" w:eastAsia="en-CA"/>
              </w:rPr>
              <w:t xml:space="preserve"> </w:t>
            </w:r>
            <w:r w:rsidRPr="00691ABD">
              <w:rPr>
                <w:sz w:val="20"/>
                <w:szCs w:val="20"/>
                <w:lang w:val="fr-CA" w:eastAsia="en-CA"/>
              </w:rPr>
              <w:t>344</w:t>
            </w:r>
          </w:p>
        </w:tc>
        <w:tc>
          <w:tcPr>
            <w:tcW w:w="1050" w:type="dxa"/>
            <w:tcBorders>
              <w:top w:val="nil"/>
              <w:left w:val="nil"/>
              <w:bottom w:val="single" w:sz="4" w:space="0" w:color="auto"/>
              <w:right w:val="single" w:sz="4" w:space="0" w:color="auto"/>
            </w:tcBorders>
            <w:shd w:val="clear" w:color="auto" w:fill="auto"/>
            <w:noWrap/>
            <w:hideMark/>
          </w:tcPr>
          <w:p w14:paraId="626ACFC5" w14:textId="77777777" w:rsidR="00A325C8" w:rsidRPr="00691ABD" w:rsidRDefault="00A325C8" w:rsidP="001E39EE">
            <w:pPr>
              <w:jc w:val="right"/>
              <w:rPr>
                <w:sz w:val="20"/>
                <w:szCs w:val="20"/>
                <w:lang w:val="fr-CA" w:eastAsia="en-CA"/>
              </w:rPr>
            </w:pPr>
            <w:r w:rsidRPr="00691ABD">
              <w:rPr>
                <w:sz w:val="20"/>
                <w:szCs w:val="20"/>
                <w:lang w:val="fr-CA" w:eastAsia="en-CA"/>
              </w:rPr>
              <w:t>56</w:t>
            </w:r>
          </w:p>
        </w:tc>
      </w:tr>
      <w:tr w:rsidR="00A325C8" w:rsidRPr="00691ABD" w14:paraId="7164AFE1"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5BA8C69" w14:textId="77777777" w:rsidR="00A325C8" w:rsidRPr="00691ABD" w:rsidRDefault="00A325C8" w:rsidP="001E39EE">
            <w:pPr>
              <w:jc w:val="left"/>
              <w:rPr>
                <w:sz w:val="20"/>
                <w:szCs w:val="20"/>
                <w:lang w:val="fr-CA" w:eastAsia="en-CA"/>
              </w:rPr>
            </w:pPr>
            <w:r w:rsidRPr="00691ABD">
              <w:rPr>
                <w:sz w:val="20"/>
                <w:szCs w:val="20"/>
                <w:lang w:val="fr-CA" w:eastAsia="en-CA"/>
              </w:rPr>
              <w:t>Suriname</w:t>
            </w:r>
          </w:p>
        </w:tc>
        <w:tc>
          <w:tcPr>
            <w:tcW w:w="1295" w:type="dxa"/>
            <w:tcBorders>
              <w:top w:val="nil"/>
              <w:left w:val="nil"/>
              <w:bottom w:val="single" w:sz="4" w:space="0" w:color="auto"/>
              <w:right w:val="single" w:sz="4" w:space="0" w:color="auto"/>
            </w:tcBorders>
            <w:shd w:val="clear" w:color="auto" w:fill="auto"/>
            <w:noWrap/>
            <w:hideMark/>
          </w:tcPr>
          <w:p w14:paraId="70A96A43"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2E5E8F8A" w14:textId="77777777" w:rsidR="00A325C8" w:rsidRPr="00691ABD" w:rsidRDefault="00A325C8" w:rsidP="001E39EE">
            <w:pPr>
              <w:jc w:val="right"/>
              <w:rPr>
                <w:sz w:val="20"/>
                <w:szCs w:val="20"/>
                <w:lang w:val="fr-CA" w:eastAsia="en-CA"/>
              </w:rPr>
            </w:pPr>
            <w:r w:rsidRPr="00691ABD">
              <w:rPr>
                <w:sz w:val="20"/>
                <w:szCs w:val="20"/>
                <w:lang w:val="fr-CA" w:eastAsia="en-CA"/>
              </w:rPr>
              <w:t>186</w:t>
            </w:r>
            <w:r>
              <w:rPr>
                <w:sz w:val="20"/>
                <w:szCs w:val="20"/>
                <w:lang w:val="fr-CA" w:eastAsia="en-CA"/>
              </w:rPr>
              <w:t xml:space="preserve"> </w:t>
            </w:r>
            <w:r w:rsidRPr="00691ABD">
              <w:rPr>
                <w:sz w:val="20"/>
                <w:szCs w:val="20"/>
                <w:lang w:val="fr-CA" w:eastAsia="en-CA"/>
              </w:rPr>
              <w:t>742</w:t>
            </w:r>
          </w:p>
        </w:tc>
        <w:tc>
          <w:tcPr>
            <w:tcW w:w="1276" w:type="dxa"/>
            <w:tcBorders>
              <w:top w:val="nil"/>
              <w:left w:val="nil"/>
              <w:bottom w:val="single" w:sz="4" w:space="0" w:color="auto"/>
              <w:right w:val="single" w:sz="4" w:space="0" w:color="auto"/>
            </w:tcBorders>
            <w:shd w:val="clear" w:color="auto" w:fill="auto"/>
            <w:noWrap/>
            <w:hideMark/>
          </w:tcPr>
          <w:p w14:paraId="7CB57D11" w14:textId="77777777" w:rsidR="00A325C8" w:rsidRPr="00691ABD" w:rsidRDefault="00A325C8" w:rsidP="001E39EE">
            <w:pPr>
              <w:jc w:val="right"/>
              <w:rPr>
                <w:sz w:val="20"/>
                <w:szCs w:val="20"/>
                <w:lang w:val="fr-CA" w:eastAsia="en-CA"/>
              </w:rPr>
            </w:pPr>
            <w:r w:rsidRPr="00691ABD">
              <w:rPr>
                <w:sz w:val="20"/>
                <w:szCs w:val="20"/>
                <w:lang w:val="fr-CA" w:eastAsia="en-CA"/>
              </w:rPr>
              <w:t>142</w:t>
            </w:r>
            <w:r>
              <w:rPr>
                <w:sz w:val="20"/>
                <w:szCs w:val="20"/>
                <w:lang w:val="fr-CA" w:eastAsia="en-CA"/>
              </w:rPr>
              <w:t xml:space="preserve"> </w:t>
            </w:r>
            <w:r w:rsidRPr="00691ABD">
              <w:rPr>
                <w:sz w:val="20"/>
                <w:szCs w:val="20"/>
                <w:lang w:val="fr-CA" w:eastAsia="en-CA"/>
              </w:rPr>
              <w:t>109</w:t>
            </w:r>
          </w:p>
        </w:tc>
        <w:tc>
          <w:tcPr>
            <w:tcW w:w="1250" w:type="dxa"/>
            <w:tcBorders>
              <w:top w:val="nil"/>
              <w:left w:val="nil"/>
              <w:bottom w:val="single" w:sz="4" w:space="0" w:color="auto"/>
              <w:right w:val="single" w:sz="4" w:space="0" w:color="auto"/>
            </w:tcBorders>
            <w:shd w:val="clear" w:color="auto" w:fill="auto"/>
            <w:noWrap/>
            <w:hideMark/>
          </w:tcPr>
          <w:p w14:paraId="598BF082" w14:textId="77777777" w:rsidR="00A325C8" w:rsidRPr="00691ABD" w:rsidRDefault="00A325C8" w:rsidP="001E39EE">
            <w:pPr>
              <w:jc w:val="right"/>
              <w:rPr>
                <w:sz w:val="20"/>
                <w:szCs w:val="20"/>
                <w:lang w:val="fr-CA" w:eastAsia="en-CA"/>
              </w:rPr>
            </w:pPr>
            <w:r w:rsidRPr="00691ABD">
              <w:rPr>
                <w:sz w:val="20"/>
                <w:szCs w:val="20"/>
                <w:lang w:val="fr-CA" w:eastAsia="en-CA"/>
              </w:rPr>
              <w:t>44</w:t>
            </w:r>
            <w:r>
              <w:rPr>
                <w:sz w:val="20"/>
                <w:szCs w:val="20"/>
                <w:lang w:val="fr-CA" w:eastAsia="en-CA"/>
              </w:rPr>
              <w:t xml:space="preserve"> </w:t>
            </w:r>
            <w:r w:rsidRPr="00691ABD">
              <w:rPr>
                <w:sz w:val="20"/>
                <w:szCs w:val="20"/>
                <w:lang w:val="fr-CA" w:eastAsia="en-CA"/>
              </w:rPr>
              <w:t>633</w:t>
            </w:r>
          </w:p>
        </w:tc>
        <w:tc>
          <w:tcPr>
            <w:tcW w:w="1050" w:type="dxa"/>
            <w:tcBorders>
              <w:top w:val="nil"/>
              <w:left w:val="nil"/>
              <w:bottom w:val="single" w:sz="4" w:space="0" w:color="auto"/>
              <w:right w:val="single" w:sz="4" w:space="0" w:color="auto"/>
            </w:tcBorders>
            <w:shd w:val="clear" w:color="auto" w:fill="auto"/>
            <w:noWrap/>
            <w:hideMark/>
          </w:tcPr>
          <w:p w14:paraId="68968477" w14:textId="77777777" w:rsidR="00A325C8" w:rsidRPr="00691ABD" w:rsidRDefault="00A325C8" w:rsidP="001E39EE">
            <w:pPr>
              <w:jc w:val="right"/>
              <w:rPr>
                <w:sz w:val="20"/>
                <w:szCs w:val="20"/>
                <w:lang w:val="fr-CA" w:eastAsia="en-CA"/>
              </w:rPr>
            </w:pPr>
            <w:r w:rsidRPr="00691ABD">
              <w:rPr>
                <w:sz w:val="20"/>
                <w:szCs w:val="20"/>
                <w:lang w:val="fr-CA" w:eastAsia="en-CA"/>
              </w:rPr>
              <w:t>76</w:t>
            </w:r>
          </w:p>
        </w:tc>
      </w:tr>
      <w:tr w:rsidR="00A325C8" w:rsidRPr="00691ABD" w14:paraId="0C62E0A5" w14:textId="77777777" w:rsidTr="00691ABD">
        <w:trPr>
          <w:trHeight w:val="83"/>
        </w:trPr>
        <w:tc>
          <w:tcPr>
            <w:tcW w:w="3828" w:type="dxa"/>
            <w:tcBorders>
              <w:top w:val="nil"/>
              <w:left w:val="single" w:sz="4" w:space="0" w:color="auto"/>
              <w:bottom w:val="single" w:sz="4" w:space="0" w:color="auto"/>
              <w:right w:val="single" w:sz="4" w:space="0" w:color="auto"/>
            </w:tcBorders>
            <w:shd w:val="clear" w:color="auto" w:fill="auto"/>
            <w:noWrap/>
            <w:hideMark/>
          </w:tcPr>
          <w:p w14:paraId="3EBC4519" w14:textId="77777777" w:rsidR="00A325C8" w:rsidRPr="00691ABD" w:rsidRDefault="00A325C8" w:rsidP="001E39EE">
            <w:pPr>
              <w:jc w:val="left"/>
              <w:rPr>
                <w:sz w:val="20"/>
                <w:szCs w:val="20"/>
                <w:lang w:val="fr-CA" w:eastAsia="en-CA"/>
              </w:rPr>
            </w:pPr>
            <w:r>
              <w:rPr>
                <w:sz w:val="20"/>
                <w:szCs w:val="20"/>
                <w:lang w:val="fr-CA" w:eastAsia="en-CA"/>
              </w:rPr>
              <w:t>Tc</w:t>
            </w:r>
            <w:r w:rsidRPr="00691ABD">
              <w:rPr>
                <w:sz w:val="20"/>
                <w:szCs w:val="20"/>
                <w:lang w:val="fr-CA" w:eastAsia="en-CA"/>
              </w:rPr>
              <w:t>had</w:t>
            </w:r>
          </w:p>
        </w:tc>
        <w:tc>
          <w:tcPr>
            <w:tcW w:w="1295" w:type="dxa"/>
            <w:tcBorders>
              <w:top w:val="nil"/>
              <w:left w:val="nil"/>
              <w:bottom w:val="single" w:sz="4" w:space="0" w:color="auto"/>
              <w:right w:val="single" w:sz="4" w:space="0" w:color="auto"/>
            </w:tcBorders>
            <w:shd w:val="clear" w:color="auto" w:fill="auto"/>
            <w:noWrap/>
            <w:hideMark/>
          </w:tcPr>
          <w:p w14:paraId="57B39B62"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w:t>
            </w:r>
            <w:r w:rsidRPr="00691ABD">
              <w:rPr>
                <w:sz w:val="20"/>
                <w:szCs w:val="20"/>
                <w:lang w:val="fr-CA" w:eastAsia="en-CA"/>
              </w:rPr>
              <w:t>7</w:t>
            </w:r>
          </w:p>
        </w:tc>
        <w:tc>
          <w:tcPr>
            <w:tcW w:w="1275" w:type="dxa"/>
            <w:tcBorders>
              <w:top w:val="nil"/>
              <w:left w:val="nil"/>
              <w:bottom w:val="single" w:sz="4" w:space="0" w:color="auto"/>
              <w:right w:val="single" w:sz="4" w:space="0" w:color="auto"/>
            </w:tcBorders>
            <w:shd w:val="clear" w:color="auto" w:fill="auto"/>
            <w:noWrap/>
            <w:hideMark/>
          </w:tcPr>
          <w:p w14:paraId="205CED7F" w14:textId="77777777" w:rsidR="00A325C8" w:rsidRPr="00691ABD" w:rsidRDefault="00A325C8" w:rsidP="001E39EE">
            <w:pPr>
              <w:jc w:val="right"/>
              <w:rPr>
                <w:sz w:val="20"/>
                <w:szCs w:val="20"/>
                <w:lang w:val="fr-CA" w:eastAsia="en-CA"/>
              </w:rPr>
            </w:pPr>
            <w:r w:rsidRPr="00691ABD">
              <w:rPr>
                <w:sz w:val="20"/>
                <w:szCs w:val="20"/>
                <w:lang w:val="fr-CA" w:eastAsia="en-CA"/>
              </w:rPr>
              <w:t>489</w:t>
            </w:r>
            <w:r>
              <w:rPr>
                <w:sz w:val="20"/>
                <w:szCs w:val="20"/>
                <w:lang w:val="fr-CA" w:eastAsia="en-CA"/>
              </w:rPr>
              <w:t xml:space="preserve"> </w:t>
            </w:r>
            <w:r w:rsidRPr="00691ABD">
              <w:rPr>
                <w:sz w:val="20"/>
                <w:szCs w:val="20"/>
                <w:lang w:val="fr-CA" w:eastAsia="en-CA"/>
              </w:rPr>
              <w:t>542</w:t>
            </w:r>
          </w:p>
        </w:tc>
        <w:tc>
          <w:tcPr>
            <w:tcW w:w="1276" w:type="dxa"/>
            <w:tcBorders>
              <w:top w:val="nil"/>
              <w:left w:val="nil"/>
              <w:bottom w:val="single" w:sz="4" w:space="0" w:color="auto"/>
              <w:right w:val="single" w:sz="4" w:space="0" w:color="auto"/>
            </w:tcBorders>
            <w:shd w:val="clear" w:color="auto" w:fill="auto"/>
            <w:noWrap/>
            <w:hideMark/>
          </w:tcPr>
          <w:p w14:paraId="280FF462" w14:textId="77777777" w:rsidR="00A325C8" w:rsidRPr="00691ABD" w:rsidRDefault="00A325C8" w:rsidP="001E39EE">
            <w:pPr>
              <w:jc w:val="right"/>
              <w:rPr>
                <w:sz w:val="20"/>
                <w:szCs w:val="20"/>
                <w:lang w:val="fr-CA" w:eastAsia="en-CA"/>
              </w:rPr>
            </w:pPr>
            <w:r w:rsidRPr="00691ABD">
              <w:rPr>
                <w:sz w:val="20"/>
                <w:szCs w:val="20"/>
                <w:lang w:val="fr-CA" w:eastAsia="en-CA"/>
              </w:rPr>
              <w:t>484</w:t>
            </w:r>
            <w:r>
              <w:rPr>
                <w:sz w:val="20"/>
                <w:szCs w:val="20"/>
                <w:lang w:val="fr-CA" w:eastAsia="en-CA"/>
              </w:rPr>
              <w:t xml:space="preserve"> </w:t>
            </w:r>
            <w:r w:rsidRPr="00691ABD">
              <w:rPr>
                <w:sz w:val="20"/>
                <w:szCs w:val="20"/>
                <w:lang w:val="fr-CA" w:eastAsia="en-CA"/>
              </w:rPr>
              <w:t>522</w:t>
            </w:r>
          </w:p>
        </w:tc>
        <w:tc>
          <w:tcPr>
            <w:tcW w:w="1250" w:type="dxa"/>
            <w:tcBorders>
              <w:top w:val="nil"/>
              <w:left w:val="nil"/>
              <w:bottom w:val="single" w:sz="4" w:space="0" w:color="auto"/>
              <w:right w:val="single" w:sz="4" w:space="0" w:color="auto"/>
            </w:tcBorders>
            <w:shd w:val="clear" w:color="auto" w:fill="auto"/>
            <w:noWrap/>
            <w:hideMark/>
          </w:tcPr>
          <w:p w14:paraId="071F25E0" w14:textId="77777777" w:rsidR="00A325C8" w:rsidRPr="00691ABD" w:rsidRDefault="00A325C8" w:rsidP="001E39EE">
            <w:pPr>
              <w:jc w:val="right"/>
              <w:rPr>
                <w:sz w:val="20"/>
                <w:szCs w:val="20"/>
                <w:lang w:val="fr-CA" w:eastAsia="en-CA"/>
              </w:rPr>
            </w:pPr>
            <w:r w:rsidRPr="00691ABD">
              <w:rPr>
                <w:sz w:val="20"/>
                <w:szCs w:val="20"/>
                <w:lang w:val="fr-CA" w:eastAsia="en-CA"/>
              </w:rPr>
              <w:t>5</w:t>
            </w:r>
            <w:r>
              <w:rPr>
                <w:sz w:val="20"/>
                <w:szCs w:val="20"/>
                <w:lang w:val="fr-CA" w:eastAsia="en-CA"/>
              </w:rPr>
              <w:t xml:space="preserve"> </w:t>
            </w:r>
            <w:r w:rsidRPr="00691ABD">
              <w:rPr>
                <w:sz w:val="20"/>
                <w:szCs w:val="20"/>
                <w:lang w:val="fr-CA" w:eastAsia="en-CA"/>
              </w:rPr>
              <w:t>020</w:t>
            </w:r>
          </w:p>
        </w:tc>
        <w:tc>
          <w:tcPr>
            <w:tcW w:w="1050" w:type="dxa"/>
            <w:tcBorders>
              <w:top w:val="nil"/>
              <w:left w:val="nil"/>
              <w:bottom w:val="single" w:sz="4" w:space="0" w:color="auto"/>
              <w:right w:val="single" w:sz="4" w:space="0" w:color="auto"/>
            </w:tcBorders>
            <w:shd w:val="clear" w:color="auto" w:fill="auto"/>
            <w:noWrap/>
            <w:hideMark/>
          </w:tcPr>
          <w:p w14:paraId="50FCC6C9" w14:textId="77777777" w:rsidR="00A325C8" w:rsidRPr="00691ABD" w:rsidRDefault="00A325C8" w:rsidP="001E39EE">
            <w:pPr>
              <w:jc w:val="right"/>
              <w:rPr>
                <w:sz w:val="20"/>
                <w:szCs w:val="20"/>
                <w:lang w:val="fr-CA" w:eastAsia="en-CA"/>
              </w:rPr>
            </w:pPr>
            <w:r w:rsidRPr="00691ABD">
              <w:rPr>
                <w:sz w:val="20"/>
                <w:szCs w:val="20"/>
                <w:lang w:val="fr-CA" w:eastAsia="en-CA"/>
              </w:rPr>
              <w:t>99</w:t>
            </w:r>
          </w:p>
        </w:tc>
      </w:tr>
      <w:tr w:rsidR="00A325C8" w:rsidRPr="00691ABD" w14:paraId="3735F0D6"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850C254" w14:textId="77777777" w:rsidR="00A325C8" w:rsidRPr="00691ABD" w:rsidRDefault="00A325C8" w:rsidP="001E39EE">
            <w:pPr>
              <w:jc w:val="left"/>
              <w:rPr>
                <w:sz w:val="20"/>
                <w:szCs w:val="20"/>
                <w:lang w:val="fr-CA" w:eastAsia="en-CA"/>
              </w:rPr>
            </w:pPr>
            <w:r>
              <w:rPr>
                <w:sz w:val="20"/>
                <w:szCs w:val="20"/>
                <w:lang w:val="fr-CA" w:eastAsia="en-CA"/>
              </w:rPr>
              <w:t>Thaïlande</w:t>
            </w:r>
          </w:p>
        </w:tc>
        <w:tc>
          <w:tcPr>
            <w:tcW w:w="1295" w:type="dxa"/>
            <w:tcBorders>
              <w:top w:val="nil"/>
              <w:left w:val="nil"/>
              <w:bottom w:val="single" w:sz="4" w:space="0" w:color="auto"/>
              <w:right w:val="single" w:sz="4" w:space="0" w:color="auto"/>
            </w:tcBorders>
            <w:shd w:val="clear" w:color="auto" w:fill="auto"/>
            <w:noWrap/>
            <w:hideMark/>
          </w:tcPr>
          <w:p w14:paraId="5D3BE6AF" w14:textId="77777777" w:rsidR="00A325C8" w:rsidRPr="00691ABD" w:rsidRDefault="00A325C8" w:rsidP="001E39EE">
            <w:pPr>
              <w:jc w:val="right"/>
              <w:rPr>
                <w:sz w:val="20"/>
                <w:szCs w:val="20"/>
                <w:lang w:val="fr-CA" w:eastAsia="en-CA"/>
              </w:rPr>
            </w:pPr>
            <w:r w:rsidRPr="00691ABD">
              <w:rPr>
                <w:sz w:val="20"/>
                <w:szCs w:val="20"/>
                <w:lang w:val="fr-CA" w:eastAsia="en-CA"/>
              </w:rPr>
              <w:t>255</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5E0D9D11" w14:textId="77777777" w:rsidR="00A325C8" w:rsidRPr="00691ABD" w:rsidRDefault="00A325C8" w:rsidP="001E39EE">
            <w:pPr>
              <w:jc w:val="right"/>
              <w:rPr>
                <w:sz w:val="20"/>
                <w:szCs w:val="20"/>
                <w:lang w:val="fr-CA" w:eastAsia="en-CA"/>
              </w:rPr>
            </w:pPr>
            <w:r w:rsidRPr="00691ABD">
              <w:rPr>
                <w:sz w:val="20"/>
                <w:szCs w:val="20"/>
                <w:lang w:val="fr-CA" w:eastAsia="en-CA"/>
              </w:rPr>
              <w:t>18</w:t>
            </w:r>
            <w:r>
              <w:rPr>
                <w:sz w:val="20"/>
                <w:szCs w:val="20"/>
                <w:lang w:val="fr-CA" w:eastAsia="en-CA"/>
              </w:rPr>
              <w:t xml:space="preserve"> </w:t>
            </w:r>
            <w:r w:rsidRPr="00691ABD">
              <w:rPr>
                <w:sz w:val="20"/>
                <w:szCs w:val="20"/>
                <w:lang w:val="fr-CA" w:eastAsia="en-CA"/>
              </w:rPr>
              <w:t>424</w:t>
            </w:r>
            <w:r>
              <w:rPr>
                <w:sz w:val="20"/>
                <w:szCs w:val="20"/>
                <w:lang w:val="fr-CA" w:eastAsia="en-CA"/>
              </w:rPr>
              <w:t xml:space="preserve"> </w:t>
            </w:r>
            <w:r w:rsidRPr="00691ABD">
              <w:rPr>
                <w:sz w:val="20"/>
                <w:szCs w:val="20"/>
                <w:lang w:val="fr-CA" w:eastAsia="en-CA"/>
              </w:rPr>
              <w:t>008</w:t>
            </w:r>
          </w:p>
        </w:tc>
        <w:tc>
          <w:tcPr>
            <w:tcW w:w="1276" w:type="dxa"/>
            <w:tcBorders>
              <w:top w:val="nil"/>
              <w:left w:val="nil"/>
              <w:bottom w:val="single" w:sz="4" w:space="0" w:color="auto"/>
              <w:right w:val="single" w:sz="4" w:space="0" w:color="auto"/>
            </w:tcBorders>
            <w:shd w:val="clear" w:color="auto" w:fill="auto"/>
            <w:noWrap/>
            <w:hideMark/>
          </w:tcPr>
          <w:p w14:paraId="4B4F78AE" w14:textId="77777777" w:rsidR="00A325C8" w:rsidRPr="00691ABD" w:rsidRDefault="00A325C8" w:rsidP="001E39EE">
            <w:pPr>
              <w:jc w:val="right"/>
              <w:rPr>
                <w:sz w:val="20"/>
                <w:szCs w:val="20"/>
                <w:lang w:val="fr-CA" w:eastAsia="en-CA"/>
              </w:rPr>
            </w:pPr>
            <w:r w:rsidRPr="00691ABD">
              <w:rPr>
                <w:sz w:val="20"/>
                <w:szCs w:val="20"/>
                <w:lang w:val="fr-CA" w:eastAsia="en-CA"/>
              </w:rPr>
              <w:t>16</w:t>
            </w:r>
            <w:r>
              <w:rPr>
                <w:sz w:val="20"/>
                <w:szCs w:val="20"/>
                <w:lang w:val="fr-CA" w:eastAsia="en-CA"/>
              </w:rPr>
              <w:t xml:space="preserve"> </w:t>
            </w:r>
            <w:r w:rsidRPr="00691ABD">
              <w:rPr>
                <w:sz w:val="20"/>
                <w:szCs w:val="20"/>
                <w:lang w:val="fr-CA" w:eastAsia="en-CA"/>
              </w:rPr>
              <w:t>924</w:t>
            </w:r>
            <w:r>
              <w:rPr>
                <w:sz w:val="20"/>
                <w:szCs w:val="20"/>
                <w:lang w:val="fr-CA" w:eastAsia="en-CA"/>
              </w:rPr>
              <w:t xml:space="preserve"> </w:t>
            </w:r>
            <w:r w:rsidRPr="00691ABD">
              <w:rPr>
                <w:sz w:val="20"/>
                <w:szCs w:val="20"/>
                <w:lang w:val="fr-CA" w:eastAsia="en-CA"/>
              </w:rPr>
              <w:t>008</w:t>
            </w:r>
          </w:p>
        </w:tc>
        <w:tc>
          <w:tcPr>
            <w:tcW w:w="1250" w:type="dxa"/>
            <w:tcBorders>
              <w:top w:val="nil"/>
              <w:left w:val="nil"/>
              <w:bottom w:val="single" w:sz="4" w:space="0" w:color="auto"/>
              <w:right w:val="single" w:sz="4" w:space="0" w:color="auto"/>
            </w:tcBorders>
            <w:shd w:val="clear" w:color="auto" w:fill="auto"/>
            <w:noWrap/>
            <w:hideMark/>
          </w:tcPr>
          <w:p w14:paraId="42D58D71"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500</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15A006EA" w14:textId="77777777" w:rsidR="00A325C8" w:rsidRPr="00691ABD" w:rsidRDefault="00A325C8" w:rsidP="001E39EE">
            <w:pPr>
              <w:jc w:val="right"/>
              <w:rPr>
                <w:sz w:val="20"/>
                <w:szCs w:val="20"/>
                <w:lang w:val="fr-CA" w:eastAsia="en-CA"/>
              </w:rPr>
            </w:pPr>
            <w:r w:rsidRPr="00691ABD">
              <w:rPr>
                <w:sz w:val="20"/>
                <w:szCs w:val="20"/>
                <w:lang w:val="fr-CA" w:eastAsia="en-CA"/>
              </w:rPr>
              <w:t>92</w:t>
            </w:r>
          </w:p>
        </w:tc>
      </w:tr>
      <w:tr w:rsidR="00A325C8" w:rsidRPr="00691ABD" w14:paraId="1C1EE32A" w14:textId="77777777" w:rsidTr="00691ABD">
        <w:trPr>
          <w:trHeight w:val="89"/>
        </w:trPr>
        <w:tc>
          <w:tcPr>
            <w:tcW w:w="3828" w:type="dxa"/>
            <w:tcBorders>
              <w:top w:val="nil"/>
              <w:left w:val="single" w:sz="4" w:space="0" w:color="auto"/>
              <w:bottom w:val="single" w:sz="4" w:space="0" w:color="auto"/>
              <w:right w:val="single" w:sz="4" w:space="0" w:color="auto"/>
            </w:tcBorders>
            <w:shd w:val="clear" w:color="auto" w:fill="auto"/>
            <w:noWrap/>
            <w:hideMark/>
          </w:tcPr>
          <w:p w14:paraId="2B651391" w14:textId="77777777" w:rsidR="00A325C8" w:rsidRPr="00691ABD" w:rsidRDefault="00A325C8" w:rsidP="001E39EE">
            <w:pPr>
              <w:jc w:val="left"/>
              <w:rPr>
                <w:sz w:val="20"/>
                <w:szCs w:val="20"/>
                <w:lang w:val="fr-CA" w:eastAsia="en-CA"/>
              </w:rPr>
            </w:pPr>
            <w:r w:rsidRPr="00691ABD">
              <w:rPr>
                <w:sz w:val="20"/>
                <w:szCs w:val="20"/>
                <w:lang w:val="fr-CA" w:eastAsia="en-CA"/>
              </w:rPr>
              <w:t>Timor-Leste</w:t>
            </w:r>
          </w:p>
        </w:tc>
        <w:tc>
          <w:tcPr>
            <w:tcW w:w="1295" w:type="dxa"/>
            <w:tcBorders>
              <w:top w:val="nil"/>
              <w:left w:val="nil"/>
              <w:bottom w:val="single" w:sz="4" w:space="0" w:color="auto"/>
              <w:right w:val="single" w:sz="4" w:space="0" w:color="auto"/>
            </w:tcBorders>
            <w:shd w:val="clear" w:color="auto" w:fill="auto"/>
            <w:noWrap/>
            <w:hideMark/>
          </w:tcPr>
          <w:p w14:paraId="5FAC62A3"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7350F38F" w14:textId="77777777" w:rsidR="00A325C8" w:rsidRPr="00691ABD" w:rsidRDefault="00A325C8" w:rsidP="001E39EE">
            <w:pPr>
              <w:jc w:val="right"/>
              <w:rPr>
                <w:sz w:val="20"/>
                <w:szCs w:val="20"/>
                <w:lang w:val="fr-CA" w:eastAsia="en-CA"/>
              </w:rPr>
            </w:pPr>
            <w:r w:rsidRPr="00691ABD">
              <w:rPr>
                <w:sz w:val="20"/>
                <w:szCs w:val="20"/>
                <w:lang w:val="fr-CA" w:eastAsia="en-CA"/>
              </w:rPr>
              <w:t>404</w:t>
            </w:r>
            <w:r>
              <w:rPr>
                <w:sz w:val="20"/>
                <w:szCs w:val="20"/>
                <w:lang w:val="fr-CA" w:eastAsia="en-CA"/>
              </w:rPr>
              <w:t xml:space="preserve"> </w:t>
            </w:r>
            <w:r w:rsidRPr="00691ABD">
              <w:rPr>
                <w:sz w:val="20"/>
                <w:szCs w:val="20"/>
                <w:lang w:val="fr-CA" w:eastAsia="en-CA"/>
              </w:rPr>
              <w:t>700</w:t>
            </w:r>
          </w:p>
        </w:tc>
        <w:tc>
          <w:tcPr>
            <w:tcW w:w="1276" w:type="dxa"/>
            <w:tcBorders>
              <w:top w:val="nil"/>
              <w:left w:val="nil"/>
              <w:bottom w:val="single" w:sz="4" w:space="0" w:color="auto"/>
              <w:right w:val="single" w:sz="4" w:space="0" w:color="auto"/>
            </w:tcBorders>
            <w:shd w:val="clear" w:color="auto" w:fill="auto"/>
            <w:noWrap/>
            <w:hideMark/>
          </w:tcPr>
          <w:p w14:paraId="039CA7D1" w14:textId="77777777" w:rsidR="00A325C8" w:rsidRPr="00691ABD" w:rsidRDefault="00A325C8" w:rsidP="001E39EE">
            <w:pPr>
              <w:jc w:val="right"/>
              <w:rPr>
                <w:sz w:val="20"/>
                <w:szCs w:val="20"/>
                <w:lang w:val="fr-CA" w:eastAsia="en-CA"/>
              </w:rPr>
            </w:pPr>
            <w:r w:rsidRPr="00691ABD">
              <w:rPr>
                <w:sz w:val="20"/>
                <w:szCs w:val="20"/>
                <w:lang w:val="fr-CA" w:eastAsia="en-CA"/>
              </w:rPr>
              <w:t>307</w:t>
            </w:r>
            <w:r>
              <w:rPr>
                <w:sz w:val="20"/>
                <w:szCs w:val="20"/>
                <w:lang w:val="fr-CA" w:eastAsia="en-CA"/>
              </w:rPr>
              <w:t xml:space="preserve"> </w:t>
            </w:r>
            <w:r w:rsidRPr="00691ABD">
              <w:rPr>
                <w:sz w:val="20"/>
                <w:szCs w:val="20"/>
                <w:lang w:val="fr-CA" w:eastAsia="en-CA"/>
              </w:rPr>
              <w:t>674</w:t>
            </w:r>
          </w:p>
        </w:tc>
        <w:tc>
          <w:tcPr>
            <w:tcW w:w="1250" w:type="dxa"/>
            <w:tcBorders>
              <w:top w:val="nil"/>
              <w:left w:val="nil"/>
              <w:bottom w:val="single" w:sz="4" w:space="0" w:color="auto"/>
              <w:right w:val="single" w:sz="4" w:space="0" w:color="auto"/>
            </w:tcBorders>
            <w:shd w:val="clear" w:color="auto" w:fill="auto"/>
            <w:noWrap/>
            <w:hideMark/>
          </w:tcPr>
          <w:p w14:paraId="2BDEC1F0" w14:textId="77777777" w:rsidR="00A325C8" w:rsidRPr="00691ABD" w:rsidRDefault="00A325C8" w:rsidP="001E39EE">
            <w:pPr>
              <w:jc w:val="right"/>
              <w:rPr>
                <w:sz w:val="20"/>
                <w:szCs w:val="20"/>
                <w:lang w:val="fr-CA" w:eastAsia="en-CA"/>
              </w:rPr>
            </w:pPr>
            <w:r w:rsidRPr="00691ABD">
              <w:rPr>
                <w:sz w:val="20"/>
                <w:szCs w:val="20"/>
                <w:lang w:val="fr-CA" w:eastAsia="en-CA"/>
              </w:rPr>
              <w:t>97</w:t>
            </w:r>
            <w:r>
              <w:rPr>
                <w:sz w:val="20"/>
                <w:szCs w:val="20"/>
                <w:lang w:val="fr-CA" w:eastAsia="en-CA"/>
              </w:rPr>
              <w:t xml:space="preserve"> </w:t>
            </w:r>
            <w:r w:rsidRPr="00691ABD">
              <w:rPr>
                <w:sz w:val="20"/>
                <w:szCs w:val="20"/>
                <w:lang w:val="fr-CA" w:eastAsia="en-CA"/>
              </w:rPr>
              <w:t>026</w:t>
            </w:r>
          </w:p>
        </w:tc>
        <w:tc>
          <w:tcPr>
            <w:tcW w:w="1050" w:type="dxa"/>
            <w:tcBorders>
              <w:top w:val="nil"/>
              <w:left w:val="nil"/>
              <w:bottom w:val="single" w:sz="4" w:space="0" w:color="auto"/>
              <w:right w:val="single" w:sz="4" w:space="0" w:color="auto"/>
            </w:tcBorders>
            <w:shd w:val="clear" w:color="auto" w:fill="auto"/>
            <w:noWrap/>
            <w:hideMark/>
          </w:tcPr>
          <w:p w14:paraId="1BC2D2D5" w14:textId="77777777" w:rsidR="00A325C8" w:rsidRPr="00691ABD" w:rsidRDefault="00A325C8" w:rsidP="001E39EE">
            <w:pPr>
              <w:jc w:val="right"/>
              <w:rPr>
                <w:sz w:val="20"/>
                <w:szCs w:val="20"/>
                <w:lang w:val="fr-CA" w:eastAsia="en-CA"/>
              </w:rPr>
            </w:pPr>
            <w:r w:rsidRPr="00691ABD">
              <w:rPr>
                <w:sz w:val="20"/>
                <w:szCs w:val="20"/>
                <w:lang w:val="fr-CA" w:eastAsia="en-CA"/>
              </w:rPr>
              <w:t>76</w:t>
            </w:r>
          </w:p>
        </w:tc>
      </w:tr>
      <w:tr w:rsidR="00A325C8" w:rsidRPr="00691ABD" w14:paraId="5242CFA3"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7FD750F" w14:textId="77777777" w:rsidR="00A325C8" w:rsidRPr="00691ABD" w:rsidRDefault="00A325C8" w:rsidP="001E39EE">
            <w:pPr>
              <w:jc w:val="left"/>
              <w:rPr>
                <w:sz w:val="20"/>
                <w:szCs w:val="20"/>
                <w:lang w:val="fr-CA" w:eastAsia="en-CA"/>
              </w:rPr>
            </w:pPr>
            <w:r w:rsidRPr="00691ABD">
              <w:rPr>
                <w:sz w:val="20"/>
                <w:szCs w:val="20"/>
                <w:lang w:val="fr-CA" w:eastAsia="en-CA"/>
              </w:rPr>
              <w:t>Togo</w:t>
            </w:r>
          </w:p>
        </w:tc>
        <w:tc>
          <w:tcPr>
            <w:tcW w:w="1295" w:type="dxa"/>
            <w:tcBorders>
              <w:top w:val="nil"/>
              <w:left w:val="nil"/>
              <w:bottom w:val="single" w:sz="4" w:space="0" w:color="auto"/>
              <w:right w:val="single" w:sz="4" w:space="0" w:color="auto"/>
            </w:tcBorders>
            <w:shd w:val="clear" w:color="auto" w:fill="auto"/>
            <w:noWrap/>
            <w:hideMark/>
          </w:tcPr>
          <w:p w14:paraId="0180A023" w14:textId="77777777" w:rsidR="00A325C8" w:rsidRPr="00691ABD" w:rsidRDefault="00A325C8" w:rsidP="001E39EE">
            <w:pPr>
              <w:jc w:val="right"/>
              <w:rPr>
                <w:sz w:val="20"/>
                <w:szCs w:val="20"/>
                <w:lang w:val="fr-CA" w:eastAsia="en-CA"/>
              </w:rPr>
            </w:pPr>
            <w:r w:rsidRPr="00691ABD">
              <w:rPr>
                <w:sz w:val="20"/>
                <w:szCs w:val="20"/>
                <w:lang w:val="fr-CA" w:eastAsia="en-CA"/>
              </w:rPr>
              <w:t>7</w:t>
            </w:r>
            <w:r>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3E8C1078" w14:textId="77777777" w:rsidR="00A325C8" w:rsidRPr="00691ABD" w:rsidRDefault="00A325C8" w:rsidP="001E39EE">
            <w:pPr>
              <w:jc w:val="right"/>
              <w:rPr>
                <w:sz w:val="20"/>
                <w:szCs w:val="20"/>
                <w:lang w:val="fr-CA" w:eastAsia="en-CA"/>
              </w:rPr>
            </w:pPr>
            <w:r w:rsidRPr="00691ABD">
              <w:rPr>
                <w:sz w:val="20"/>
                <w:szCs w:val="20"/>
                <w:lang w:val="fr-CA" w:eastAsia="en-CA"/>
              </w:rPr>
              <w:t>566</w:t>
            </w:r>
            <w:r>
              <w:rPr>
                <w:sz w:val="20"/>
                <w:szCs w:val="20"/>
                <w:lang w:val="fr-CA" w:eastAsia="en-CA"/>
              </w:rPr>
              <w:t xml:space="preserve"> </w:t>
            </w:r>
            <w:r w:rsidRPr="00691ABD">
              <w:rPr>
                <w:sz w:val="20"/>
                <w:szCs w:val="20"/>
                <w:lang w:val="fr-CA" w:eastAsia="en-CA"/>
              </w:rPr>
              <w:t>894</w:t>
            </w:r>
          </w:p>
        </w:tc>
        <w:tc>
          <w:tcPr>
            <w:tcW w:w="1276" w:type="dxa"/>
            <w:tcBorders>
              <w:top w:val="nil"/>
              <w:left w:val="nil"/>
              <w:bottom w:val="single" w:sz="4" w:space="0" w:color="auto"/>
              <w:right w:val="single" w:sz="4" w:space="0" w:color="auto"/>
            </w:tcBorders>
            <w:shd w:val="clear" w:color="auto" w:fill="auto"/>
            <w:noWrap/>
            <w:hideMark/>
          </w:tcPr>
          <w:p w14:paraId="1E609673" w14:textId="77777777" w:rsidR="00A325C8" w:rsidRPr="00691ABD" w:rsidRDefault="00A325C8" w:rsidP="001E39EE">
            <w:pPr>
              <w:jc w:val="right"/>
              <w:rPr>
                <w:sz w:val="20"/>
                <w:szCs w:val="20"/>
                <w:lang w:val="fr-CA" w:eastAsia="en-CA"/>
              </w:rPr>
            </w:pPr>
            <w:r w:rsidRPr="00691ABD">
              <w:rPr>
                <w:sz w:val="20"/>
                <w:szCs w:val="20"/>
                <w:lang w:val="fr-CA" w:eastAsia="en-CA"/>
              </w:rPr>
              <w:t>534</w:t>
            </w:r>
            <w:r>
              <w:rPr>
                <w:sz w:val="20"/>
                <w:szCs w:val="20"/>
                <w:lang w:val="fr-CA" w:eastAsia="en-CA"/>
              </w:rPr>
              <w:t xml:space="preserve"> </w:t>
            </w:r>
            <w:r w:rsidRPr="00691ABD">
              <w:rPr>
                <w:sz w:val="20"/>
                <w:szCs w:val="20"/>
                <w:lang w:val="fr-CA" w:eastAsia="en-CA"/>
              </w:rPr>
              <w:t>369</w:t>
            </w:r>
          </w:p>
        </w:tc>
        <w:tc>
          <w:tcPr>
            <w:tcW w:w="1250" w:type="dxa"/>
            <w:tcBorders>
              <w:top w:val="nil"/>
              <w:left w:val="nil"/>
              <w:bottom w:val="single" w:sz="4" w:space="0" w:color="auto"/>
              <w:right w:val="single" w:sz="4" w:space="0" w:color="auto"/>
            </w:tcBorders>
            <w:shd w:val="clear" w:color="auto" w:fill="auto"/>
            <w:noWrap/>
            <w:hideMark/>
          </w:tcPr>
          <w:p w14:paraId="7A788A52" w14:textId="77777777" w:rsidR="00A325C8" w:rsidRPr="00691ABD" w:rsidRDefault="00A325C8" w:rsidP="001E39EE">
            <w:pPr>
              <w:jc w:val="right"/>
              <w:rPr>
                <w:sz w:val="20"/>
                <w:szCs w:val="20"/>
                <w:lang w:val="fr-CA" w:eastAsia="en-CA"/>
              </w:rPr>
            </w:pPr>
            <w:r w:rsidRPr="00691ABD">
              <w:rPr>
                <w:sz w:val="20"/>
                <w:szCs w:val="20"/>
                <w:lang w:val="fr-CA" w:eastAsia="en-CA"/>
              </w:rPr>
              <w:t>32</w:t>
            </w:r>
            <w:r>
              <w:rPr>
                <w:sz w:val="20"/>
                <w:szCs w:val="20"/>
                <w:lang w:val="fr-CA" w:eastAsia="en-CA"/>
              </w:rPr>
              <w:t xml:space="preserve"> </w:t>
            </w:r>
            <w:r w:rsidRPr="00691ABD">
              <w:rPr>
                <w:sz w:val="20"/>
                <w:szCs w:val="20"/>
                <w:lang w:val="fr-CA" w:eastAsia="en-CA"/>
              </w:rPr>
              <w:t>525</w:t>
            </w:r>
          </w:p>
        </w:tc>
        <w:tc>
          <w:tcPr>
            <w:tcW w:w="1050" w:type="dxa"/>
            <w:tcBorders>
              <w:top w:val="nil"/>
              <w:left w:val="nil"/>
              <w:bottom w:val="single" w:sz="4" w:space="0" w:color="auto"/>
              <w:right w:val="single" w:sz="4" w:space="0" w:color="auto"/>
            </w:tcBorders>
            <w:shd w:val="clear" w:color="auto" w:fill="auto"/>
            <w:noWrap/>
            <w:hideMark/>
          </w:tcPr>
          <w:p w14:paraId="7D5F761A" w14:textId="77777777" w:rsidR="00A325C8" w:rsidRPr="00691ABD" w:rsidRDefault="00A325C8" w:rsidP="001E39EE">
            <w:pPr>
              <w:jc w:val="right"/>
              <w:rPr>
                <w:sz w:val="20"/>
                <w:szCs w:val="20"/>
                <w:lang w:val="fr-CA" w:eastAsia="en-CA"/>
              </w:rPr>
            </w:pPr>
            <w:r w:rsidRPr="00691ABD">
              <w:rPr>
                <w:sz w:val="20"/>
                <w:szCs w:val="20"/>
                <w:lang w:val="fr-CA" w:eastAsia="en-CA"/>
              </w:rPr>
              <w:t>94</w:t>
            </w:r>
          </w:p>
        </w:tc>
      </w:tr>
      <w:tr w:rsidR="00A325C8" w:rsidRPr="00691ABD" w14:paraId="01AB4807"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6824745B" w14:textId="77777777" w:rsidR="00A325C8" w:rsidRPr="00691ABD" w:rsidRDefault="00A325C8" w:rsidP="001E39EE">
            <w:pPr>
              <w:jc w:val="left"/>
              <w:rPr>
                <w:sz w:val="20"/>
                <w:szCs w:val="20"/>
                <w:lang w:val="fr-CA" w:eastAsia="en-CA"/>
              </w:rPr>
            </w:pPr>
            <w:r w:rsidRPr="00691ABD">
              <w:rPr>
                <w:sz w:val="20"/>
                <w:szCs w:val="20"/>
                <w:lang w:val="fr-CA" w:eastAsia="en-CA"/>
              </w:rPr>
              <w:t>Tonga</w:t>
            </w:r>
          </w:p>
        </w:tc>
        <w:tc>
          <w:tcPr>
            <w:tcW w:w="1295" w:type="dxa"/>
            <w:tcBorders>
              <w:top w:val="nil"/>
              <w:left w:val="nil"/>
              <w:bottom w:val="single" w:sz="4" w:space="0" w:color="auto"/>
              <w:right w:val="single" w:sz="4" w:space="0" w:color="auto"/>
            </w:tcBorders>
            <w:shd w:val="clear" w:color="auto" w:fill="auto"/>
            <w:noWrap/>
            <w:hideMark/>
          </w:tcPr>
          <w:p w14:paraId="5990C696"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221F482E" w14:textId="77777777" w:rsidR="00A325C8" w:rsidRPr="00691ABD" w:rsidRDefault="00A325C8" w:rsidP="001E39EE">
            <w:pPr>
              <w:jc w:val="right"/>
              <w:rPr>
                <w:sz w:val="20"/>
                <w:szCs w:val="20"/>
                <w:lang w:val="fr-CA" w:eastAsia="en-CA"/>
              </w:rPr>
            </w:pPr>
            <w:r w:rsidRPr="00691ABD">
              <w:rPr>
                <w:sz w:val="20"/>
                <w:szCs w:val="20"/>
                <w:lang w:val="fr-CA" w:eastAsia="en-CA"/>
              </w:rPr>
              <w:t>324</w:t>
            </w:r>
            <w:r>
              <w:rPr>
                <w:sz w:val="20"/>
                <w:szCs w:val="20"/>
                <w:lang w:val="fr-CA" w:eastAsia="en-CA"/>
              </w:rPr>
              <w:t xml:space="preserve"> </w:t>
            </w:r>
            <w:r w:rsidRPr="00691ABD">
              <w:rPr>
                <w:sz w:val="20"/>
                <w:szCs w:val="20"/>
                <w:lang w:val="fr-CA" w:eastAsia="en-CA"/>
              </w:rPr>
              <w:t>050</w:t>
            </w:r>
          </w:p>
        </w:tc>
        <w:tc>
          <w:tcPr>
            <w:tcW w:w="1276" w:type="dxa"/>
            <w:tcBorders>
              <w:top w:val="nil"/>
              <w:left w:val="nil"/>
              <w:bottom w:val="single" w:sz="4" w:space="0" w:color="auto"/>
              <w:right w:val="single" w:sz="4" w:space="0" w:color="auto"/>
            </w:tcBorders>
            <w:shd w:val="clear" w:color="auto" w:fill="auto"/>
            <w:noWrap/>
            <w:hideMark/>
          </w:tcPr>
          <w:p w14:paraId="2520BE77" w14:textId="77777777" w:rsidR="00A325C8" w:rsidRPr="00691ABD" w:rsidRDefault="00A325C8" w:rsidP="001E39EE">
            <w:pPr>
              <w:jc w:val="right"/>
              <w:rPr>
                <w:sz w:val="20"/>
                <w:szCs w:val="20"/>
                <w:lang w:val="fr-CA" w:eastAsia="en-CA"/>
              </w:rPr>
            </w:pPr>
            <w:r w:rsidRPr="00691ABD">
              <w:rPr>
                <w:sz w:val="20"/>
                <w:szCs w:val="20"/>
                <w:lang w:val="fr-CA" w:eastAsia="en-CA"/>
              </w:rPr>
              <w:t>89</w:t>
            </w:r>
            <w:r>
              <w:rPr>
                <w:sz w:val="20"/>
                <w:szCs w:val="20"/>
                <w:lang w:val="fr-CA" w:eastAsia="en-CA"/>
              </w:rPr>
              <w:t xml:space="preserve"> </w:t>
            </w:r>
            <w:r w:rsidRPr="00691ABD">
              <w:rPr>
                <w:sz w:val="20"/>
                <w:szCs w:val="20"/>
                <w:lang w:val="fr-CA" w:eastAsia="en-CA"/>
              </w:rPr>
              <w:t>723</w:t>
            </w:r>
          </w:p>
        </w:tc>
        <w:tc>
          <w:tcPr>
            <w:tcW w:w="1250" w:type="dxa"/>
            <w:tcBorders>
              <w:top w:val="nil"/>
              <w:left w:val="nil"/>
              <w:bottom w:val="single" w:sz="4" w:space="0" w:color="auto"/>
              <w:right w:val="single" w:sz="4" w:space="0" w:color="auto"/>
            </w:tcBorders>
            <w:shd w:val="clear" w:color="auto" w:fill="auto"/>
            <w:noWrap/>
            <w:hideMark/>
          </w:tcPr>
          <w:p w14:paraId="7437A615" w14:textId="77777777" w:rsidR="00A325C8" w:rsidRPr="00691ABD" w:rsidRDefault="00A325C8" w:rsidP="001E39EE">
            <w:pPr>
              <w:jc w:val="right"/>
              <w:rPr>
                <w:sz w:val="20"/>
                <w:szCs w:val="20"/>
                <w:lang w:val="fr-CA" w:eastAsia="en-CA"/>
              </w:rPr>
            </w:pPr>
            <w:r w:rsidRPr="00691ABD">
              <w:rPr>
                <w:sz w:val="20"/>
                <w:szCs w:val="20"/>
                <w:lang w:val="fr-CA" w:eastAsia="en-CA"/>
              </w:rPr>
              <w:t>234</w:t>
            </w:r>
            <w:r>
              <w:rPr>
                <w:sz w:val="20"/>
                <w:szCs w:val="20"/>
                <w:lang w:val="fr-CA" w:eastAsia="en-CA"/>
              </w:rPr>
              <w:t xml:space="preserve"> </w:t>
            </w:r>
            <w:r w:rsidRPr="00691ABD">
              <w:rPr>
                <w:sz w:val="20"/>
                <w:szCs w:val="20"/>
                <w:lang w:val="fr-CA" w:eastAsia="en-CA"/>
              </w:rPr>
              <w:t>327</w:t>
            </w:r>
          </w:p>
        </w:tc>
        <w:tc>
          <w:tcPr>
            <w:tcW w:w="1050" w:type="dxa"/>
            <w:tcBorders>
              <w:top w:val="nil"/>
              <w:left w:val="nil"/>
              <w:bottom w:val="single" w:sz="4" w:space="0" w:color="auto"/>
              <w:right w:val="single" w:sz="4" w:space="0" w:color="auto"/>
            </w:tcBorders>
            <w:shd w:val="clear" w:color="auto" w:fill="auto"/>
            <w:noWrap/>
            <w:hideMark/>
          </w:tcPr>
          <w:p w14:paraId="15EB5F14" w14:textId="77777777" w:rsidR="00A325C8" w:rsidRPr="00691ABD" w:rsidRDefault="00A325C8" w:rsidP="001E39EE">
            <w:pPr>
              <w:jc w:val="right"/>
              <w:rPr>
                <w:sz w:val="20"/>
                <w:szCs w:val="20"/>
                <w:lang w:val="fr-CA" w:eastAsia="en-CA"/>
              </w:rPr>
            </w:pPr>
            <w:r w:rsidRPr="00691ABD">
              <w:rPr>
                <w:sz w:val="20"/>
                <w:szCs w:val="20"/>
                <w:lang w:val="fr-CA" w:eastAsia="en-CA"/>
              </w:rPr>
              <w:t>28</w:t>
            </w:r>
          </w:p>
        </w:tc>
      </w:tr>
      <w:tr w:rsidR="00A325C8" w:rsidRPr="00691ABD" w14:paraId="0EF7099B" w14:textId="77777777" w:rsidTr="00691ABD">
        <w:trPr>
          <w:trHeight w:val="84"/>
        </w:trPr>
        <w:tc>
          <w:tcPr>
            <w:tcW w:w="3828" w:type="dxa"/>
            <w:tcBorders>
              <w:top w:val="nil"/>
              <w:left w:val="single" w:sz="4" w:space="0" w:color="auto"/>
              <w:bottom w:val="single" w:sz="4" w:space="0" w:color="auto"/>
              <w:right w:val="single" w:sz="4" w:space="0" w:color="auto"/>
            </w:tcBorders>
            <w:shd w:val="clear" w:color="auto" w:fill="auto"/>
            <w:noWrap/>
            <w:hideMark/>
          </w:tcPr>
          <w:p w14:paraId="22F6EC24" w14:textId="77777777" w:rsidR="00A325C8" w:rsidRPr="00691ABD" w:rsidRDefault="00A325C8" w:rsidP="00A325C8">
            <w:pPr>
              <w:jc w:val="left"/>
              <w:rPr>
                <w:sz w:val="20"/>
                <w:szCs w:val="20"/>
                <w:lang w:val="fr-CA" w:eastAsia="en-CA"/>
              </w:rPr>
            </w:pPr>
            <w:r>
              <w:rPr>
                <w:sz w:val="20"/>
                <w:szCs w:val="20"/>
                <w:lang w:val="fr-CA" w:eastAsia="en-CA"/>
              </w:rPr>
              <w:t>Trinité-et-</w:t>
            </w:r>
            <w:r w:rsidRPr="00691ABD">
              <w:rPr>
                <w:sz w:val="20"/>
                <w:szCs w:val="20"/>
                <w:lang w:val="fr-CA" w:eastAsia="en-CA"/>
              </w:rPr>
              <w:t>Tobago</w:t>
            </w:r>
          </w:p>
        </w:tc>
        <w:tc>
          <w:tcPr>
            <w:tcW w:w="1295" w:type="dxa"/>
            <w:tcBorders>
              <w:top w:val="nil"/>
              <w:left w:val="nil"/>
              <w:bottom w:val="single" w:sz="4" w:space="0" w:color="auto"/>
              <w:right w:val="single" w:sz="4" w:space="0" w:color="auto"/>
            </w:tcBorders>
            <w:shd w:val="clear" w:color="auto" w:fill="auto"/>
            <w:noWrap/>
            <w:hideMark/>
          </w:tcPr>
          <w:p w14:paraId="75CDF260" w14:textId="77777777" w:rsidR="00A325C8" w:rsidRPr="00691ABD" w:rsidRDefault="00A325C8" w:rsidP="001E39EE">
            <w:pPr>
              <w:jc w:val="right"/>
              <w:rPr>
                <w:sz w:val="20"/>
                <w:szCs w:val="20"/>
                <w:lang w:val="fr-CA" w:eastAsia="en-CA"/>
              </w:rPr>
            </w:pPr>
            <w:r w:rsidRPr="00691ABD">
              <w:rPr>
                <w:sz w:val="20"/>
                <w:szCs w:val="20"/>
                <w:lang w:val="fr-CA" w:eastAsia="en-CA"/>
              </w:rPr>
              <w:t>17</w:t>
            </w:r>
            <w:r>
              <w:rPr>
                <w:sz w:val="20"/>
                <w:szCs w:val="20"/>
                <w:lang w:val="fr-CA" w:eastAsia="en-CA"/>
              </w:rPr>
              <w:t>,</w:t>
            </w:r>
            <w:r w:rsidRPr="00691ABD">
              <w:rPr>
                <w:sz w:val="20"/>
                <w:szCs w:val="20"/>
                <w:lang w:val="fr-CA" w:eastAsia="en-CA"/>
              </w:rPr>
              <w:t>9</w:t>
            </w:r>
          </w:p>
        </w:tc>
        <w:tc>
          <w:tcPr>
            <w:tcW w:w="1275" w:type="dxa"/>
            <w:tcBorders>
              <w:top w:val="nil"/>
              <w:left w:val="nil"/>
              <w:bottom w:val="single" w:sz="4" w:space="0" w:color="auto"/>
              <w:right w:val="single" w:sz="4" w:space="0" w:color="auto"/>
            </w:tcBorders>
            <w:shd w:val="clear" w:color="auto" w:fill="auto"/>
            <w:noWrap/>
            <w:hideMark/>
          </w:tcPr>
          <w:p w14:paraId="78D840C9"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930</w:t>
            </w:r>
            <w:r>
              <w:rPr>
                <w:sz w:val="20"/>
                <w:szCs w:val="20"/>
                <w:lang w:val="fr-CA" w:eastAsia="en-CA"/>
              </w:rPr>
              <w:t xml:space="preserve"> </w:t>
            </w:r>
            <w:r w:rsidRPr="00691ABD">
              <w:rPr>
                <w:sz w:val="20"/>
                <w:szCs w:val="20"/>
                <w:lang w:val="fr-CA" w:eastAsia="en-CA"/>
              </w:rPr>
              <w:t>889</w:t>
            </w:r>
          </w:p>
        </w:tc>
        <w:tc>
          <w:tcPr>
            <w:tcW w:w="1276" w:type="dxa"/>
            <w:tcBorders>
              <w:top w:val="nil"/>
              <w:left w:val="nil"/>
              <w:bottom w:val="single" w:sz="4" w:space="0" w:color="auto"/>
              <w:right w:val="single" w:sz="4" w:space="0" w:color="auto"/>
            </w:tcBorders>
            <w:shd w:val="clear" w:color="auto" w:fill="auto"/>
            <w:noWrap/>
            <w:hideMark/>
          </w:tcPr>
          <w:p w14:paraId="1B3A5F39"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320</w:t>
            </w:r>
            <w:r>
              <w:rPr>
                <w:sz w:val="20"/>
                <w:szCs w:val="20"/>
                <w:lang w:val="fr-CA" w:eastAsia="en-CA"/>
              </w:rPr>
              <w:t xml:space="preserve"> </w:t>
            </w:r>
            <w:r w:rsidRPr="00691ABD">
              <w:rPr>
                <w:sz w:val="20"/>
                <w:szCs w:val="20"/>
                <w:lang w:val="fr-CA" w:eastAsia="en-CA"/>
              </w:rPr>
              <w:t>477</w:t>
            </w:r>
          </w:p>
        </w:tc>
        <w:tc>
          <w:tcPr>
            <w:tcW w:w="1250" w:type="dxa"/>
            <w:tcBorders>
              <w:top w:val="nil"/>
              <w:left w:val="nil"/>
              <w:bottom w:val="single" w:sz="4" w:space="0" w:color="auto"/>
              <w:right w:val="single" w:sz="4" w:space="0" w:color="auto"/>
            </w:tcBorders>
            <w:shd w:val="clear" w:color="auto" w:fill="auto"/>
            <w:noWrap/>
            <w:hideMark/>
          </w:tcPr>
          <w:p w14:paraId="2963DF75" w14:textId="77777777" w:rsidR="00A325C8" w:rsidRPr="00691ABD" w:rsidRDefault="00A325C8" w:rsidP="001E39EE">
            <w:pPr>
              <w:jc w:val="right"/>
              <w:rPr>
                <w:sz w:val="20"/>
                <w:szCs w:val="20"/>
                <w:lang w:val="fr-CA" w:eastAsia="en-CA"/>
              </w:rPr>
            </w:pPr>
            <w:r w:rsidRPr="00691ABD">
              <w:rPr>
                <w:sz w:val="20"/>
                <w:szCs w:val="20"/>
                <w:lang w:val="fr-CA" w:eastAsia="en-CA"/>
              </w:rPr>
              <w:t>610</w:t>
            </w:r>
            <w:r>
              <w:rPr>
                <w:sz w:val="20"/>
                <w:szCs w:val="20"/>
                <w:lang w:val="fr-CA" w:eastAsia="en-CA"/>
              </w:rPr>
              <w:t xml:space="preserve"> </w:t>
            </w:r>
            <w:r w:rsidRPr="00691ABD">
              <w:rPr>
                <w:sz w:val="20"/>
                <w:szCs w:val="20"/>
                <w:lang w:val="fr-CA" w:eastAsia="en-CA"/>
              </w:rPr>
              <w:t>412</w:t>
            </w:r>
          </w:p>
        </w:tc>
        <w:tc>
          <w:tcPr>
            <w:tcW w:w="1050" w:type="dxa"/>
            <w:tcBorders>
              <w:top w:val="nil"/>
              <w:left w:val="nil"/>
              <w:bottom w:val="single" w:sz="4" w:space="0" w:color="auto"/>
              <w:right w:val="single" w:sz="4" w:space="0" w:color="auto"/>
            </w:tcBorders>
            <w:shd w:val="clear" w:color="auto" w:fill="auto"/>
            <w:noWrap/>
            <w:hideMark/>
          </w:tcPr>
          <w:p w14:paraId="7780457F" w14:textId="77777777" w:rsidR="00A325C8" w:rsidRPr="00691ABD" w:rsidRDefault="00A325C8" w:rsidP="001E39EE">
            <w:pPr>
              <w:jc w:val="right"/>
              <w:rPr>
                <w:sz w:val="20"/>
                <w:szCs w:val="20"/>
                <w:lang w:val="fr-CA" w:eastAsia="en-CA"/>
              </w:rPr>
            </w:pPr>
            <w:r w:rsidRPr="00691ABD">
              <w:rPr>
                <w:sz w:val="20"/>
                <w:szCs w:val="20"/>
                <w:lang w:val="fr-CA" w:eastAsia="en-CA"/>
              </w:rPr>
              <w:t>68</w:t>
            </w:r>
          </w:p>
        </w:tc>
      </w:tr>
      <w:tr w:rsidR="00A325C8" w:rsidRPr="00691ABD" w14:paraId="57C000D8" w14:textId="77777777" w:rsidTr="00691ABD">
        <w:trPr>
          <w:trHeight w:val="130"/>
        </w:trPr>
        <w:tc>
          <w:tcPr>
            <w:tcW w:w="3828" w:type="dxa"/>
            <w:tcBorders>
              <w:top w:val="nil"/>
              <w:left w:val="single" w:sz="4" w:space="0" w:color="auto"/>
              <w:bottom w:val="single" w:sz="4" w:space="0" w:color="auto"/>
              <w:right w:val="single" w:sz="4" w:space="0" w:color="auto"/>
            </w:tcBorders>
            <w:shd w:val="clear" w:color="auto" w:fill="auto"/>
            <w:noWrap/>
            <w:hideMark/>
          </w:tcPr>
          <w:p w14:paraId="36384B83" w14:textId="77777777" w:rsidR="00A325C8" w:rsidRPr="00691ABD" w:rsidRDefault="00A325C8" w:rsidP="001E39EE">
            <w:pPr>
              <w:jc w:val="left"/>
              <w:rPr>
                <w:sz w:val="20"/>
                <w:szCs w:val="20"/>
                <w:lang w:val="fr-CA" w:eastAsia="en-CA"/>
              </w:rPr>
            </w:pPr>
            <w:r>
              <w:rPr>
                <w:sz w:val="20"/>
                <w:szCs w:val="20"/>
                <w:lang w:val="fr-CA" w:eastAsia="en-CA"/>
              </w:rPr>
              <w:t>Tunisie</w:t>
            </w:r>
          </w:p>
        </w:tc>
        <w:tc>
          <w:tcPr>
            <w:tcW w:w="1295" w:type="dxa"/>
            <w:tcBorders>
              <w:top w:val="nil"/>
              <w:left w:val="nil"/>
              <w:bottom w:val="single" w:sz="4" w:space="0" w:color="auto"/>
              <w:right w:val="single" w:sz="4" w:space="0" w:color="auto"/>
            </w:tcBorders>
            <w:shd w:val="clear" w:color="auto" w:fill="auto"/>
            <w:noWrap/>
            <w:hideMark/>
          </w:tcPr>
          <w:p w14:paraId="28B5B004" w14:textId="77777777" w:rsidR="00A325C8" w:rsidRPr="00691ABD" w:rsidRDefault="00A325C8" w:rsidP="001E39EE">
            <w:pPr>
              <w:jc w:val="right"/>
              <w:rPr>
                <w:sz w:val="20"/>
                <w:szCs w:val="20"/>
                <w:lang w:val="fr-CA" w:eastAsia="en-CA"/>
              </w:rPr>
            </w:pPr>
            <w:r w:rsidRPr="00691ABD">
              <w:rPr>
                <w:sz w:val="20"/>
                <w:szCs w:val="20"/>
                <w:lang w:val="fr-CA" w:eastAsia="en-CA"/>
              </w:rPr>
              <w:t>16</w:t>
            </w:r>
            <w:r>
              <w:rPr>
                <w:sz w:val="20"/>
                <w:szCs w:val="20"/>
                <w:lang w:val="fr-CA" w:eastAsia="en-CA"/>
              </w:rPr>
              <w:t>,</w:t>
            </w:r>
            <w:r w:rsidRPr="00691ABD">
              <w:rPr>
                <w:sz w:val="20"/>
                <w:szCs w:val="20"/>
                <w:lang w:val="fr-CA" w:eastAsia="en-CA"/>
              </w:rPr>
              <w:t>8</w:t>
            </w:r>
          </w:p>
        </w:tc>
        <w:tc>
          <w:tcPr>
            <w:tcW w:w="1275" w:type="dxa"/>
            <w:tcBorders>
              <w:top w:val="nil"/>
              <w:left w:val="nil"/>
              <w:bottom w:val="single" w:sz="4" w:space="0" w:color="auto"/>
              <w:right w:val="single" w:sz="4" w:space="0" w:color="auto"/>
            </w:tcBorders>
            <w:shd w:val="clear" w:color="auto" w:fill="auto"/>
            <w:noWrap/>
            <w:hideMark/>
          </w:tcPr>
          <w:p w14:paraId="5D2E519C"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837</w:t>
            </w:r>
            <w:r>
              <w:rPr>
                <w:sz w:val="20"/>
                <w:szCs w:val="20"/>
                <w:lang w:val="fr-CA" w:eastAsia="en-CA"/>
              </w:rPr>
              <w:t xml:space="preserve"> </w:t>
            </w:r>
            <w:r w:rsidRPr="00691ABD">
              <w:rPr>
                <w:sz w:val="20"/>
                <w:szCs w:val="20"/>
                <w:lang w:val="fr-CA" w:eastAsia="en-CA"/>
              </w:rPr>
              <w:t>155</w:t>
            </w:r>
          </w:p>
        </w:tc>
        <w:tc>
          <w:tcPr>
            <w:tcW w:w="1276" w:type="dxa"/>
            <w:tcBorders>
              <w:top w:val="nil"/>
              <w:left w:val="nil"/>
              <w:bottom w:val="single" w:sz="4" w:space="0" w:color="auto"/>
              <w:right w:val="single" w:sz="4" w:space="0" w:color="auto"/>
            </w:tcBorders>
            <w:shd w:val="clear" w:color="auto" w:fill="auto"/>
            <w:noWrap/>
            <w:hideMark/>
          </w:tcPr>
          <w:p w14:paraId="54FDA470"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025</w:t>
            </w:r>
            <w:r>
              <w:rPr>
                <w:sz w:val="20"/>
                <w:szCs w:val="20"/>
                <w:lang w:val="fr-CA" w:eastAsia="en-CA"/>
              </w:rPr>
              <w:t xml:space="preserve"> </w:t>
            </w:r>
            <w:r w:rsidRPr="00691ABD">
              <w:rPr>
                <w:sz w:val="20"/>
                <w:szCs w:val="20"/>
                <w:lang w:val="fr-CA" w:eastAsia="en-CA"/>
              </w:rPr>
              <w:t>579</w:t>
            </w:r>
          </w:p>
        </w:tc>
        <w:tc>
          <w:tcPr>
            <w:tcW w:w="1250" w:type="dxa"/>
            <w:tcBorders>
              <w:top w:val="nil"/>
              <w:left w:val="nil"/>
              <w:bottom w:val="single" w:sz="4" w:space="0" w:color="auto"/>
              <w:right w:val="single" w:sz="4" w:space="0" w:color="auto"/>
            </w:tcBorders>
            <w:shd w:val="clear" w:color="auto" w:fill="auto"/>
            <w:noWrap/>
            <w:hideMark/>
          </w:tcPr>
          <w:p w14:paraId="219A4391" w14:textId="77777777" w:rsidR="00A325C8" w:rsidRPr="00691ABD" w:rsidRDefault="00A325C8" w:rsidP="001E39EE">
            <w:pPr>
              <w:jc w:val="right"/>
              <w:rPr>
                <w:sz w:val="20"/>
                <w:szCs w:val="20"/>
                <w:lang w:val="fr-CA" w:eastAsia="en-CA"/>
              </w:rPr>
            </w:pPr>
            <w:r w:rsidRPr="00691ABD">
              <w:rPr>
                <w:sz w:val="20"/>
                <w:szCs w:val="20"/>
                <w:lang w:val="fr-CA" w:eastAsia="en-CA"/>
              </w:rPr>
              <w:t>811</w:t>
            </w:r>
            <w:r>
              <w:rPr>
                <w:sz w:val="20"/>
                <w:szCs w:val="20"/>
                <w:lang w:val="fr-CA" w:eastAsia="en-CA"/>
              </w:rPr>
              <w:t xml:space="preserve"> </w:t>
            </w:r>
            <w:r w:rsidRPr="00691ABD">
              <w:rPr>
                <w:sz w:val="20"/>
                <w:szCs w:val="20"/>
                <w:lang w:val="fr-CA" w:eastAsia="en-CA"/>
              </w:rPr>
              <w:t>576</w:t>
            </w:r>
          </w:p>
        </w:tc>
        <w:tc>
          <w:tcPr>
            <w:tcW w:w="1050" w:type="dxa"/>
            <w:tcBorders>
              <w:top w:val="nil"/>
              <w:left w:val="nil"/>
              <w:bottom w:val="single" w:sz="4" w:space="0" w:color="auto"/>
              <w:right w:val="single" w:sz="4" w:space="0" w:color="auto"/>
            </w:tcBorders>
            <w:shd w:val="clear" w:color="auto" w:fill="auto"/>
            <w:noWrap/>
            <w:hideMark/>
          </w:tcPr>
          <w:p w14:paraId="361ED437" w14:textId="77777777" w:rsidR="00A325C8" w:rsidRPr="00691ABD" w:rsidRDefault="00A325C8" w:rsidP="001E39EE">
            <w:pPr>
              <w:jc w:val="right"/>
              <w:rPr>
                <w:sz w:val="20"/>
                <w:szCs w:val="20"/>
                <w:lang w:val="fr-CA" w:eastAsia="en-CA"/>
              </w:rPr>
            </w:pPr>
            <w:r w:rsidRPr="00691ABD">
              <w:rPr>
                <w:sz w:val="20"/>
                <w:szCs w:val="20"/>
                <w:lang w:val="fr-CA" w:eastAsia="en-CA"/>
              </w:rPr>
              <w:t>56</w:t>
            </w:r>
          </w:p>
        </w:tc>
      </w:tr>
      <w:tr w:rsidR="00A325C8" w:rsidRPr="00691ABD" w14:paraId="58DDEEAF" w14:textId="77777777" w:rsidTr="00691ABD">
        <w:trPr>
          <w:trHeight w:val="66"/>
        </w:trPr>
        <w:tc>
          <w:tcPr>
            <w:tcW w:w="3828" w:type="dxa"/>
            <w:tcBorders>
              <w:top w:val="nil"/>
              <w:left w:val="single" w:sz="4" w:space="0" w:color="auto"/>
              <w:bottom w:val="single" w:sz="4" w:space="0" w:color="auto"/>
              <w:right w:val="single" w:sz="4" w:space="0" w:color="auto"/>
            </w:tcBorders>
            <w:shd w:val="clear" w:color="auto" w:fill="auto"/>
            <w:noWrap/>
            <w:hideMark/>
          </w:tcPr>
          <w:p w14:paraId="7BED4784" w14:textId="77777777" w:rsidR="00A325C8" w:rsidRPr="00691ABD" w:rsidRDefault="00A325C8" w:rsidP="001E39EE">
            <w:pPr>
              <w:jc w:val="left"/>
              <w:rPr>
                <w:sz w:val="20"/>
                <w:szCs w:val="20"/>
                <w:lang w:val="fr-CA" w:eastAsia="en-CA"/>
              </w:rPr>
            </w:pPr>
            <w:r>
              <w:rPr>
                <w:sz w:val="20"/>
                <w:szCs w:val="20"/>
                <w:lang w:val="fr-CA" w:eastAsia="en-CA"/>
              </w:rPr>
              <w:t>Turkmé</w:t>
            </w:r>
            <w:r w:rsidRPr="00691ABD">
              <w:rPr>
                <w:sz w:val="20"/>
                <w:szCs w:val="20"/>
                <w:lang w:val="fr-CA" w:eastAsia="en-CA"/>
              </w:rPr>
              <w:t>nistan</w:t>
            </w:r>
          </w:p>
        </w:tc>
        <w:tc>
          <w:tcPr>
            <w:tcW w:w="1295" w:type="dxa"/>
            <w:tcBorders>
              <w:top w:val="nil"/>
              <w:left w:val="nil"/>
              <w:bottom w:val="single" w:sz="4" w:space="0" w:color="auto"/>
              <w:right w:val="single" w:sz="4" w:space="0" w:color="auto"/>
            </w:tcBorders>
            <w:shd w:val="clear" w:color="auto" w:fill="auto"/>
            <w:noWrap/>
            <w:hideMark/>
          </w:tcPr>
          <w:p w14:paraId="58DD861E"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w:t>
            </w:r>
            <w:r w:rsidRPr="00691ABD">
              <w:rPr>
                <w:sz w:val="20"/>
                <w:szCs w:val="20"/>
                <w:lang w:val="fr-CA" w:eastAsia="en-CA"/>
              </w:rPr>
              <w:t>4</w:t>
            </w:r>
          </w:p>
        </w:tc>
        <w:tc>
          <w:tcPr>
            <w:tcW w:w="1275" w:type="dxa"/>
            <w:tcBorders>
              <w:top w:val="nil"/>
              <w:left w:val="nil"/>
              <w:bottom w:val="single" w:sz="4" w:space="0" w:color="auto"/>
              <w:right w:val="single" w:sz="4" w:space="0" w:color="auto"/>
            </w:tcBorders>
            <w:shd w:val="clear" w:color="auto" w:fill="auto"/>
            <w:noWrap/>
            <w:hideMark/>
          </w:tcPr>
          <w:p w14:paraId="456F0DC8" w14:textId="77777777" w:rsidR="00A325C8" w:rsidRPr="00691ABD" w:rsidRDefault="00A325C8" w:rsidP="001E39EE">
            <w:pPr>
              <w:jc w:val="right"/>
              <w:rPr>
                <w:sz w:val="20"/>
                <w:szCs w:val="20"/>
                <w:lang w:val="fr-CA" w:eastAsia="en-CA"/>
              </w:rPr>
            </w:pPr>
            <w:r w:rsidRPr="00691ABD">
              <w:rPr>
                <w:sz w:val="20"/>
                <w:szCs w:val="20"/>
                <w:lang w:val="fr-CA" w:eastAsia="en-CA"/>
              </w:rPr>
              <w:t>812</w:t>
            </w:r>
            <w:r>
              <w:rPr>
                <w:sz w:val="20"/>
                <w:szCs w:val="20"/>
                <w:lang w:val="fr-CA" w:eastAsia="en-CA"/>
              </w:rPr>
              <w:t xml:space="preserve"> </w:t>
            </w:r>
            <w:r w:rsidRPr="00691ABD">
              <w:rPr>
                <w:sz w:val="20"/>
                <w:szCs w:val="20"/>
                <w:lang w:val="fr-CA" w:eastAsia="en-CA"/>
              </w:rPr>
              <w:t>797</w:t>
            </w:r>
          </w:p>
        </w:tc>
        <w:tc>
          <w:tcPr>
            <w:tcW w:w="1276" w:type="dxa"/>
            <w:tcBorders>
              <w:top w:val="nil"/>
              <w:left w:val="nil"/>
              <w:bottom w:val="single" w:sz="4" w:space="0" w:color="auto"/>
              <w:right w:val="single" w:sz="4" w:space="0" w:color="auto"/>
            </w:tcBorders>
            <w:shd w:val="clear" w:color="auto" w:fill="auto"/>
            <w:noWrap/>
            <w:hideMark/>
          </w:tcPr>
          <w:p w14:paraId="5070862D" w14:textId="77777777" w:rsidR="00A325C8" w:rsidRPr="00691ABD" w:rsidRDefault="00A325C8" w:rsidP="001E39EE">
            <w:pPr>
              <w:jc w:val="right"/>
              <w:rPr>
                <w:sz w:val="20"/>
                <w:szCs w:val="20"/>
                <w:lang w:val="fr-CA" w:eastAsia="en-CA"/>
              </w:rPr>
            </w:pPr>
            <w:r w:rsidRPr="00691ABD">
              <w:rPr>
                <w:sz w:val="20"/>
                <w:szCs w:val="20"/>
                <w:lang w:val="fr-CA" w:eastAsia="en-CA"/>
              </w:rPr>
              <w:t>622</w:t>
            </w:r>
            <w:r>
              <w:rPr>
                <w:sz w:val="20"/>
                <w:szCs w:val="20"/>
                <w:lang w:val="fr-CA" w:eastAsia="en-CA"/>
              </w:rPr>
              <w:t xml:space="preserve"> </w:t>
            </w:r>
            <w:r w:rsidRPr="00691ABD">
              <w:rPr>
                <w:sz w:val="20"/>
                <w:szCs w:val="20"/>
                <w:lang w:val="fr-CA" w:eastAsia="en-CA"/>
              </w:rPr>
              <w:t>105</w:t>
            </w:r>
          </w:p>
        </w:tc>
        <w:tc>
          <w:tcPr>
            <w:tcW w:w="1250" w:type="dxa"/>
            <w:tcBorders>
              <w:top w:val="nil"/>
              <w:left w:val="nil"/>
              <w:bottom w:val="single" w:sz="4" w:space="0" w:color="auto"/>
              <w:right w:val="single" w:sz="4" w:space="0" w:color="auto"/>
            </w:tcBorders>
            <w:shd w:val="clear" w:color="auto" w:fill="auto"/>
            <w:noWrap/>
            <w:hideMark/>
          </w:tcPr>
          <w:p w14:paraId="07D841FF" w14:textId="77777777" w:rsidR="00A325C8" w:rsidRPr="00691ABD" w:rsidRDefault="00A325C8" w:rsidP="001E39EE">
            <w:pPr>
              <w:jc w:val="right"/>
              <w:rPr>
                <w:sz w:val="20"/>
                <w:szCs w:val="20"/>
                <w:lang w:val="fr-CA" w:eastAsia="en-CA"/>
              </w:rPr>
            </w:pPr>
            <w:r w:rsidRPr="00691ABD">
              <w:rPr>
                <w:sz w:val="20"/>
                <w:szCs w:val="20"/>
                <w:lang w:val="fr-CA" w:eastAsia="en-CA"/>
              </w:rPr>
              <w:t>190</w:t>
            </w:r>
            <w:r>
              <w:rPr>
                <w:sz w:val="20"/>
                <w:szCs w:val="20"/>
                <w:lang w:val="fr-CA" w:eastAsia="en-CA"/>
              </w:rPr>
              <w:t xml:space="preserve"> </w:t>
            </w:r>
            <w:r w:rsidRPr="00691ABD">
              <w:rPr>
                <w:sz w:val="20"/>
                <w:szCs w:val="20"/>
                <w:lang w:val="fr-CA" w:eastAsia="en-CA"/>
              </w:rPr>
              <w:t>692</w:t>
            </w:r>
          </w:p>
        </w:tc>
        <w:tc>
          <w:tcPr>
            <w:tcW w:w="1050" w:type="dxa"/>
            <w:tcBorders>
              <w:top w:val="nil"/>
              <w:left w:val="nil"/>
              <w:bottom w:val="single" w:sz="4" w:space="0" w:color="auto"/>
              <w:right w:val="single" w:sz="4" w:space="0" w:color="auto"/>
            </w:tcBorders>
            <w:shd w:val="clear" w:color="auto" w:fill="auto"/>
            <w:noWrap/>
            <w:hideMark/>
          </w:tcPr>
          <w:p w14:paraId="0E68785B" w14:textId="77777777" w:rsidR="00A325C8" w:rsidRPr="00691ABD" w:rsidRDefault="00A325C8" w:rsidP="001E39EE">
            <w:pPr>
              <w:jc w:val="right"/>
              <w:rPr>
                <w:sz w:val="20"/>
                <w:szCs w:val="20"/>
                <w:lang w:val="fr-CA" w:eastAsia="en-CA"/>
              </w:rPr>
            </w:pPr>
            <w:r w:rsidRPr="00691ABD">
              <w:rPr>
                <w:sz w:val="20"/>
                <w:szCs w:val="20"/>
                <w:lang w:val="fr-CA" w:eastAsia="en-CA"/>
              </w:rPr>
              <w:t>77</w:t>
            </w:r>
          </w:p>
        </w:tc>
      </w:tr>
      <w:tr w:rsidR="00A325C8" w:rsidRPr="00691ABD" w14:paraId="766E580F"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51A8F2F" w14:textId="77777777" w:rsidR="00A325C8" w:rsidRPr="00691ABD" w:rsidRDefault="00A325C8" w:rsidP="001E39EE">
            <w:pPr>
              <w:jc w:val="left"/>
              <w:rPr>
                <w:sz w:val="20"/>
                <w:szCs w:val="20"/>
                <w:lang w:val="fr-CA" w:eastAsia="en-CA"/>
              </w:rPr>
            </w:pPr>
            <w:r>
              <w:rPr>
                <w:sz w:val="20"/>
                <w:szCs w:val="20"/>
                <w:lang w:val="fr-CA" w:eastAsia="en-CA"/>
              </w:rPr>
              <w:t>Turquie</w:t>
            </w:r>
          </w:p>
        </w:tc>
        <w:tc>
          <w:tcPr>
            <w:tcW w:w="1295" w:type="dxa"/>
            <w:tcBorders>
              <w:top w:val="nil"/>
              <w:left w:val="nil"/>
              <w:bottom w:val="single" w:sz="4" w:space="0" w:color="auto"/>
              <w:right w:val="single" w:sz="4" w:space="0" w:color="auto"/>
            </w:tcBorders>
            <w:shd w:val="clear" w:color="auto" w:fill="auto"/>
            <w:noWrap/>
            <w:hideMark/>
          </w:tcPr>
          <w:p w14:paraId="76F3CF38" w14:textId="77777777" w:rsidR="00A325C8" w:rsidRPr="00691ABD" w:rsidRDefault="00A325C8" w:rsidP="001E39EE">
            <w:pPr>
              <w:jc w:val="right"/>
              <w:rPr>
                <w:sz w:val="20"/>
                <w:szCs w:val="20"/>
                <w:lang w:val="fr-CA" w:eastAsia="en-CA"/>
              </w:rPr>
            </w:pPr>
            <w:r w:rsidRPr="00691ABD">
              <w:rPr>
                <w:sz w:val="20"/>
                <w:szCs w:val="20"/>
                <w:lang w:val="fr-CA" w:eastAsia="en-CA"/>
              </w:rPr>
              <w:t>410</w:t>
            </w:r>
            <w:r>
              <w:rPr>
                <w:sz w:val="20"/>
                <w:szCs w:val="20"/>
                <w:lang w:val="fr-CA" w:eastAsia="en-CA"/>
              </w:rPr>
              <w:t>,</w:t>
            </w:r>
            <w:r w:rsidRPr="00691ABD">
              <w:rPr>
                <w:sz w:val="20"/>
                <w:szCs w:val="20"/>
                <w:lang w:val="fr-CA" w:eastAsia="en-CA"/>
              </w:rPr>
              <w:t>7</w:t>
            </w:r>
          </w:p>
        </w:tc>
        <w:tc>
          <w:tcPr>
            <w:tcW w:w="1275" w:type="dxa"/>
            <w:tcBorders>
              <w:top w:val="nil"/>
              <w:left w:val="nil"/>
              <w:bottom w:val="single" w:sz="4" w:space="0" w:color="auto"/>
              <w:right w:val="single" w:sz="4" w:space="0" w:color="auto"/>
            </w:tcBorders>
            <w:shd w:val="clear" w:color="auto" w:fill="auto"/>
            <w:noWrap/>
            <w:hideMark/>
          </w:tcPr>
          <w:p w14:paraId="02618CB0" w14:textId="77777777" w:rsidR="00A325C8" w:rsidRPr="00691ABD" w:rsidRDefault="00A325C8" w:rsidP="001E39EE">
            <w:pPr>
              <w:jc w:val="right"/>
              <w:rPr>
                <w:sz w:val="20"/>
                <w:szCs w:val="20"/>
                <w:lang w:val="fr-CA" w:eastAsia="en-CA"/>
              </w:rPr>
            </w:pPr>
            <w:r w:rsidRPr="00691ABD">
              <w:rPr>
                <w:sz w:val="20"/>
                <w:szCs w:val="20"/>
                <w:lang w:val="fr-CA" w:eastAsia="en-CA"/>
              </w:rPr>
              <w:t>12</w:t>
            </w:r>
            <w:r>
              <w:rPr>
                <w:sz w:val="20"/>
                <w:szCs w:val="20"/>
                <w:lang w:val="fr-CA" w:eastAsia="en-CA"/>
              </w:rPr>
              <w:t xml:space="preserve"> </w:t>
            </w:r>
            <w:r w:rsidRPr="00691ABD">
              <w:rPr>
                <w:sz w:val="20"/>
                <w:szCs w:val="20"/>
                <w:lang w:val="fr-CA" w:eastAsia="en-CA"/>
              </w:rPr>
              <w:t>427</w:t>
            </w:r>
            <w:r>
              <w:rPr>
                <w:sz w:val="20"/>
                <w:szCs w:val="20"/>
                <w:lang w:val="fr-CA" w:eastAsia="en-CA"/>
              </w:rPr>
              <w:t xml:space="preserve"> </w:t>
            </w:r>
            <w:r w:rsidRPr="00691ABD">
              <w:rPr>
                <w:sz w:val="20"/>
                <w:szCs w:val="20"/>
                <w:lang w:val="fr-CA" w:eastAsia="en-CA"/>
              </w:rPr>
              <w:t>419</w:t>
            </w:r>
          </w:p>
        </w:tc>
        <w:tc>
          <w:tcPr>
            <w:tcW w:w="1276" w:type="dxa"/>
            <w:tcBorders>
              <w:top w:val="nil"/>
              <w:left w:val="nil"/>
              <w:bottom w:val="single" w:sz="4" w:space="0" w:color="auto"/>
              <w:right w:val="single" w:sz="4" w:space="0" w:color="auto"/>
            </w:tcBorders>
            <w:shd w:val="clear" w:color="auto" w:fill="auto"/>
            <w:noWrap/>
            <w:hideMark/>
          </w:tcPr>
          <w:p w14:paraId="735EDA6E" w14:textId="77777777" w:rsidR="00A325C8" w:rsidRPr="00691ABD" w:rsidRDefault="00A325C8" w:rsidP="001E39EE">
            <w:pPr>
              <w:jc w:val="right"/>
              <w:rPr>
                <w:sz w:val="20"/>
                <w:szCs w:val="20"/>
                <w:lang w:val="fr-CA" w:eastAsia="en-CA"/>
              </w:rPr>
            </w:pPr>
            <w:r w:rsidRPr="00691ABD">
              <w:rPr>
                <w:sz w:val="20"/>
                <w:szCs w:val="20"/>
                <w:lang w:val="fr-CA" w:eastAsia="en-CA"/>
              </w:rPr>
              <w:t>9</w:t>
            </w:r>
            <w:r>
              <w:rPr>
                <w:sz w:val="20"/>
                <w:szCs w:val="20"/>
                <w:lang w:val="fr-CA" w:eastAsia="en-CA"/>
              </w:rPr>
              <w:t xml:space="preserve"> </w:t>
            </w:r>
            <w:r w:rsidRPr="00691ABD">
              <w:rPr>
                <w:sz w:val="20"/>
                <w:szCs w:val="20"/>
                <w:lang w:val="fr-CA" w:eastAsia="en-CA"/>
              </w:rPr>
              <w:t>857</w:t>
            </w:r>
            <w:r>
              <w:rPr>
                <w:sz w:val="20"/>
                <w:szCs w:val="20"/>
                <w:lang w:val="fr-CA" w:eastAsia="en-CA"/>
              </w:rPr>
              <w:t xml:space="preserve"> </w:t>
            </w:r>
            <w:r w:rsidRPr="00691ABD">
              <w:rPr>
                <w:sz w:val="20"/>
                <w:szCs w:val="20"/>
                <w:lang w:val="fr-CA" w:eastAsia="en-CA"/>
              </w:rPr>
              <w:t>428</w:t>
            </w:r>
          </w:p>
        </w:tc>
        <w:tc>
          <w:tcPr>
            <w:tcW w:w="1250" w:type="dxa"/>
            <w:tcBorders>
              <w:top w:val="nil"/>
              <w:left w:val="nil"/>
              <w:bottom w:val="single" w:sz="4" w:space="0" w:color="auto"/>
              <w:right w:val="single" w:sz="4" w:space="0" w:color="auto"/>
            </w:tcBorders>
            <w:shd w:val="clear" w:color="auto" w:fill="auto"/>
            <w:noWrap/>
            <w:hideMark/>
          </w:tcPr>
          <w:p w14:paraId="18EEAB65"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569</w:t>
            </w:r>
            <w:r>
              <w:rPr>
                <w:sz w:val="20"/>
                <w:szCs w:val="20"/>
                <w:lang w:val="fr-CA" w:eastAsia="en-CA"/>
              </w:rPr>
              <w:t xml:space="preserve"> </w:t>
            </w:r>
            <w:r w:rsidRPr="00691ABD">
              <w:rPr>
                <w:sz w:val="20"/>
                <w:szCs w:val="20"/>
                <w:lang w:val="fr-CA" w:eastAsia="en-CA"/>
              </w:rPr>
              <w:t>991</w:t>
            </w:r>
          </w:p>
        </w:tc>
        <w:tc>
          <w:tcPr>
            <w:tcW w:w="1050" w:type="dxa"/>
            <w:tcBorders>
              <w:top w:val="nil"/>
              <w:left w:val="nil"/>
              <w:bottom w:val="single" w:sz="4" w:space="0" w:color="auto"/>
              <w:right w:val="single" w:sz="4" w:space="0" w:color="auto"/>
            </w:tcBorders>
            <w:shd w:val="clear" w:color="auto" w:fill="auto"/>
            <w:noWrap/>
            <w:hideMark/>
          </w:tcPr>
          <w:p w14:paraId="17320ECC" w14:textId="77777777" w:rsidR="00A325C8" w:rsidRPr="00691ABD" w:rsidRDefault="00A325C8" w:rsidP="001E39EE">
            <w:pPr>
              <w:jc w:val="right"/>
              <w:rPr>
                <w:sz w:val="20"/>
                <w:szCs w:val="20"/>
                <w:lang w:val="fr-CA" w:eastAsia="en-CA"/>
              </w:rPr>
            </w:pPr>
            <w:r w:rsidRPr="00691ABD">
              <w:rPr>
                <w:sz w:val="20"/>
                <w:szCs w:val="20"/>
                <w:lang w:val="fr-CA" w:eastAsia="en-CA"/>
              </w:rPr>
              <w:t>79</w:t>
            </w:r>
          </w:p>
        </w:tc>
      </w:tr>
      <w:tr w:rsidR="00A325C8" w:rsidRPr="00691ABD" w14:paraId="654AAC7A"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235413F" w14:textId="77777777" w:rsidR="00A325C8" w:rsidRPr="00691ABD" w:rsidRDefault="00A325C8" w:rsidP="001E39EE">
            <w:pPr>
              <w:jc w:val="left"/>
              <w:rPr>
                <w:sz w:val="20"/>
                <w:szCs w:val="20"/>
                <w:lang w:val="fr-CA" w:eastAsia="en-CA"/>
              </w:rPr>
            </w:pPr>
            <w:r w:rsidRPr="00691ABD">
              <w:rPr>
                <w:sz w:val="20"/>
                <w:szCs w:val="20"/>
                <w:lang w:val="fr-CA" w:eastAsia="en-CA"/>
              </w:rPr>
              <w:t>Tuvalu</w:t>
            </w:r>
          </w:p>
        </w:tc>
        <w:tc>
          <w:tcPr>
            <w:tcW w:w="1295" w:type="dxa"/>
            <w:tcBorders>
              <w:top w:val="nil"/>
              <w:left w:val="nil"/>
              <w:bottom w:val="single" w:sz="4" w:space="0" w:color="auto"/>
              <w:right w:val="single" w:sz="4" w:space="0" w:color="auto"/>
            </w:tcBorders>
            <w:shd w:val="clear" w:color="auto" w:fill="auto"/>
            <w:noWrap/>
            <w:hideMark/>
          </w:tcPr>
          <w:p w14:paraId="5014C2DC"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47845BDF" w14:textId="77777777" w:rsidR="00A325C8" w:rsidRPr="00691ABD" w:rsidRDefault="00A325C8" w:rsidP="001E39EE">
            <w:pPr>
              <w:jc w:val="right"/>
              <w:rPr>
                <w:sz w:val="20"/>
                <w:szCs w:val="20"/>
                <w:lang w:val="fr-CA" w:eastAsia="en-CA"/>
              </w:rPr>
            </w:pPr>
            <w:r w:rsidRPr="00691ABD">
              <w:rPr>
                <w:sz w:val="20"/>
                <w:szCs w:val="20"/>
                <w:lang w:val="fr-CA" w:eastAsia="en-CA"/>
              </w:rPr>
              <w:t>168</w:t>
            </w:r>
            <w:r>
              <w:rPr>
                <w:sz w:val="20"/>
                <w:szCs w:val="20"/>
                <w:lang w:val="fr-CA" w:eastAsia="en-CA"/>
              </w:rPr>
              <w:t xml:space="preserve"> </w:t>
            </w:r>
            <w:r w:rsidRPr="00691ABD">
              <w:rPr>
                <w:sz w:val="20"/>
                <w:szCs w:val="20"/>
                <w:lang w:val="fr-CA" w:eastAsia="en-CA"/>
              </w:rPr>
              <w:t>450</w:t>
            </w:r>
          </w:p>
        </w:tc>
        <w:tc>
          <w:tcPr>
            <w:tcW w:w="1276" w:type="dxa"/>
            <w:tcBorders>
              <w:top w:val="nil"/>
              <w:left w:val="nil"/>
              <w:bottom w:val="single" w:sz="4" w:space="0" w:color="auto"/>
              <w:right w:val="single" w:sz="4" w:space="0" w:color="auto"/>
            </w:tcBorders>
            <w:shd w:val="clear" w:color="auto" w:fill="auto"/>
            <w:noWrap/>
            <w:hideMark/>
          </w:tcPr>
          <w:p w14:paraId="3BC564B6" w14:textId="77777777" w:rsidR="00A325C8" w:rsidRPr="00691ABD" w:rsidRDefault="00A325C8" w:rsidP="001E39EE">
            <w:pPr>
              <w:jc w:val="right"/>
              <w:rPr>
                <w:sz w:val="20"/>
                <w:szCs w:val="20"/>
                <w:lang w:val="fr-CA" w:eastAsia="en-CA"/>
              </w:rPr>
            </w:pPr>
            <w:r w:rsidRPr="00691ABD">
              <w:rPr>
                <w:sz w:val="20"/>
                <w:szCs w:val="20"/>
                <w:lang w:val="fr-CA" w:eastAsia="en-CA"/>
              </w:rPr>
              <w:t>68</w:t>
            </w:r>
            <w:r>
              <w:rPr>
                <w:sz w:val="20"/>
                <w:szCs w:val="20"/>
                <w:lang w:val="fr-CA" w:eastAsia="en-CA"/>
              </w:rPr>
              <w:t xml:space="preserve"> </w:t>
            </w:r>
            <w:r w:rsidRPr="00691ABD">
              <w:rPr>
                <w:sz w:val="20"/>
                <w:szCs w:val="20"/>
                <w:lang w:val="fr-CA" w:eastAsia="en-CA"/>
              </w:rPr>
              <w:t>063</w:t>
            </w:r>
          </w:p>
        </w:tc>
        <w:tc>
          <w:tcPr>
            <w:tcW w:w="1250" w:type="dxa"/>
            <w:tcBorders>
              <w:top w:val="nil"/>
              <w:left w:val="nil"/>
              <w:bottom w:val="single" w:sz="4" w:space="0" w:color="auto"/>
              <w:right w:val="single" w:sz="4" w:space="0" w:color="auto"/>
            </w:tcBorders>
            <w:shd w:val="clear" w:color="auto" w:fill="auto"/>
            <w:noWrap/>
            <w:hideMark/>
          </w:tcPr>
          <w:p w14:paraId="1EB566C5" w14:textId="77777777" w:rsidR="00A325C8" w:rsidRPr="00691ABD" w:rsidRDefault="00A325C8" w:rsidP="001E39EE">
            <w:pPr>
              <w:jc w:val="right"/>
              <w:rPr>
                <w:sz w:val="20"/>
                <w:szCs w:val="20"/>
                <w:lang w:val="fr-CA" w:eastAsia="en-CA"/>
              </w:rPr>
            </w:pPr>
            <w:r w:rsidRPr="00691ABD">
              <w:rPr>
                <w:sz w:val="20"/>
                <w:szCs w:val="20"/>
                <w:lang w:val="fr-CA" w:eastAsia="en-CA"/>
              </w:rPr>
              <w:t>100</w:t>
            </w:r>
            <w:r>
              <w:rPr>
                <w:sz w:val="20"/>
                <w:szCs w:val="20"/>
                <w:lang w:val="fr-CA" w:eastAsia="en-CA"/>
              </w:rPr>
              <w:t xml:space="preserve"> </w:t>
            </w:r>
            <w:r w:rsidRPr="00691ABD">
              <w:rPr>
                <w:sz w:val="20"/>
                <w:szCs w:val="20"/>
                <w:lang w:val="fr-CA" w:eastAsia="en-CA"/>
              </w:rPr>
              <w:t>387</w:t>
            </w:r>
          </w:p>
        </w:tc>
        <w:tc>
          <w:tcPr>
            <w:tcW w:w="1050" w:type="dxa"/>
            <w:tcBorders>
              <w:top w:val="nil"/>
              <w:left w:val="nil"/>
              <w:bottom w:val="single" w:sz="4" w:space="0" w:color="auto"/>
              <w:right w:val="single" w:sz="4" w:space="0" w:color="auto"/>
            </w:tcBorders>
            <w:shd w:val="clear" w:color="auto" w:fill="auto"/>
            <w:noWrap/>
            <w:hideMark/>
          </w:tcPr>
          <w:p w14:paraId="30346670" w14:textId="77777777" w:rsidR="00A325C8" w:rsidRPr="00691ABD" w:rsidRDefault="00A325C8" w:rsidP="001E39EE">
            <w:pPr>
              <w:jc w:val="right"/>
              <w:rPr>
                <w:sz w:val="20"/>
                <w:szCs w:val="20"/>
                <w:lang w:val="fr-CA" w:eastAsia="en-CA"/>
              </w:rPr>
            </w:pPr>
            <w:r w:rsidRPr="00691ABD">
              <w:rPr>
                <w:sz w:val="20"/>
                <w:szCs w:val="20"/>
                <w:lang w:val="fr-CA" w:eastAsia="en-CA"/>
              </w:rPr>
              <w:t>40</w:t>
            </w:r>
          </w:p>
        </w:tc>
      </w:tr>
      <w:tr w:rsidR="00A325C8" w:rsidRPr="00691ABD" w14:paraId="495F8EDF"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CC7C3B2" w14:textId="77777777" w:rsidR="00A325C8" w:rsidRPr="00691ABD" w:rsidRDefault="00A325C8" w:rsidP="001E39EE">
            <w:pPr>
              <w:jc w:val="left"/>
              <w:rPr>
                <w:sz w:val="20"/>
                <w:szCs w:val="20"/>
                <w:lang w:val="fr-CA" w:eastAsia="en-CA"/>
              </w:rPr>
            </w:pPr>
            <w:r w:rsidRPr="00691ABD">
              <w:rPr>
                <w:sz w:val="20"/>
                <w:szCs w:val="20"/>
                <w:lang w:val="fr-CA" w:eastAsia="en-CA"/>
              </w:rPr>
              <w:t>Uruguay</w:t>
            </w:r>
          </w:p>
        </w:tc>
        <w:tc>
          <w:tcPr>
            <w:tcW w:w="1295" w:type="dxa"/>
            <w:tcBorders>
              <w:top w:val="nil"/>
              <w:left w:val="nil"/>
              <w:bottom w:val="single" w:sz="4" w:space="0" w:color="auto"/>
              <w:right w:val="single" w:sz="4" w:space="0" w:color="auto"/>
            </w:tcBorders>
            <w:shd w:val="clear" w:color="auto" w:fill="auto"/>
            <w:noWrap/>
            <w:hideMark/>
          </w:tcPr>
          <w:p w14:paraId="16AB7BC7" w14:textId="77777777" w:rsidR="00A325C8" w:rsidRPr="00691ABD" w:rsidRDefault="00A325C8" w:rsidP="001E39EE">
            <w:pPr>
              <w:jc w:val="right"/>
              <w:rPr>
                <w:sz w:val="20"/>
                <w:szCs w:val="20"/>
                <w:lang w:val="fr-CA" w:eastAsia="en-CA"/>
              </w:rPr>
            </w:pPr>
            <w:r w:rsidRPr="00691ABD">
              <w:rPr>
                <w:sz w:val="20"/>
                <w:szCs w:val="20"/>
                <w:lang w:val="fr-CA" w:eastAsia="en-CA"/>
              </w:rPr>
              <w:t>15</w:t>
            </w:r>
            <w:r>
              <w:rPr>
                <w:sz w:val="20"/>
                <w:szCs w:val="20"/>
                <w:lang w:val="fr-CA" w:eastAsia="en-CA"/>
              </w:rPr>
              <w:t>,</w:t>
            </w:r>
            <w:r w:rsidRPr="00691ABD">
              <w:rPr>
                <w:sz w:val="20"/>
                <w:szCs w:val="20"/>
                <w:lang w:val="fr-CA" w:eastAsia="en-CA"/>
              </w:rPr>
              <w:t>2</w:t>
            </w:r>
          </w:p>
        </w:tc>
        <w:tc>
          <w:tcPr>
            <w:tcW w:w="1275" w:type="dxa"/>
            <w:tcBorders>
              <w:top w:val="nil"/>
              <w:left w:val="nil"/>
              <w:bottom w:val="single" w:sz="4" w:space="0" w:color="auto"/>
              <w:right w:val="single" w:sz="4" w:space="0" w:color="auto"/>
            </w:tcBorders>
            <w:shd w:val="clear" w:color="auto" w:fill="auto"/>
            <w:noWrap/>
            <w:hideMark/>
          </w:tcPr>
          <w:p w14:paraId="4BB83B5D"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835</w:t>
            </w:r>
            <w:r>
              <w:rPr>
                <w:sz w:val="20"/>
                <w:szCs w:val="20"/>
                <w:lang w:val="fr-CA" w:eastAsia="en-CA"/>
              </w:rPr>
              <w:t xml:space="preserve"> </w:t>
            </w:r>
            <w:r w:rsidRPr="00691ABD">
              <w:rPr>
                <w:sz w:val="20"/>
                <w:szCs w:val="20"/>
                <w:lang w:val="fr-CA" w:eastAsia="en-CA"/>
              </w:rPr>
              <w:t>762</w:t>
            </w:r>
          </w:p>
        </w:tc>
        <w:tc>
          <w:tcPr>
            <w:tcW w:w="1276" w:type="dxa"/>
            <w:tcBorders>
              <w:top w:val="nil"/>
              <w:left w:val="nil"/>
              <w:bottom w:val="single" w:sz="4" w:space="0" w:color="auto"/>
              <w:right w:val="single" w:sz="4" w:space="0" w:color="auto"/>
            </w:tcBorders>
            <w:shd w:val="clear" w:color="auto" w:fill="auto"/>
            <w:noWrap/>
            <w:hideMark/>
          </w:tcPr>
          <w:p w14:paraId="75CA2FDB" w14:textId="77777777" w:rsidR="00A325C8" w:rsidRPr="00691ABD" w:rsidRDefault="00A325C8" w:rsidP="001E39EE">
            <w:pPr>
              <w:jc w:val="right"/>
              <w:rPr>
                <w:sz w:val="20"/>
                <w:szCs w:val="20"/>
                <w:lang w:val="fr-CA" w:eastAsia="en-CA"/>
              </w:rPr>
            </w:pPr>
            <w:r w:rsidRPr="00691ABD">
              <w:rPr>
                <w:sz w:val="20"/>
                <w:szCs w:val="20"/>
                <w:lang w:val="fr-CA" w:eastAsia="en-CA"/>
              </w:rPr>
              <w:t>995</w:t>
            </w:r>
            <w:r>
              <w:rPr>
                <w:sz w:val="20"/>
                <w:szCs w:val="20"/>
                <w:lang w:val="fr-CA" w:eastAsia="en-CA"/>
              </w:rPr>
              <w:t xml:space="preserve"> </w:t>
            </w:r>
            <w:r w:rsidRPr="00691ABD">
              <w:rPr>
                <w:sz w:val="20"/>
                <w:szCs w:val="20"/>
                <w:lang w:val="fr-CA" w:eastAsia="en-CA"/>
              </w:rPr>
              <w:t>747</w:t>
            </w:r>
          </w:p>
        </w:tc>
        <w:tc>
          <w:tcPr>
            <w:tcW w:w="1250" w:type="dxa"/>
            <w:tcBorders>
              <w:top w:val="nil"/>
              <w:left w:val="nil"/>
              <w:bottom w:val="single" w:sz="4" w:space="0" w:color="auto"/>
              <w:right w:val="single" w:sz="4" w:space="0" w:color="auto"/>
            </w:tcBorders>
            <w:shd w:val="clear" w:color="auto" w:fill="auto"/>
            <w:noWrap/>
            <w:hideMark/>
          </w:tcPr>
          <w:p w14:paraId="689AD2ED" w14:textId="77777777" w:rsidR="00A325C8" w:rsidRPr="00691ABD" w:rsidRDefault="00A325C8" w:rsidP="001E39EE">
            <w:pPr>
              <w:jc w:val="right"/>
              <w:rPr>
                <w:sz w:val="20"/>
                <w:szCs w:val="20"/>
                <w:lang w:val="fr-CA" w:eastAsia="en-CA"/>
              </w:rPr>
            </w:pPr>
            <w:r w:rsidRPr="00691ABD">
              <w:rPr>
                <w:sz w:val="20"/>
                <w:szCs w:val="20"/>
                <w:lang w:val="fr-CA" w:eastAsia="en-CA"/>
              </w:rPr>
              <w:t>840</w:t>
            </w:r>
            <w:r>
              <w:rPr>
                <w:sz w:val="20"/>
                <w:szCs w:val="20"/>
                <w:lang w:val="fr-CA" w:eastAsia="en-CA"/>
              </w:rPr>
              <w:t xml:space="preserve"> </w:t>
            </w:r>
            <w:r w:rsidRPr="00691ABD">
              <w:rPr>
                <w:sz w:val="20"/>
                <w:szCs w:val="20"/>
                <w:lang w:val="fr-CA" w:eastAsia="en-CA"/>
              </w:rPr>
              <w:t>015</w:t>
            </w:r>
          </w:p>
        </w:tc>
        <w:tc>
          <w:tcPr>
            <w:tcW w:w="1050" w:type="dxa"/>
            <w:tcBorders>
              <w:top w:val="nil"/>
              <w:left w:val="nil"/>
              <w:bottom w:val="single" w:sz="4" w:space="0" w:color="auto"/>
              <w:right w:val="single" w:sz="4" w:space="0" w:color="auto"/>
            </w:tcBorders>
            <w:shd w:val="clear" w:color="auto" w:fill="auto"/>
            <w:noWrap/>
            <w:hideMark/>
          </w:tcPr>
          <w:p w14:paraId="169ABD5E" w14:textId="77777777" w:rsidR="00A325C8" w:rsidRPr="00691ABD" w:rsidRDefault="00A325C8" w:rsidP="001E39EE">
            <w:pPr>
              <w:jc w:val="right"/>
              <w:rPr>
                <w:sz w:val="20"/>
                <w:szCs w:val="20"/>
                <w:lang w:val="fr-CA" w:eastAsia="en-CA"/>
              </w:rPr>
            </w:pPr>
            <w:r w:rsidRPr="00691ABD">
              <w:rPr>
                <w:sz w:val="20"/>
                <w:szCs w:val="20"/>
                <w:lang w:val="fr-CA" w:eastAsia="en-CA"/>
              </w:rPr>
              <w:t>54</w:t>
            </w:r>
          </w:p>
        </w:tc>
      </w:tr>
      <w:tr w:rsidR="00A325C8" w:rsidRPr="00691ABD" w14:paraId="5DC79B7B"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71F8E50A" w14:textId="77777777" w:rsidR="00A325C8" w:rsidRPr="00691ABD" w:rsidRDefault="00A325C8" w:rsidP="001E39EE">
            <w:pPr>
              <w:jc w:val="left"/>
              <w:rPr>
                <w:sz w:val="20"/>
                <w:szCs w:val="20"/>
                <w:lang w:val="fr-CA" w:eastAsia="en-CA"/>
              </w:rPr>
            </w:pPr>
            <w:r w:rsidRPr="00691ABD">
              <w:rPr>
                <w:sz w:val="20"/>
                <w:szCs w:val="20"/>
                <w:lang w:val="fr-CA" w:eastAsia="en-CA"/>
              </w:rPr>
              <w:t>Vanuatu</w:t>
            </w:r>
          </w:p>
        </w:tc>
        <w:tc>
          <w:tcPr>
            <w:tcW w:w="1295" w:type="dxa"/>
            <w:tcBorders>
              <w:top w:val="nil"/>
              <w:left w:val="nil"/>
              <w:bottom w:val="single" w:sz="4" w:space="0" w:color="auto"/>
              <w:right w:val="single" w:sz="4" w:space="0" w:color="auto"/>
            </w:tcBorders>
            <w:shd w:val="clear" w:color="auto" w:fill="auto"/>
            <w:noWrap/>
            <w:hideMark/>
          </w:tcPr>
          <w:p w14:paraId="74779D47" w14:textId="77777777" w:rsidR="00A325C8" w:rsidRPr="00691ABD" w:rsidRDefault="00A325C8" w:rsidP="001E39EE">
            <w:pPr>
              <w:jc w:val="right"/>
              <w:rPr>
                <w:sz w:val="20"/>
                <w:szCs w:val="20"/>
                <w:lang w:val="fr-CA" w:eastAsia="en-CA"/>
              </w:rPr>
            </w:pPr>
            <w:r w:rsidRPr="00691ABD">
              <w:rPr>
                <w:sz w:val="20"/>
                <w:szCs w:val="20"/>
                <w:lang w:val="fr-CA" w:eastAsia="en-CA"/>
              </w:rPr>
              <w:t>0</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2BD99552" w14:textId="77777777" w:rsidR="00A325C8" w:rsidRPr="00691ABD" w:rsidRDefault="00A325C8" w:rsidP="001E39EE">
            <w:pPr>
              <w:jc w:val="right"/>
              <w:rPr>
                <w:sz w:val="20"/>
                <w:szCs w:val="20"/>
                <w:lang w:val="fr-CA" w:eastAsia="en-CA"/>
              </w:rPr>
            </w:pPr>
            <w:r w:rsidRPr="00691ABD">
              <w:rPr>
                <w:sz w:val="20"/>
                <w:szCs w:val="20"/>
                <w:lang w:val="fr-CA" w:eastAsia="en-CA"/>
              </w:rPr>
              <w:t>360</w:t>
            </w:r>
            <w:r>
              <w:rPr>
                <w:sz w:val="20"/>
                <w:szCs w:val="20"/>
                <w:lang w:val="fr-CA" w:eastAsia="en-CA"/>
              </w:rPr>
              <w:t xml:space="preserve"> </w:t>
            </w:r>
            <w:r w:rsidRPr="00691ABD">
              <w:rPr>
                <w:sz w:val="20"/>
                <w:szCs w:val="20"/>
                <w:lang w:val="fr-CA" w:eastAsia="en-CA"/>
              </w:rPr>
              <w:t>600</w:t>
            </w:r>
          </w:p>
        </w:tc>
        <w:tc>
          <w:tcPr>
            <w:tcW w:w="1276" w:type="dxa"/>
            <w:tcBorders>
              <w:top w:val="nil"/>
              <w:left w:val="nil"/>
              <w:bottom w:val="single" w:sz="4" w:space="0" w:color="auto"/>
              <w:right w:val="single" w:sz="4" w:space="0" w:color="auto"/>
            </w:tcBorders>
            <w:shd w:val="clear" w:color="auto" w:fill="auto"/>
            <w:noWrap/>
            <w:hideMark/>
          </w:tcPr>
          <w:p w14:paraId="55422D40" w14:textId="77777777" w:rsidR="00A325C8" w:rsidRPr="00691ABD" w:rsidRDefault="00A325C8" w:rsidP="001E39EE">
            <w:pPr>
              <w:jc w:val="right"/>
              <w:rPr>
                <w:sz w:val="20"/>
                <w:szCs w:val="20"/>
                <w:lang w:val="fr-CA" w:eastAsia="en-CA"/>
              </w:rPr>
            </w:pPr>
            <w:r w:rsidRPr="00691ABD">
              <w:rPr>
                <w:sz w:val="20"/>
                <w:szCs w:val="20"/>
                <w:lang w:val="fr-CA" w:eastAsia="en-CA"/>
              </w:rPr>
              <w:t>130</w:t>
            </w:r>
            <w:r>
              <w:rPr>
                <w:sz w:val="20"/>
                <w:szCs w:val="20"/>
                <w:lang w:val="fr-CA" w:eastAsia="en-CA"/>
              </w:rPr>
              <w:t xml:space="preserve"> </w:t>
            </w:r>
            <w:r w:rsidRPr="00691ABD">
              <w:rPr>
                <w:sz w:val="20"/>
                <w:szCs w:val="20"/>
                <w:lang w:val="fr-CA" w:eastAsia="en-CA"/>
              </w:rPr>
              <w:t>406</w:t>
            </w:r>
          </w:p>
        </w:tc>
        <w:tc>
          <w:tcPr>
            <w:tcW w:w="1250" w:type="dxa"/>
            <w:tcBorders>
              <w:top w:val="nil"/>
              <w:left w:val="nil"/>
              <w:bottom w:val="single" w:sz="4" w:space="0" w:color="auto"/>
              <w:right w:val="single" w:sz="4" w:space="0" w:color="auto"/>
            </w:tcBorders>
            <w:shd w:val="clear" w:color="auto" w:fill="auto"/>
            <w:noWrap/>
            <w:hideMark/>
          </w:tcPr>
          <w:p w14:paraId="66CECE82" w14:textId="77777777" w:rsidR="00A325C8" w:rsidRPr="00691ABD" w:rsidRDefault="00A325C8" w:rsidP="001E39EE">
            <w:pPr>
              <w:jc w:val="right"/>
              <w:rPr>
                <w:sz w:val="20"/>
                <w:szCs w:val="20"/>
                <w:lang w:val="fr-CA" w:eastAsia="en-CA"/>
              </w:rPr>
            </w:pPr>
            <w:r w:rsidRPr="00691ABD">
              <w:rPr>
                <w:sz w:val="20"/>
                <w:szCs w:val="20"/>
                <w:lang w:val="fr-CA" w:eastAsia="en-CA"/>
              </w:rPr>
              <w:t>230</w:t>
            </w:r>
            <w:r>
              <w:rPr>
                <w:sz w:val="20"/>
                <w:szCs w:val="20"/>
                <w:lang w:val="fr-CA" w:eastAsia="en-CA"/>
              </w:rPr>
              <w:t xml:space="preserve"> </w:t>
            </w:r>
            <w:r w:rsidRPr="00691ABD">
              <w:rPr>
                <w:sz w:val="20"/>
                <w:szCs w:val="20"/>
                <w:lang w:val="fr-CA" w:eastAsia="en-CA"/>
              </w:rPr>
              <w:t>194</w:t>
            </w:r>
          </w:p>
        </w:tc>
        <w:tc>
          <w:tcPr>
            <w:tcW w:w="1050" w:type="dxa"/>
            <w:tcBorders>
              <w:top w:val="nil"/>
              <w:left w:val="nil"/>
              <w:bottom w:val="single" w:sz="4" w:space="0" w:color="auto"/>
              <w:right w:val="single" w:sz="4" w:space="0" w:color="auto"/>
            </w:tcBorders>
            <w:shd w:val="clear" w:color="auto" w:fill="auto"/>
            <w:noWrap/>
            <w:hideMark/>
          </w:tcPr>
          <w:p w14:paraId="26D53E66" w14:textId="77777777" w:rsidR="00A325C8" w:rsidRPr="00691ABD" w:rsidRDefault="00A325C8" w:rsidP="001E39EE">
            <w:pPr>
              <w:jc w:val="right"/>
              <w:rPr>
                <w:sz w:val="20"/>
                <w:szCs w:val="20"/>
                <w:lang w:val="fr-CA" w:eastAsia="en-CA"/>
              </w:rPr>
            </w:pPr>
            <w:r w:rsidRPr="00691ABD">
              <w:rPr>
                <w:sz w:val="20"/>
                <w:szCs w:val="20"/>
                <w:lang w:val="fr-CA" w:eastAsia="en-CA"/>
              </w:rPr>
              <w:t>36</w:t>
            </w:r>
          </w:p>
        </w:tc>
      </w:tr>
      <w:tr w:rsidR="00A325C8" w:rsidRPr="00691ABD" w14:paraId="4BF9C9F5"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DA4A203" w14:textId="77777777" w:rsidR="00A325C8" w:rsidRPr="00691ABD" w:rsidRDefault="00A325C8" w:rsidP="00A325C8">
            <w:pPr>
              <w:jc w:val="left"/>
              <w:rPr>
                <w:sz w:val="20"/>
                <w:szCs w:val="20"/>
                <w:lang w:val="fr-CA" w:eastAsia="en-CA"/>
              </w:rPr>
            </w:pPr>
            <w:r w:rsidRPr="00691ABD">
              <w:rPr>
                <w:sz w:val="20"/>
                <w:szCs w:val="20"/>
                <w:lang w:val="fr-CA" w:eastAsia="en-CA"/>
              </w:rPr>
              <w:t>Venezuela (</w:t>
            </w:r>
            <w:r>
              <w:rPr>
                <w:sz w:val="20"/>
                <w:szCs w:val="20"/>
                <w:lang w:val="fr-CA" w:eastAsia="en-CA"/>
              </w:rPr>
              <w:t>République bolivarienne du</w:t>
            </w:r>
            <w:r w:rsidRPr="00691ABD">
              <w:rPr>
                <w:sz w:val="20"/>
                <w:szCs w:val="20"/>
                <w:lang w:val="fr-CA" w:eastAsia="en-CA"/>
              </w:rPr>
              <w:t>)</w:t>
            </w:r>
          </w:p>
        </w:tc>
        <w:tc>
          <w:tcPr>
            <w:tcW w:w="1295" w:type="dxa"/>
            <w:tcBorders>
              <w:top w:val="nil"/>
              <w:left w:val="nil"/>
              <w:bottom w:val="single" w:sz="4" w:space="0" w:color="auto"/>
              <w:right w:val="single" w:sz="4" w:space="0" w:color="auto"/>
            </w:tcBorders>
            <w:shd w:val="clear" w:color="auto" w:fill="auto"/>
            <w:noWrap/>
            <w:hideMark/>
          </w:tcPr>
          <w:p w14:paraId="3FE82F3F" w14:textId="77777777" w:rsidR="00A325C8" w:rsidRPr="00691ABD" w:rsidRDefault="00A325C8" w:rsidP="001E39EE">
            <w:pPr>
              <w:jc w:val="right"/>
              <w:rPr>
                <w:sz w:val="20"/>
                <w:szCs w:val="20"/>
                <w:lang w:val="fr-CA" w:eastAsia="en-CA"/>
              </w:rPr>
            </w:pPr>
            <w:r w:rsidRPr="00691ABD">
              <w:rPr>
                <w:sz w:val="20"/>
                <w:szCs w:val="20"/>
                <w:lang w:val="fr-CA" w:eastAsia="en-CA"/>
              </w:rPr>
              <w:t>28</w:t>
            </w:r>
            <w:r>
              <w:rPr>
                <w:sz w:val="20"/>
                <w:szCs w:val="20"/>
                <w:lang w:val="fr-CA" w:eastAsia="en-CA"/>
              </w:rPr>
              <w:t>,</w:t>
            </w:r>
            <w:r w:rsidRPr="00691ABD">
              <w:rPr>
                <w:sz w:val="20"/>
                <w:szCs w:val="20"/>
                <w:lang w:val="fr-CA" w:eastAsia="en-CA"/>
              </w:rPr>
              <w:t>9</w:t>
            </w:r>
          </w:p>
        </w:tc>
        <w:tc>
          <w:tcPr>
            <w:tcW w:w="1275" w:type="dxa"/>
            <w:tcBorders>
              <w:top w:val="nil"/>
              <w:left w:val="nil"/>
              <w:bottom w:val="single" w:sz="4" w:space="0" w:color="auto"/>
              <w:right w:val="single" w:sz="4" w:space="0" w:color="auto"/>
            </w:tcBorders>
            <w:shd w:val="clear" w:color="auto" w:fill="auto"/>
            <w:noWrap/>
            <w:hideMark/>
          </w:tcPr>
          <w:p w14:paraId="49695BC7"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488</w:t>
            </w:r>
            <w:r>
              <w:rPr>
                <w:sz w:val="20"/>
                <w:szCs w:val="20"/>
                <w:lang w:val="fr-CA" w:eastAsia="en-CA"/>
              </w:rPr>
              <w:t xml:space="preserve"> </w:t>
            </w:r>
            <w:r w:rsidRPr="00691ABD">
              <w:rPr>
                <w:sz w:val="20"/>
                <w:szCs w:val="20"/>
                <w:lang w:val="fr-CA" w:eastAsia="en-CA"/>
              </w:rPr>
              <w:t>281</w:t>
            </w:r>
          </w:p>
        </w:tc>
        <w:tc>
          <w:tcPr>
            <w:tcW w:w="1276" w:type="dxa"/>
            <w:tcBorders>
              <w:top w:val="nil"/>
              <w:left w:val="nil"/>
              <w:bottom w:val="single" w:sz="4" w:space="0" w:color="auto"/>
              <w:right w:val="single" w:sz="4" w:space="0" w:color="auto"/>
            </w:tcBorders>
            <w:shd w:val="clear" w:color="auto" w:fill="auto"/>
            <w:noWrap/>
            <w:hideMark/>
          </w:tcPr>
          <w:p w14:paraId="69F2BD9A"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285</w:t>
            </w:r>
            <w:r>
              <w:rPr>
                <w:sz w:val="20"/>
                <w:szCs w:val="20"/>
                <w:lang w:val="fr-CA" w:eastAsia="en-CA"/>
              </w:rPr>
              <w:t xml:space="preserve"> </w:t>
            </w:r>
            <w:r w:rsidRPr="00691ABD">
              <w:rPr>
                <w:sz w:val="20"/>
                <w:szCs w:val="20"/>
                <w:lang w:val="fr-CA" w:eastAsia="en-CA"/>
              </w:rPr>
              <w:t>131</w:t>
            </w:r>
          </w:p>
        </w:tc>
        <w:tc>
          <w:tcPr>
            <w:tcW w:w="1250" w:type="dxa"/>
            <w:tcBorders>
              <w:top w:val="nil"/>
              <w:left w:val="nil"/>
              <w:bottom w:val="single" w:sz="4" w:space="0" w:color="auto"/>
              <w:right w:val="single" w:sz="4" w:space="0" w:color="auto"/>
            </w:tcBorders>
            <w:shd w:val="clear" w:color="auto" w:fill="auto"/>
            <w:noWrap/>
            <w:hideMark/>
          </w:tcPr>
          <w:p w14:paraId="2060B4C2" w14:textId="77777777" w:rsidR="00A325C8" w:rsidRPr="00691ABD" w:rsidRDefault="00A325C8" w:rsidP="001E39EE">
            <w:pPr>
              <w:jc w:val="right"/>
              <w:rPr>
                <w:sz w:val="20"/>
                <w:szCs w:val="20"/>
                <w:lang w:val="fr-CA" w:eastAsia="en-CA"/>
              </w:rPr>
            </w:pPr>
            <w:r w:rsidRPr="00691ABD">
              <w:rPr>
                <w:sz w:val="20"/>
                <w:szCs w:val="20"/>
                <w:lang w:val="fr-CA" w:eastAsia="en-CA"/>
              </w:rPr>
              <w:t>203</w:t>
            </w:r>
            <w:r>
              <w:rPr>
                <w:sz w:val="20"/>
                <w:szCs w:val="20"/>
                <w:lang w:val="fr-CA" w:eastAsia="en-CA"/>
              </w:rPr>
              <w:t xml:space="preserve"> </w:t>
            </w:r>
            <w:r w:rsidRPr="00691ABD">
              <w:rPr>
                <w:sz w:val="20"/>
                <w:szCs w:val="20"/>
                <w:lang w:val="fr-CA" w:eastAsia="en-CA"/>
              </w:rPr>
              <w:t>150</w:t>
            </w:r>
          </w:p>
        </w:tc>
        <w:tc>
          <w:tcPr>
            <w:tcW w:w="1050" w:type="dxa"/>
            <w:tcBorders>
              <w:top w:val="nil"/>
              <w:left w:val="nil"/>
              <w:bottom w:val="single" w:sz="4" w:space="0" w:color="auto"/>
              <w:right w:val="single" w:sz="4" w:space="0" w:color="auto"/>
            </w:tcBorders>
            <w:shd w:val="clear" w:color="auto" w:fill="auto"/>
            <w:noWrap/>
            <w:hideMark/>
          </w:tcPr>
          <w:p w14:paraId="39033AF6" w14:textId="77777777" w:rsidR="00A325C8" w:rsidRPr="00691ABD" w:rsidRDefault="00A325C8" w:rsidP="001E39EE">
            <w:pPr>
              <w:jc w:val="right"/>
              <w:rPr>
                <w:sz w:val="20"/>
                <w:szCs w:val="20"/>
                <w:lang w:val="fr-CA" w:eastAsia="en-CA"/>
              </w:rPr>
            </w:pPr>
            <w:r w:rsidRPr="00691ABD">
              <w:rPr>
                <w:sz w:val="20"/>
                <w:szCs w:val="20"/>
                <w:lang w:val="fr-CA" w:eastAsia="en-CA"/>
              </w:rPr>
              <w:t>92</w:t>
            </w:r>
          </w:p>
        </w:tc>
      </w:tr>
      <w:tr w:rsidR="00A325C8" w:rsidRPr="00691ABD" w14:paraId="1EE834E1"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48C586A2" w14:textId="77777777" w:rsidR="00A325C8" w:rsidRPr="00691ABD" w:rsidRDefault="00A325C8" w:rsidP="00331806">
            <w:pPr>
              <w:jc w:val="left"/>
              <w:rPr>
                <w:sz w:val="20"/>
                <w:szCs w:val="20"/>
                <w:lang w:val="fr-CA" w:eastAsia="en-CA"/>
              </w:rPr>
            </w:pPr>
            <w:r w:rsidRPr="00691ABD">
              <w:rPr>
                <w:sz w:val="20"/>
                <w:szCs w:val="20"/>
                <w:lang w:val="fr-CA" w:eastAsia="en-CA"/>
              </w:rPr>
              <w:t>Viet Nam</w:t>
            </w:r>
          </w:p>
        </w:tc>
        <w:tc>
          <w:tcPr>
            <w:tcW w:w="1295" w:type="dxa"/>
            <w:tcBorders>
              <w:top w:val="nil"/>
              <w:left w:val="nil"/>
              <w:bottom w:val="single" w:sz="4" w:space="0" w:color="auto"/>
              <w:right w:val="single" w:sz="4" w:space="0" w:color="auto"/>
            </w:tcBorders>
            <w:shd w:val="clear" w:color="auto" w:fill="auto"/>
            <w:noWrap/>
            <w:hideMark/>
          </w:tcPr>
          <w:p w14:paraId="5CCACB64" w14:textId="77777777" w:rsidR="00A325C8" w:rsidRPr="00691ABD" w:rsidRDefault="00A325C8" w:rsidP="001E39EE">
            <w:pPr>
              <w:jc w:val="right"/>
              <w:rPr>
                <w:sz w:val="20"/>
                <w:szCs w:val="20"/>
                <w:lang w:val="fr-CA" w:eastAsia="en-CA"/>
              </w:rPr>
            </w:pPr>
            <w:r w:rsidRPr="00691ABD">
              <w:rPr>
                <w:sz w:val="20"/>
                <w:szCs w:val="20"/>
                <w:lang w:val="fr-CA" w:eastAsia="en-CA"/>
              </w:rPr>
              <w:t>149</w:t>
            </w:r>
            <w:r>
              <w:rPr>
                <w:sz w:val="20"/>
                <w:szCs w:val="20"/>
                <w:lang w:val="fr-CA" w:eastAsia="en-CA"/>
              </w:rPr>
              <w:t>,</w:t>
            </w:r>
            <w:r w:rsidRPr="00691ABD">
              <w:rPr>
                <w:sz w:val="20"/>
                <w:szCs w:val="20"/>
                <w:lang w:val="fr-CA" w:eastAsia="en-CA"/>
              </w:rPr>
              <w:t>1</w:t>
            </w:r>
          </w:p>
        </w:tc>
        <w:tc>
          <w:tcPr>
            <w:tcW w:w="1275" w:type="dxa"/>
            <w:tcBorders>
              <w:top w:val="nil"/>
              <w:left w:val="nil"/>
              <w:bottom w:val="single" w:sz="4" w:space="0" w:color="auto"/>
              <w:right w:val="single" w:sz="4" w:space="0" w:color="auto"/>
            </w:tcBorders>
            <w:shd w:val="clear" w:color="auto" w:fill="auto"/>
            <w:noWrap/>
            <w:hideMark/>
          </w:tcPr>
          <w:p w14:paraId="6AE9B3A9" w14:textId="77777777" w:rsidR="00A325C8" w:rsidRPr="00691ABD" w:rsidRDefault="00A325C8" w:rsidP="001E39EE">
            <w:pPr>
              <w:jc w:val="right"/>
              <w:rPr>
                <w:sz w:val="20"/>
                <w:szCs w:val="20"/>
                <w:lang w:val="fr-CA" w:eastAsia="en-CA"/>
              </w:rPr>
            </w:pPr>
            <w:r w:rsidRPr="00691ABD">
              <w:rPr>
                <w:sz w:val="20"/>
                <w:szCs w:val="20"/>
                <w:lang w:val="fr-CA" w:eastAsia="en-CA"/>
              </w:rPr>
              <w:t>10</w:t>
            </w:r>
            <w:r>
              <w:rPr>
                <w:sz w:val="20"/>
                <w:szCs w:val="20"/>
                <w:lang w:val="fr-CA" w:eastAsia="en-CA"/>
              </w:rPr>
              <w:t xml:space="preserve"> </w:t>
            </w:r>
            <w:r w:rsidRPr="00691ABD">
              <w:rPr>
                <w:sz w:val="20"/>
                <w:szCs w:val="20"/>
                <w:lang w:val="fr-CA" w:eastAsia="en-CA"/>
              </w:rPr>
              <w:t>894</w:t>
            </w:r>
            <w:r>
              <w:rPr>
                <w:sz w:val="20"/>
                <w:szCs w:val="20"/>
                <w:lang w:val="fr-CA" w:eastAsia="en-CA"/>
              </w:rPr>
              <w:t xml:space="preserve"> </w:t>
            </w:r>
            <w:r w:rsidRPr="00691ABD">
              <w:rPr>
                <w:sz w:val="20"/>
                <w:szCs w:val="20"/>
                <w:lang w:val="fr-CA" w:eastAsia="en-CA"/>
              </w:rPr>
              <w:t>762</w:t>
            </w:r>
          </w:p>
        </w:tc>
        <w:tc>
          <w:tcPr>
            <w:tcW w:w="1276" w:type="dxa"/>
            <w:tcBorders>
              <w:top w:val="nil"/>
              <w:left w:val="nil"/>
              <w:bottom w:val="single" w:sz="4" w:space="0" w:color="auto"/>
              <w:right w:val="single" w:sz="4" w:space="0" w:color="auto"/>
            </w:tcBorders>
            <w:shd w:val="clear" w:color="auto" w:fill="auto"/>
            <w:noWrap/>
            <w:hideMark/>
          </w:tcPr>
          <w:p w14:paraId="229E4FA9" w14:textId="77777777" w:rsidR="00A325C8" w:rsidRPr="00691ABD" w:rsidRDefault="00A325C8" w:rsidP="001E39EE">
            <w:pPr>
              <w:jc w:val="right"/>
              <w:rPr>
                <w:sz w:val="20"/>
                <w:szCs w:val="20"/>
                <w:lang w:val="fr-CA" w:eastAsia="en-CA"/>
              </w:rPr>
            </w:pPr>
            <w:r w:rsidRPr="00691ABD">
              <w:rPr>
                <w:sz w:val="20"/>
                <w:szCs w:val="20"/>
                <w:lang w:val="fr-CA" w:eastAsia="en-CA"/>
              </w:rPr>
              <w:t>8</w:t>
            </w:r>
            <w:r>
              <w:rPr>
                <w:sz w:val="20"/>
                <w:szCs w:val="20"/>
                <w:lang w:val="fr-CA" w:eastAsia="en-CA"/>
              </w:rPr>
              <w:t xml:space="preserve"> </w:t>
            </w:r>
            <w:r w:rsidRPr="00691ABD">
              <w:rPr>
                <w:sz w:val="20"/>
                <w:szCs w:val="20"/>
                <w:lang w:val="fr-CA" w:eastAsia="en-CA"/>
              </w:rPr>
              <w:t>707</w:t>
            </w:r>
            <w:r>
              <w:rPr>
                <w:sz w:val="20"/>
                <w:szCs w:val="20"/>
                <w:lang w:val="fr-CA" w:eastAsia="en-CA"/>
              </w:rPr>
              <w:t xml:space="preserve"> </w:t>
            </w:r>
            <w:r w:rsidRPr="00691ABD">
              <w:rPr>
                <w:sz w:val="20"/>
                <w:szCs w:val="20"/>
                <w:lang w:val="fr-CA" w:eastAsia="en-CA"/>
              </w:rPr>
              <w:t>714</w:t>
            </w:r>
          </w:p>
        </w:tc>
        <w:tc>
          <w:tcPr>
            <w:tcW w:w="1250" w:type="dxa"/>
            <w:tcBorders>
              <w:top w:val="nil"/>
              <w:left w:val="nil"/>
              <w:bottom w:val="single" w:sz="4" w:space="0" w:color="auto"/>
              <w:right w:val="single" w:sz="4" w:space="0" w:color="auto"/>
            </w:tcBorders>
            <w:shd w:val="clear" w:color="auto" w:fill="auto"/>
            <w:noWrap/>
            <w:hideMark/>
          </w:tcPr>
          <w:p w14:paraId="2E62C436"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 xml:space="preserve"> </w:t>
            </w:r>
            <w:r w:rsidRPr="00691ABD">
              <w:rPr>
                <w:sz w:val="20"/>
                <w:szCs w:val="20"/>
                <w:lang w:val="fr-CA" w:eastAsia="en-CA"/>
              </w:rPr>
              <w:t>187</w:t>
            </w:r>
            <w:r>
              <w:rPr>
                <w:sz w:val="20"/>
                <w:szCs w:val="20"/>
                <w:lang w:val="fr-CA" w:eastAsia="en-CA"/>
              </w:rPr>
              <w:t xml:space="preserve"> </w:t>
            </w:r>
            <w:r w:rsidRPr="00691ABD">
              <w:rPr>
                <w:sz w:val="20"/>
                <w:szCs w:val="20"/>
                <w:lang w:val="fr-CA" w:eastAsia="en-CA"/>
              </w:rPr>
              <w:t>048</w:t>
            </w:r>
          </w:p>
        </w:tc>
        <w:tc>
          <w:tcPr>
            <w:tcW w:w="1050" w:type="dxa"/>
            <w:tcBorders>
              <w:top w:val="nil"/>
              <w:left w:val="nil"/>
              <w:bottom w:val="single" w:sz="4" w:space="0" w:color="auto"/>
              <w:right w:val="single" w:sz="4" w:space="0" w:color="auto"/>
            </w:tcBorders>
            <w:shd w:val="clear" w:color="auto" w:fill="auto"/>
            <w:noWrap/>
            <w:hideMark/>
          </w:tcPr>
          <w:p w14:paraId="1E0E1FD7" w14:textId="77777777" w:rsidR="00A325C8" w:rsidRPr="00691ABD" w:rsidRDefault="00A325C8" w:rsidP="001E39EE">
            <w:pPr>
              <w:jc w:val="right"/>
              <w:rPr>
                <w:sz w:val="20"/>
                <w:szCs w:val="20"/>
                <w:lang w:val="fr-CA" w:eastAsia="en-CA"/>
              </w:rPr>
            </w:pPr>
            <w:r w:rsidRPr="00691ABD">
              <w:rPr>
                <w:sz w:val="20"/>
                <w:szCs w:val="20"/>
                <w:lang w:val="fr-CA" w:eastAsia="en-CA"/>
              </w:rPr>
              <w:t>80</w:t>
            </w:r>
          </w:p>
        </w:tc>
      </w:tr>
      <w:tr w:rsidR="00A325C8" w:rsidRPr="00691ABD" w14:paraId="5200B82B" w14:textId="77777777" w:rsidTr="00691ABD">
        <w:trPr>
          <w:trHeight w:val="90"/>
        </w:trPr>
        <w:tc>
          <w:tcPr>
            <w:tcW w:w="3828" w:type="dxa"/>
            <w:tcBorders>
              <w:top w:val="nil"/>
              <w:left w:val="single" w:sz="4" w:space="0" w:color="auto"/>
              <w:bottom w:val="single" w:sz="4" w:space="0" w:color="auto"/>
              <w:right w:val="single" w:sz="4" w:space="0" w:color="auto"/>
            </w:tcBorders>
            <w:shd w:val="clear" w:color="auto" w:fill="auto"/>
            <w:noWrap/>
            <w:hideMark/>
          </w:tcPr>
          <w:p w14:paraId="4D4150F0" w14:textId="77777777" w:rsidR="00A325C8" w:rsidRPr="00691ABD" w:rsidRDefault="00A325C8" w:rsidP="001E39EE">
            <w:pPr>
              <w:jc w:val="left"/>
              <w:rPr>
                <w:sz w:val="20"/>
                <w:szCs w:val="20"/>
                <w:lang w:val="fr-CA" w:eastAsia="en-CA"/>
              </w:rPr>
            </w:pPr>
            <w:r>
              <w:rPr>
                <w:sz w:val="20"/>
                <w:szCs w:val="20"/>
                <w:lang w:val="fr-CA" w:eastAsia="en-CA"/>
              </w:rPr>
              <w:t>Yé</w:t>
            </w:r>
            <w:r w:rsidRPr="00691ABD">
              <w:rPr>
                <w:sz w:val="20"/>
                <w:szCs w:val="20"/>
                <w:lang w:val="fr-CA" w:eastAsia="en-CA"/>
              </w:rPr>
              <w:t>men</w:t>
            </w:r>
          </w:p>
        </w:tc>
        <w:tc>
          <w:tcPr>
            <w:tcW w:w="1295" w:type="dxa"/>
            <w:tcBorders>
              <w:top w:val="nil"/>
              <w:left w:val="nil"/>
              <w:bottom w:val="single" w:sz="4" w:space="0" w:color="auto"/>
              <w:right w:val="single" w:sz="4" w:space="0" w:color="auto"/>
            </w:tcBorders>
            <w:shd w:val="clear" w:color="auto" w:fill="auto"/>
            <w:noWrap/>
            <w:hideMark/>
          </w:tcPr>
          <w:p w14:paraId="5DCADFAD" w14:textId="77777777" w:rsidR="00A325C8" w:rsidRPr="00691ABD" w:rsidRDefault="00A325C8" w:rsidP="001E39EE">
            <w:pPr>
              <w:jc w:val="right"/>
              <w:rPr>
                <w:sz w:val="20"/>
                <w:szCs w:val="20"/>
                <w:lang w:val="fr-CA" w:eastAsia="en-CA"/>
              </w:rPr>
            </w:pPr>
            <w:r w:rsidRPr="00691ABD">
              <w:rPr>
                <w:sz w:val="20"/>
                <w:szCs w:val="20"/>
                <w:lang w:val="fr-CA" w:eastAsia="en-CA"/>
              </w:rPr>
              <w:t>11</w:t>
            </w:r>
            <w:r>
              <w:rPr>
                <w:sz w:val="20"/>
                <w:szCs w:val="20"/>
                <w:lang w:val="fr-CA" w:eastAsia="en-CA"/>
              </w:rPr>
              <w:t>,</w:t>
            </w:r>
            <w:r w:rsidRPr="00691ABD">
              <w:rPr>
                <w:sz w:val="20"/>
                <w:szCs w:val="20"/>
                <w:lang w:val="fr-CA" w:eastAsia="en-CA"/>
              </w:rPr>
              <w:t>6</w:t>
            </w:r>
          </w:p>
        </w:tc>
        <w:tc>
          <w:tcPr>
            <w:tcW w:w="1275" w:type="dxa"/>
            <w:tcBorders>
              <w:top w:val="nil"/>
              <w:left w:val="nil"/>
              <w:bottom w:val="single" w:sz="4" w:space="0" w:color="auto"/>
              <w:right w:val="single" w:sz="4" w:space="0" w:color="auto"/>
            </w:tcBorders>
            <w:shd w:val="clear" w:color="auto" w:fill="auto"/>
            <w:noWrap/>
            <w:hideMark/>
          </w:tcPr>
          <w:p w14:paraId="4AF3DD8B" w14:textId="77777777" w:rsidR="00A325C8" w:rsidRPr="00691ABD" w:rsidRDefault="00A325C8" w:rsidP="001E39EE">
            <w:pPr>
              <w:jc w:val="right"/>
              <w:rPr>
                <w:sz w:val="20"/>
                <w:szCs w:val="20"/>
                <w:lang w:val="fr-CA" w:eastAsia="en-CA"/>
              </w:rPr>
            </w:pPr>
            <w:r w:rsidRPr="00691ABD">
              <w:rPr>
                <w:sz w:val="20"/>
                <w:szCs w:val="20"/>
                <w:lang w:val="fr-CA" w:eastAsia="en-CA"/>
              </w:rPr>
              <w:t>159</w:t>
            </w:r>
            <w:r>
              <w:rPr>
                <w:sz w:val="20"/>
                <w:szCs w:val="20"/>
                <w:lang w:val="fr-CA" w:eastAsia="en-CA"/>
              </w:rPr>
              <w:t xml:space="preserve"> </w:t>
            </w:r>
            <w:r w:rsidRPr="00691ABD">
              <w:rPr>
                <w:sz w:val="20"/>
                <w:szCs w:val="20"/>
                <w:lang w:val="fr-CA" w:eastAsia="en-CA"/>
              </w:rPr>
              <w:t>529</w:t>
            </w:r>
          </w:p>
        </w:tc>
        <w:tc>
          <w:tcPr>
            <w:tcW w:w="1276" w:type="dxa"/>
            <w:tcBorders>
              <w:top w:val="nil"/>
              <w:left w:val="nil"/>
              <w:bottom w:val="single" w:sz="4" w:space="0" w:color="auto"/>
              <w:right w:val="single" w:sz="4" w:space="0" w:color="auto"/>
            </w:tcBorders>
            <w:shd w:val="clear" w:color="auto" w:fill="auto"/>
            <w:noWrap/>
            <w:hideMark/>
          </w:tcPr>
          <w:p w14:paraId="0886F457" w14:textId="77777777" w:rsidR="00A325C8" w:rsidRPr="00691ABD" w:rsidRDefault="00A325C8" w:rsidP="001E39EE">
            <w:pPr>
              <w:jc w:val="right"/>
              <w:rPr>
                <w:sz w:val="20"/>
                <w:szCs w:val="20"/>
                <w:lang w:val="fr-CA" w:eastAsia="en-CA"/>
              </w:rPr>
            </w:pPr>
            <w:r w:rsidRPr="00691ABD">
              <w:rPr>
                <w:sz w:val="20"/>
                <w:szCs w:val="20"/>
                <w:lang w:val="fr-CA" w:eastAsia="en-CA"/>
              </w:rPr>
              <w:t>159</w:t>
            </w:r>
            <w:r>
              <w:rPr>
                <w:sz w:val="20"/>
                <w:szCs w:val="20"/>
                <w:lang w:val="fr-CA" w:eastAsia="en-CA"/>
              </w:rPr>
              <w:t xml:space="preserve"> </w:t>
            </w:r>
            <w:r w:rsidRPr="00691ABD">
              <w:rPr>
                <w:sz w:val="20"/>
                <w:szCs w:val="20"/>
                <w:lang w:val="fr-CA" w:eastAsia="en-CA"/>
              </w:rPr>
              <w:t>529</w:t>
            </w:r>
          </w:p>
        </w:tc>
        <w:tc>
          <w:tcPr>
            <w:tcW w:w="1250" w:type="dxa"/>
            <w:tcBorders>
              <w:top w:val="nil"/>
              <w:left w:val="nil"/>
              <w:bottom w:val="single" w:sz="4" w:space="0" w:color="auto"/>
              <w:right w:val="single" w:sz="4" w:space="0" w:color="auto"/>
            </w:tcBorders>
            <w:shd w:val="clear" w:color="auto" w:fill="auto"/>
            <w:noWrap/>
            <w:hideMark/>
          </w:tcPr>
          <w:p w14:paraId="3C587516" w14:textId="77777777" w:rsidR="00A325C8" w:rsidRPr="00691ABD" w:rsidRDefault="00A325C8" w:rsidP="001E39EE">
            <w:pPr>
              <w:jc w:val="right"/>
              <w:rPr>
                <w:sz w:val="20"/>
                <w:szCs w:val="20"/>
                <w:lang w:val="fr-CA" w:eastAsia="en-CA"/>
              </w:rPr>
            </w:pPr>
            <w:r w:rsidRPr="00691ABD">
              <w:rPr>
                <w:sz w:val="20"/>
                <w:szCs w:val="20"/>
                <w:lang w:val="fr-CA" w:eastAsia="en-CA"/>
              </w:rPr>
              <w:t>0</w:t>
            </w:r>
          </w:p>
        </w:tc>
        <w:tc>
          <w:tcPr>
            <w:tcW w:w="1050" w:type="dxa"/>
            <w:tcBorders>
              <w:top w:val="nil"/>
              <w:left w:val="nil"/>
              <w:bottom w:val="single" w:sz="4" w:space="0" w:color="auto"/>
              <w:right w:val="single" w:sz="4" w:space="0" w:color="auto"/>
            </w:tcBorders>
            <w:shd w:val="clear" w:color="auto" w:fill="auto"/>
            <w:noWrap/>
            <w:hideMark/>
          </w:tcPr>
          <w:p w14:paraId="2890B1C6" w14:textId="77777777" w:rsidR="00A325C8" w:rsidRPr="00691ABD" w:rsidRDefault="00A325C8" w:rsidP="001E39EE">
            <w:pPr>
              <w:jc w:val="right"/>
              <w:rPr>
                <w:sz w:val="20"/>
                <w:szCs w:val="20"/>
                <w:lang w:val="fr-CA" w:eastAsia="en-CA"/>
              </w:rPr>
            </w:pPr>
            <w:r w:rsidRPr="00691ABD">
              <w:rPr>
                <w:sz w:val="20"/>
                <w:szCs w:val="20"/>
                <w:lang w:val="fr-CA" w:eastAsia="en-CA"/>
              </w:rPr>
              <w:t>100</w:t>
            </w:r>
          </w:p>
        </w:tc>
      </w:tr>
      <w:tr w:rsidR="00A325C8" w:rsidRPr="00691ABD" w14:paraId="4F0A3064"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0A62F27" w14:textId="77777777" w:rsidR="00A325C8" w:rsidRPr="00691ABD" w:rsidRDefault="00A325C8" w:rsidP="001E39EE">
            <w:pPr>
              <w:jc w:val="left"/>
              <w:rPr>
                <w:sz w:val="20"/>
                <w:szCs w:val="20"/>
                <w:lang w:val="fr-CA" w:eastAsia="en-CA"/>
              </w:rPr>
            </w:pPr>
            <w:r>
              <w:rPr>
                <w:sz w:val="20"/>
                <w:szCs w:val="20"/>
                <w:lang w:val="fr-CA" w:eastAsia="en-CA"/>
              </w:rPr>
              <w:t>Zambie</w:t>
            </w:r>
          </w:p>
        </w:tc>
        <w:tc>
          <w:tcPr>
            <w:tcW w:w="1295" w:type="dxa"/>
            <w:tcBorders>
              <w:top w:val="nil"/>
              <w:left w:val="nil"/>
              <w:bottom w:val="single" w:sz="4" w:space="0" w:color="auto"/>
              <w:right w:val="single" w:sz="4" w:space="0" w:color="auto"/>
            </w:tcBorders>
            <w:shd w:val="clear" w:color="auto" w:fill="auto"/>
            <w:noWrap/>
            <w:hideMark/>
          </w:tcPr>
          <w:p w14:paraId="026BA35E" w14:textId="77777777" w:rsidR="00A325C8" w:rsidRPr="00691ABD" w:rsidRDefault="00A325C8" w:rsidP="001E39EE">
            <w:pPr>
              <w:jc w:val="right"/>
              <w:rPr>
                <w:sz w:val="20"/>
                <w:szCs w:val="20"/>
                <w:lang w:val="fr-CA" w:eastAsia="en-CA"/>
              </w:rPr>
            </w:pPr>
            <w:r w:rsidRPr="00691ABD">
              <w:rPr>
                <w:sz w:val="20"/>
                <w:szCs w:val="20"/>
                <w:lang w:val="fr-CA" w:eastAsia="en-CA"/>
              </w:rPr>
              <w:t>2</w:t>
            </w:r>
            <w:r>
              <w:rPr>
                <w:sz w:val="20"/>
                <w:szCs w:val="20"/>
                <w:lang w:val="fr-CA" w:eastAsia="en-CA"/>
              </w:rPr>
              <w:t>,</w:t>
            </w:r>
            <w:r w:rsidRPr="00691ABD">
              <w:rPr>
                <w:sz w:val="20"/>
                <w:szCs w:val="20"/>
                <w:lang w:val="fr-CA" w:eastAsia="en-CA"/>
              </w:rPr>
              <w:t>5</w:t>
            </w:r>
          </w:p>
        </w:tc>
        <w:tc>
          <w:tcPr>
            <w:tcW w:w="1275" w:type="dxa"/>
            <w:tcBorders>
              <w:top w:val="nil"/>
              <w:left w:val="nil"/>
              <w:bottom w:val="single" w:sz="4" w:space="0" w:color="auto"/>
              <w:right w:val="single" w:sz="4" w:space="0" w:color="auto"/>
            </w:tcBorders>
            <w:shd w:val="clear" w:color="auto" w:fill="auto"/>
            <w:noWrap/>
            <w:hideMark/>
          </w:tcPr>
          <w:p w14:paraId="76670977" w14:textId="77777777" w:rsidR="00A325C8" w:rsidRPr="00691ABD" w:rsidRDefault="00A325C8" w:rsidP="001E39EE">
            <w:pPr>
              <w:jc w:val="right"/>
              <w:rPr>
                <w:sz w:val="20"/>
                <w:szCs w:val="20"/>
                <w:lang w:val="fr-CA" w:eastAsia="en-CA"/>
              </w:rPr>
            </w:pPr>
            <w:r w:rsidRPr="00691ABD">
              <w:rPr>
                <w:sz w:val="20"/>
                <w:szCs w:val="20"/>
                <w:lang w:val="fr-CA" w:eastAsia="en-CA"/>
              </w:rPr>
              <w:t>462</w:t>
            </w:r>
            <w:r>
              <w:rPr>
                <w:sz w:val="20"/>
                <w:szCs w:val="20"/>
                <w:lang w:val="fr-CA" w:eastAsia="en-CA"/>
              </w:rPr>
              <w:t xml:space="preserve"> </w:t>
            </w:r>
            <w:r w:rsidRPr="00691ABD">
              <w:rPr>
                <w:sz w:val="20"/>
                <w:szCs w:val="20"/>
                <w:lang w:val="fr-CA" w:eastAsia="en-CA"/>
              </w:rPr>
              <w:t>956</w:t>
            </w:r>
          </w:p>
        </w:tc>
        <w:tc>
          <w:tcPr>
            <w:tcW w:w="1276" w:type="dxa"/>
            <w:tcBorders>
              <w:top w:val="nil"/>
              <w:left w:val="nil"/>
              <w:bottom w:val="single" w:sz="4" w:space="0" w:color="auto"/>
              <w:right w:val="single" w:sz="4" w:space="0" w:color="auto"/>
            </w:tcBorders>
            <w:shd w:val="clear" w:color="auto" w:fill="auto"/>
            <w:noWrap/>
            <w:hideMark/>
          </w:tcPr>
          <w:p w14:paraId="69E30809" w14:textId="77777777" w:rsidR="00A325C8" w:rsidRPr="00691ABD" w:rsidRDefault="00A325C8" w:rsidP="001E39EE">
            <w:pPr>
              <w:jc w:val="right"/>
              <w:rPr>
                <w:sz w:val="20"/>
                <w:szCs w:val="20"/>
                <w:lang w:val="fr-CA" w:eastAsia="en-CA"/>
              </w:rPr>
            </w:pPr>
            <w:r w:rsidRPr="00691ABD">
              <w:rPr>
                <w:sz w:val="20"/>
                <w:szCs w:val="20"/>
                <w:lang w:val="fr-CA" w:eastAsia="en-CA"/>
              </w:rPr>
              <w:t>202</w:t>
            </w:r>
            <w:r>
              <w:rPr>
                <w:sz w:val="20"/>
                <w:szCs w:val="20"/>
                <w:lang w:val="fr-CA" w:eastAsia="en-CA"/>
              </w:rPr>
              <w:t xml:space="preserve"> </w:t>
            </w:r>
            <w:r w:rsidRPr="00691ABD">
              <w:rPr>
                <w:sz w:val="20"/>
                <w:szCs w:val="20"/>
                <w:lang w:val="fr-CA" w:eastAsia="en-CA"/>
              </w:rPr>
              <w:t>956</w:t>
            </w:r>
          </w:p>
        </w:tc>
        <w:tc>
          <w:tcPr>
            <w:tcW w:w="1250" w:type="dxa"/>
            <w:tcBorders>
              <w:top w:val="nil"/>
              <w:left w:val="nil"/>
              <w:bottom w:val="single" w:sz="4" w:space="0" w:color="auto"/>
              <w:right w:val="single" w:sz="4" w:space="0" w:color="auto"/>
            </w:tcBorders>
            <w:shd w:val="clear" w:color="auto" w:fill="auto"/>
            <w:noWrap/>
            <w:hideMark/>
          </w:tcPr>
          <w:p w14:paraId="45B81EDB" w14:textId="77777777" w:rsidR="00A325C8" w:rsidRPr="00691ABD" w:rsidRDefault="00A325C8" w:rsidP="001E39EE">
            <w:pPr>
              <w:jc w:val="right"/>
              <w:rPr>
                <w:sz w:val="20"/>
                <w:szCs w:val="20"/>
                <w:lang w:val="fr-CA" w:eastAsia="en-CA"/>
              </w:rPr>
            </w:pPr>
            <w:r w:rsidRPr="00691ABD">
              <w:rPr>
                <w:sz w:val="20"/>
                <w:szCs w:val="20"/>
                <w:lang w:val="fr-CA" w:eastAsia="en-CA"/>
              </w:rPr>
              <w:t>260</w:t>
            </w:r>
            <w:r>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43848C61" w14:textId="77777777" w:rsidR="00A325C8" w:rsidRPr="00691ABD" w:rsidRDefault="00A325C8" w:rsidP="001E39EE">
            <w:pPr>
              <w:jc w:val="right"/>
              <w:rPr>
                <w:sz w:val="20"/>
                <w:szCs w:val="20"/>
                <w:lang w:val="fr-CA" w:eastAsia="en-CA"/>
              </w:rPr>
            </w:pPr>
            <w:r w:rsidRPr="00691ABD">
              <w:rPr>
                <w:sz w:val="20"/>
                <w:szCs w:val="20"/>
                <w:lang w:val="fr-CA" w:eastAsia="en-CA"/>
              </w:rPr>
              <w:t>44</w:t>
            </w:r>
          </w:p>
        </w:tc>
      </w:tr>
      <w:tr w:rsidR="00A325C8" w:rsidRPr="00691ABD" w14:paraId="453E2C9F"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54EF4D49" w14:textId="77777777" w:rsidR="00A325C8" w:rsidRPr="00691ABD" w:rsidRDefault="00A325C8" w:rsidP="001E39EE">
            <w:pPr>
              <w:jc w:val="left"/>
              <w:rPr>
                <w:sz w:val="20"/>
                <w:szCs w:val="20"/>
                <w:lang w:val="fr-CA" w:eastAsia="en-CA"/>
              </w:rPr>
            </w:pPr>
            <w:r w:rsidRPr="00691ABD">
              <w:rPr>
                <w:sz w:val="20"/>
                <w:szCs w:val="20"/>
                <w:lang w:val="fr-CA" w:eastAsia="en-CA"/>
              </w:rPr>
              <w:t>Zimbabwe</w:t>
            </w:r>
          </w:p>
        </w:tc>
        <w:tc>
          <w:tcPr>
            <w:tcW w:w="1295" w:type="dxa"/>
            <w:tcBorders>
              <w:top w:val="nil"/>
              <w:left w:val="nil"/>
              <w:bottom w:val="single" w:sz="4" w:space="0" w:color="auto"/>
              <w:right w:val="single" w:sz="4" w:space="0" w:color="auto"/>
            </w:tcBorders>
            <w:shd w:val="clear" w:color="auto" w:fill="auto"/>
            <w:noWrap/>
            <w:hideMark/>
          </w:tcPr>
          <w:p w14:paraId="7B74C501" w14:textId="77777777" w:rsidR="00A325C8" w:rsidRPr="00691ABD" w:rsidRDefault="00A325C8" w:rsidP="001E39EE">
            <w:pPr>
              <w:jc w:val="right"/>
              <w:rPr>
                <w:sz w:val="20"/>
                <w:szCs w:val="20"/>
                <w:lang w:val="fr-CA" w:eastAsia="en-CA"/>
              </w:rPr>
            </w:pPr>
            <w:r w:rsidRPr="00691ABD">
              <w:rPr>
                <w:sz w:val="20"/>
                <w:szCs w:val="20"/>
                <w:lang w:val="fr-CA" w:eastAsia="en-CA"/>
              </w:rPr>
              <w:t>12</w:t>
            </w:r>
            <w:r>
              <w:rPr>
                <w:sz w:val="20"/>
                <w:szCs w:val="20"/>
                <w:lang w:val="fr-CA" w:eastAsia="en-CA"/>
              </w:rPr>
              <w:t>,</w:t>
            </w:r>
            <w:r w:rsidRPr="00691ABD">
              <w:rPr>
                <w:sz w:val="20"/>
                <w:szCs w:val="20"/>
                <w:lang w:val="fr-CA" w:eastAsia="en-CA"/>
              </w:rPr>
              <w:t>3</w:t>
            </w:r>
          </w:p>
        </w:tc>
        <w:tc>
          <w:tcPr>
            <w:tcW w:w="1275" w:type="dxa"/>
            <w:tcBorders>
              <w:top w:val="nil"/>
              <w:left w:val="nil"/>
              <w:bottom w:val="single" w:sz="4" w:space="0" w:color="auto"/>
              <w:right w:val="single" w:sz="4" w:space="0" w:color="auto"/>
            </w:tcBorders>
            <w:shd w:val="clear" w:color="auto" w:fill="auto"/>
            <w:noWrap/>
            <w:hideMark/>
          </w:tcPr>
          <w:p w14:paraId="49B6AF40" w14:textId="77777777" w:rsidR="00A325C8" w:rsidRPr="00691ABD" w:rsidRDefault="00A325C8" w:rsidP="001E39EE">
            <w:pPr>
              <w:jc w:val="right"/>
              <w:rPr>
                <w:sz w:val="20"/>
                <w:szCs w:val="20"/>
                <w:lang w:val="fr-CA" w:eastAsia="en-CA"/>
              </w:rPr>
            </w:pPr>
            <w:r w:rsidRPr="00691ABD">
              <w:rPr>
                <w:sz w:val="20"/>
                <w:szCs w:val="20"/>
                <w:lang w:val="fr-CA" w:eastAsia="en-CA"/>
              </w:rPr>
              <w:t>1</w:t>
            </w:r>
            <w:r>
              <w:rPr>
                <w:sz w:val="20"/>
                <w:szCs w:val="20"/>
                <w:lang w:val="fr-CA" w:eastAsia="en-CA"/>
              </w:rPr>
              <w:t xml:space="preserve"> </w:t>
            </w:r>
            <w:r w:rsidRPr="00691ABD">
              <w:rPr>
                <w:sz w:val="20"/>
                <w:szCs w:val="20"/>
                <w:lang w:val="fr-CA" w:eastAsia="en-CA"/>
              </w:rPr>
              <w:t>288</w:t>
            </w:r>
            <w:r>
              <w:rPr>
                <w:sz w:val="20"/>
                <w:szCs w:val="20"/>
                <w:lang w:val="fr-CA" w:eastAsia="en-CA"/>
              </w:rPr>
              <w:t xml:space="preserve"> </w:t>
            </w:r>
            <w:r w:rsidRPr="00691ABD">
              <w:rPr>
                <w:sz w:val="20"/>
                <w:szCs w:val="20"/>
                <w:lang w:val="fr-CA" w:eastAsia="en-CA"/>
              </w:rPr>
              <w:t>818</w:t>
            </w:r>
          </w:p>
        </w:tc>
        <w:tc>
          <w:tcPr>
            <w:tcW w:w="1276" w:type="dxa"/>
            <w:tcBorders>
              <w:top w:val="nil"/>
              <w:left w:val="nil"/>
              <w:bottom w:val="single" w:sz="4" w:space="0" w:color="auto"/>
              <w:right w:val="single" w:sz="4" w:space="0" w:color="auto"/>
            </w:tcBorders>
            <w:shd w:val="clear" w:color="auto" w:fill="auto"/>
            <w:noWrap/>
            <w:hideMark/>
          </w:tcPr>
          <w:p w14:paraId="006DF5B5" w14:textId="77777777" w:rsidR="00A325C8" w:rsidRPr="00691ABD" w:rsidRDefault="00A325C8" w:rsidP="001E39EE">
            <w:pPr>
              <w:jc w:val="right"/>
              <w:rPr>
                <w:sz w:val="20"/>
                <w:szCs w:val="20"/>
                <w:lang w:val="fr-CA" w:eastAsia="en-CA"/>
              </w:rPr>
            </w:pPr>
            <w:r w:rsidRPr="00691ABD">
              <w:rPr>
                <w:sz w:val="20"/>
                <w:szCs w:val="20"/>
                <w:lang w:val="fr-CA" w:eastAsia="en-CA"/>
              </w:rPr>
              <w:t>895</w:t>
            </w:r>
            <w:r>
              <w:rPr>
                <w:sz w:val="20"/>
                <w:szCs w:val="20"/>
                <w:lang w:val="fr-CA" w:eastAsia="en-CA"/>
              </w:rPr>
              <w:t xml:space="preserve"> </w:t>
            </w:r>
            <w:r w:rsidRPr="00691ABD">
              <w:rPr>
                <w:sz w:val="20"/>
                <w:szCs w:val="20"/>
                <w:lang w:val="fr-CA" w:eastAsia="en-CA"/>
              </w:rPr>
              <w:t>969</w:t>
            </w:r>
          </w:p>
        </w:tc>
        <w:tc>
          <w:tcPr>
            <w:tcW w:w="1250" w:type="dxa"/>
            <w:tcBorders>
              <w:top w:val="nil"/>
              <w:left w:val="nil"/>
              <w:bottom w:val="single" w:sz="4" w:space="0" w:color="auto"/>
              <w:right w:val="single" w:sz="4" w:space="0" w:color="auto"/>
            </w:tcBorders>
            <w:shd w:val="clear" w:color="auto" w:fill="auto"/>
            <w:noWrap/>
            <w:hideMark/>
          </w:tcPr>
          <w:p w14:paraId="1577D0DC" w14:textId="77777777" w:rsidR="00A325C8" w:rsidRPr="00691ABD" w:rsidRDefault="00A325C8" w:rsidP="001E39EE">
            <w:pPr>
              <w:jc w:val="right"/>
              <w:rPr>
                <w:sz w:val="20"/>
                <w:szCs w:val="20"/>
                <w:lang w:val="fr-CA" w:eastAsia="en-CA"/>
              </w:rPr>
            </w:pPr>
            <w:r w:rsidRPr="00691ABD">
              <w:rPr>
                <w:sz w:val="20"/>
                <w:szCs w:val="20"/>
                <w:lang w:val="fr-CA" w:eastAsia="en-CA"/>
              </w:rPr>
              <w:t>392</w:t>
            </w:r>
            <w:r>
              <w:rPr>
                <w:sz w:val="20"/>
                <w:szCs w:val="20"/>
                <w:lang w:val="fr-CA" w:eastAsia="en-CA"/>
              </w:rPr>
              <w:t xml:space="preserve"> </w:t>
            </w:r>
            <w:r w:rsidRPr="00691ABD">
              <w:rPr>
                <w:sz w:val="20"/>
                <w:szCs w:val="20"/>
                <w:lang w:val="fr-CA" w:eastAsia="en-CA"/>
              </w:rPr>
              <w:t>849</w:t>
            </w:r>
          </w:p>
        </w:tc>
        <w:tc>
          <w:tcPr>
            <w:tcW w:w="1050" w:type="dxa"/>
            <w:tcBorders>
              <w:top w:val="nil"/>
              <w:left w:val="nil"/>
              <w:bottom w:val="single" w:sz="4" w:space="0" w:color="auto"/>
              <w:right w:val="single" w:sz="4" w:space="0" w:color="auto"/>
            </w:tcBorders>
            <w:shd w:val="clear" w:color="auto" w:fill="auto"/>
            <w:noWrap/>
            <w:hideMark/>
          </w:tcPr>
          <w:p w14:paraId="309452ED" w14:textId="77777777" w:rsidR="00A325C8" w:rsidRPr="00691ABD" w:rsidRDefault="00A325C8" w:rsidP="001E39EE">
            <w:pPr>
              <w:jc w:val="right"/>
              <w:rPr>
                <w:sz w:val="20"/>
                <w:szCs w:val="20"/>
                <w:lang w:val="fr-CA" w:eastAsia="en-CA"/>
              </w:rPr>
            </w:pPr>
            <w:r w:rsidRPr="00691ABD">
              <w:rPr>
                <w:sz w:val="20"/>
                <w:szCs w:val="20"/>
                <w:lang w:val="fr-CA" w:eastAsia="en-CA"/>
              </w:rPr>
              <w:t>70</w:t>
            </w:r>
          </w:p>
        </w:tc>
      </w:tr>
      <w:tr w:rsidR="008722AE" w:rsidRPr="00691ABD" w14:paraId="797FAD84"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01DA9EE6" w14:textId="6B781AAC" w:rsidR="008722AE" w:rsidRPr="00691ABD" w:rsidRDefault="00A325C8" w:rsidP="00A325C8">
            <w:pPr>
              <w:jc w:val="left"/>
              <w:rPr>
                <w:sz w:val="20"/>
                <w:szCs w:val="20"/>
                <w:lang w:val="fr-CA" w:eastAsia="en-CA"/>
              </w:rPr>
            </w:pPr>
            <w:r>
              <w:rPr>
                <w:sz w:val="20"/>
                <w:szCs w:val="20"/>
                <w:lang w:val="fr-CA" w:eastAsia="en-CA"/>
              </w:rPr>
              <w:t>Ré</w:t>
            </w:r>
            <w:r w:rsidR="008722AE" w:rsidRPr="00691ABD">
              <w:rPr>
                <w:sz w:val="20"/>
                <w:szCs w:val="20"/>
                <w:lang w:val="fr-CA" w:eastAsia="en-CA"/>
              </w:rPr>
              <w:t>gion</w:t>
            </w:r>
            <w:r>
              <w:rPr>
                <w:sz w:val="20"/>
                <w:szCs w:val="20"/>
                <w:lang w:val="fr-CA" w:eastAsia="en-CA"/>
              </w:rPr>
              <w:t xml:space="preserve"> </w:t>
            </w:r>
            <w:r w:rsidR="008722AE" w:rsidRPr="00691ABD">
              <w:rPr>
                <w:sz w:val="20"/>
                <w:szCs w:val="20"/>
                <w:lang w:val="fr-CA" w:eastAsia="en-CA"/>
              </w:rPr>
              <w:t xml:space="preserve">: </w:t>
            </w:r>
            <w:r>
              <w:rPr>
                <w:sz w:val="20"/>
                <w:szCs w:val="20"/>
                <w:lang w:val="fr-CA" w:eastAsia="en-CA"/>
              </w:rPr>
              <w:t>Asie-Pacifique</w:t>
            </w:r>
          </w:p>
        </w:tc>
        <w:tc>
          <w:tcPr>
            <w:tcW w:w="1295" w:type="dxa"/>
            <w:tcBorders>
              <w:top w:val="nil"/>
              <w:left w:val="nil"/>
              <w:bottom w:val="single" w:sz="4" w:space="0" w:color="auto"/>
              <w:right w:val="single" w:sz="4" w:space="0" w:color="auto"/>
            </w:tcBorders>
            <w:shd w:val="clear" w:color="auto" w:fill="auto"/>
            <w:noWrap/>
            <w:hideMark/>
          </w:tcPr>
          <w:p w14:paraId="3B0E9201" w14:textId="327A8D4D" w:rsidR="008722AE" w:rsidRPr="00691ABD" w:rsidRDefault="008722AE" w:rsidP="001E39EE">
            <w:pPr>
              <w:jc w:val="right"/>
              <w:rPr>
                <w:sz w:val="20"/>
                <w:szCs w:val="20"/>
                <w:lang w:val="fr-CA" w:eastAsia="en-CA"/>
              </w:rPr>
            </w:pPr>
            <w:r w:rsidRPr="00691ABD">
              <w:rPr>
                <w:sz w:val="20"/>
                <w:szCs w:val="20"/>
                <w:lang w:val="fr-CA" w:eastAsia="en-CA"/>
              </w:rPr>
              <w:t>0</w:t>
            </w:r>
            <w:r w:rsidR="00A325C8">
              <w:rPr>
                <w:sz w:val="20"/>
                <w:szCs w:val="20"/>
                <w:lang w:val="fr-CA" w:eastAsia="en-CA"/>
              </w:rPr>
              <w:t>,</w:t>
            </w:r>
            <w:r w:rsidRPr="00691ABD">
              <w:rPr>
                <w:sz w:val="20"/>
                <w:szCs w:val="20"/>
                <w:lang w:val="fr-CA" w:eastAsia="en-CA"/>
              </w:rPr>
              <w:t>0</w:t>
            </w:r>
          </w:p>
        </w:tc>
        <w:tc>
          <w:tcPr>
            <w:tcW w:w="1275" w:type="dxa"/>
            <w:tcBorders>
              <w:top w:val="nil"/>
              <w:left w:val="nil"/>
              <w:bottom w:val="single" w:sz="4" w:space="0" w:color="auto"/>
              <w:right w:val="single" w:sz="4" w:space="0" w:color="auto"/>
            </w:tcBorders>
            <w:shd w:val="clear" w:color="auto" w:fill="auto"/>
            <w:noWrap/>
            <w:hideMark/>
          </w:tcPr>
          <w:p w14:paraId="39040FE6" w14:textId="061439BE" w:rsidR="008722AE" w:rsidRPr="00691ABD" w:rsidRDefault="008722AE" w:rsidP="001E39EE">
            <w:pPr>
              <w:jc w:val="right"/>
              <w:rPr>
                <w:sz w:val="20"/>
                <w:szCs w:val="20"/>
                <w:lang w:val="fr-CA" w:eastAsia="en-CA"/>
              </w:rPr>
            </w:pPr>
            <w:r w:rsidRPr="00691ABD">
              <w:rPr>
                <w:sz w:val="20"/>
                <w:szCs w:val="20"/>
                <w:lang w:val="fr-CA" w:eastAsia="en-CA"/>
              </w:rPr>
              <w:t>940</w:t>
            </w:r>
            <w:r w:rsidR="00A325C8">
              <w:rPr>
                <w:sz w:val="20"/>
                <w:szCs w:val="20"/>
                <w:lang w:val="fr-CA" w:eastAsia="en-CA"/>
              </w:rPr>
              <w:t xml:space="preserve"> </w:t>
            </w:r>
            <w:r w:rsidRPr="00691ABD">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hideMark/>
          </w:tcPr>
          <w:p w14:paraId="6BE2CBBC" w14:textId="50A6DC44" w:rsidR="008722AE" w:rsidRPr="00691ABD" w:rsidRDefault="008722AE" w:rsidP="001E39EE">
            <w:pPr>
              <w:jc w:val="right"/>
              <w:rPr>
                <w:sz w:val="20"/>
                <w:szCs w:val="20"/>
                <w:lang w:val="fr-CA" w:eastAsia="en-CA"/>
              </w:rPr>
            </w:pPr>
            <w:r w:rsidRPr="00691ABD">
              <w:rPr>
                <w:sz w:val="20"/>
                <w:szCs w:val="20"/>
                <w:lang w:val="fr-CA" w:eastAsia="en-CA"/>
              </w:rPr>
              <w:t>240</w:t>
            </w:r>
            <w:r w:rsidR="00A325C8">
              <w:rPr>
                <w:sz w:val="20"/>
                <w:szCs w:val="20"/>
                <w:lang w:val="fr-CA" w:eastAsia="en-CA"/>
              </w:rPr>
              <w:t xml:space="preserve"> </w:t>
            </w:r>
            <w:r w:rsidRPr="00691ABD">
              <w:rPr>
                <w:sz w:val="20"/>
                <w:szCs w:val="20"/>
                <w:lang w:val="fr-CA" w:eastAsia="en-CA"/>
              </w:rPr>
              <w:t>000</w:t>
            </w:r>
          </w:p>
        </w:tc>
        <w:tc>
          <w:tcPr>
            <w:tcW w:w="1250" w:type="dxa"/>
            <w:tcBorders>
              <w:top w:val="nil"/>
              <w:left w:val="nil"/>
              <w:bottom w:val="single" w:sz="4" w:space="0" w:color="auto"/>
              <w:right w:val="single" w:sz="4" w:space="0" w:color="auto"/>
            </w:tcBorders>
            <w:shd w:val="clear" w:color="auto" w:fill="auto"/>
            <w:noWrap/>
            <w:hideMark/>
          </w:tcPr>
          <w:p w14:paraId="76AEDBB0" w14:textId="06C6D486" w:rsidR="008722AE" w:rsidRPr="00691ABD" w:rsidRDefault="008722AE" w:rsidP="001E39EE">
            <w:pPr>
              <w:jc w:val="right"/>
              <w:rPr>
                <w:sz w:val="20"/>
                <w:szCs w:val="20"/>
                <w:lang w:val="fr-CA" w:eastAsia="en-CA"/>
              </w:rPr>
            </w:pPr>
            <w:r w:rsidRPr="00691ABD">
              <w:rPr>
                <w:sz w:val="20"/>
                <w:szCs w:val="20"/>
                <w:lang w:val="fr-CA" w:eastAsia="en-CA"/>
              </w:rPr>
              <w:t>700</w:t>
            </w:r>
            <w:r w:rsidR="00A325C8">
              <w:rPr>
                <w:sz w:val="20"/>
                <w:szCs w:val="20"/>
                <w:lang w:val="fr-CA" w:eastAsia="en-CA"/>
              </w:rPr>
              <w:t xml:space="preserve"> </w:t>
            </w:r>
            <w:r w:rsidRPr="00691ABD">
              <w:rPr>
                <w:sz w:val="20"/>
                <w:szCs w:val="20"/>
                <w:lang w:val="fr-CA" w:eastAsia="en-CA"/>
              </w:rPr>
              <w:t>000</w:t>
            </w:r>
          </w:p>
        </w:tc>
        <w:tc>
          <w:tcPr>
            <w:tcW w:w="1050" w:type="dxa"/>
            <w:tcBorders>
              <w:top w:val="nil"/>
              <w:left w:val="nil"/>
              <w:bottom w:val="single" w:sz="4" w:space="0" w:color="auto"/>
              <w:right w:val="single" w:sz="4" w:space="0" w:color="auto"/>
            </w:tcBorders>
            <w:shd w:val="clear" w:color="auto" w:fill="auto"/>
            <w:noWrap/>
            <w:hideMark/>
          </w:tcPr>
          <w:p w14:paraId="2D2EDA76" w14:textId="77777777" w:rsidR="008722AE" w:rsidRPr="00691ABD" w:rsidRDefault="008722AE" w:rsidP="001E39EE">
            <w:pPr>
              <w:jc w:val="right"/>
              <w:rPr>
                <w:sz w:val="20"/>
                <w:szCs w:val="20"/>
                <w:lang w:val="fr-CA" w:eastAsia="en-CA"/>
              </w:rPr>
            </w:pPr>
            <w:r w:rsidRPr="00691ABD">
              <w:rPr>
                <w:sz w:val="20"/>
                <w:szCs w:val="20"/>
                <w:lang w:val="fr-CA" w:eastAsia="en-CA"/>
              </w:rPr>
              <w:t>26</w:t>
            </w:r>
          </w:p>
        </w:tc>
      </w:tr>
      <w:tr w:rsidR="00210602" w:rsidRPr="00691ABD" w14:paraId="098DFC9B" w14:textId="77777777" w:rsidTr="00691ABD">
        <w:trPr>
          <w:trHeight w:val="58"/>
        </w:trPr>
        <w:tc>
          <w:tcPr>
            <w:tcW w:w="3828" w:type="dxa"/>
            <w:tcBorders>
              <w:top w:val="nil"/>
              <w:left w:val="single" w:sz="4" w:space="0" w:color="auto"/>
              <w:bottom w:val="single" w:sz="4" w:space="0" w:color="auto"/>
              <w:right w:val="single" w:sz="4" w:space="0" w:color="auto"/>
            </w:tcBorders>
            <w:shd w:val="clear" w:color="auto" w:fill="auto"/>
            <w:noWrap/>
            <w:hideMark/>
          </w:tcPr>
          <w:p w14:paraId="32309A30" w14:textId="77777777" w:rsidR="00210602" w:rsidRPr="00691ABD" w:rsidRDefault="00210602" w:rsidP="001E39EE">
            <w:pPr>
              <w:jc w:val="left"/>
              <w:rPr>
                <w:b/>
                <w:bCs/>
                <w:sz w:val="20"/>
                <w:szCs w:val="20"/>
                <w:lang w:val="fr-CA" w:eastAsia="en-CA"/>
              </w:rPr>
            </w:pPr>
            <w:r w:rsidRPr="00691ABD">
              <w:rPr>
                <w:b/>
                <w:bCs/>
                <w:sz w:val="20"/>
                <w:szCs w:val="20"/>
                <w:lang w:val="fr-CA" w:eastAsia="en-CA"/>
              </w:rPr>
              <w:t>Total</w:t>
            </w:r>
          </w:p>
        </w:tc>
        <w:tc>
          <w:tcPr>
            <w:tcW w:w="1295" w:type="dxa"/>
            <w:tcBorders>
              <w:top w:val="nil"/>
              <w:left w:val="nil"/>
              <w:bottom w:val="single" w:sz="4" w:space="0" w:color="auto"/>
              <w:right w:val="single" w:sz="4" w:space="0" w:color="auto"/>
            </w:tcBorders>
            <w:shd w:val="clear" w:color="auto" w:fill="auto"/>
            <w:noWrap/>
            <w:hideMark/>
          </w:tcPr>
          <w:p w14:paraId="0D97F962" w14:textId="5C90BCD5" w:rsidR="00210602" w:rsidRPr="00691ABD" w:rsidRDefault="00210602" w:rsidP="001E39EE">
            <w:pPr>
              <w:jc w:val="right"/>
              <w:rPr>
                <w:b/>
                <w:bCs/>
                <w:sz w:val="20"/>
                <w:szCs w:val="20"/>
                <w:lang w:val="fr-CA" w:eastAsia="en-CA"/>
              </w:rPr>
            </w:pPr>
            <w:r w:rsidRPr="00691ABD">
              <w:rPr>
                <w:b/>
                <w:bCs/>
                <w:sz w:val="20"/>
                <w:szCs w:val="20"/>
                <w:lang w:val="fr-CA" w:eastAsia="en-CA"/>
              </w:rPr>
              <w:t>11</w:t>
            </w:r>
            <w:r w:rsidR="00A325C8">
              <w:rPr>
                <w:b/>
                <w:bCs/>
                <w:sz w:val="20"/>
                <w:szCs w:val="20"/>
                <w:lang w:val="fr-CA" w:eastAsia="en-CA"/>
              </w:rPr>
              <w:t xml:space="preserve"> </w:t>
            </w:r>
            <w:r w:rsidRPr="00691ABD">
              <w:rPr>
                <w:b/>
                <w:bCs/>
                <w:sz w:val="20"/>
                <w:szCs w:val="20"/>
                <w:lang w:val="fr-CA" w:eastAsia="en-CA"/>
              </w:rPr>
              <w:t>438</w:t>
            </w:r>
            <w:r w:rsidR="00A325C8">
              <w:rPr>
                <w:b/>
                <w:bCs/>
                <w:sz w:val="20"/>
                <w:szCs w:val="20"/>
                <w:lang w:val="fr-CA" w:eastAsia="en-CA"/>
              </w:rPr>
              <w:t>,</w:t>
            </w:r>
            <w:r w:rsidRPr="00691ABD">
              <w:rPr>
                <w:b/>
                <w:bCs/>
                <w:sz w:val="20"/>
                <w:szCs w:val="20"/>
                <w:lang w:val="fr-CA" w:eastAsia="en-CA"/>
              </w:rPr>
              <w:t>5</w:t>
            </w:r>
          </w:p>
        </w:tc>
        <w:tc>
          <w:tcPr>
            <w:tcW w:w="1275" w:type="dxa"/>
            <w:tcBorders>
              <w:top w:val="nil"/>
              <w:left w:val="nil"/>
              <w:bottom w:val="single" w:sz="4" w:space="0" w:color="auto"/>
              <w:right w:val="single" w:sz="4" w:space="0" w:color="auto"/>
            </w:tcBorders>
            <w:shd w:val="clear" w:color="auto" w:fill="auto"/>
            <w:noWrap/>
            <w:hideMark/>
          </w:tcPr>
          <w:p w14:paraId="1A46E531" w14:textId="308E15E4" w:rsidR="00210602" w:rsidRPr="00691ABD" w:rsidRDefault="00210602" w:rsidP="001E39EE">
            <w:pPr>
              <w:jc w:val="right"/>
              <w:rPr>
                <w:b/>
                <w:bCs/>
                <w:sz w:val="20"/>
                <w:szCs w:val="20"/>
                <w:lang w:val="fr-CA" w:eastAsia="en-CA"/>
              </w:rPr>
            </w:pPr>
            <w:r w:rsidRPr="00691ABD">
              <w:rPr>
                <w:b/>
                <w:bCs/>
                <w:sz w:val="20"/>
                <w:szCs w:val="20"/>
                <w:lang w:val="fr-CA" w:eastAsia="en-CA"/>
              </w:rPr>
              <w:t>815</w:t>
            </w:r>
            <w:r w:rsidR="00A325C8">
              <w:rPr>
                <w:b/>
                <w:bCs/>
                <w:sz w:val="20"/>
                <w:szCs w:val="20"/>
                <w:lang w:val="fr-CA" w:eastAsia="en-CA"/>
              </w:rPr>
              <w:t xml:space="preserve"> </w:t>
            </w:r>
            <w:r w:rsidRPr="00691ABD">
              <w:rPr>
                <w:b/>
                <w:bCs/>
                <w:sz w:val="20"/>
                <w:szCs w:val="20"/>
                <w:lang w:val="fr-CA" w:eastAsia="en-CA"/>
              </w:rPr>
              <w:t>362</w:t>
            </w:r>
            <w:r w:rsidR="00A325C8">
              <w:rPr>
                <w:b/>
                <w:bCs/>
                <w:sz w:val="20"/>
                <w:szCs w:val="20"/>
                <w:lang w:val="fr-CA" w:eastAsia="en-CA"/>
              </w:rPr>
              <w:t xml:space="preserve"> </w:t>
            </w:r>
            <w:r w:rsidRPr="00691ABD">
              <w:rPr>
                <w:b/>
                <w:bCs/>
                <w:sz w:val="20"/>
                <w:szCs w:val="20"/>
                <w:lang w:val="fr-CA" w:eastAsia="en-CA"/>
              </w:rPr>
              <w:t>210</w:t>
            </w:r>
          </w:p>
        </w:tc>
        <w:tc>
          <w:tcPr>
            <w:tcW w:w="1276" w:type="dxa"/>
            <w:tcBorders>
              <w:top w:val="nil"/>
              <w:left w:val="nil"/>
              <w:bottom w:val="single" w:sz="4" w:space="0" w:color="auto"/>
              <w:right w:val="single" w:sz="4" w:space="0" w:color="auto"/>
            </w:tcBorders>
            <w:shd w:val="clear" w:color="auto" w:fill="auto"/>
            <w:noWrap/>
            <w:hideMark/>
          </w:tcPr>
          <w:p w14:paraId="2CD3524F" w14:textId="2BCF4CAE" w:rsidR="00210602" w:rsidRPr="00691ABD" w:rsidRDefault="00210602" w:rsidP="001E39EE">
            <w:pPr>
              <w:jc w:val="right"/>
              <w:rPr>
                <w:b/>
                <w:bCs/>
                <w:sz w:val="20"/>
                <w:szCs w:val="20"/>
                <w:lang w:val="fr-CA" w:eastAsia="en-CA"/>
              </w:rPr>
            </w:pPr>
            <w:r w:rsidRPr="00691ABD">
              <w:rPr>
                <w:b/>
                <w:bCs/>
                <w:sz w:val="20"/>
                <w:szCs w:val="20"/>
                <w:lang w:val="fr-CA" w:eastAsia="en-CA"/>
              </w:rPr>
              <w:t>637</w:t>
            </w:r>
            <w:r w:rsidR="00A325C8">
              <w:rPr>
                <w:b/>
                <w:bCs/>
                <w:sz w:val="20"/>
                <w:szCs w:val="20"/>
                <w:lang w:val="fr-CA" w:eastAsia="en-CA"/>
              </w:rPr>
              <w:t xml:space="preserve"> </w:t>
            </w:r>
            <w:r w:rsidRPr="00691ABD">
              <w:rPr>
                <w:b/>
                <w:bCs/>
                <w:sz w:val="20"/>
                <w:szCs w:val="20"/>
                <w:lang w:val="fr-CA" w:eastAsia="en-CA"/>
              </w:rPr>
              <w:t>531</w:t>
            </w:r>
            <w:r w:rsidR="00A325C8">
              <w:rPr>
                <w:b/>
                <w:bCs/>
                <w:sz w:val="20"/>
                <w:szCs w:val="20"/>
                <w:lang w:val="fr-CA" w:eastAsia="en-CA"/>
              </w:rPr>
              <w:t xml:space="preserve"> </w:t>
            </w:r>
            <w:r w:rsidRPr="00691ABD">
              <w:rPr>
                <w:b/>
                <w:bCs/>
                <w:sz w:val="20"/>
                <w:szCs w:val="20"/>
                <w:lang w:val="fr-CA" w:eastAsia="en-CA"/>
              </w:rPr>
              <w:t>800</w:t>
            </w:r>
          </w:p>
        </w:tc>
        <w:tc>
          <w:tcPr>
            <w:tcW w:w="1250" w:type="dxa"/>
            <w:tcBorders>
              <w:top w:val="nil"/>
              <w:left w:val="nil"/>
              <w:bottom w:val="single" w:sz="4" w:space="0" w:color="auto"/>
              <w:right w:val="single" w:sz="4" w:space="0" w:color="auto"/>
            </w:tcBorders>
            <w:shd w:val="clear" w:color="auto" w:fill="auto"/>
            <w:noWrap/>
            <w:hideMark/>
          </w:tcPr>
          <w:p w14:paraId="42095B71" w14:textId="2CFE5DBD" w:rsidR="00210602" w:rsidRPr="00691ABD" w:rsidRDefault="00210602" w:rsidP="001E39EE">
            <w:pPr>
              <w:jc w:val="right"/>
              <w:rPr>
                <w:b/>
                <w:bCs/>
                <w:sz w:val="20"/>
                <w:szCs w:val="20"/>
                <w:lang w:val="fr-CA" w:eastAsia="en-CA"/>
              </w:rPr>
            </w:pPr>
            <w:r w:rsidRPr="00691ABD">
              <w:rPr>
                <w:b/>
                <w:bCs/>
                <w:sz w:val="20"/>
                <w:szCs w:val="20"/>
                <w:lang w:val="fr-CA" w:eastAsia="en-CA"/>
              </w:rPr>
              <w:t>177</w:t>
            </w:r>
            <w:r w:rsidR="00A325C8">
              <w:rPr>
                <w:b/>
                <w:bCs/>
                <w:sz w:val="20"/>
                <w:szCs w:val="20"/>
                <w:lang w:val="fr-CA" w:eastAsia="en-CA"/>
              </w:rPr>
              <w:t xml:space="preserve"> </w:t>
            </w:r>
            <w:r w:rsidRPr="00691ABD">
              <w:rPr>
                <w:b/>
                <w:bCs/>
                <w:sz w:val="20"/>
                <w:szCs w:val="20"/>
                <w:lang w:val="fr-CA" w:eastAsia="en-CA"/>
              </w:rPr>
              <w:t>830</w:t>
            </w:r>
            <w:r w:rsidR="00A325C8">
              <w:rPr>
                <w:b/>
                <w:bCs/>
                <w:sz w:val="20"/>
                <w:szCs w:val="20"/>
                <w:lang w:val="fr-CA" w:eastAsia="en-CA"/>
              </w:rPr>
              <w:t xml:space="preserve"> </w:t>
            </w:r>
            <w:r w:rsidRPr="00691ABD">
              <w:rPr>
                <w:b/>
                <w:bCs/>
                <w:sz w:val="20"/>
                <w:szCs w:val="20"/>
                <w:lang w:val="fr-CA" w:eastAsia="en-CA"/>
              </w:rPr>
              <w:t>411</w:t>
            </w:r>
          </w:p>
        </w:tc>
        <w:tc>
          <w:tcPr>
            <w:tcW w:w="1050" w:type="dxa"/>
            <w:tcBorders>
              <w:top w:val="nil"/>
              <w:left w:val="nil"/>
              <w:bottom w:val="single" w:sz="4" w:space="0" w:color="auto"/>
              <w:right w:val="single" w:sz="4" w:space="0" w:color="auto"/>
            </w:tcBorders>
            <w:shd w:val="clear" w:color="auto" w:fill="auto"/>
            <w:noWrap/>
            <w:hideMark/>
          </w:tcPr>
          <w:p w14:paraId="7C05E779" w14:textId="77777777" w:rsidR="00210602" w:rsidRPr="00691ABD" w:rsidRDefault="00210602" w:rsidP="001E39EE">
            <w:pPr>
              <w:jc w:val="right"/>
              <w:rPr>
                <w:b/>
                <w:bCs/>
                <w:sz w:val="20"/>
                <w:szCs w:val="20"/>
                <w:lang w:val="fr-CA" w:eastAsia="en-CA"/>
              </w:rPr>
            </w:pPr>
            <w:r w:rsidRPr="00691ABD">
              <w:rPr>
                <w:b/>
                <w:bCs/>
                <w:sz w:val="20"/>
                <w:szCs w:val="20"/>
                <w:lang w:val="fr-CA" w:eastAsia="en-CA"/>
              </w:rPr>
              <w:t>78</w:t>
            </w:r>
          </w:p>
        </w:tc>
      </w:tr>
    </w:tbl>
    <w:p w14:paraId="27206C4D" w14:textId="77777777" w:rsidR="008722AE" w:rsidRPr="00691ABD" w:rsidRDefault="008722AE" w:rsidP="001E39EE">
      <w:pPr>
        <w:pStyle w:val="Title1"/>
        <w:rPr>
          <w:lang w:val="fr-CA"/>
        </w:rPr>
      </w:pPr>
    </w:p>
    <w:p w14:paraId="21E77CF9" w14:textId="77777777" w:rsidR="00D631A9" w:rsidRPr="00691ABD" w:rsidRDefault="00D631A9" w:rsidP="001E39EE">
      <w:pPr>
        <w:pStyle w:val="Title1"/>
        <w:rPr>
          <w:lang w:val="fr-CA"/>
        </w:rPr>
      </w:pPr>
    </w:p>
    <w:p w14:paraId="48B21C5F" w14:textId="77777777" w:rsidR="00D631A9" w:rsidRPr="00691ABD" w:rsidRDefault="00D631A9" w:rsidP="001E39EE">
      <w:pPr>
        <w:jc w:val="left"/>
        <w:rPr>
          <w:b/>
          <w:caps/>
          <w:lang w:val="fr-CA"/>
        </w:rPr>
        <w:sectPr w:rsidR="00D631A9" w:rsidRPr="00691ABD" w:rsidSect="00A37590">
          <w:headerReference w:type="even" r:id="rId27"/>
          <w:headerReference w:type="default" r:id="rId28"/>
          <w:headerReference w:type="first" r:id="rId29"/>
          <w:footerReference w:type="first" r:id="rId30"/>
          <w:pgSz w:w="12240" w:h="15840" w:code="1"/>
          <w:pgMar w:top="720" w:right="1440" w:bottom="864" w:left="1440" w:header="720" w:footer="475" w:gutter="0"/>
          <w:pgNumType w:start="1"/>
          <w:cols w:space="720"/>
          <w:titlePg/>
        </w:sectPr>
      </w:pPr>
    </w:p>
    <w:p w14:paraId="73F74006" w14:textId="7D429BC6" w:rsidR="00D631A9" w:rsidRPr="00713592" w:rsidRDefault="00D631A9" w:rsidP="001E39EE">
      <w:pPr>
        <w:pStyle w:val="Title1"/>
        <w:rPr>
          <w:lang w:val="fr-CA"/>
        </w:rPr>
      </w:pPr>
      <w:r w:rsidRPr="00713592">
        <w:rPr>
          <w:lang w:val="fr-CA"/>
        </w:rPr>
        <w:lastRenderedPageBreak/>
        <w:t>A</w:t>
      </w:r>
      <w:r w:rsidRPr="00713592">
        <w:rPr>
          <w:caps w:val="0"/>
          <w:lang w:val="fr-CA"/>
        </w:rPr>
        <w:t>nnex</w:t>
      </w:r>
      <w:r w:rsidR="00A325C8" w:rsidRPr="00713592">
        <w:rPr>
          <w:caps w:val="0"/>
          <w:lang w:val="fr-CA"/>
        </w:rPr>
        <w:t>e</w:t>
      </w:r>
      <w:r w:rsidRPr="00713592">
        <w:rPr>
          <w:lang w:val="fr-CA"/>
        </w:rPr>
        <w:t xml:space="preserve"> III</w:t>
      </w:r>
    </w:p>
    <w:p w14:paraId="6F602C60" w14:textId="77777777" w:rsidR="00D631A9" w:rsidRPr="00713592" w:rsidRDefault="00D631A9" w:rsidP="001E39EE">
      <w:pPr>
        <w:pStyle w:val="Title1"/>
        <w:rPr>
          <w:lang w:val="fr-CA"/>
        </w:rPr>
      </w:pPr>
    </w:p>
    <w:p w14:paraId="169090E4" w14:textId="77777777" w:rsidR="003B5895" w:rsidRPr="00A54544" w:rsidRDefault="003B5895" w:rsidP="003B5895">
      <w:pPr>
        <w:pStyle w:val="Title1"/>
        <w:rPr>
          <w:lang w:val="fr-CA"/>
        </w:rPr>
      </w:pPr>
      <w:r>
        <w:rPr>
          <w:lang w:val="fr-CA"/>
        </w:rPr>
        <w:t xml:space="preserve">rapport sur les projets d’investissement et les activités de facilitation en lien avec les HFC financés AU TITRE des contributions supplémentaires volontaires d’un groupe de 17 parties non visées à l’article 5 </w:t>
      </w:r>
    </w:p>
    <w:p w14:paraId="47CB0105" w14:textId="77777777" w:rsidR="00D631A9" w:rsidRPr="00713592" w:rsidRDefault="00D631A9" w:rsidP="001E39EE">
      <w:pPr>
        <w:pStyle w:val="Title1"/>
        <w:rPr>
          <w:lang w:val="fr-CA"/>
        </w:rPr>
      </w:pPr>
    </w:p>
    <w:p w14:paraId="51F2E57F" w14:textId="1530BF32" w:rsidR="00D631A9" w:rsidRPr="00713592" w:rsidRDefault="003B5895" w:rsidP="001E39EE">
      <w:pPr>
        <w:pStyle w:val="StyleHeader4Para4Left0Firstline0"/>
        <w:numPr>
          <w:ilvl w:val="0"/>
          <w:numId w:val="0"/>
        </w:numPr>
        <w:rPr>
          <w:b/>
          <w:sz w:val="22"/>
          <w:lang w:val="fr-CA"/>
        </w:rPr>
      </w:pPr>
      <w:r>
        <w:rPr>
          <w:b/>
          <w:sz w:val="22"/>
          <w:lang w:val="fr-CA"/>
        </w:rPr>
        <w:t>Contexte</w:t>
      </w:r>
    </w:p>
    <w:p w14:paraId="6E5B1A51" w14:textId="015825EA" w:rsidR="00D631A9" w:rsidRPr="00713592" w:rsidRDefault="003B5895" w:rsidP="001E39EE">
      <w:pPr>
        <w:pStyle w:val="Heading1"/>
        <w:numPr>
          <w:ilvl w:val="0"/>
          <w:numId w:val="40"/>
        </w:numPr>
        <w:rPr>
          <w:lang w:val="fr-CA"/>
        </w:rPr>
      </w:pPr>
      <w:r>
        <w:rPr>
          <w:lang w:val="fr-CA"/>
        </w:rPr>
        <w:t xml:space="preserve">Lors de son examen du rapport périodique global du Fonds multilatéral au 31 décembre 2018, </w:t>
      </w:r>
      <w:r w:rsidRPr="00A54544">
        <w:rPr>
          <w:lang w:val="fr-CA"/>
        </w:rPr>
        <w:t xml:space="preserve"> </w:t>
      </w:r>
      <w:r>
        <w:rPr>
          <w:lang w:val="fr-CA"/>
        </w:rPr>
        <w:t>le Comité exécutif, à sa 84</w:t>
      </w:r>
      <w:r w:rsidRPr="00D45898">
        <w:rPr>
          <w:vertAlign w:val="superscript"/>
          <w:lang w:val="fr-CA"/>
        </w:rPr>
        <w:t>e</w:t>
      </w:r>
      <w:r>
        <w:rPr>
          <w:lang w:val="fr-CA"/>
        </w:rPr>
        <w:t xml:space="preserve"> réunion, a chargé le Secrétariat </w:t>
      </w:r>
      <w:r w:rsidRPr="002929A2">
        <w:rPr>
          <w:lang w:val="fr-CA"/>
        </w:rPr>
        <w:t>de reme</w:t>
      </w:r>
      <w:r>
        <w:rPr>
          <w:lang w:val="fr-CA"/>
        </w:rPr>
        <w:t>ttre à la 85</w:t>
      </w:r>
      <w:r w:rsidRPr="002929A2">
        <w:rPr>
          <w:vertAlign w:val="superscript"/>
          <w:lang w:val="fr-CA"/>
        </w:rPr>
        <w:t>e</w:t>
      </w:r>
      <w:r>
        <w:rPr>
          <w:lang w:val="fr-CA"/>
        </w:rPr>
        <w:t xml:space="preserve"> réunion un rapport périodique supplémentaire sur les </w:t>
      </w:r>
      <w:r w:rsidRPr="00E93C30">
        <w:rPr>
          <w:lang w:val="fr-CA"/>
        </w:rPr>
        <w:t>projets d’investissement et les activités de facilitation en lien avec les HFC</w:t>
      </w:r>
      <w:r>
        <w:rPr>
          <w:lang w:val="fr-CA"/>
        </w:rPr>
        <w:t xml:space="preserve"> financé</w:t>
      </w:r>
      <w:r w:rsidRPr="00E93C30">
        <w:rPr>
          <w:lang w:val="fr-CA"/>
        </w:rPr>
        <w:t xml:space="preserve">s au titre des contributions supplémentaires volontaires d’un groupe de 17 pays non visés à l'article 5, en identifiant les </w:t>
      </w:r>
      <w:r>
        <w:rPr>
          <w:lang w:val="fr-CA"/>
        </w:rPr>
        <w:t>pays</w:t>
      </w:r>
      <w:r w:rsidRPr="00E93C30">
        <w:rPr>
          <w:lang w:val="fr-CA"/>
        </w:rPr>
        <w:t xml:space="preserve"> pour lesquels les projets ont été approuvés et en offrant un aperçu des objectifs, de l’état</w:t>
      </w:r>
      <w:r>
        <w:rPr>
          <w:lang w:val="fr-CA"/>
        </w:rPr>
        <w:t xml:space="preserve"> de la mise en œuvre, des principales conclusions et des </w:t>
      </w:r>
      <w:r w:rsidRPr="00E93C30">
        <w:rPr>
          <w:lang w:val="fr-CA"/>
        </w:rPr>
        <w:t xml:space="preserve">enseignements tirés, des quantités de HFC éliminées s’il y a lieu, des sommes approuvées et décaissées, ainsi que des difficultés potentielles pouvant </w:t>
      </w:r>
      <w:r>
        <w:rPr>
          <w:lang w:val="fr-CA"/>
        </w:rPr>
        <w:t>retarder l’achèvement d</w:t>
      </w:r>
      <w:r w:rsidRPr="00E93C30">
        <w:rPr>
          <w:lang w:val="fr-CA"/>
        </w:rPr>
        <w:t>es activités et projets, étant entendu que les renseignements seraient fournis sur une base individuelle pour les projets en lien avec les HFC et globalement pour les activités de facilitation sur les HFC</w:t>
      </w:r>
      <w:r>
        <w:rPr>
          <w:lang w:val="fr-CA"/>
        </w:rPr>
        <w:t xml:space="preserve"> (dé</w:t>
      </w:r>
      <w:r w:rsidRPr="00A54544">
        <w:rPr>
          <w:lang w:val="fr-CA"/>
        </w:rPr>
        <w:t>cision 84/12(b))</w:t>
      </w:r>
      <w:r w:rsidR="00D631A9" w:rsidRPr="00713592">
        <w:rPr>
          <w:lang w:val="fr-CA"/>
        </w:rPr>
        <w:t>.</w:t>
      </w:r>
    </w:p>
    <w:p w14:paraId="380D85D2" w14:textId="077497B8" w:rsidR="00D631A9" w:rsidRPr="00713592" w:rsidRDefault="003B5895" w:rsidP="001E39EE">
      <w:pPr>
        <w:pStyle w:val="Heading1"/>
        <w:rPr>
          <w:lang w:val="fr-CA"/>
        </w:rPr>
      </w:pPr>
      <w:r>
        <w:rPr>
          <w:lang w:val="fr-CA"/>
        </w:rPr>
        <w:t>En réponse à la décision 84/12 b), le Secrétariat a remis à la 85</w:t>
      </w:r>
      <w:r w:rsidRPr="00D45898">
        <w:rPr>
          <w:vertAlign w:val="superscript"/>
          <w:lang w:val="fr-CA"/>
        </w:rPr>
        <w:t>e</w:t>
      </w:r>
      <w:r>
        <w:rPr>
          <w:lang w:val="fr-CA"/>
        </w:rPr>
        <w:t xml:space="preserve"> réunion</w:t>
      </w:r>
      <w:r w:rsidR="00D303D6">
        <w:rPr>
          <w:rStyle w:val="FootnoteReference"/>
          <w:lang w:val="fr-CA"/>
        </w:rPr>
        <w:footnoteReference w:id="19"/>
      </w:r>
      <w:r w:rsidRPr="00A54544">
        <w:rPr>
          <w:lang w:val="fr-CA"/>
        </w:rPr>
        <w:t xml:space="preserve"> </w:t>
      </w:r>
      <w:r>
        <w:rPr>
          <w:lang w:val="fr-CA"/>
        </w:rPr>
        <w:t>le rapport supplémentaire sur les projets d’investissement et les activités de facilitation en lien avec les HFC en utilisant le modèle actualisé, après avoir intégré les suggestions pertinentes des agences bilatérales et d’exécution</w:t>
      </w:r>
      <w:r w:rsidR="00D631A9" w:rsidRPr="00713592">
        <w:rPr>
          <w:lang w:val="fr-CA"/>
        </w:rPr>
        <w:t xml:space="preserve">. </w:t>
      </w:r>
    </w:p>
    <w:p w14:paraId="79D38E72" w14:textId="1EADC1F4" w:rsidR="00D631A9" w:rsidRPr="00713592" w:rsidRDefault="003B5895" w:rsidP="001E39EE">
      <w:pPr>
        <w:pStyle w:val="Heading1"/>
        <w:rPr>
          <w:lang w:val="fr-CA"/>
        </w:rPr>
      </w:pPr>
      <w:r>
        <w:rPr>
          <w:lang w:val="fr-CA"/>
        </w:rPr>
        <w:t>L’information à jour sur les projets d’investissement et les activités de facilitation en lien avec les HFC reposant sur les renseignements actualisés remis par les agences bilatérales et d’exécution est présentée ci-dessous</w:t>
      </w:r>
      <w:r w:rsidR="00D631A9" w:rsidRPr="00713592">
        <w:rPr>
          <w:lang w:val="fr-CA"/>
        </w:rPr>
        <w:t>.</w:t>
      </w:r>
    </w:p>
    <w:p w14:paraId="440C9E5B" w14:textId="29BE2512" w:rsidR="00D631A9" w:rsidRPr="00713592" w:rsidRDefault="003B5895" w:rsidP="001E39EE">
      <w:pPr>
        <w:jc w:val="left"/>
        <w:rPr>
          <w:b/>
          <w:lang w:val="fr-CA"/>
        </w:rPr>
      </w:pPr>
      <w:r>
        <w:rPr>
          <w:b/>
          <w:lang w:val="fr-CA"/>
        </w:rPr>
        <w:t>Rapport sur les projets d’investissement en lien avec les HFC</w:t>
      </w:r>
    </w:p>
    <w:p w14:paraId="3323D51D" w14:textId="77777777" w:rsidR="00D631A9" w:rsidRPr="00713592" w:rsidRDefault="00D631A9" w:rsidP="001E39EE">
      <w:pPr>
        <w:jc w:val="left"/>
        <w:rPr>
          <w:b/>
          <w:lang w:val="fr-CA"/>
        </w:rPr>
      </w:pPr>
    </w:p>
    <w:p w14:paraId="00B37B07" w14:textId="275D98DF" w:rsidR="00D631A9" w:rsidRPr="00713592" w:rsidRDefault="003B5895" w:rsidP="001E39EE">
      <w:pPr>
        <w:pStyle w:val="Heading1"/>
        <w:rPr>
          <w:lang w:val="fr-CA"/>
        </w:rPr>
      </w:pPr>
      <w:r>
        <w:rPr>
          <w:lang w:val="fr-CA"/>
        </w:rPr>
        <w:t>Les agences d’exécution ont remis des rapports de situation détaillés sur la mise en œuvre des projets d’investissement sur les HFC pour l’Argentine, le Bangladesh, la Chine, le Liban, le Mexique et la Thaïlande. Les projets individuels sont résumés dans le tableau 1</w:t>
      </w:r>
      <w:r w:rsidR="00D631A9" w:rsidRPr="00713592">
        <w:rPr>
          <w:lang w:val="fr-CA"/>
        </w:rPr>
        <w:t xml:space="preserve">. </w:t>
      </w:r>
    </w:p>
    <w:p w14:paraId="46FF0957" w14:textId="77777777" w:rsidR="009E4F83" w:rsidRPr="00A54544" w:rsidRDefault="009E4F83" w:rsidP="009E4F83">
      <w:pPr>
        <w:keepNext/>
        <w:jc w:val="left"/>
        <w:rPr>
          <w:b/>
          <w:lang w:val="fr-CA"/>
        </w:rPr>
      </w:pPr>
      <w:r w:rsidRPr="00A54544">
        <w:rPr>
          <w:b/>
          <w:lang w:val="fr-CA"/>
        </w:rPr>
        <w:t>Table</w:t>
      </w:r>
      <w:r>
        <w:rPr>
          <w:b/>
          <w:lang w:val="fr-CA"/>
        </w:rPr>
        <w:t>au</w:t>
      </w:r>
      <w:r w:rsidRPr="00A54544">
        <w:rPr>
          <w:b/>
          <w:lang w:val="fr-CA"/>
        </w:rPr>
        <w:t xml:space="preserve"> 1. </w:t>
      </w:r>
      <w:r>
        <w:rPr>
          <w:b/>
          <w:lang w:val="fr-CA"/>
        </w:rPr>
        <w:t>Sommaire des projets d’investissement en lien avec les HFC</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65"/>
        <w:gridCol w:w="1422"/>
        <w:gridCol w:w="1602"/>
        <w:gridCol w:w="1424"/>
        <w:gridCol w:w="1011"/>
        <w:gridCol w:w="1011"/>
        <w:gridCol w:w="1011"/>
      </w:tblGrid>
      <w:tr w:rsidR="009E4F83" w:rsidRPr="00713592" w14:paraId="25F3417B" w14:textId="77777777" w:rsidTr="00A37590">
        <w:trPr>
          <w:tblHeader/>
        </w:trPr>
        <w:tc>
          <w:tcPr>
            <w:tcW w:w="582" w:type="pct"/>
            <w:shd w:val="clear" w:color="auto" w:fill="auto"/>
            <w:noWrap/>
            <w:tcMar>
              <w:left w:w="29" w:type="dxa"/>
              <w:right w:w="29" w:type="dxa"/>
            </w:tcMar>
            <w:vAlign w:val="center"/>
            <w:hideMark/>
          </w:tcPr>
          <w:p w14:paraId="4BDCB4C9" w14:textId="0586BF47" w:rsidR="009E4F83" w:rsidRPr="00713592" w:rsidRDefault="009E4F83" w:rsidP="009E4F83">
            <w:pPr>
              <w:keepNext/>
              <w:jc w:val="center"/>
              <w:rPr>
                <w:b/>
                <w:bCs/>
                <w:sz w:val="20"/>
                <w:szCs w:val="20"/>
                <w:lang w:val="fr-CA" w:eastAsia="en-CA"/>
              </w:rPr>
            </w:pPr>
            <w:r>
              <w:rPr>
                <w:b/>
                <w:bCs/>
                <w:sz w:val="20"/>
                <w:szCs w:val="20"/>
                <w:lang w:val="fr-CA" w:eastAsia="en-CA"/>
              </w:rPr>
              <w:t>Pays</w:t>
            </w:r>
          </w:p>
        </w:tc>
        <w:tc>
          <w:tcPr>
            <w:tcW w:w="458" w:type="pct"/>
            <w:shd w:val="clear" w:color="auto" w:fill="auto"/>
            <w:noWrap/>
            <w:tcMar>
              <w:left w:w="29" w:type="dxa"/>
              <w:right w:w="29" w:type="dxa"/>
            </w:tcMar>
            <w:vAlign w:val="center"/>
            <w:hideMark/>
          </w:tcPr>
          <w:p w14:paraId="6D105613" w14:textId="3D6D0DAD" w:rsidR="009E4F83" w:rsidRPr="00713592" w:rsidRDefault="009E4F83" w:rsidP="009E4F83">
            <w:pPr>
              <w:keepNext/>
              <w:jc w:val="center"/>
              <w:rPr>
                <w:b/>
                <w:bCs/>
                <w:sz w:val="20"/>
                <w:szCs w:val="20"/>
                <w:lang w:val="fr-CA" w:eastAsia="en-CA"/>
              </w:rPr>
            </w:pPr>
            <w:r>
              <w:rPr>
                <w:b/>
                <w:bCs/>
                <w:sz w:val="20"/>
                <w:szCs w:val="20"/>
                <w:lang w:val="fr-CA" w:eastAsia="en-CA"/>
              </w:rPr>
              <w:t>Agence</w:t>
            </w:r>
          </w:p>
        </w:tc>
        <w:tc>
          <w:tcPr>
            <w:tcW w:w="753" w:type="pct"/>
            <w:shd w:val="clear" w:color="auto" w:fill="auto"/>
            <w:tcMar>
              <w:left w:w="29" w:type="dxa"/>
              <w:right w:w="29" w:type="dxa"/>
            </w:tcMar>
            <w:vAlign w:val="center"/>
            <w:hideMark/>
          </w:tcPr>
          <w:p w14:paraId="26C2FA56" w14:textId="2AA56B6E" w:rsidR="009E4F83" w:rsidRPr="00713592" w:rsidRDefault="009E4F83" w:rsidP="009E4F83">
            <w:pPr>
              <w:keepNext/>
              <w:jc w:val="center"/>
              <w:rPr>
                <w:b/>
                <w:bCs/>
                <w:sz w:val="20"/>
                <w:szCs w:val="20"/>
                <w:lang w:val="fr-CA" w:eastAsia="en-CA"/>
              </w:rPr>
            </w:pPr>
            <w:r>
              <w:rPr>
                <w:b/>
                <w:bCs/>
                <w:sz w:val="20"/>
                <w:szCs w:val="20"/>
                <w:lang w:val="fr-CA" w:eastAsia="en-CA"/>
              </w:rPr>
              <w:t>Produits</w:t>
            </w:r>
          </w:p>
        </w:tc>
        <w:tc>
          <w:tcPr>
            <w:tcW w:w="848" w:type="pct"/>
            <w:shd w:val="clear" w:color="auto" w:fill="auto"/>
            <w:tcMar>
              <w:left w:w="0" w:type="dxa"/>
              <w:right w:w="0" w:type="dxa"/>
            </w:tcMar>
            <w:vAlign w:val="center"/>
            <w:hideMark/>
          </w:tcPr>
          <w:p w14:paraId="210A6A38" w14:textId="3CA5786F" w:rsidR="009E4F83" w:rsidRPr="00713592" w:rsidRDefault="009E4F83" w:rsidP="009E4F83">
            <w:pPr>
              <w:keepNext/>
              <w:jc w:val="center"/>
              <w:rPr>
                <w:b/>
                <w:bCs/>
                <w:sz w:val="20"/>
                <w:szCs w:val="20"/>
                <w:lang w:val="fr-CA" w:eastAsia="en-CA"/>
              </w:rPr>
            </w:pPr>
            <w:r>
              <w:rPr>
                <w:b/>
                <w:bCs/>
                <w:sz w:val="20"/>
                <w:szCs w:val="20"/>
                <w:lang w:val="fr-CA" w:eastAsia="en-CA"/>
              </w:rPr>
              <w:t>HFC utilisés (</w:t>
            </w:r>
            <w:proofErr w:type="spellStart"/>
            <w:r>
              <w:rPr>
                <w:b/>
                <w:bCs/>
                <w:sz w:val="20"/>
                <w:szCs w:val="20"/>
                <w:lang w:val="fr-CA" w:eastAsia="en-CA"/>
              </w:rPr>
              <w:t>tm</w:t>
            </w:r>
            <w:proofErr w:type="spellEnd"/>
            <w:r>
              <w:rPr>
                <w:b/>
                <w:bCs/>
                <w:sz w:val="20"/>
                <w:szCs w:val="20"/>
                <w:lang w:val="fr-CA" w:eastAsia="en-CA"/>
              </w:rPr>
              <w:t>)</w:t>
            </w:r>
          </w:p>
        </w:tc>
        <w:tc>
          <w:tcPr>
            <w:tcW w:w="754" w:type="pct"/>
            <w:shd w:val="clear" w:color="auto" w:fill="auto"/>
            <w:tcMar>
              <w:left w:w="0" w:type="dxa"/>
              <w:right w:w="0" w:type="dxa"/>
            </w:tcMar>
            <w:vAlign w:val="center"/>
            <w:hideMark/>
          </w:tcPr>
          <w:p w14:paraId="2799A9EE" w14:textId="255DF94D" w:rsidR="009E4F83" w:rsidRPr="00713592" w:rsidRDefault="009E4F83" w:rsidP="009E4F83">
            <w:pPr>
              <w:keepNext/>
              <w:jc w:val="center"/>
              <w:rPr>
                <w:b/>
                <w:bCs/>
                <w:sz w:val="20"/>
                <w:szCs w:val="20"/>
                <w:lang w:val="fr-CA" w:eastAsia="en-CA"/>
              </w:rPr>
            </w:pPr>
            <w:r>
              <w:rPr>
                <w:b/>
                <w:bCs/>
                <w:sz w:val="20"/>
                <w:szCs w:val="20"/>
                <w:lang w:val="fr-CA" w:eastAsia="en-CA"/>
              </w:rPr>
              <w:t>Substances de remplacement utilisées</w:t>
            </w:r>
          </w:p>
        </w:tc>
        <w:tc>
          <w:tcPr>
            <w:tcW w:w="535" w:type="pct"/>
            <w:shd w:val="clear" w:color="auto" w:fill="auto"/>
            <w:tcMar>
              <w:left w:w="0" w:type="dxa"/>
              <w:right w:w="0" w:type="dxa"/>
            </w:tcMar>
            <w:vAlign w:val="center"/>
            <w:hideMark/>
          </w:tcPr>
          <w:p w14:paraId="4D18E328" w14:textId="0E54EC63" w:rsidR="009E4F83" w:rsidRPr="00713592" w:rsidRDefault="009E4F83" w:rsidP="009E4F83">
            <w:pPr>
              <w:keepNext/>
              <w:jc w:val="center"/>
              <w:rPr>
                <w:b/>
                <w:bCs/>
                <w:sz w:val="20"/>
                <w:szCs w:val="20"/>
                <w:lang w:val="fr-CA" w:eastAsia="en-CA"/>
              </w:rPr>
            </w:pPr>
            <w:r>
              <w:rPr>
                <w:b/>
                <w:bCs/>
                <w:sz w:val="20"/>
                <w:szCs w:val="20"/>
                <w:lang w:val="fr-CA" w:eastAsia="en-CA"/>
              </w:rPr>
              <w:t>Tm éq-CO</w:t>
            </w:r>
            <w:r w:rsidRPr="00A73B1D">
              <w:rPr>
                <w:b/>
                <w:bCs/>
                <w:sz w:val="20"/>
                <w:szCs w:val="20"/>
                <w:vertAlign w:val="subscript"/>
                <w:lang w:val="fr-CA" w:eastAsia="en-CA"/>
              </w:rPr>
              <w:t>2</w:t>
            </w:r>
          </w:p>
        </w:tc>
        <w:tc>
          <w:tcPr>
            <w:tcW w:w="535" w:type="pct"/>
            <w:shd w:val="clear" w:color="auto" w:fill="auto"/>
            <w:tcMar>
              <w:left w:w="0" w:type="dxa"/>
              <w:right w:w="0" w:type="dxa"/>
            </w:tcMar>
            <w:vAlign w:val="center"/>
            <w:hideMark/>
          </w:tcPr>
          <w:p w14:paraId="4ECF4B40" w14:textId="129CE35F" w:rsidR="009E4F83" w:rsidRPr="00713592" w:rsidRDefault="009E4F83" w:rsidP="009E4F83">
            <w:pPr>
              <w:keepNext/>
              <w:jc w:val="center"/>
              <w:rPr>
                <w:b/>
                <w:bCs/>
                <w:sz w:val="20"/>
                <w:szCs w:val="20"/>
                <w:lang w:val="fr-CA" w:eastAsia="en-CA"/>
              </w:rPr>
            </w:pPr>
            <w:r>
              <w:rPr>
                <w:b/>
                <w:bCs/>
                <w:sz w:val="20"/>
                <w:szCs w:val="20"/>
                <w:lang w:val="fr-CA" w:eastAsia="en-CA"/>
              </w:rPr>
              <w:t>Sommes approuvées ($US)</w:t>
            </w:r>
          </w:p>
        </w:tc>
        <w:tc>
          <w:tcPr>
            <w:tcW w:w="535" w:type="pct"/>
            <w:shd w:val="clear" w:color="auto" w:fill="auto"/>
            <w:tcMar>
              <w:left w:w="0" w:type="dxa"/>
              <w:right w:w="0" w:type="dxa"/>
            </w:tcMar>
            <w:vAlign w:val="center"/>
            <w:hideMark/>
          </w:tcPr>
          <w:p w14:paraId="0186A84D" w14:textId="419C852F" w:rsidR="009E4F83" w:rsidRPr="00713592" w:rsidRDefault="009E4F83" w:rsidP="009E4F83">
            <w:pPr>
              <w:keepNext/>
              <w:jc w:val="center"/>
              <w:rPr>
                <w:b/>
                <w:bCs/>
                <w:sz w:val="20"/>
                <w:szCs w:val="20"/>
                <w:lang w:val="fr-CA" w:eastAsia="en-CA"/>
              </w:rPr>
            </w:pPr>
            <w:r>
              <w:rPr>
                <w:b/>
                <w:bCs/>
                <w:sz w:val="20"/>
                <w:szCs w:val="20"/>
                <w:lang w:val="fr-CA" w:eastAsia="en-CA"/>
              </w:rPr>
              <w:t>Sommes décaissées ($US)</w:t>
            </w:r>
          </w:p>
        </w:tc>
      </w:tr>
      <w:tr w:rsidR="00571EE6" w:rsidRPr="00713592" w14:paraId="6304F2B9" w14:textId="77777777" w:rsidTr="00A37590">
        <w:tc>
          <w:tcPr>
            <w:tcW w:w="582" w:type="pct"/>
            <w:shd w:val="clear" w:color="auto" w:fill="auto"/>
            <w:noWrap/>
            <w:tcMar>
              <w:left w:w="29" w:type="dxa"/>
              <w:right w:w="29" w:type="dxa"/>
            </w:tcMar>
            <w:hideMark/>
          </w:tcPr>
          <w:p w14:paraId="0023C54F" w14:textId="2DFD5433" w:rsidR="00571EE6" w:rsidRPr="00713592" w:rsidRDefault="00571EE6" w:rsidP="00571EE6">
            <w:pPr>
              <w:keepNext/>
              <w:jc w:val="left"/>
              <w:rPr>
                <w:sz w:val="20"/>
                <w:szCs w:val="20"/>
                <w:lang w:val="fr-CA" w:eastAsia="en-CA"/>
              </w:rPr>
            </w:pPr>
            <w:r>
              <w:rPr>
                <w:sz w:val="20"/>
                <w:szCs w:val="20"/>
                <w:lang w:val="fr-CA" w:eastAsia="en-CA"/>
              </w:rPr>
              <w:t>Argentine</w:t>
            </w:r>
          </w:p>
        </w:tc>
        <w:tc>
          <w:tcPr>
            <w:tcW w:w="458" w:type="pct"/>
            <w:shd w:val="clear" w:color="auto" w:fill="auto"/>
            <w:noWrap/>
            <w:tcMar>
              <w:left w:w="29" w:type="dxa"/>
              <w:right w:w="29" w:type="dxa"/>
            </w:tcMar>
            <w:hideMark/>
          </w:tcPr>
          <w:p w14:paraId="77551A76" w14:textId="42F78D2F" w:rsidR="00571EE6" w:rsidRPr="00713592" w:rsidRDefault="00571EE6" w:rsidP="00571EE6">
            <w:pPr>
              <w:keepNext/>
              <w:jc w:val="center"/>
              <w:rPr>
                <w:sz w:val="20"/>
                <w:szCs w:val="20"/>
                <w:lang w:val="fr-CA" w:eastAsia="en-CA"/>
              </w:rPr>
            </w:pPr>
            <w:r>
              <w:rPr>
                <w:sz w:val="20"/>
                <w:szCs w:val="20"/>
                <w:lang w:val="fr-CA" w:eastAsia="en-CA"/>
              </w:rPr>
              <w:t>ONUDI</w:t>
            </w:r>
          </w:p>
        </w:tc>
        <w:tc>
          <w:tcPr>
            <w:tcW w:w="753" w:type="pct"/>
            <w:shd w:val="clear" w:color="auto" w:fill="auto"/>
            <w:tcMar>
              <w:left w:w="29" w:type="dxa"/>
              <w:right w:w="29" w:type="dxa"/>
            </w:tcMar>
            <w:hideMark/>
          </w:tcPr>
          <w:p w14:paraId="16E51041" w14:textId="3268CDA2" w:rsidR="00571EE6" w:rsidRPr="00713592" w:rsidRDefault="00571EE6" w:rsidP="00571EE6">
            <w:pPr>
              <w:keepNext/>
              <w:jc w:val="left"/>
              <w:rPr>
                <w:sz w:val="20"/>
                <w:szCs w:val="20"/>
                <w:lang w:val="fr-CA" w:eastAsia="en-CA"/>
              </w:rPr>
            </w:pPr>
            <w:r>
              <w:rPr>
                <w:sz w:val="20"/>
                <w:szCs w:val="20"/>
                <w:lang w:val="fr-CA" w:eastAsia="en-CA"/>
              </w:rPr>
              <w:t>Réfrigérateurs domestiques et commerciaux</w:t>
            </w:r>
          </w:p>
        </w:tc>
        <w:tc>
          <w:tcPr>
            <w:tcW w:w="848" w:type="pct"/>
            <w:shd w:val="clear" w:color="auto" w:fill="auto"/>
            <w:noWrap/>
            <w:tcMar>
              <w:left w:w="29" w:type="dxa"/>
              <w:right w:w="29" w:type="dxa"/>
            </w:tcMar>
            <w:hideMark/>
          </w:tcPr>
          <w:p w14:paraId="6CAD3CBE" w14:textId="0AC95EAD" w:rsidR="00571EE6" w:rsidRPr="00713592" w:rsidRDefault="00571EE6" w:rsidP="00571EE6">
            <w:pPr>
              <w:keepNext/>
              <w:jc w:val="left"/>
              <w:rPr>
                <w:sz w:val="20"/>
                <w:szCs w:val="20"/>
                <w:lang w:val="fr-CA" w:eastAsia="en-CA"/>
              </w:rPr>
            </w:pPr>
            <w:r w:rsidRPr="00A54544">
              <w:rPr>
                <w:sz w:val="20"/>
                <w:szCs w:val="20"/>
                <w:lang w:val="fr-CA" w:eastAsia="en-CA"/>
              </w:rPr>
              <w:t>HFC-134a (96</w:t>
            </w:r>
            <w:r>
              <w:rPr>
                <w:sz w:val="20"/>
                <w:szCs w:val="20"/>
                <w:lang w:val="fr-CA" w:eastAsia="en-CA"/>
              </w:rPr>
              <w:t>.60 </w:t>
            </w:r>
            <w:proofErr w:type="spellStart"/>
            <w:r>
              <w:rPr>
                <w:sz w:val="20"/>
                <w:szCs w:val="20"/>
                <w:lang w:val="fr-CA" w:eastAsia="en-CA"/>
              </w:rPr>
              <w:t>tm</w:t>
            </w:r>
            <w:proofErr w:type="spellEnd"/>
            <w:r w:rsidRPr="00A54544">
              <w:rPr>
                <w:sz w:val="20"/>
                <w:szCs w:val="20"/>
                <w:lang w:val="fr-CA" w:eastAsia="en-CA"/>
              </w:rPr>
              <w:t>)</w:t>
            </w:r>
          </w:p>
        </w:tc>
        <w:tc>
          <w:tcPr>
            <w:tcW w:w="754" w:type="pct"/>
            <w:shd w:val="clear" w:color="auto" w:fill="auto"/>
            <w:noWrap/>
            <w:tcMar>
              <w:left w:w="29" w:type="dxa"/>
              <w:right w:w="29" w:type="dxa"/>
            </w:tcMar>
            <w:hideMark/>
          </w:tcPr>
          <w:p w14:paraId="4D002887" w14:textId="799B81B9" w:rsidR="00571EE6" w:rsidRPr="00713592" w:rsidRDefault="00571EE6" w:rsidP="00571EE6">
            <w:pPr>
              <w:keepNext/>
              <w:jc w:val="left"/>
              <w:rPr>
                <w:sz w:val="20"/>
                <w:szCs w:val="20"/>
                <w:lang w:val="fr-CA" w:eastAsia="en-CA"/>
              </w:rPr>
            </w:pPr>
            <w:r w:rsidRPr="00A54544">
              <w:rPr>
                <w:sz w:val="20"/>
                <w:szCs w:val="20"/>
                <w:lang w:val="fr-CA" w:eastAsia="en-CA"/>
              </w:rPr>
              <w:t>R-600a/R-290</w:t>
            </w:r>
          </w:p>
        </w:tc>
        <w:tc>
          <w:tcPr>
            <w:tcW w:w="535" w:type="pct"/>
            <w:shd w:val="clear" w:color="auto" w:fill="auto"/>
            <w:noWrap/>
            <w:tcMar>
              <w:left w:w="29" w:type="dxa"/>
              <w:right w:w="29" w:type="dxa"/>
            </w:tcMar>
            <w:hideMark/>
          </w:tcPr>
          <w:p w14:paraId="1A1FA547" w14:textId="57A44EE0" w:rsidR="00571EE6" w:rsidRPr="00713592" w:rsidRDefault="00571EE6" w:rsidP="00571EE6">
            <w:pPr>
              <w:keepNext/>
              <w:jc w:val="right"/>
              <w:rPr>
                <w:bCs/>
                <w:sz w:val="20"/>
                <w:szCs w:val="20"/>
                <w:lang w:val="fr-CA" w:eastAsia="en-CA"/>
              </w:rPr>
            </w:pPr>
            <w:r w:rsidRPr="001A0303">
              <w:rPr>
                <w:bCs/>
                <w:sz w:val="20"/>
                <w:szCs w:val="20"/>
                <w:lang w:eastAsia="en-CA"/>
              </w:rPr>
              <w:t>138</w:t>
            </w:r>
            <w:r>
              <w:rPr>
                <w:bCs/>
                <w:sz w:val="20"/>
                <w:szCs w:val="20"/>
                <w:lang w:eastAsia="en-CA"/>
              </w:rPr>
              <w:t xml:space="preserve"> </w:t>
            </w:r>
            <w:r w:rsidRPr="001A0303">
              <w:rPr>
                <w:bCs/>
                <w:sz w:val="20"/>
                <w:szCs w:val="20"/>
                <w:lang w:eastAsia="en-CA"/>
              </w:rPr>
              <w:t>069</w:t>
            </w:r>
          </w:p>
        </w:tc>
        <w:tc>
          <w:tcPr>
            <w:tcW w:w="535" w:type="pct"/>
            <w:shd w:val="clear" w:color="auto" w:fill="auto"/>
            <w:noWrap/>
            <w:tcMar>
              <w:left w:w="29" w:type="dxa"/>
              <w:right w:w="29" w:type="dxa"/>
            </w:tcMar>
            <w:hideMark/>
          </w:tcPr>
          <w:p w14:paraId="4B144D4A" w14:textId="46824DF3" w:rsidR="00571EE6" w:rsidRPr="00713592" w:rsidRDefault="00571EE6" w:rsidP="00571EE6">
            <w:pPr>
              <w:keepNext/>
              <w:jc w:val="right"/>
              <w:rPr>
                <w:sz w:val="20"/>
                <w:szCs w:val="20"/>
                <w:lang w:val="fr-CA" w:eastAsia="en-CA"/>
              </w:rPr>
            </w:pPr>
            <w:r w:rsidRPr="001A0303">
              <w:rPr>
                <w:sz w:val="20"/>
                <w:szCs w:val="20"/>
                <w:lang w:eastAsia="en-CA"/>
              </w:rPr>
              <w:t>1</w:t>
            </w:r>
            <w:r>
              <w:rPr>
                <w:sz w:val="20"/>
                <w:szCs w:val="20"/>
                <w:lang w:eastAsia="en-CA"/>
              </w:rPr>
              <w:t xml:space="preserve"> </w:t>
            </w:r>
            <w:r w:rsidRPr="001A0303">
              <w:rPr>
                <w:sz w:val="20"/>
                <w:szCs w:val="20"/>
                <w:lang w:eastAsia="en-CA"/>
              </w:rPr>
              <w:t>840</w:t>
            </w:r>
            <w:r>
              <w:rPr>
                <w:sz w:val="20"/>
                <w:szCs w:val="20"/>
                <w:lang w:eastAsia="en-CA"/>
              </w:rPr>
              <w:t xml:space="preserve"> </w:t>
            </w:r>
            <w:r w:rsidRPr="001A0303">
              <w:rPr>
                <w:sz w:val="20"/>
                <w:szCs w:val="20"/>
                <w:lang w:eastAsia="en-CA"/>
              </w:rPr>
              <w:t>755</w:t>
            </w:r>
          </w:p>
        </w:tc>
        <w:tc>
          <w:tcPr>
            <w:tcW w:w="535" w:type="pct"/>
            <w:shd w:val="clear" w:color="auto" w:fill="auto"/>
            <w:noWrap/>
            <w:tcMar>
              <w:left w:w="29" w:type="dxa"/>
              <w:right w:w="29" w:type="dxa"/>
            </w:tcMar>
          </w:tcPr>
          <w:p w14:paraId="64E5E812" w14:textId="02998C3B" w:rsidR="00571EE6" w:rsidRPr="00713592" w:rsidRDefault="00571EE6" w:rsidP="00571EE6">
            <w:pPr>
              <w:keepNext/>
              <w:jc w:val="right"/>
              <w:rPr>
                <w:sz w:val="20"/>
                <w:szCs w:val="20"/>
                <w:lang w:val="fr-CA" w:eastAsia="en-CA"/>
              </w:rPr>
            </w:pPr>
            <w:r w:rsidRPr="001A0303">
              <w:rPr>
                <w:sz w:val="20"/>
                <w:szCs w:val="20"/>
                <w:lang w:eastAsia="en-CA"/>
              </w:rPr>
              <w:t>1</w:t>
            </w:r>
            <w:r>
              <w:rPr>
                <w:sz w:val="20"/>
                <w:szCs w:val="20"/>
                <w:lang w:eastAsia="en-CA"/>
              </w:rPr>
              <w:t xml:space="preserve"> </w:t>
            </w:r>
            <w:r w:rsidRPr="001A0303">
              <w:rPr>
                <w:sz w:val="20"/>
                <w:szCs w:val="20"/>
                <w:lang w:eastAsia="en-CA"/>
              </w:rPr>
              <w:t>072</w:t>
            </w:r>
            <w:r>
              <w:rPr>
                <w:sz w:val="20"/>
                <w:szCs w:val="20"/>
                <w:lang w:eastAsia="en-CA"/>
              </w:rPr>
              <w:t xml:space="preserve"> </w:t>
            </w:r>
            <w:r w:rsidRPr="001A0303">
              <w:rPr>
                <w:sz w:val="20"/>
                <w:szCs w:val="20"/>
                <w:lang w:eastAsia="en-CA"/>
              </w:rPr>
              <w:t>038</w:t>
            </w:r>
          </w:p>
        </w:tc>
      </w:tr>
      <w:tr w:rsidR="00571EE6" w:rsidRPr="00713592" w14:paraId="6A9F5F8F" w14:textId="77777777" w:rsidTr="00A37590">
        <w:tc>
          <w:tcPr>
            <w:tcW w:w="582" w:type="pct"/>
            <w:shd w:val="clear" w:color="auto" w:fill="auto"/>
            <w:noWrap/>
            <w:tcMar>
              <w:left w:w="29" w:type="dxa"/>
              <w:right w:w="29" w:type="dxa"/>
            </w:tcMar>
            <w:hideMark/>
          </w:tcPr>
          <w:p w14:paraId="4FE08A88" w14:textId="47434ED3" w:rsidR="00571EE6" w:rsidRPr="00713592" w:rsidRDefault="00571EE6" w:rsidP="00571EE6">
            <w:pPr>
              <w:jc w:val="left"/>
              <w:rPr>
                <w:sz w:val="20"/>
                <w:szCs w:val="20"/>
                <w:lang w:val="fr-CA" w:eastAsia="en-CA"/>
              </w:rPr>
            </w:pPr>
            <w:r w:rsidRPr="00A54544">
              <w:rPr>
                <w:sz w:val="20"/>
                <w:szCs w:val="20"/>
                <w:lang w:val="fr-CA" w:eastAsia="en-CA"/>
              </w:rPr>
              <w:t>Bangladesh</w:t>
            </w:r>
          </w:p>
        </w:tc>
        <w:tc>
          <w:tcPr>
            <w:tcW w:w="458" w:type="pct"/>
            <w:shd w:val="clear" w:color="auto" w:fill="auto"/>
            <w:noWrap/>
            <w:tcMar>
              <w:left w:w="29" w:type="dxa"/>
              <w:right w:w="29" w:type="dxa"/>
            </w:tcMar>
            <w:hideMark/>
          </w:tcPr>
          <w:p w14:paraId="742F6FC0" w14:textId="6EDB15A3" w:rsidR="00571EE6" w:rsidRPr="00713592" w:rsidRDefault="00571EE6" w:rsidP="00571EE6">
            <w:pPr>
              <w:jc w:val="center"/>
              <w:rPr>
                <w:sz w:val="20"/>
                <w:szCs w:val="20"/>
                <w:lang w:val="fr-CA" w:eastAsia="en-CA"/>
              </w:rPr>
            </w:pPr>
            <w:r>
              <w:rPr>
                <w:sz w:val="20"/>
                <w:szCs w:val="20"/>
                <w:lang w:val="fr-CA" w:eastAsia="en-CA"/>
              </w:rPr>
              <w:t>PNUD</w:t>
            </w:r>
          </w:p>
        </w:tc>
        <w:tc>
          <w:tcPr>
            <w:tcW w:w="753" w:type="pct"/>
            <w:shd w:val="clear" w:color="auto" w:fill="auto"/>
            <w:tcMar>
              <w:left w:w="29" w:type="dxa"/>
              <w:right w:w="29" w:type="dxa"/>
            </w:tcMar>
            <w:hideMark/>
          </w:tcPr>
          <w:p w14:paraId="5ADF0B9D" w14:textId="61172C32" w:rsidR="00571EE6" w:rsidRPr="00713592" w:rsidRDefault="00571EE6" w:rsidP="00571EE6">
            <w:pPr>
              <w:jc w:val="left"/>
              <w:rPr>
                <w:sz w:val="20"/>
                <w:szCs w:val="20"/>
                <w:lang w:val="fr-CA" w:eastAsia="en-CA"/>
              </w:rPr>
            </w:pPr>
            <w:r>
              <w:rPr>
                <w:sz w:val="20"/>
                <w:szCs w:val="20"/>
                <w:lang w:val="fr-CA" w:eastAsia="en-CA"/>
              </w:rPr>
              <w:t>Compresseurs et réfrigérateurs domestiques</w:t>
            </w:r>
          </w:p>
        </w:tc>
        <w:tc>
          <w:tcPr>
            <w:tcW w:w="848" w:type="pct"/>
            <w:shd w:val="clear" w:color="auto" w:fill="auto"/>
            <w:noWrap/>
            <w:tcMar>
              <w:left w:w="29" w:type="dxa"/>
              <w:right w:w="29" w:type="dxa"/>
            </w:tcMar>
            <w:hideMark/>
          </w:tcPr>
          <w:p w14:paraId="39CD7168" w14:textId="0E4E197A" w:rsidR="00571EE6" w:rsidRPr="00713592" w:rsidRDefault="00571EE6" w:rsidP="00571EE6">
            <w:pPr>
              <w:jc w:val="left"/>
              <w:rPr>
                <w:sz w:val="20"/>
                <w:szCs w:val="20"/>
                <w:lang w:val="fr-CA" w:eastAsia="en-CA"/>
              </w:rPr>
            </w:pPr>
            <w:r>
              <w:rPr>
                <w:sz w:val="20"/>
                <w:szCs w:val="20"/>
                <w:lang w:val="fr-CA" w:eastAsia="en-CA"/>
              </w:rPr>
              <w:t>HFC-134a (230,</w:t>
            </w:r>
            <w:r w:rsidRPr="00A54544">
              <w:rPr>
                <w:sz w:val="20"/>
                <w:szCs w:val="20"/>
                <w:lang w:val="fr-CA" w:eastAsia="en-CA"/>
              </w:rPr>
              <w:t>63 </w:t>
            </w:r>
            <w:proofErr w:type="spellStart"/>
            <w:r>
              <w:rPr>
                <w:sz w:val="20"/>
                <w:szCs w:val="20"/>
                <w:lang w:val="fr-CA" w:eastAsia="en-CA"/>
              </w:rPr>
              <w:t>tm</w:t>
            </w:r>
            <w:proofErr w:type="spellEnd"/>
            <w:r w:rsidRPr="00A54544">
              <w:rPr>
                <w:sz w:val="20"/>
                <w:szCs w:val="20"/>
                <w:lang w:val="fr-CA" w:eastAsia="en-CA"/>
              </w:rPr>
              <w:t>)</w:t>
            </w:r>
          </w:p>
        </w:tc>
        <w:tc>
          <w:tcPr>
            <w:tcW w:w="754" w:type="pct"/>
            <w:shd w:val="clear" w:color="auto" w:fill="auto"/>
            <w:noWrap/>
            <w:tcMar>
              <w:left w:w="29" w:type="dxa"/>
              <w:right w:w="29" w:type="dxa"/>
            </w:tcMar>
            <w:hideMark/>
          </w:tcPr>
          <w:p w14:paraId="198487CA" w14:textId="1966D46E" w:rsidR="00571EE6" w:rsidRPr="00713592" w:rsidRDefault="00571EE6" w:rsidP="00571EE6">
            <w:pPr>
              <w:jc w:val="left"/>
              <w:rPr>
                <w:sz w:val="20"/>
                <w:szCs w:val="20"/>
                <w:lang w:val="fr-CA" w:eastAsia="en-CA"/>
              </w:rPr>
            </w:pPr>
            <w:r w:rsidRPr="00A54544">
              <w:rPr>
                <w:sz w:val="20"/>
                <w:szCs w:val="20"/>
                <w:lang w:val="fr-CA" w:eastAsia="en-CA"/>
              </w:rPr>
              <w:t>R-600a </w:t>
            </w:r>
          </w:p>
        </w:tc>
        <w:tc>
          <w:tcPr>
            <w:tcW w:w="535" w:type="pct"/>
            <w:shd w:val="clear" w:color="auto" w:fill="auto"/>
            <w:noWrap/>
            <w:tcMar>
              <w:left w:w="29" w:type="dxa"/>
              <w:right w:w="29" w:type="dxa"/>
            </w:tcMar>
            <w:hideMark/>
          </w:tcPr>
          <w:p w14:paraId="0C59FE2B" w14:textId="01583414" w:rsidR="00571EE6" w:rsidRPr="00713592" w:rsidRDefault="00571EE6" w:rsidP="00571EE6">
            <w:pPr>
              <w:jc w:val="right"/>
              <w:rPr>
                <w:bCs/>
                <w:sz w:val="20"/>
                <w:szCs w:val="20"/>
                <w:lang w:val="fr-CA" w:eastAsia="en-CA"/>
              </w:rPr>
            </w:pPr>
            <w:r w:rsidRPr="001A0303">
              <w:rPr>
                <w:bCs/>
                <w:sz w:val="20"/>
                <w:szCs w:val="20"/>
                <w:lang w:eastAsia="en-CA"/>
              </w:rPr>
              <w:t>329</w:t>
            </w:r>
            <w:r>
              <w:rPr>
                <w:bCs/>
                <w:sz w:val="20"/>
                <w:szCs w:val="20"/>
                <w:lang w:eastAsia="en-CA"/>
              </w:rPr>
              <w:t xml:space="preserve"> </w:t>
            </w:r>
            <w:r w:rsidRPr="001A0303">
              <w:rPr>
                <w:bCs/>
                <w:sz w:val="20"/>
                <w:szCs w:val="20"/>
                <w:lang w:eastAsia="en-CA"/>
              </w:rPr>
              <w:t>801</w:t>
            </w:r>
          </w:p>
        </w:tc>
        <w:tc>
          <w:tcPr>
            <w:tcW w:w="535" w:type="pct"/>
            <w:shd w:val="clear" w:color="auto" w:fill="auto"/>
            <w:noWrap/>
            <w:tcMar>
              <w:left w:w="29" w:type="dxa"/>
              <w:right w:w="29" w:type="dxa"/>
            </w:tcMar>
            <w:hideMark/>
          </w:tcPr>
          <w:p w14:paraId="73786A6B" w14:textId="2F5FB4FB" w:rsidR="00571EE6" w:rsidRPr="00713592" w:rsidRDefault="00571EE6" w:rsidP="00571EE6">
            <w:pPr>
              <w:jc w:val="right"/>
              <w:rPr>
                <w:sz w:val="20"/>
                <w:szCs w:val="20"/>
                <w:lang w:val="fr-CA" w:eastAsia="en-CA"/>
              </w:rPr>
            </w:pPr>
            <w:r w:rsidRPr="001A0303">
              <w:rPr>
                <w:sz w:val="20"/>
                <w:szCs w:val="20"/>
                <w:lang w:eastAsia="en-CA"/>
              </w:rPr>
              <w:t>3</w:t>
            </w:r>
            <w:r>
              <w:rPr>
                <w:sz w:val="20"/>
                <w:szCs w:val="20"/>
                <w:lang w:eastAsia="en-CA"/>
              </w:rPr>
              <w:t xml:space="preserve"> </w:t>
            </w:r>
            <w:r w:rsidRPr="001A0303">
              <w:rPr>
                <w:sz w:val="20"/>
                <w:szCs w:val="20"/>
                <w:lang w:eastAsia="en-CA"/>
              </w:rPr>
              <w:t>131</w:t>
            </w:r>
            <w:r>
              <w:rPr>
                <w:sz w:val="20"/>
                <w:szCs w:val="20"/>
                <w:lang w:eastAsia="en-CA"/>
              </w:rPr>
              <w:t xml:space="preserve"> </w:t>
            </w:r>
            <w:r w:rsidRPr="001A0303">
              <w:rPr>
                <w:sz w:val="20"/>
                <w:szCs w:val="20"/>
                <w:lang w:eastAsia="en-CA"/>
              </w:rPr>
              <w:t>610</w:t>
            </w:r>
          </w:p>
        </w:tc>
        <w:tc>
          <w:tcPr>
            <w:tcW w:w="535" w:type="pct"/>
            <w:shd w:val="clear" w:color="auto" w:fill="auto"/>
            <w:noWrap/>
            <w:tcMar>
              <w:left w:w="29" w:type="dxa"/>
              <w:right w:w="29" w:type="dxa"/>
            </w:tcMar>
          </w:tcPr>
          <w:p w14:paraId="6D9790EA" w14:textId="2C396010" w:rsidR="00571EE6" w:rsidRPr="00713592" w:rsidRDefault="00571EE6" w:rsidP="00571EE6">
            <w:pPr>
              <w:jc w:val="right"/>
              <w:rPr>
                <w:sz w:val="20"/>
                <w:szCs w:val="20"/>
                <w:lang w:val="fr-CA" w:eastAsia="en-CA"/>
              </w:rPr>
            </w:pPr>
            <w:r w:rsidRPr="001A0303">
              <w:rPr>
                <w:sz w:val="20"/>
                <w:szCs w:val="20"/>
                <w:lang w:eastAsia="en-CA"/>
              </w:rPr>
              <w:t>3</w:t>
            </w:r>
            <w:r>
              <w:rPr>
                <w:sz w:val="20"/>
                <w:szCs w:val="20"/>
                <w:lang w:eastAsia="en-CA"/>
              </w:rPr>
              <w:t xml:space="preserve"> </w:t>
            </w:r>
            <w:r w:rsidRPr="001A0303">
              <w:rPr>
                <w:sz w:val="20"/>
                <w:szCs w:val="20"/>
                <w:lang w:eastAsia="en-CA"/>
              </w:rPr>
              <w:t>131</w:t>
            </w:r>
            <w:r>
              <w:rPr>
                <w:sz w:val="20"/>
                <w:szCs w:val="20"/>
                <w:lang w:eastAsia="en-CA"/>
              </w:rPr>
              <w:t xml:space="preserve"> </w:t>
            </w:r>
            <w:r w:rsidRPr="001A0303">
              <w:rPr>
                <w:sz w:val="20"/>
                <w:szCs w:val="20"/>
                <w:lang w:eastAsia="en-CA"/>
              </w:rPr>
              <w:t>610</w:t>
            </w:r>
          </w:p>
        </w:tc>
      </w:tr>
      <w:tr w:rsidR="00571EE6" w:rsidRPr="00713592" w14:paraId="7EF42F61" w14:textId="77777777" w:rsidTr="00A37590">
        <w:tc>
          <w:tcPr>
            <w:tcW w:w="582" w:type="pct"/>
            <w:shd w:val="clear" w:color="auto" w:fill="auto"/>
            <w:noWrap/>
            <w:tcMar>
              <w:left w:w="29" w:type="dxa"/>
              <w:right w:w="29" w:type="dxa"/>
            </w:tcMar>
            <w:hideMark/>
          </w:tcPr>
          <w:p w14:paraId="7F21E935" w14:textId="6CA7B0DF" w:rsidR="00571EE6" w:rsidRPr="00713592" w:rsidRDefault="00571EE6" w:rsidP="00571EE6">
            <w:pPr>
              <w:jc w:val="left"/>
              <w:rPr>
                <w:sz w:val="20"/>
                <w:szCs w:val="20"/>
                <w:lang w:val="fr-CA" w:eastAsia="en-CA"/>
              </w:rPr>
            </w:pPr>
            <w:r>
              <w:rPr>
                <w:sz w:val="20"/>
                <w:szCs w:val="20"/>
                <w:lang w:val="fr-CA" w:eastAsia="en-CA"/>
              </w:rPr>
              <w:t>Chine</w:t>
            </w:r>
          </w:p>
        </w:tc>
        <w:tc>
          <w:tcPr>
            <w:tcW w:w="458" w:type="pct"/>
            <w:shd w:val="clear" w:color="auto" w:fill="auto"/>
            <w:noWrap/>
            <w:tcMar>
              <w:left w:w="29" w:type="dxa"/>
              <w:right w:w="29" w:type="dxa"/>
            </w:tcMar>
            <w:hideMark/>
          </w:tcPr>
          <w:p w14:paraId="52FC848C" w14:textId="7526818E" w:rsidR="00571EE6" w:rsidRPr="00713592" w:rsidRDefault="00571EE6" w:rsidP="00571EE6">
            <w:pPr>
              <w:jc w:val="center"/>
              <w:rPr>
                <w:sz w:val="20"/>
                <w:szCs w:val="20"/>
                <w:lang w:val="fr-CA" w:eastAsia="en-CA"/>
              </w:rPr>
            </w:pPr>
            <w:r>
              <w:rPr>
                <w:sz w:val="20"/>
                <w:szCs w:val="20"/>
                <w:lang w:val="fr-CA" w:eastAsia="en-CA"/>
              </w:rPr>
              <w:t>PNUD</w:t>
            </w:r>
          </w:p>
        </w:tc>
        <w:tc>
          <w:tcPr>
            <w:tcW w:w="753" w:type="pct"/>
            <w:shd w:val="clear" w:color="auto" w:fill="auto"/>
            <w:tcMar>
              <w:left w:w="29" w:type="dxa"/>
              <w:right w:w="29" w:type="dxa"/>
            </w:tcMar>
            <w:hideMark/>
          </w:tcPr>
          <w:p w14:paraId="3C75D716" w14:textId="23286547" w:rsidR="00571EE6" w:rsidRPr="00713592" w:rsidRDefault="00571EE6" w:rsidP="00571EE6">
            <w:pPr>
              <w:jc w:val="left"/>
              <w:rPr>
                <w:sz w:val="20"/>
                <w:szCs w:val="20"/>
                <w:lang w:val="fr-CA" w:eastAsia="en-CA"/>
              </w:rPr>
            </w:pPr>
            <w:r>
              <w:rPr>
                <w:sz w:val="20"/>
                <w:szCs w:val="20"/>
                <w:lang w:val="fr-CA" w:eastAsia="en-CA"/>
              </w:rPr>
              <w:t>Mousse isolante pour les réfrigérateurs domestiques</w:t>
            </w:r>
          </w:p>
        </w:tc>
        <w:tc>
          <w:tcPr>
            <w:tcW w:w="848" w:type="pct"/>
            <w:shd w:val="clear" w:color="auto" w:fill="auto"/>
            <w:noWrap/>
            <w:tcMar>
              <w:left w:w="58" w:type="dxa"/>
              <w:right w:w="29" w:type="dxa"/>
            </w:tcMar>
            <w:hideMark/>
          </w:tcPr>
          <w:p w14:paraId="0FC933DF" w14:textId="54F75E92" w:rsidR="00571EE6" w:rsidRPr="00713592" w:rsidRDefault="00571EE6" w:rsidP="00571EE6">
            <w:pPr>
              <w:ind w:left="-49"/>
              <w:jc w:val="left"/>
              <w:rPr>
                <w:sz w:val="20"/>
                <w:szCs w:val="20"/>
                <w:lang w:val="fr-CA" w:eastAsia="en-CA"/>
              </w:rPr>
            </w:pPr>
            <w:r>
              <w:rPr>
                <w:sz w:val="20"/>
                <w:szCs w:val="20"/>
                <w:lang w:val="fr-CA" w:eastAsia="en-CA"/>
              </w:rPr>
              <w:t>Cyclopentane + HFC-245fa (250,</w:t>
            </w:r>
            <w:r w:rsidRPr="00A54544">
              <w:rPr>
                <w:sz w:val="20"/>
                <w:szCs w:val="20"/>
                <w:lang w:val="fr-CA" w:eastAsia="en-CA"/>
              </w:rPr>
              <w:t>00 </w:t>
            </w:r>
            <w:proofErr w:type="spellStart"/>
            <w:r>
              <w:rPr>
                <w:sz w:val="20"/>
                <w:szCs w:val="20"/>
                <w:lang w:val="fr-CA" w:eastAsia="en-CA"/>
              </w:rPr>
              <w:t>t</w:t>
            </w:r>
            <w:r w:rsidRPr="00A54544">
              <w:rPr>
                <w:sz w:val="20"/>
                <w:szCs w:val="20"/>
                <w:lang w:val="fr-CA" w:eastAsia="en-CA"/>
              </w:rPr>
              <w:t>m</w:t>
            </w:r>
            <w:proofErr w:type="spellEnd"/>
            <w:r w:rsidRPr="00A54544">
              <w:rPr>
                <w:sz w:val="20"/>
                <w:szCs w:val="20"/>
                <w:lang w:val="fr-CA" w:eastAsia="en-CA"/>
              </w:rPr>
              <w:t>)</w:t>
            </w:r>
          </w:p>
        </w:tc>
        <w:tc>
          <w:tcPr>
            <w:tcW w:w="754" w:type="pct"/>
            <w:shd w:val="clear" w:color="auto" w:fill="auto"/>
            <w:noWrap/>
            <w:tcMar>
              <w:left w:w="29" w:type="dxa"/>
              <w:right w:w="29" w:type="dxa"/>
            </w:tcMar>
            <w:hideMark/>
          </w:tcPr>
          <w:p w14:paraId="34D7B36D" w14:textId="178E0356" w:rsidR="00571EE6" w:rsidRPr="00713592" w:rsidRDefault="00571EE6" w:rsidP="00571EE6">
            <w:pPr>
              <w:jc w:val="left"/>
              <w:rPr>
                <w:sz w:val="20"/>
                <w:szCs w:val="20"/>
                <w:lang w:val="fr-CA" w:eastAsia="en-CA"/>
              </w:rPr>
            </w:pPr>
            <w:r w:rsidRPr="00A54544">
              <w:rPr>
                <w:sz w:val="20"/>
                <w:szCs w:val="20"/>
                <w:lang w:val="fr-CA" w:eastAsia="en-CA"/>
              </w:rPr>
              <w:t>Cyclopentane + HFO-1233zd(E)</w:t>
            </w:r>
          </w:p>
        </w:tc>
        <w:tc>
          <w:tcPr>
            <w:tcW w:w="535" w:type="pct"/>
            <w:shd w:val="clear" w:color="auto" w:fill="auto"/>
            <w:noWrap/>
            <w:tcMar>
              <w:left w:w="29" w:type="dxa"/>
              <w:right w:w="29" w:type="dxa"/>
            </w:tcMar>
            <w:hideMark/>
          </w:tcPr>
          <w:p w14:paraId="520B2607" w14:textId="6869162A" w:rsidR="00571EE6" w:rsidRPr="00713592" w:rsidRDefault="00571EE6" w:rsidP="00571EE6">
            <w:pPr>
              <w:jc w:val="right"/>
              <w:rPr>
                <w:bCs/>
                <w:sz w:val="20"/>
                <w:szCs w:val="20"/>
                <w:lang w:val="fr-CA" w:eastAsia="en-CA"/>
              </w:rPr>
            </w:pPr>
            <w:r w:rsidRPr="001A0303">
              <w:rPr>
                <w:bCs/>
                <w:sz w:val="20"/>
                <w:szCs w:val="20"/>
                <w:lang w:eastAsia="en-CA"/>
              </w:rPr>
              <w:t>257</w:t>
            </w:r>
            <w:r>
              <w:rPr>
                <w:bCs/>
                <w:sz w:val="20"/>
                <w:szCs w:val="20"/>
                <w:lang w:eastAsia="en-CA"/>
              </w:rPr>
              <w:t xml:space="preserve"> </w:t>
            </w:r>
            <w:r w:rsidRPr="001A0303">
              <w:rPr>
                <w:bCs/>
                <w:sz w:val="20"/>
                <w:szCs w:val="20"/>
                <w:lang w:eastAsia="en-CA"/>
              </w:rPr>
              <w:t>500</w:t>
            </w:r>
          </w:p>
        </w:tc>
        <w:tc>
          <w:tcPr>
            <w:tcW w:w="535" w:type="pct"/>
            <w:shd w:val="clear" w:color="auto" w:fill="auto"/>
            <w:noWrap/>
            <w:tcMar>
              <w:left w:w="29" w:type="dxa"/>
              <w:right w:w="29" w:type="dxa"/>
            </w:tcMar>
            <w:hideMark/>
          </w:tcPr>
          <w:p w14:paraId="10BEB4AF" w14:textId="674F5ADE" w:rsidR="00571EE6" w:rsidRPr="00713592" w:rsidRDefault="00571EE6" w:rsidP="00571EE6">
            <w:pPr>
              <w:jc w:val="right"/>
              <w:rPr>
                <w:sz w:val="20"/>
                <w:szCs w:val="20"/>
                <w:lang w:val="fr-CA" w:eastAsia="en-CA"/>
              </w:rPr>
            </w:pPr>
            <w:r w:rsidRPr="001A0303">
              <w:rPr>
                <w:sz w:val="20"/>
                <w:szCs w:val="20"/>
                <w:lang w:eastAsia="en-CA"/>
              </w:rPr>
              <w:t>1</w:t>
            </w:r>
            <w:r>
              <w:rPr>
                <w:sz w:val="20"/>
                <w:szCs w:val="20"/>
                <w:lang w:eastAsia="en-CA"/>
              </w:rPr>
              <w:t xml:space="preserve"> </w:t>
            </w:r>
            <w:r w:rsidRPr="001A0303">
              <w:rPr>
                <w:sz w:val="20"/>
                <w:szCs w:val="20"/>
                <w:lang w:eastAsia="en-CA"/>
              </w:rPr>
              <w:t>275</w:t>
            </w:r>
            <w:r>
              <w:rPr>
                <w:sz w:val="20"/>
                <w:szCs w:val="20"/>
                <w:lang w:eastAsia="en-CA"/>
              </w:rPr>
              <w:t xml:space="preserve"> </w:t>
            </w:r>
            <w:r w:rsidRPr="001A0303">
              <w:rPr>
                <w:sz w:val="20"/>
                <w:szCs w:val="20"/>
                <w:lang w:eastAsia="en-CA"/>
              </w:rPr>
              <w:t>000</w:t>
            </w:r>
          </w:p>
        </w:tc>
        <w:tc>
          <w:tcPr>
            <w:tcW w:w="535" w:type="pct"/>
            <w:shd w:val="clear" w:color="auto" w:fill="auto"/>
            <w:noWrap/>
            <w:tcMar>
              <w:left w:w="29" w:type="dxa"/>
              <w:right w:w="29" w:type="dxa"/>
            </w:tcMar>
          </w:tcPr>
          <w:p w14:paraId="7F2664C1" w14:textId="4EC8E43C" w:rsidR="00571EE6" w:rsidRPr="00713592" w:rsidRDefault="00571EE6" w:rsidP="00571EE6">
            <w:pPr>
              <w:jc w:val="right"/>
              <w:rPr>
                <w:sz w:val="20"/>
                <w:szCs w:val="20"/>
                <w:lang w:val="fr-CA" w:eastAsia="en-CA"/>
              </w:rPr>
            </w:pPr>
            <w:r w:rsidRPr="001A0303">
              <w:rPr>
                <w:sz w:val="20"/>
                <w:szCs w:val="20"/>
                <w:lang w:eastAsia="en-CA"/>
              </w:rPr>
              <w:t>1</w:t>
            </w:r>
            <w:r>
              <w:rPr>
                <w:sz w:val="20"/>
                <w:szCs w:val="20"/>
                <w:lang w:eastAsia="en-CA"/>
              </w:rPr>
              <w:t xml:space="preserve"> </w:t>
            </w:r>
            <w:r w:rsidRPr="001A0303">
              <w:rPr>
                <w:sz w:val="20"/>
                <w:szCs w:val="20"/>
                <w:lang w:eastAsia="en-CA"/>
              </w:rPr>
              <w:t>018</w:t>
            </w:r>
            <w:r>
              <w:rPr>
                <w:sz w:val="20"/>
                <w:szCs w:val="20"/>
                <w:lang w:eastAsia="en-CA"/>
              </w:rPr>
              <w:t xml:space="preserve"> </w:t>
            </w:r>
            <w:r w:rsidRPr="001A0303">
              <w:rPr>
                <w:sz w:val="20"/>
                <w:szCs w:val="20"/>
                <w:lang w:eastAsia="en-CA"/>
              </w:rPr>
              <w:t>413</w:t>
            </w:r>
          </w:p>
        </w:tc>
      </w:tr>
      <w:tr w:rsidR="00571EE6" w:rsidRPr="00713592" w14:paraId="748FF3DC" w14:textId="77777777" w:rsidTr="00A37590">
        <w:tc>
          <w:tcPr>
            <w:tcW w:w="582" w:type="pct"/>
            <w:shd w:val="clear" w:color="auto" w:fill="auto"/>
            <w:noWrap/>
            <w:tcMar>
              <w:left w:w="29" w:type="dxa"/>
              <w:right w:w="29" w:type="dxa"/>
            </w:tcMar>
            <w:hideMark/>
          </w:tcPr>
          <w:p w14:paraId="78CA9266" w14:textId="49003AA9" w:rsidR="00571EE6" w:rsidRPr="00713592" w:rsidRDefault="00571EE6" w:rsidP="00571EE6">
            <w:pPr>
              <w:jc w:val="left"/>
              <w:rPr>
                <w:sz w:val="20"/>
                <w:szCs w:val="20"/>
                <w:lang w:val="fr-CA" w:eastAsia="en-CA"/>
              </w:rPr>
            </w:pPr>
            <w:r>
              <w:rPr>
                <w:sz w:val="20"/>
                <w:szCs w:val="20"/>
                <w:lang w:val="fr-CA" w:eastAsia="en-CA"/>
              </w:rPr>
              <w:t>Liban</w:t>
            </w:r>
          </w:p>
        </w:tc>
        <w:tc>
          <w:tcPr>
            <w:tcW w:w="458" w:type="pct"/>
            <w:shd w:val="clear" w:color="auto" w:fill="auto"/>
            <w:noWrap/>
            <w:tcMar>
              <w:left w:w="29" w:type="dxa"/>
              <w:right w:w="29" w:type="dxa"/>
            </w:tcMar>
            <w:hideMark/>
          </w:tcPr>
          <w:p w14:paraId="0E5F3E21" w14:textId="32E95EFE" w:rsidR="00571EE6" w:rsidRPr="00713592" w:rsidRDefault="00571EE6" w:rsidP="00571EE6">
            <w:pPr>
              <w:jc w:val="center"/>
              <w:rPr>
                <w:sz w:val="20"/>
                <w:szCs w:val="20"/>
                <w:lang w:val="fr-CA" w:eastAsia="en-CA"/>
              </w:rPr>
            </w:pPr>
            <w:r>
              <w:rPr>
                <w:sz w:val="20"/>
                <w:szCs w:val="20"/>
                <w:lang w:val="fr-CA" w:eastAsia="en-CA"/>
              </w:rPr>
              <w:t>ONUDI</w:t>
            </w:r>
          </w:p>
        </w:tc>
        <w:tc>
          <w:tcPr>
            <w:tcW w:w="753" w:type="pct"/>
            <w:shd w:val="clear" w:color="auto" w:fill="auto"/>
            <w:tcMar>
              <w:left w:w="29" w:type="dxa"/>
              <w:right w:w="29" w:type="dxa"/>
            </w:tcMar>
            <w:hideMark/>
          </w:tcPr>
          <w:p w14:paraId="76DF4131" w14:textId="323CCB4F" w:rsidR="00571EE6" w:rsidRPr="00713592" w:rsidRDefault="00571EE6" w:rsidP="00571EE6">
            <w:pPr>
              <w:jc w:val="left"/>
              <w:rPr>
                <w:sz w:val="20"/>
                <w:szCs w:val="20"/>
                <w:lang w:val="fr-CA" w:eastAsia="en-CA"/>
              </w:rPr>
            </w:pPr>
            <w:r>
              <w:rPr>
                <w:sz w:val="20"/>
                <w:szCs w:val="20"/>
                <w:lang w:val="fr-CA" w:eastAsia="en-CA"/>
              </w:rPr>
              <w:t>Réfrigérateurs domestiques et commerciaux</w:t>
            </w:r>
          </w:p>
        </w:tc>
        <w:tc>
          <w:tcPr>
            <w:tcW w:w="848" w:type="pct"/>
            <w:shd w:val="clear" w:color="auto" w:fill="auto"/>
            <w:noWrap/>
            <w:tcMar>
              <w:left w:w="29" w:type="dxa"/>
              <w:right w:w="29" w:type="dxa"/>
            </w:tcMar>
            <w:hideMark/>
          </w:tcPr>
          <w:p w14:paraId="6DD4E065" w14:textId="53162186" w:rsidR="00571EE6" w:rsidRPr="00713592" w:rsidRDefault="00571EE6" w:rsidP="00571EE6">
            <w:pPr>
              <w:jc w:val="left"/>
              <w:rPr>
                <w:sz w:val="20"/>
                <w:szCs w:val="20"/>
                <w:lang w:val="fr-CA" w:eastAsia="en-CA"/>
              </w:rPr>
            </w:pPr>
            <w:r w:rsidRPr="00A54544">
              <w:rPr>
                <w:sz w:val="20"/>
                <w:szCs w:val="20"/>
                <w:lang w:val="fr-CA" w:eastAsia="en-CA"/>
              </w:rPr>
              <w:t>HFC-134a/ R</w:t>
            </w:r>
            <w:r w:rsidRPr="00A54544">
              <w:rPr>
                <w:sz w:val="20"/>
                <w:szCs w:val="20"/>
                <w:lang w:val="fr-CA" w:eastAsia="en-CA"/>
              </w:rPr>
              <w:noBreakHyphen/>
              <w:t>404A (112</w:t>
            </w:r>
            <w:r>
              <w:rPr>
                <w:sz w:val="20"/>
                <w:szCs w:val="20"/>
                <w:lang w:val="fr-CA" w:eastAsia="en-CA"/>
              </w:rPr>
              <w:t>,58 </w:t>
            </w:r>
            <w:proofErr w:type="spellStart"/>
            <w:r>
              <w:rPr>
                <w:sz w:val="20"/>
                <w:szCs w:val="20"/>
                <w:lang w:val="fr-CA" w:eastAsia="en-CA"/>
              </w:rPr>
              <w:t>tm</w:t>
            </w:r>
            <w:proofErr w:type="spellEnd"/>
            <w:r w:rsidRPr="00A54544">
              <w:rPr>
                <w:sz w:val="20"/>
                <w:szCs w:val="20"/>
                <w:lang w:val="fr-CA" w:eastAsia="en-CA"/>
              </w:rPr>
              <w:t>)</w:t>
            </w:r>
          </w:p>
        </w:tc>
        <w:tc>
          <w:tcPr>
            <w:tcW w:w="754" w:type="pct"/>
            <w:shd w:val="clear" w:color="auto" w:fill="auto"/>
            <w:noWrap/>
            <w:tcMar>
              <w:left w:w="29" w:type="dxa"/>
              <w:right w:w="29" w:type="dxa"/>
            </w:tcMar>
            <w:hideMark/>
          </w:tcPr>
          <w:p w14:paraId="1AB17C9A" w14:textId="0CFCA9E9" w:rsidR="00571EE6" w:rsidRPr="00713592" w:rsidRDefault="00571EE6" w:rsidP="00571EE6">
            <w:pPr>
              <w:jc w:val="left"/>
              <w:rPr>
                <w:sz w:val="20"/>
                <w:szCs w:val="20"/>
                <w:lang w:val="fr-CA" w:eastAsia="en-CA"/>
              </w:rPr>
            </w:pPr>
            <w:r w:rsidRPr="00A54544">
              <w:rPr>
                <w:sz w:val="20"/>
                <w:szCs w:val="20"/>
                <w:lang w:val="fr-CA" w:eastAsia="en-CA"/>
              </w:rPr>
              <w:t>R-600a/R-290</w:t>
            </w:r>
          </w:p>
        </w:tc>
        <w:tc>
          <w:tcPr>
            <w:tcW w:w="535" w:type="pct"/>
            <w:shd w:val="clear" w:color="auto" w:fill="auto"/>
            <w:noWrap/>
            <w:tcMar>
              <w:left w:w="29" w:type="dxa"/>
              <w:right w:w="29" w:type="dxa"/>
            </w:tcMar>
            <w:hideMark/>
          </w:tcPr>
          <w:p w14:paraId="2605E7CE" w14:textId="793E102D" w:rsidR="00571EE6" w:rsidRPr="00713592" w:rsidRDefault="00571EE6" w:rsidP="00571EE6">
            <w:pPr>
              <w:jc w:val="right"/>
              <w:rPr>
                <w:sz w:val="20"/>
                <w:szCs w:val="20"/>
                <w:lang w:val="fr-CA" w:eastAsia="en-CA"/>
              </w:rPr>
            </w:pPr>
            <w:r w:rsidRPr="001A0303">
              <w:rPr>
                <w:sz w:val="20"/>
                <w:szCs w:val="20"/>
                <w:lang w:eastAsia="en-CA"/>
              </w:rPr>
              <w:t>245</w:t>
            </w:r>
            <w:r>
              <w:rPr>
                <w:sz w:val="20"/>
                <w:szCs w:val="20"/>
                <w:lang w:eastAsia="en-CA"/>
              </w:rPr>
              <w:t xml:space="preserve"> </w:t>
            </w:r>
            <w:r w:rsidRPr="001A0303">
              <w:rPr>
                <w:sz w:val="20"/>
                <w:szCs w:val="20"/>
                <w:lang w:eastAsia="en-CA"/>
              </w:rPr>
              <w:t>860</w:t>
            </w:r>
          </w:p>
        </w:tc>
        <w:tc>
          <w:tcPr>
            <w:tcW w:w="535" w:type="pct"/>
            <w:shd w:val="clear" w:color="auto" w:fill="auto"/>
            <w:noWrap/>
            <w:tcMar>
              <w:left w:w="29" w:type="dxa"/>
              <w:right w:w="29" w:type="dxa"/>
            </w:tcMar>
            <w:hideMark/>
          </w:tcPr>
          <w:p w14:paraId="4B9A84BB" w14:textId="3636ACE2" w:rsidR="00571EE6" w:rsidRPr="00713592" w:rsidRDefault="00571EE6" w:rsidP="00571EE6">
            <w:pPr>
              <w:jc w:val="right"/>
              <w:rPr>
                <w:sz w:val="20"/>
                <w:szCs w:val="20"/>
                <w:lang w:val="fr-CA" w:eastAsia="en-CA"/>
              </w:rPr>
            </w:pPr>
            <w:r w:rsidRPr="001A0303">
              <w:rPr>
                <w:sz w:val="20"/>
                <w:szCs w:val="20"/>
                <w:lang w:eastAsia="en-CA"/>
              </w:rPr>
              <w:t>1</w:t>
            </w:r>
            <w:r>
              <w:rPr>
                <w:sz w:val="20"/>
                <w:szCs w:val="20"/>
                <w:lang w:eastAsia="en-CA"/>
              </w:rPr>
              <w:t xml:space="preserve"> </w:t>
            </w:r>
            <w:r w:rsidRPr="001A0303">
              <w:rPr>
                <w:sz w:val="20"/>
                <w:szCs w:val="20"/>
                <w:lang w:eastAsia="en-CA"/>
              </w:rPr>
              <w:t>053</w:t>
            </w:r>
            <w:r>
              <w:rPr>
                <w:sz w:val="20"/>
                <w:szCs w:val="20"/>
                <w:lang w:eastAsia="en-CA"/>
              </w:rPr>
              <w:t xml:space="preserve"> </w:t>
            </w:r>
            <w:r w:rsidRPr="001A0303">
              <w:rPr>
                <w:sz w:val="20"/>
                <w:szCs w:val="20"/>
                <w:lang w:eastAsia="en-CA"/>
              </w:rPr>
              <w:t>858</w:t>
            </w:r>
          </w:p>
        </w:tc>
        <w:tc>
          <w:tcPr>
            <w:tcW w:w="535" w:type="pct"/>
            <w:shd w:val="clear" w:color="auto" w:fill="auto"/>
            <w:noWrap/>
            <w:tcMar>
              <w:left w:w="29" w:type="dxa"/>
              <w:right w:w="29" w:type="dxa"/>
            </w:tcMar>
          </w:tcPr>
          <w:p w14:paraId="01E2CAEF" w14:textId="5DFB55D0" w:rsidR="00571EE6" w:rsidRPr="00713592" w:rsidRDefault="00571EE6" w:rsidP="00571EE6">
            <w:pPr>
              <w:jc w:val="right"/>
              <w:rPr>
                <w:sz w:val="20"/>
                <w:szCs w:val="20"/>
                <w:lang w:val="fr-CA" w:eastAsia="en-CA"/>
              </w:rPr>
            </w:pPr>
            <w:r w:rsidRPr="001A0303">
              <w:rPr>
                <w:sz w:val="20"/>
                <w:szCs w:val="20"/>
                <w:lang w:eastAsia="en-CA"/>
              </w:rPr>
              <w:t>1</w:t>
            </w:r>
            <w:r>
              <w:rPr>
                <w:sz w:val="20"/>
                <w:szCs w:val="20"/>
                <w:lang w:eastAsia="en-CA"/>
              </w:rPr>
              <w:t xml:space="preserve"> </w:t>
            </w:r>
            <w:r w:rsidRPr="001A0303">
              <w:rPr>
                <w:sz w:val="20"/>
                <w:szCs w:val="20"/>
                <w:lang w:eastAsia="en-CA"/>
              </w:rPr>
              <w:t>035</w:t>
            </w:r>
            <w:r>
              <w:rPr>
                <w:sz w:val="20"/>
                <w:szCs w:val="20"/>
                <w:lang w:eastAsia="en-CA"/>
              </w:rPr>
              <w:t xml:space="preserve"> </w:t>
            </w:r>
            <w:r w:rsidRPr="001A0303">
              <w:rPr>
                <w:sz w:val="20"/>
                <w:szCs w:val="20"/>
                <w:lang w:eastAsia="en-CA"/>
              </w:rPr>
              <w:t>787</w:t>
            </w:r>
          </w:p>
        </w:tc>
      </w:tr>
      <w:tr w:rsidR="00571EE6" w:rsidRPr="00713592" w14:paraId="2B6271B8" w14:textId="77777777" w:rsidTr="00A37590">
        <w:tc>
          <w:tcPr>
            <w:tcW w:w="582" w:type="pct"/>
            <w:shd w:val="clear" w:color="auto" w:fill="auto"/>
            <w:noWrap/>
            <w:tcMar>
              <w:left w:w="29" w:type="dxa"/>
              <w:right w:w="29" w:type="dxa"/>
            </w:tcMar>
            <w:hideMark/>
          </w:tcPr>
          <w:p w14:paraId="518B323D" w14:textId="66C999A3" w:rsidR="00571EE6" w:rsidRPr="00713592" w:rsidRDefault="00571EE6" w:rsidP="00571EE6">
            <w:pPr>
              <w:jc w:val="left"/>
              <w:rPr>
                <w:sz w:val="20"/>
                <w:szCs w:val="20"/>
                <w:lang w:val="fr-CA" w:eastAsia="en-CA"/>
              </w:rPr>
            </w:pPr>
            <w:r>
              <w:rPr>
                <w:sz w:val="20"/>
                <w:szCs w:val="20"/>
                <w:lang w:val="fr-CA" w:eastAsia="en-CA"/>
              </w:rPr>
              <w:lastRenderedPageBreak/>
              <w:t>Mexique</w:t>
            </w:r>
          </w:p>
        </w:tc>
        <w:tc>
          <w:tcPr>
            <w:tcW w:w="458" w:type="pct"/>
            <w:shd w:val="clear" w:color="auto" w:fill="auto"/>
            <w:noWrap/>
            <w:tcMar>
              <w:left w:w="29" w:type="dxa"/>
              <w:right w:w="29" w:type="dxa"/>
            </w:tcMar>
            <w:hideMark/>
          </w:tcPr>
          <w:p w14:paraId="64132D8B" w14:textId="6FB3A84D" w:rsidR="00571EE6" w:rsidRPr="00713592" w:rsidRDefault="00571EE6" w:rsidP="00571EE6">
            <w:pPr>
              <w:jc w:val="center"/>
              <w:rPr>
                <w:sz w:val="20"/>
                <w:szCs w:val="20"/>
                <w:lang w:val="fr-CA" w:eastAsia="en-CA"/>
              </w:rPr>
            </w:pPr>
            <w:r>
              <w:rPr>
                <w:sz w:val="20"/>
                <w:szCs w:val="20"/>
                <w:lang w:val="fr-CA" w:eastAsia="en-CA"/>
              </w:rPr>
              <w:t>ONUDI</w:t>
            </w:r>
          </w:p>
        </w:tc>
        <w:tc>
          <w:tcPr>
            <w:tcW w:w="753" w:type="pct"/>
            <w:shd w:val="clear" w:color="auto" w:fill="auto"/>
            <w:tcMar>
              <w:left w:w="29" w:type="dxa"/>
              <w:right w:w="29" w:type="dxa"/>
            </w:tcMar>
            <w:hideMark/>
          </w:tcPr>
          <w:p w14:paraId="4EC7101A" w14:textId="62D17576" w:rsidR="00571EE6" w:rsidRPr="00713592" w:rsidRDefault="00571EE6" w:rsidP="00571EE6">
            <w:pPr>
              <w:jc w:val="left"/>
              <w:rPr>
                <w:sz w:val="20"/>
                <w:szCs w:val="20"/>
                <w:lang w:val="fr-CA" w:eastAsia="en-CA"/>
              </w:rPr>
            </w:pPr>
            <w:r>
              <w:rPr>
                <w:sz w:val="20"/>
                <w:szCs w:val="20"/>
                <w:lang w:val="fr-CA" w:eastAsia="en-CA"/>
              </w:rPr>
              <w:t>Réfrigérateurs commerciaux</w:t>
            </w:r>
          </w:p>
        </w:tc>
        <w:tc>
          <w:tcPr>
            <w:tcW w:w="848" w:type="pct"/>
            <w:shd w:val="clear" w:color="auto" w:fill="auto"/>
            <w:noWrap/>
            <w:tcMar>
              <w:left w:w="29" w:type="dxa"/>
              <w:right w:w="29" w:type="dxa"/>
            </w:tcMar>
            <w:hideMark/>
          </w:tcPr>
          <w:p w14:paraId="45C190C8" w14:textId="61B7CE3F" w:rsidR="00571EE6" w:rsidRPr="00713592" w:rsidRDefault="00571EE6" w:rsidP="00571EE6">
            <w:pPr>
              <w:jc w:val="left"/>
              <w:rPr>
                <w:sz w:val="20"/>
                <w:szCs w:val="20"/>
                <w:lang w:val="fr-CA" w:eastAsia="en-CA"/>
              </w:rPr>
            </w:pPr>
            <w:r w:rsidRPr="00A54544">
              <w:rPr>
                <w:sz w:val="20"/>
                <w:szCs w:val="20"/>
                <w:lang w:val="fr-CA" w:eastAsia="en-CA"/>
              </w:rPr>
              <w:t>HFC-134a/ R</w:t>
            </w:r>
            <w:r w:rsidRPr="00A54544">
              <w:rPr>
                <w:sz w:val="20"/>
                <w:szCs w:val="20"/>
                <w:lang w:val="fr-CA" w:eastAsia="en-CA"/>
              </w:rPr>
              <w:noBreakHyphen/>
              <w:t>404A (56</w:t>
            </w:r>
            <w:r>
              <w:rPr>
                <w:sz w:val="20"/>
                <w:szCs w:val="20"/>
                <w:lang w:val="fr-CA" w:eastAsia="en-CA"/>
              </w:rPr>
              <w:t>,</w:t>
            </w:r>
            <w:r w:rsidRPr="00A54544">
              <w:rPr>
                <w:sz w:val="20"/>
                <w:szCs w:val="20"/>
                <w:lang w:val="fr-CA" w:eastAsia="en-CA"/>
              </w:rPr>
              <w:t xml:space="preserve">04 </w:t>
            </w:r>
            <w:proofErr w:type="spellStart"/>
            <w:r>
              <w:rPr>
                <w:sz w:val="20"/>
                <w:szCs w:val="20"/>
                <w:lang w:val="fr-CA" w:eastAsia="en-CA"/>
              </w:rPr>
              <w:t>t</w:t>
            </w:r>
            <w:r w:rsidRPr="00A54544">
              <w:rPr>
                <w:sz w:val="20"/>
                <w:szCs w:val="20"/>
                <w:lang w:val="fr-CA" w:eastAsia="en-CA"/>
              </w:rPr>
              <w:t>m</w:t>
            </w:r>
            <w:proofErr w:type="spellEnd"/>
            <w:r w:rsidRPr="00A54544">
              <w:rPr>
                <w:sz w:val="20"/>
                <w:szCs w:val="20"/>
                <w:lang w:val="fr-CA" w:eastAsia="en-CA"/>
              </w:rPr>
              <w:t>)</w:t>
            </w:r>
          </w:p>
        </w:tc>
        <w:tc>
          <w:tcPr>
            <w:tcW w:w="754" w:type="pct"/>
            <w:shd w:val="clear" w:color="auto" w:fill="auto"/>
            <w:noWrap/>
            <w:tcMar>
              <w:left w:w="29" w:type="dxa"/>
              <w:right w:w="29" w:type="dxa"/>
            </w:tcMar>
            <w:hideMark/>
          </w:tcPr>
          <w:p w14:paraId="2DDC329B" w14:textId="637E44E2" w:rsidR="00571EE6" w:rsidRPr="00713592" w:rsidRDefault="00571EE6" w:rsidP="00571EE6">
            <w:pPr>
              <w:jc w:val="left"/>
              <w:rPr>
                <w:sz w:val="20"/>
                <w:szCs w:val="20"/>
                <w:lang w:val="fr-CA" w:eastAsia="en-CA"/>
              </w:rPr>
            </w:pPr>
            <w:r w:rsidRPr="00A54544">
              <w:rPr>
                <w:sz w:val="20"/>
                <w:szCs w:val="20"/>
                <w:lang w:val="fr-CA" w:eastAsia="en-CA"/>
              </w:rPr>
              <w:t>R-600a/R-290</w:t>
            </w:r>
          </w:p>
        </w:tc>
        <w:tc>
          <w:tcPr>
            <w:tcW w:w="535" w:type="pct"/>
            <w:shd w:val="clear" w:color="auto" w:fill="auto"/>
            <w:noWrap/>
            <w:tcMar>
              <w:left w:w="29" w:type="dxa"/>
              <w:right w:w="29" w:type="dxa"/>
            </w:tcMar>
            <w:hideMark/>
          </w:tcPr>
          <w:p w14:paraId="738E3800" w14:textId="478F9C56" w:rsidR="00571EE6" w:rsidRPr="00713592" w:rsidRDefault="00571EE6" w:rsidP="00571EE6">
            <w:pPr>
              <w:jc w:val="right"/>
              <w:rPr>
                <w:bCs/>
                <w:sz w:val="20"/>
                <w:szCs w:val="20"/>
                <w:lang w:val="fr-CA" w:eastAsia="en-CA"/>
              </w:rPr>
            </w:pPr>
            <w:r w:rsidRPr="001A0303">
              <w:rPr>
                <w:bCs/>
                <w:sz w:val="20"/>
                <w:szCs w:val="20"/>
                <w:lang w:eastAsia="en-CA"/>
              </w:rPr>
              <w:t>124</w:t>
            </w:r>
            <w:r>
              <w:rPr>
                <w:bCs/>
                <w:sz w:val="20"/>
                <w:szCs w:val="20"/>
                <w:lang w:eastAsia="en-CA"/>
              </w:rPr>
              <w:t xml:space="preserve"> </w:t>
            </w:r>
            <w:r w:rsidRPr="001A0303">
              <w:rPr>
                <w:bCs/>
                <w:sz w:val="20"/>
                <w:szCs w:val="20"/>
                <w:lang w:eastAsia="en-CA"/>
              </w:rPr>
              <w:t>657</w:t>
            </w:r>
          </w:p>
        </w:tc>
        <w:tc>
          <w:tcPr>
            <w:tcW w:w="535" w:type="pct"/>
            <w:shd w:val="clear" w:color="auto" w:fill="auto"/>
            <w:noWrap/>
            <w:tcMar>
              <w:left w:w="29" w:type="dxa"/>
              <w:right w:w="29" w:type="dxa"/>
            </w:tcMar>
            <w:hideMark/>
          </w:tcPr>
          <w:p w14:paraId="32075415" w14:textId="39A0ABAA" w:rsidR="00571EE6" w:rsidRPr="00713592" w:rsidRDefault="00571EE6" w:rsidP="00571EE6">
            <w:pPr>
              <w:jc w:val="right"/>
              <w:rPr>
                <w:sz w:val="20"/>
                <w:szCs w:val="20"/>
                <w:lang w:val="fr-CA" w:eastAsia="en-CA"/>
              </w:rPr>
            </w:pPr>
            <w:r w:rsidRPr="001A0303">
              <w:rPr>
                <w:sz w:val="20"/>
                <w:szCs w:val="20"/>
                <w:lang w:eastAsia="en-CA"/>
              </w:rPr>
              <w:t>1</w:t>
            </w:r>
            <w:r>
              <w:rPr>
                <w:sz w:val="20"/>
                <w:szCs w:val="20"/>
                <w:lang w:eastAsia="en-CA"/>
              </w:rPr>
              <w:t xml:space="preserve"> </w:t>
            </w:r>
            <w:r w:rsidRPr="001A0303">
              <w:rPr>
                <w:sz w:val="20"/>
                <w:szCs w:val="20"/>
                <w:lang w:eastAsia="en-CA"/>
              </w:rPr>
              <w:t>018</w:t>
            </w:r>
            <w:r>
              <w:rPr>
                <w:sz w:val="20"/>
                <w:szCs w:val="20"/>
                <w:lang w:eastAsia="en-CA"/>
              </w:rPr>
              <w:t xml:space="preserve"> </w:t>
            </w:r>
            <w:r w:rsidRPr="001A0303">
              <w:rPr>
                <w:sz w:val="20"/>
                <w:szCs w:val="20"/>
                <w:lang w:eastAsia="en-CA"/>
              </w:rPr>
              <w:t>123</w:t>
            </w:r>
          </w:p>
        </w:tc>
        <w:tc>
          <w:tcPr>
            <w:tcW w:w="535" w:type="pct"/>
            <w:shd w:val="clear" w:color="auto" w:fill="auto"/>
            <w:noWrap/>
            <w:tcMar>
              <w:left w:w="29" w:type="dxa"/>
              <w:right w:w="29" w:type="dxa"/>
            </w:tcMar>
          </w:tcPr>
          <w:p w14:paraId="5E317BAD" w14:textId="1BAD1EE9" w:rsidR="00571EE6" w:rsidRPr="00713592" w:rsidRDefault="00571EE6" w:rsidP="00571EE6">
            <w:pPr>
              <w:jc w:val="right"/>
              <w:rPr>
                <w:sz w:val="20"/>
                <w:szCs w:val="20"/>
                <w:lang w:val="fr-CA" w:eastAsia="en-CA"/>
              </w:rPr>
            </w:pPr>
            <w:r w:rsidRPr="001A0303">
              <w:rPr>
                <w:sz w:val="20"/>
                <w:szCs w:val="20"/>
                <w:lang w:eastAsia="en-CA"/>
              </w:rPr>
              <w:t>8</w:t>
            </w:r>
            <w:r>
              <w:rPr>
                <w:sz w:val="20"/>
                <w:szCs w:val="20"/>
                <w:lang w:eastAsia="en-CA"/>
              </w:rPr>
              <w:t xml:space="preserve"> </w:t>
            </w:r>
            <w:r w:rsidRPr="001A0303">
              <w:rPr>
                <w:sz w:val="20"/>
                <w:szCs w:val="20"/>
                <w:lang w:eastAsia="en-CA"/>
              </w:rPr>
              <w:t>351</w:t>
            </w:r>
          </w:p>
        </w:tc>
      </w:tr>
      <w:tr w:rsidR="00571EE6" w:rsidRPr="00713592" w14:paraId="1D3BBC86" w14:textId="77777777" w:rsidTr="00A37590">
        <w:tc>
          <w:tcPr>
            <w:tcW w:w="582" w:type="pct"/>
            <w:shd w:val="clear" w:color="auto" w:fill="auto"/>
            <w:noWrap/>
            <w:tcMar>
              <w:left w:w="29" w:type="dxa"/>
              <w:right w:w="29" w:type="dxa"/>
            </w:tcMar>
            <w:hideMark/>
          </w:tcPr>
          <w:p w14:paraId="7AB15976" w14:textId="33787EB4" w:rsidR="00571EE6" w:rsidRPr="00713592" w:rsidRDefault="00571EE6" w:rsidP="00571EE6">
            <w:pPr>
              <w:jc w:val="left"/>
              <w:rPr>
                <w:sz w:val="20"/>
                <w:szCs w:val="20"/>
                <w:lang w:val="fr-CA" w:eastAsia="en-CA"/>
              </w:rPr>
            </w:pPr>
            <w:r w:rsidRPr="00A54544">
              <w:rPr>
                <w:sz w:val="20"/>
                <w:szCs w:val="20"/>
                <w:lang w:val="fr-CA" w:eastAsia="en-CA"/>
              </w:rPr>
              <w:t>Tha</w:t>
            </w:r>
            <w:r>
              <w:rPr>
                <w:sz w:val="20"/>
                <w:szCs w:val="20"/>
                <w:lang w:val="fr-CA" w:eastAsia="en-CA"/>
              </w:rPr>
              <w:t>ïlande</w:t>
            </w:r>
            <w:r w:rsidRPr="00A54544">
              <w:rPr>
                <w:rStyle w:val="FootnoteReference"/>
                <w:lang w:val="fr-CA" w:eastAsia="en-CA"/>
              </w:rPr>
              <w:footnoteReference w:id="20"/>
            </w:r>
          </w:p>
        </w:tc>
        <w:tc>
          <w:tcPr>
            <w:tcW w:w="458" w:type="pct"/>
            <w:shd w:val="clear" w:color="auto" w:fill="auto"/>
            <w:noWrap/>
            <w:tcMar>
              <w:left w:w="29" w:type="dxa"/>
              <w:right w:w="29" w:type="dxa"/>
            </w:tcMar>
            <w:hideMark/>
          </w:tcPr>
          <w:p w14:paraId="00C1F7DC" w14:textId="44D30E11" w:rsidR="00571EE6" w:rsidRPr="00713592" w:rsidRDefault="00571EE6" w:rsidP="00571EE6">
            <w:pPr>
              <w:jc w:val="center"/>
              <w:rPr>
                <w:sz w:val="20"/>
                <w:szCs w:val="20"/>
                <w:lang w:val="fr-CA" w:eastAsia="en-CA"/>
              </w:rPr>
            </w:pPr>
            <w:r>
              <w:rPr>
                <w:sz w:val="20"/>
                <w:szCs w:val="20"/>
                <w:lang w:val="fr-CA" w:eastAsia="en-CA"/>
              </w:rPr>
              <w:t>Banque mondiale</w:t>
            </w:r>
          </w:p>
        </w:tc>
        <w:tc>
          <w:tcPr>
            <w:tcW w:w="753" w:type="pct"/>
            <w:shd w:val="clear" w:color="auto" w:fill="auto"/>
            <w:tcMar>
              <w:left w:w="29" w:type="dxa"/>
              <w:right w:w="29" w:type="dxa"/>
            </w:tcMar>
            <w:hideMark/>
          </w:tcPr>
          <w:p w14:paraId="2C4E6D4B" w14:textId="06BD42F5" w:rsidR="00571EE6" w:rsidRPr="00713592" w:rsidRDefault="00571EE6" w:rsidP="00571EE6">
            <w:pPr>
              <w:jc w:val="left"/>
              <w:rPr>
                <w:sz w:val="20"/>
                <w:szCs w:val="20"/>
                <w:lang w:val="fr-CA" w:eastAsia="en-CA"/>
              </w:rPr>
            </w:pPr>
            <w:r>
              <w:rPr>
                <w:sz w:val="20"/>
                <w:szCs w:val="20"/>
                <w:lang w:val="fr-CA" w:eastAsia="en-CA"/>
              </w:rPr>
              <w:t>Réfrigérateurs commerciaux</w:t>
            </w:r>
          </w:p>
        </w:tc>
        <w:tc>
          <w:tcPr>
            <w:tcW w:w="848" w:type="pct"/>
            <w:shd w:val="clear" w:color="auto" w:fill="auto"/>
            <w:noWrap/>
            <w:tcMar>
              <w:left w:w="29" w:type="dxa"/>
              <w:right w:w="29" w:type="dxa"/>
            </w:tcMar>
            <w:hideMark/>
          </w:tcPr>
          <w:p w14:paraId="7D7CA4C7" w14:textId="77777777" w:rsidR="00571EE6" w:rsidRPr="00A54544" w:rsidRDefault="00571EE6" w:rsidP="00571EE6">
            <w:pPr>
              <w:jc w:val="left"/>
              <w:rPr>
                <w:sz w:val="20"/>
                <w:szCs w:val="20"/>
                <w:lang w:val="fr-CA" w:eastAsia="en-CA"/>
              </w:rPr>
            </w:pPr>
            <w:r w:rsidRPr="00A54544">
              <w:rPr>
                <w:sz w:val="20"/>
                <w:szCs w:val="20"/>
                <w:lang w:val="fr-CA" w:eastAsia="en-CA"/>
              </w:rPr>
              <w:t xml:space="preserve">HFC-134a </w:t>
            </w:r>
          </w:p>
          <w:p w14:paraId="06645A68" w14:textId="31CA6C31" w:rsidR="00571EE6" w:rsidRPr="00713592" w:rsidRDefault="00571EE6" w:rsidP="00571EE6">
            <w:pPr>
              <w:jc w:val="left"/>
              <w:rPr>
                <w:sz w:val="20"/>
                <w:szCs w:val="20"/>
                <w:lang w:val="fr-CA" w:eastAsia="en-CA"/>
              </w:rPr>
            </w:pPr>
            <w:r>
              <w:rPr>
                <w:sz w:val="20"/>
                <w:szCs w:val="20"/>
                <w:lang w:val="fr-CA" w:eastAsia="en-CA"/>
              </w:rPr>
              <w:t>(8,</w:t>
            </w:r>
            <w:r w:rsidRPr="00A54544">
              <w:rPr>
                <w:sz w:val="20"/>
                <w:szCs w:val="20"/>
                <w:lang w:val="fr-CA" w:eastAsia="en-CA"/>
              </w:rPr>
              <w:t>78 </w:t>
            </w:r>
            <w:proofErr w:type="spellStart"/>
            <w:r>
              <w:rPr>
                <w:sz w:val="20"/>
                <w:szCs w:val="20"/>
                <w:lang w:val="fr-CA" w:eastAsia="en-CA"/>
              </w:rPr>
              <w:t>t</w:t>
            </w:r>
            <w:r w:rsidRPr="00A54544">
              <w:rPr>
                <w:sz w:val="20"/>
                <w:szCs w:val="20"/>
                <w:lang w:val="fr-CA" w:eastAsia="en-CA"/>
              </w:rPr>
              <w:t>m</w:t>
            </w:r>
            <w:proofErr w:type="spellEnd"/>
            <w:r w:rsidRPr="00A54544">
              <w:rPr>
                <w:sz w:val="20"/>
                <w:szCs w:val="20"/>
                <w:lang w:val="fr-CA" w:eastAsia="en-CA"/>
              </w:rPr>
              <w:t>)</w:t>
            </w:r>
          </w:p>
        </w:tc>
        <w:tc>
          <w:tcPr>
            <w:tcW w:w="754" w:type="pct"/>
            <w:shd w:val="clear" w:color="auto" w:fill="auto"/>
            <w:noWrap/>
            <w:tcMar>
              <w:left w:w="29" w:type="dxa"/>
              <w:right w:w="29" w:type="dxa"/>
            </w:tcMar>
            <w:hideMark/>
          </w:tcPr>
          <w:p w14:paraId="52ECFA6F" w14:textId="0C161927" w:rsidR="00571EE6" w:rsidRPr="00713592" w:rsidRDefault="00571EE6" w:rsidP="00571EE6">
            <w:pPr>
              <w:jc w:val="left"/>
              <w:rPr>
                <w:sz w:val="20"/>
                <w:szCs w:val="20"/>
                <w:lang w:val="fr-CA" w:eastAsia="en-CA"/>
              </w:rPr>
            </w:pPr>
            <w:r w:rsidRPr="00A54544">
              <w:rPr>
                <w:sz w:val="20"/>
                <w:szCs w:val="20"/>
                <w:lang w:val="fr-CA" w:eastAsia="en-CA"/>
              </w:rPr>
              <w:t>R-600a</w:t>
            </w:r>
          </w:p>
        </w:tc>
        <w:tc>
          <w:tcPr>
            <w:tcW w:w="535" w:type="pct"/>
            <w:shd w:val="clear" w:color="auto" w:fill="auto"/>
            <w:noWrap/>
            <w:tcMar>
              <w:left w:w="29" w:type="dxa"/>
              <w:right w:w="29" w:type="dxa"/>
            </w:tcMar>
            <w:hideMark/>
          </w:tcPr>
          <w:p w14:paraId="68504612" w14:textId="7B2910CE" w:rsidR="00571EE6" w:rsidRPr="00713592" w:rsidRDefault="00571EE6" w:rsidP="00571EE6">
            <w:pPr>
              <w:jc w:val="right"/>
              <w:rPr>
                <w:bCs/>
                <w:sz w:val="20"/>
                <w:szCs w:val="20"/>
                <w:lang w:val="fr-CA" w:eastAsia="en-CA"/>
              </w:rPr>
            </w:pPr>
            <w:r w:rsidRPr="001A0303">
              <w:rPr>
                <w:bCs/>
                <w:sz w:val="20"/>
                <w:szCs w:val="20"/>
                <w:lang w:eastAsia="en-CA"/>
              </w:rPr>
              <w:t>12</w:t>
            </w:r>
            <w:r>
              <w:rPr>
                <w:bCs/>
                <w:sz w:val="20"/>
                <w:szCs w:val="20"/>
                <w:lang w:eastAsia="en-CA"/>
              </w:rPr>
              <w:t xml:space="preserve"> </w:t>
            </w:r>
            <w:r w:rsidRPr="001A0303">
              <w:rPr>
                <w:bCs/>
                <w:sz w:val="20"/>
                <w:szCs w:val="20"/>
                <w:lang w:eastAsia="en-CA"/>
              </w:rPr>
              <w:t>555</w:t>
            </w:r>
          </w:p>
        </w:tc>
        <w:tc>
          <w:tcPr>
            <w:tcW w:w="535" w:type="pct"/>
            <w:shd w:val="clear" w:color="auto" w:fill="auto"/>
            <w:noWrap/>
            <w:tcMar>
              <w:left w:w="29" w:type="dxa"/>
              <w:right w:w="29" w:type="dxa"/>
            </w:tcMar>
            <w:hideMark/>
          </w:tcPr>
          <w:p w14:paraId="6A9D00E5" w14:textId="72CF513D" w:rsidR="00571EE6" w:rsidRPr="00713592" w:rsidRDefault="00571EE6" w:rsidP="00571EE6">
            <w:pPr>
              <w:jc w:val="right"/>
              <w:rPr>
                <w:sz w:val="20"/>
                <w:szCs w:val="20"/>
                <w:lang w:val="fr-CA" w:eastAsia="en-CA"/>
              </w:rPr>
            </w:pPr>
            <w:r w:rsidRPr="001A0303">
              <w:rPr>
                <w:sz w:val="20"/>
                <w:szCs w:val="20"/>
                <w:lang w:eastAsia="en-CA"/>
              </w:rPr>
              <w:t>183</w:t>
            </w:r>
            <w:r>
              <w:rPr>
                <w:sz w:val="20"/>
                <w:szCs w:val="20"/>
                <w:lang w:eastAsia="en-CA"/>
              </w:rPr>
              <w:t xml:space="preserve"> </w:t>
            </w:r>
            <w:r w:rsidRPr="001A0303">
              <w:rPr>
                <w:sz w:val="20"/>
                <w:szCs w:val="20"/>
                <w:lang w:eastAsia="en-CA"/>
              </w:rPr>
              <w:t>514</w:t>
            </w:r>
          </w:p>
        </w:tc>
        <w:tc>
          <w:tcPr>
            <w:tcW w:w="535" w:type="pct"/>
            <w:shd w:val="clear" w:color="auto" w:fill="auto"/>
            <w:noWrap/>
            <w:tcMar>
              <w:left w:w="29" w:type="dxa"/>
              <w:right w:w="29" w:type="dxa"/>
            </w:tcMar>
          </w:tcPr>
          <w:p w14:paraId="243841A9" w14:textId="0043D975" w:rsidR="00571EE6" w:rsidRPr="00713592" w:rsidRDefault="00571EE6" w:rsidP="00571EE6">
            <w:pPr>
              <w:jc w:val="right"/>
              <w:rPr>
                <w:sz w:val="20"/>
                <w:szCs w:val="20"/>
                <w:lang w:val="fr-CA" w:eastAsia="en-CA"/>
              </w:rPr>
            </w:pPr>
            <w:r w:rsidRPr="001A0303">
              <w:rPr>
                <w:sz w:val="20"/>
                <w:szCs w:val="20"/>
                <w:lang w:eastAsia="en-CA"/>
              </w:rPr>
              <w:t>0</w:t>
            </w:r>
          </w:p>
        </w:tc>
      </w:tr>
      <w:tr w:rsidR="00571EE6" w:rsidRPr="00713592" w14:paraId="0BD8975D" w14:textId="77777777" w:rsidTr="00A37590">
        <w:tc>
          <w:tcPr>
            <w:tcW w:w="582" w:type="pct"/>
            <w:shd w:val="clear" w:color="auto" w:fill="auto"/>
            <w:noWrap/>
            <w:tcMar>
              <w:left w:w="29" w:type="dxa"/>
              <w:right w:w="29" w:type="dxa"/>
            </w:tcMar>
            <w:hideMark/>
          </w:tcPr>
          <w:p w14:paraId="17BC2923" w14:textId="77777777" w:rsidR="00571EE6" w:rsidRPr="00713592" w:rsidRDefault="00571EE6" w:rsidP="00571EE6">
            <w:pPr>
              <w:jc w:val="left"/>
              <w:rPr>
                <w:b/>
                <w:sz w:val="20"/>
                <w:szCs w:val="20"/>
                <w:lang w:val="fr-CA" w:eastAsia="en-CA"/>
              </w:rPr>
            </w:pPr>
            <w:r w:rsidRPr="00713592">
              <w:rPr>
                <w:b/>
                <w:sz w:val="20"/>
                <w:szCs w:val="20"/>
                <w:lang w:val="fr-CA" w:eastAsia="en-CA"/>
              </w:rPr>
              <w:t> Total</w:t>
            </w:r>
          </w:p>
        </w:tc>
        <w:tc>
          <w:tcPr>
            <w:tcW w:w="458" w:type="pct"/>
            <w:shd w:val="clear" w:color="auto" w:fill="auto"/>
            <w:noWrap/>
            <w:tcMar>
              <w:left w:w="29" w:type="dxa"/>
              <w:right w:w="29" w:type="dxa"/>
            </w:tcMar>
            <w:hideMark/>
          </w:tcPr>
          <w:p w14:paraId="2882EFFE" w14:textId="77777777" w:rsidR="00571EE6" w:rsidRPr="00713592" w:rsidRDefault="00571EE6" w:rsidP="00571EE6">
            <w:pPr>
              <w:jc w:val="center"/>
              <w:rPr>
                <w:b/>
                <w:sz w:val="20"/>
                <w:szCs w:val="20"/>
                <w:lang w:val="fr-CA" w:eastAsia="en-CA"/>
              </w:rPr>
            </w:pPr>
          </w:p>
        </w:tc>
        <w:tc>
          <w:tcPr>
            <w:tcW w:w="753" w:type="pct"/>
            <w:shd w:val="clear" w:color="auto" w:fill="auto"/>
            <w:tcMar>
              <w:left w:w="29" w:type="dxa"/>
              <w:right w:w="29" w:type="dxa"/>
            </w:tcMar>
            <w:hideMark/>
          </w:tcPr>
          <w:p w14:paraId="423DB9AA" w14:textId="77777777" w:rsidR="00571EE6" w:rsidRPr="00713592" w:rsidRDefault="00571EE6" w:rsidP="00571EE6">
            <w:pPr>
              <w:jc w:val="right"/>
              <w:rPr>
                <w:b/>
                <w:sz w:val="20"/>
                <w:szCs w:val="20"/>
                <w:lang w:val="fr-CA" w:eastAsia="en-CA"/>
              </w:rPr>
            </w:pPr>
            <w:r w:rsidRPr="00713592">
              <w:rPr>
                <w:b/>
                <w:sz w:val="20"/>
                <w:szCs w:val="20"/>
                <w:lang w:val="fr-CA" w:eastAsia="en-CA"/>
              </w:rPr>
              <w:t> </w:t>
            </w:r>
          </w:p>
        </w:tc>
        <w:tc>
          <w:tcPr>
            <w:tcW w:w="848" w:type="pct"/>
            <w:shd w:val="clear" w:color="auto" w:fill="auto"/>
            <w:noWrap/>
            <w:tcMar>
              <w:left w:w="29" w:type="dxa"/>
              <w:right w:w="29" w:type="dxa"/>
            </w:tcMar>
            <w:hideMark/>
          </w:tcPr>
          <w:p w14:paraId="55089928" w14:textId="283B55A1" w:rsidR="00571EE6" w:rsidRPr="00713592" w:rsidRDefault="00571EE6" w:rsidP="00571EE6">
            <w:pPr>
              <w:jc w:val="right"/>
              <w:rPr>
                <w:b/>
                <w:sz w:val="20"/>
                <w:szCs w:val="20"/>
                <w:lang w:val="fr-CA" w:eastAsia="en-CA"/>
              </w:rPr>
            </w:pPr>
            <w:r>
              <w:rPr>
                <w:b/>
                <w:sz w:val="20"/>
                <w:szCs w:val="20"/>
                <w:lang w:val="fr-CA" w:eastAsia="en-CA"/>
              </w:rPr>
              <w:t>754,</w:t>
            </w:r>
            <w:r w:rsidRPr="00A54544">
              <w:rPr>
                <w:b/>
                <w:sz w:val="20"/>
                <w:szCs w:val="20"/>
                <w:lang w:val="fr-CA" w:eastAsia="en-CA"/>
              </w:rPr>
              <w:t>64</w:t>
            </w:r>
          </w:p>
        </w:tc>
        <w:tc>
          <w:tcPr>
            <w:tcW w:w="754" w:type="pct"/>
            <w:shd w:val="clear" w:color="auto" w:fill="auto"/>
            <w:noWrap/>
            <w:tcMar>
              <w:left w:w="29" w:type="dxa"/>
              <w:right w:w="29" w:type="dxa"/>
            </w:tcMar>
            <w:hideMark/>
          </w:tcPr>
          <w:p w14:paraId="45E86AAC" w14:textId="4268894B" w:rsidR="00571EE6" w:rsidRPr="00713592" w:rsidRDefault="00571EE6" w:rsidP="00571EE6">
            <w:pPr>
              <w:jc w:val="right"/>
              <w:rPr>
                <w:b/>
                <w:sz w:val="20"/>
                <w:szCs w:val="20"/>
                <w:lang w:val="fr-CA" w:eastAsia="en-CA"/>
              </w:rPr>
            </w:pPr>
            <w:r w:rsidRPr="00A54544">
              <w:rPr>
                <w:b/>
                <w:sz w:val="20"/>
                <w:szCs w:val="20"/>
                <w:lang w:val="fr-CA" w:eastAsia="en-CA"/>
              </w:rPr>
              <w:t> </w:t>
            </w:r>
          </w:p>
        </w:tc>
        <w:tc>
          <w:tcPr>
            <w:tcW w:w="535" w:type="pct"/>
            <w:shd w:val="clear" w:color="auto" w:fill="auto"/>
            <w:noWrap/>
            <w:tcMar>
              <w:left w:w="29" w:type="dxa"/>
              <w:right w:w="29" w:type="dxa"/>
            </w:tcMar>
            <w:hideMark/>
          </w:tcPr>
          <w:p w14:paraId="00512BD8" w14:textId="66E598E0" w:rsidR="00571EE6" w:rsidRPr="00713592" w:rsidRDefault="00571EE6" w:rsidP="00571EE6">
            <w:pPr>
              <w:jc w:val="right"/>
              <w:rPr>
                <w:b/>
                <w:sz w:val="20"/>
                <w:szCs w:val="20"/>
                <w:lang w:val="fr-CA" w:eastAsia="en-CA"/>
              </w:rPr>
            </w:pPr>
            <w:r w:rsidRPr="001A0303">
              <w:rPr>
                <w:b/>
                <w:sz w:val="20"/>
                <w:szCs w:val="20"/>
                <w:lang w:eastAsia="en-CA"/>
              </w:rPr>
              <w:t>1</w:t>
            </w:r>
            <w:r>
              <w:rPr>
                <w:b/>
                <w:sz w:val="20"/>
                <w:szCs w:val="20"/>
                <w:lang w:eastAsia="en-CA"/>
              </w:rPr>
              <w:t xml:space="preserve"> </w:t>
            </w:r>
            <w:r w:rsidRPr="001A0303">
              <w:rPr>
                <w:b/>
                <w:sz w:val="20"/>
                <w:szCs w:val="20"/>
                <w:lang w:eastAsia="en-CA"/>
              </w:rPr>
              <w:t>108</w:t>
            </w:r>
            <w:r>
              <w:rPr>
                <w:b/>
                <w:sz w:val="20"/>
                <w:szCs w:val="20"/>
                <w:lang w:eastAsia="en-CA"/>
              </w:rPr>
              <w:t xml:space="preserve"> </w:t>
            </w:r>
            <w:r w:rsidRPr="001A0303">
              <w:rPr>
                <w:b/>
                <w:sz w:val="20"/>
                <w:szCs w:val="20"/>
                <w:lang w:eastAsia="en-CA"/>
              </w:rPr>
              <w:t>442</w:t>
            </w:r>
            <w:r w:rsidRPr="001A0303">
              <w:rPr>
                <w:b/>
                <w:sz w:val="20"/>
                <w:szCs w:val="20"/>
                <w:lang w:eastAsia="en-CA"/>
              </w:rPr>
              <w:fldChar w:fldCharType="begin"/>
            </w:r>
            <w:r w:rsidRPr="001A0303">
              <w:rPr>
                <w:b/>
                <w:sz w:val="20"/>
                <w:szCs w:val="20"/>
                <w:lang w:eastAsia="en-CA"/>
              </w:rPr>
              <w:instrText xml:space="preserve"> =SUM(ABOVE) </w:instrText>
            </w:r>
            <w:r w:rsidRPr="001A0303">
              <w:rPr>
                <w:b/>
                <w:sz w:val="20"/>
                <w:szCs w:val="20"/>
                <w:lang w:eastAsia="en-CA"/>
              </w:rPr>
              <w:fldChar w:fldCharType="end"/>
            </w:r>
          </w:p>
        </w:tc>
        <w:tc>
          <w:tcPr>
            <w:tcW w:w="535" w:type="pct"/>
            <w:shd w:val="clear" w:color="auto" w:fill="auto"/>
            <w:noWrap/>
            <w:tcMar>
              <w:left w:w="29" w:type="dxa"/>
              <w:right w:w="29" w:type="dxa"/>
            </w:tcMar>
            <w:hideMark/>
          </w:tcPr>
          <w:p w14:paraId="450BAB66" w14:textId="2D8145CC" w:rsidR="00571EE6" w:rsidRPr="00713592" w:rsidRDefault="00571EE6" w:rsidP="00571EE6">
            <w:pPr>
              <w:jc w:val="right"/>
              <w:rPr>
                <w:b/>
                <w:sz w:val="20"/>
                <w:szCs w:val="20"/>
                <w:lang w:val="fr-CA" w:eastAsia="en-CA"/>
              </w:rPr>
            </w:pPr>
            <w:r w:rsidRPr="001A0303">
              <w:rPr>
                <w:b/>
                <w:sz w:val="20"/>
                <w:szCs w:val="20"/>
                <w:lang w:eastAsia="en-CA"/>
              </w:rPr>
              <w:t>8</w:t>
            </w:r>
            <w:r>
              <w:rPr>
                <w:b/>
                <w:sz w:val="20"/>
                <w:szCs w:val="20"/>
                <w:lang w:eastAsia="en-CA"/>
              </w:rPr>
              <w:t xml:space="preserve"> </w:t>
            </w:r>
            <w:r w:rsidRPr="001A0303">
              <w:rPr>
                <w:b/>
                <w:sz w:val="20"/>
                <w:szCs w:val="20"/>
                <w:lang w:eastAsia="en-CA"/>
              </w:rPr>
              <w:t>502</w:t>
            </w:r>
            <w:r>
              <w:rPr>
                <w:b/>
                <w:sz w:val="20"/>
                <w:szCs w:val="20"/>
                <w:lang w:eastAsia="en-CA"/>
              </w:rPr>
              <w:t xml:space="preserve"> </w:t>
            </w:r>
            <w:r w:rsidRPr="001A0303">
              <w:rPr>
                <w:b/>
                <w:sz w:val="20"/>
                <w:szCs w:val="20"/>
                <w:lang w:eastAsia="en-CA"/>
              </w:rPr>
              <w:t>860</w:t>
            </w:r>
          </w:p>
        </w:tc>
        <w:tc>
          <w:tcPr>
            <w:tcW w:w="535" w:type="pct"/>
            <w:shd w:val="clear" w:color="auto" w:fill="auto"/>
            <w:noWrap/>
            <w:tcMar>
              <w:left w:w="29" w:type="dxa"/>
              <w:right w:w="29" w:type="dxa"/>
            </w:tcMar>
          </w:tcPr>
          <w:p w14:paraId="6BBB4F28" w14:textId="58C61BC6" w:rsidR="00571EE6" w:rsidRPr="00713592" w:rsidRDefault="00571EE6" w:rsidP="00571EE6">
            <w:pPr>
              <w:jc w:val="right"/>
              <w:rPr>
                <w:b/>
                <w:sz w:val="20"/>
                <w:szCs w:val="20"/>
                <w:lang w:val="fr-CA" w:eastAsia="en-CA"/>
              </w:rPr>
            </w:pPr>
            <w:r w:rsidRPr="001A0303">
              <w:rPr>
                <w:b/>
                <w:sz w:val="20"/>
                <w:szCs w:val="20"/>
                <w:lang w:eastAsia="en-CA"/>
              </w:rPr>
              <w:t>6</w:t>
            </w:r>
            <w:r>
              <w:rPr>
                <w:b/>
                <w:sz w:val="20"/>
                <w:szCs w:val="20"/>
                <w:lang w:eastAsia="en-CA"/>
              </w:rPr>
              <w:t xml:space="preserve"> </w:t>
            </w:r>
            <w:r w:rsidRPr="001A0303">
              <w:rPr>
                <w:b/>
                <w:sz w:val="20"/>
                <w:szCs w:val="20"/>
                <w:lang w:eastAsia="en-CA"/>
              </w:rPr>
              <w:t>266</w:t>
            </w:r>
            <w:r>
              <w:rPr>
                <w:b/>
                <w:sz w:val="20"/>
                <w:szCs w:val="20"/>
                <w:lang w:eastAsia="en-CA"/>
              </w:rPr>
              <w:t xml:space="preserve"> </w:t>
            </w:r>
            <w:r w:rsidRPr="001A0303">
              <w:rPr>
                <w:b/>
                <w:sz w:val="20"/>
                <w:szCs w:val="20"/>
                <w:lang w:eastAsia="en-CA"/>
              </w:rPr>
              <w:t>199</w:t>
            </w:r>
          </w:p>
        </w:tc>
      </w:tr>
    </w:tbl>
    <w:p w14:paraId="0F337892" w14:textId="77777777" w:rsidR="00D631A9" w:rsidRPr="00713592" w:rsidRDefault="00D631A9" w:rsidP="001E39EE">
      <w:pPr>
        <w:jc w:val="left"/>
        <w:rPr>
          <w:lang w:val="fr-CA"/>
        </w:rPr>
      </w:pPr>
      <w:r w:rsidRPr="00713592">
        <w:rPr>
          <w:lang w:val="fr-CA"/>
        </w:rPr>
        <w:t xml:space="preserve"> </w:t>
      </w:r>
    </w:p>
    <w:p w14:paraId="44A52BD7" w14:textId="0E956995" w:rsidR="00D631A9" w:rsidRPr="00571EE6" w:rsidRDefault="00571EE6" w:rsidP="00571EE6">
      <w:pPr>
        <w:pStyle w:val="Heading1"/>
        <w:rPr>
          <w:lang w:val="fr-CA"/>
        </w:rPr>
      </w:pPr>
      <w:r>
        <w:rPr>
          <w:lang w:val="fr-CA"/>
        </w:rPr>
        <w:t>Deux projets (Bangladesh et Liban) ont été achevé</w:t>
      </w:r>
      <w:r w:rsidR="00815563">
        <w:rPr>
          <w:lang w:val="fr-CA"/>
        </w:rPr>
        <w:t>s</w:t>
      </w:r>
      <w:r>
        <w:rPr>
          <w:lang w:val="fr-CA"/>
        </w:rPr>
        <w:t>; le PNUD a remis un rapport détaillé pour le Bangladesh et l’ONUDI devrait remettre un rapport pour le Liban</w:t>
      </w:r>
      <w:r w:rsidRPr="00A54544">
        <w:rPr>
          <w:lang w:val="fr-CA"/>
        </w:rPr>
        <w:t>.</w:t>
      </w:r>
      <w:r>
        <w:rPr>
          <w:lang w:val="fr-CA"/>
        </w:rPr>
        <w:t xml:space="preserve"> Bien que les quatre autres projets avancent à un rythme satisfaisant</w:t>
      </w:r>
      <w:r w:rsidR="007D629C">
        <w:rPr>
          <w:lang w:val="fr-CA"/>
        </w:rPr>
        <w:t>, la situation entourant la COVID-19 a entraîné des retards dans l’installation finale, la mise en service et la formation du personnel de l’usine</w:t>
      </w:r>
      <w:r w:rsidR="00815563">
        <w:rPr>
          <w:lang w:val="fr-CA"/>
        </w:rPr>
        <w:t>. L</w:t>
      </w:r>
      <w:r w:rsidR="007D629C">
        <w:rPr>
          <w:lang w:val="fr-CA"/>
        </w:rPr>
        <w:t>es agences d’exécution appliquent les mesures nécessaires pour mener ces projets à terme avant le 31 mars 2022</w:t>
      </w:r>
    </w:p>
    <w:p w14:paraId="4AD8E1F7" w14:textId="49BC181D" w:rsidR="00EB3658" w:rsidRPr="007D629C" w:rsidRDefault="007D629C" w:rsidP="001E39EE">
      <w:pPr>
        <w:keepNext/>
        <w:spacing w:after="240"/>
        <w:jc w:val="left"/>
        <w:rPr>
          <w:b/>
          <w:lang w:val="fr-CA"/>
        </w:rPr>
      </w:pPr>
      <w:r>
        <w:rPr>
          <w:b/>
          <w:lang w:val="fr-CA"/>
        </w:rPr>
        <w:t>Rapport sur les activités de facilitation de la réduction progressive des HFC</w:t>
      </w:r>
    </w:p>
    <w:p w14:paraId="7D618BBB" w14:textId="23CBB4DB" w:rsidR="00EB3658" w:rsidRPr="00713592" w:rsidRDefault="007D629C" w:rsidP="001E39EE">
      <w:pPr>
        <w:pStyle w:val="Heading1"/>
        <w:rPr>
          <w:lang w:val="fr-CA"/>
        </w:rPr>
      </w:pPr>
      <w:r>
        <w:rPr>
          <w:lang w:val="fr-CA"/>
        </w:rPr>
        <w:t>La liste des pays visés à l’article 5 ayant reçu un soutien financier pour les activités de facilitation de la réduction progressive des HFC est fournie à l’annexe I au présent document, avec l’état de la ratification de l’Amendement de Kigali et l’état du programme d’octroi de permis pour les HFC, exigé</w:t>
      </w:r>
      <w:r w:rsidR="00FF3843">
        <w:rPr>
          <w:lang w:val="fr-CA"/>
        </w:rPr>
        <w:t>s</w:t>
      </w:r>
      <w:r>
        <w:rPr>
          <w:lang w:val="fr-CA"/>
        </w:rPr>
        <w:t xml:space="preserve"> à l’article 4B. Le soutien à la ratification hâtive de l’Amendement de Kigali, la mise en œuvre des activités indiquées au paragraphe 20 de la décision XXVIII/2 visant à établir des arrangements institutionnels de soutien, l’examen des programmes d’octroi de permis, la communication des données sur la consommation et la production de HFC, et la démonstration d’activités ne portant pas sur des investissements telles que la formation et la diffusion d’information, sont les principales raisons justifiant les demandes de financement des activités de facilitation</w:t>
      </w:r>
      <w:r w:rsidR="00EB3658" w:rsidRPr="00713592">
        <w:rPr>
          <w:lang w:val="fr-CA"/>
        </w:rPr>
        <w:t xml:space="preserve">. </w:t>
      </w:r>
    </w:p>
    <w:p w14:paraId="449DB050" w14:textId="034E14E9" w:rsidR="00EB3658" w:rsidRPr="00713592" w:rsidRDefault="00FF3843" w:rsidP="001E39EE">
      <w:pPr>
        <w:keepNext/>
        <w:spacing w:after="240"/>
        <w:rPr>
          <w:u w:val="single"/>
          <w:lang w:val="fr-CA"/>
        </w:rPr>
      </w:pPr>
      <w:r>
        <w:rPr>
          <w:u w:val="single"/>
          <w:lang w:val="fr-CA"/>
        </w:rPr>
        <w:t>Aperçu des progrès dans la mise en œuvre</w:t>
      </w:r>
    </w:p>
    <w:p w14:paraId="7081D5BC" w14:textId="5AA4BB0A" w:rsidR="00EB3658" w:rsidRPr="00713592" w:rsidRDefault="00FF3843" w:rsidP="001E39EE">
      <w:pPr>
        <w:pStyle w:val="Heading1"/>
        <w:keepNext/>
        <w:numPr>
          <w:ilvl w:val="0"/>
          <w:numId w:val="21"/>
        </w:numPr>
        <w:rPr>
          <w:bCs/>
          <w:kern w:val="36"/>
          <w:lang w:val="fr-CA"/>
        </w:rPr>
      </w:pPr>
      <w:r>
        <w:rPr>
          <w:lang w:val="fr-CA"/>
        </w:rPr>
        <w:t>Les activités de facilitation avancent bien dans la plupart des pays, À ce jour, le gouvernement de l’Italie,</w:t>
      </w:r>
      <w:r w:rsidRPr="001A0303">
        <w:rPr>
          <w:rStyle w:val="FootnoteReference"/>
          <w:kern w:val="36"/>
        </w:rPr>
        <w:footnoteReference w:id="21"/>
      </w:r>
      <w:r w:rsidRPr="00FF3843">
        <w:rPr>
          <w:kern w:val="36"/>
          <w:lang w:val="fr-CA"/>
        </w:rPr>
        <w:t xml:space="preserve"> </w:t>
      </w:r>
      <w:r>
        <w:rPr>
          <w:lang w:val="fr-CA"/>
        </w:rPr>
        <w:t>la Banque mondiale,</w:t>
      </w:r>
      <w:r w:rsidRPr="001A0303">
        <w:rPr>
          <w:rStyle w:val="FootnoteReference"/>
          <w:kern w:val="36"/>
        </w:rPr>
        <w:footnoteReference w:id="22"/>
      </w:r>
      <w:r w:rsidRPr="00FF3843">
        <w:rPr>
          <w:kern w:val="36"/>
          <w:lang w:val="fr-CA"/>
        </w:rPr>
        <w:t xml:space="preserve"> </w:t>
      </w:r>
      <w:r>
        <w:rPr>
          <w:lang w:val="fr-CA"/>
        </w:rPr>
        <w:t>PNUD,</w:t>
      </w:r>
      <w:r w:rsidRPr="00B2690D">
        <w:rPr>
          <w:rStyle w:val="FootnoteReference"/>
          <w:lang w:val="fr-CA"/>
        </w:rPr>
        <w:footnoteReference w:id="23"/>
      </w:r>
      <w:r w:rsidRPr="00B2690D">
        <w:rPr>
          <w:lang w:val="fr-CA"/>
        </w:rPr>
        <w:t xml:space="preserve"> </w:t>
      </w:r>
      <w:r>
        <w:rPr>
          <w:lang w:val="fr-CA"/>
        </w:rPr>
        <w:t>le PNUE</w:t>
      </w:r>
      <w:r w:rsidRPr="00B2690D">
        <w:rPr>
          <w:rStyle w:val="FootnoteReference"/>
          <w:lang w:val="fr-CA"/>
        </w:rPr>
        <w:footnoteReference w:id="24"/>
      </w:r>
      <w:r w:rsidRPr="00B2690D">
        <w:rPr>
          <w:lang w:val="fr-CA"/>
        </w:rPr>
        <w:t xml:space="preserve"> </w:t>
      </w:r>
      <w:r>
        <w:rPr>
          <w:lang w:val="fr-CA"/>
        </w:rPr>
        <w:t>et l’ONUDI</w:t>
      </w:r>
      <w:r w:rsidRPr="00B2690D">
        <w:rPr>
          <w:rStyle w:val="FootnoteReference"/>
          <w:lang w:val="fr-CA"/>
        </w:rPr>
        <w:footnoteReference w:id="25"/>
      </w:r>
      <w:r w:rsidRPr="00B2690D">
        <w:rPr>
          <w:lang w:val="fr-CA"/>
        </w:rPr>
        <w:t xml:space="preserve"> </w:t>
      </w:r>
      <w:r>
        <w:rPr>
          <w:lang w:val="fr-CA"/>
        </w:rPr>
        <w:t>ont mené à terme 23 projets en lien avec les activités de facilitation d’ici à 2021</w:t>
      </w:r>
      <w:r w:rsidR="00EB3658" w:rsidRPr="00713592">
        <w:rPr>
          <w:bCs/>
          <w:kern w:val="36"/>
          <w:lang w:val="fr-CA"/>
        </w:rPr>
        <w:t xml:space="preserve">. </w:t>
      </w:r>
      <w:r>
        <w:rPr>
          <w:bCs/>
          <w:kern w:val="36"/>
          <w:lang w:val="fr-CA"/>
        </w:rPr>
        <w:t>Les agences collaborent avec les pays afin de garantir l’achèvement rapide des activités de facilitation, malgré les contraintes imposées par la Covid-19.</w:t>
      </w:r>
    </w:p>
    <w:p w14:paraId="3FF183FC" w14:textId="31C0FEF6" w:rsidR="00EB3658" w:rsidRPr="00713592" w:rsidRDefault="00FF3843" w:rsidP="001E39EE">
      <w:pPr>
        <w:pStyle w:val="Heading1"/>
        <w:numPr>
          <w:ilvl w:val="0"/>
          <w:numId w:val="21"/>
        </w:numPr>
        <w:rPr>
          <w:kern w:val="36"/>
          <w:lang w:val="fr-CA"/>
        </w:rPr>
      </w:pPr>
      <w:r>
        <w:rPr>
          <w:lang w:val="fr-CA"/>
        </w:rPr>
        <w:t xml:space="preserve">Voici un sommaire des activités </w:t>
      </w:r>
      <w:r w:rsidR="00EB3658" w:rsidRPr="00713592">
        <w:rPr>
          <w:kern w:val="36"/>
          <w:lang w:val="fr-CA"/>
        </w:rPr>
        <w:t>:</w:t>
      </w:r>
    </w:p>
    <w:p w14:paraId="2F612999" w14:textId="73D0AC6E" w:rsidR="00EB3658" w:rsidRPr="00713592" w:rsidRDefault="00DD27B4" w:rsidP="001E39EE">
      <w:pPr>
        <w:pStyle w:val="Heading2"/>
        <w:widowControl/>
        <w:numPr>
          <w:ilvl w:val="1"/>
          <w:numId w:val="21"/>
        </w:numPr>
        <w:rPr>
          <w:lang w:val="fr-CA"/>
        </w:rPr>
      </w:pPr>
      <w:r w:rsidRPr="00D52B2F">
        <w:rPr>
          <w:u w:val="single"/>
          <w:lang w:val="fr-CA"/>
        </w:rPr>
        <w:t xml:space="preserve">Ratification de l’Amendement de Kigali </w:t>
      </w:r>
      <w:r w:rsidRPr="00D52B2F">
        <w:rPr>
          <w:lang w:val="fr-CA"/>
        </w:rPr>
        <w:t xml:space="preserve">: Consultations avec les parties prenantes sur les dispositions de l’Amendement de Kigali et les conséquences de sa ratification; rédaction des documents légaux; coordination et diffusion d’information aux différentes parties prenantes; évaluation par les pays des tendances en consommation de HFC et les répercussions de l’Amendement sur les différentes parties prenantes; évaluation des besoins de formation </w:t>
      </w:r>
      <w:r w:rsidR="00DD74A5">
        <w:rPr>
          <w:lang w:val="fr-CA"/>
        </w:rPr>
        <w:t xml:space="preserve">du secteur de l’entretien </w:t>
      </w:r>
      <w:r>
        <w:rPr>
          <w:lang w:val="fr-CA"/>
        </w:rPr>
        <w:t xml:space="preserve">en </w:t>
      </w:r>
      <w:r w:rsidRPr="00D52B2F">
        <w:rPr>
          <w:lang w:val="fr-CA"/>
        </w:rPr>
        <w:t>introduction de technologies sans HFC et l’utilisation sécuritaire des technologies de remplacement</w:t>
      </w:r>
      <w:r w:rsidR="00DD74A5">
        <w:rPr>
          <w:lang w:val="fr-CA"/>
        </w:rPr>
        <w:t xml:space="preserve">, et des douaniers en suivi et contrôle du commerce des HFC au titre de l’Amendement de Kigali; </w:t>
      </w:r>
      <w:r w:rsidRPr="00D52B2F">
        <w:rPr>
          <w:lang w:val="fr-CA"/>
        </w:rPr>
        <w:t>et participation à l’atelier régional sur la ratification de l’Amendement de Kigali</w:t>
      </w:r>
      <w:r w:rsidR="00EB3658" w:rsidRPr="00713592">
        <w:rPr>
          <w:lang w:val="fr-CA"/>
        </w:rPr>
        <w:t xml:space="preserve">; </w:t>
      </w:r>
    </w:p>
    <w:p w14:paraId="3D859E43" w14:textId="5DF920A8" w:rsidR="00EB3658" w:rsidRPr="00713592" w:rsidRDefault="00DD74A5" w:rsidP="00AD0261">
      <w:pPr>
        <w:pStyle w:val="Heading2"/>
        <w:numPr>
          <w:ilvl w:val="1"/>
          <w:numId w:val="21"/>
        </w:numPr>
        <w:rPr>
          <w:lang w:val="fr-CA"/>
        </w:rPr>
      </w:pPr>
      <w:r w:rsidRPr="00D52B2F">
        <w:rPr>
          <w:u w:val="single"/>
          <w:lang w:val="fr-CA"/>
        </w:rPr>
        <w:lastRenderedPageBreak/>
        <w:t xml:space="preserve">Élaboration et </w:t>
      </w:r>
      <w:r>
        <w:rPr>
          <w:u w:val="single"/>
          <w:lang w:val="fr-CA"/>
        </w:rPr>
        <w:t>exécution</w:t>
      </w:r>
      <w:r w:rsidRPr="00D52B2F">
        <w:rPr>
          <w:u w:val="single"/>
          <w:lang w:val="fr-CA"/>
        </w:rPr>
        <w:t xml:space="preserve"> du programme d’octroi de permis et de quotas </w:t>
      </w:r>
      <w:r w:rsidRPr="00D52B2F">
        <w:rPr>
          <w:lang w:val="fr-CA"/>
        </w:rPr>
        <w:t>: Examen et/ou révision des lois et réglementations, y compris les programmes d’octroi de permis et de quotas d’importation et d’exportation, afin d’y inclure les dispositions de l’Amendement</w:t>
      </w:r>
      <w:r>
        <w:rPr>
          <w:lang w:val="fr-CA"/>
        </w:rPr>
        <w:t xml:space="preserve"> de Kigali; ateliers de consultation sur l’élaboration d’un programme d’octroi de permis</w:t>
      </w:r>
      <w:r w:rsidRPr="00B2690D">
        <w:rPr>
          <w:rStyle w:val="FootnoteReference"/>
          <w:lang w:val="fr-CA"/>
        </w:rPr>
        <w:footnoteReference w:id="26"/>
      </w:r>
      <w:r w:rsidRPr="008A591E">
        <w:rPr>
          <w:lang w:val="fr-CA"/>
        </w:rPr>
        <w:t xml:space="preserve"> </w:t>
      </w:r>
      <w:r>
        <w:rPr>
          <w:lang w:val="fr-CA"/>
        </w:rPr>
        <w:t>et de quotas; et consultations sur les mécanismes de suivi de l’offre et l’utilisation de HFC avec les douaniers et les autres parties prenantes</w:t>
      </w:r>
      <w:r w:rsidR="00EB3658" w:rsidRPr="00713592">
        <w:rPr>
          <w:lang w:val="fr-CA"/>
        </w:rPr>
        <w:t>;</w:t>
      </w:r>
    </w:p>
    <w:p w14:paraId="4A153559" w14:textId="4F8C9AF9" w:rsidR="00EB3658" w:rsidRPr="00713592" w:rsidRDefault="00DD74A5" w:rsidP="001E39EE">
      <w:pPr>
        <w:pStyle w:val="Heading2"/>
        <w:widowControl/>
        <w:numPr>
          <w:ilvl w:val="1"/>
          <w:numId w:val="21"/>
        </w:numPr>
        <w:rPr>
          <w:b/>
          <w:bCs/>
          <w:lang w:val="fr-CA"/>
        </w:rPr>
      </w:pPr>
      <w:r w:rsidRPr="00DB1E3A">
        <w:rPr>
          <w:u w:val="single"/>
          <w:lang w:val="fr-CA"/>
        </w:rPr>
        <w:t xml:space="preserve">Soutien à </w:t>
      </w:r>
      <w:r>
        <w:rPr>
          <w:u w:val="single"/>
          <w:lang w:val="fr-CA"/>
        </w:rPr>
        <w:t>l’exécution</w:t>
      </w:r>
      <w:r w:rsidRPr="00DB1E3A">
        <w:rPr>
          <w:u w:val="single"/>
          <w:lang w:val="fr-CA"/>
        </w:rPr>
        <w:t xml:space="preserve"> d’un programme de collecte de données et de suivi :</w:t>
      </w:r>
      <w:r w:rsidRPr="00DB1E3A">
        <w:rPr>
          <w:b/>
          <w:lang w:val="fr-CA"/>
        </w:rPr>
        <w:t xml:space="preserve"> </w:t>
      </w:r>
      <w:r>
        <w:rPr>
          <w:lang w:val="fr-CA"/>
        </w:rPr>
        <w:t>Création d’</w:t>
      </w:r>
      <w:r w:rsidRPr="00DB1E3A">
        <w:rPr>
          <w:lang w:val="fr-CA"/>
        </w:rPr>
        <w:t xml:space="preserve">un programme de collecte de données sur les HFC; consultations avec les importateurs, les négociants et les autres parties prenantes </w:t>
      </w:r>
      <w:r>
        <w:rPr>
          <w:lang w:val="fr-CA"/>
        </w:rPr>
        <w:t>sur</w:t>
      </w:r>
      <w:r w:rsidRPr="00DB1E3A">
        <w:rPr>
          <w:lang w:val="fr-CA"/>
        </w:rPr>
        <w:t xml:space="preserve"> la collecte de données sur les HFC et les mélanges contenant des HFC; </w:t>
      </w:r>
      <w:r>
        <w:rPr>
          <w:lang w:val="fr-CA"/>
        </w:rPr>
        <w:t>exigences en matière d’établissement de rapports</w:t>
      </w:r>
      <w:r w:rsidR="00B23EAE">
        <w:rPr>
          <w:lang w:val="fr-CA"/>
        </w:rPr>
        <w:t xml:space="preserve"> et de suivi; mise à jour des codes de suivi du</w:t>
      </w:r>
      <w:r>
        <w:rPr>
          <w:lang w:val="fr-CA"/>
        </w:rPr>
        <w:t xml:space="preserve"> système harmonisé (SH) </w:t>
      </w:r>
      <w:r w:rsidR="00B23EAE">
        <w:rPr>
          <w:lang w:val="fr-CA"/>
        </w:rPr>
        <w:t>pour les HFC et l</w:t>
      </w:r>
      <w:r>
        <w:rPr>
          <w:lang w:val="fr-CA"/>
        </w:rPr>
        <w:t>es mélanges contenant des HFC; coordination régionale de la mise en place de codes du SH pour les HFC; et achat d’équipement pour identifier les frigorigènes à base de HFC</w:t>
      </w:r>
      <w:r w:rsidR="00EB3658" w:rsidRPr="00713592">
        <w:rPr>
          <w:lang w:val="fr-CA"/>
        </w:rPr>
        <w:t xml:space="preserve">; </w:t>
      </w:r>
    </w:p>
    <w:p w14:paraId="2AAC7C56" w14:textId="5CC93B33" w:rsidR="00EB3658" w:rsidRDefault="00B23EAE" w:rsidP="00B23EAE">
      <w:pPr>
        <w:pStyle w:val="Heading2"/>
        <w:spacing w:after="0"/>
        <w:rPr>
          <w:lang w:val="fr-CA"/>
        </w:rPr>
      </w:pPr>
      <w:r w:rsidRPr="0033167E">
        <w:rPr>
          <w:u w:val="single"/>
          <w:lang w:val="fr-CA"/>
        </w:rPr>
        <w:t xml:space="preserve">Mise en œuvre d’autres activités, y compris la démonstration et la formation </w:t>
      </w:r>
      <w:r w:rsidRPr="0033167E">
        <w:rPr>
          <w:lang w:val="fr-CA"/>
        </w:rPr>
        <w:t>: Programmes de formation sur l’utilisation de solutions de remplacement à faible potentiel de réchauffement de la planète (PRG), dont des frigorigènes inflammables, avec le soutien d’experts</w:t>
      </w:r>
      <w:r>
        <w:rPr>
          <w:lang w:val="fr-CA"/>
        </w:rPr>
        <w:t xml:space="preserve"> techniques</w:t>
      </w:r>
      <w:r w:rsidRPr="0033167E">
        <w:rPr>
          <w:lang w:val="fr-CA"/>
        </w:rPr>
        <w:t xml:space="preserve">; programmes de rayonnement pour sensibiliser le public à l’Amendement de Kigali, les HFC, les solutions de remplacement sans HFC utilisées dans différentes applications, l’utilisation de solutions de remplacement à faible PRG, la réglementation sur l’utilisation de HFC et de solutions de remplacement sans HFC et le suivi de l’utilisation des HFC et des substances sans HFC </w:t>
      </w:r>
      <w:r>
        <w:rPr>
          <w:lang w:val="fr-CA"/>
        </w:rPr>
        <w:t>dans les secteurs de</w:t>
      </w:r>
      <w:r w:rsidRPr="0033167E">
        <w:rPr>
          <w:lang w:val="fr-CA"/>
        </w:rPr>
        <w:t xml:space="preserve"> la fabrication et de l’entretien de l’équipement de réfrigération, les institutions gouvernementales et techniques et le public; et différents </w:t>
      </w:r>
      <w:r>
        <w:rPr>
          <w:lang w:val="fr-CA"/>
        </w:rPr>
        <w:t>régimes fiscaux</w:t>
      </w:r>
      <w:r w:rsidRPr="0033167E">
        <w:rPr>
          <w:lang w:val="fr-CA"/>
        </w:rPr>
        <w:t xml:space="preserve"> fondés sur le PRG des frigorigènes;</w:t>
      </w:r>
      <w:r>
        <w:rPr>
          <w:lang w:val="fr-CA"/>
        </w:rPr>
        <w:t xml:space="preserve"> et</w:t>
      </w:r>
    </w:p>
    <w:p w14:paraId="2EF0F3A9" w14:textId="77777777" w:rsidR="00B23EAE" w:rsidRPr="00B23EAE" w:rsidRDefault="00B23EAE" w:rsidP="00B23EAE">
      <w:pPr>
        <w:rPr>
          <w:lang w:val="fr-CA"/>
        </w:rPr>
      </w:pPr>
    </w:p>
    <w:p w14:paraId="362AC363" w14:textId="531CB6B6" w:rsidR="00EB3658" w:rsidRPr="00713592" w:rsidRDefault="00B23EAE" w:rsidP="001E39EE">
      <w:pPr>
        <w:pStyle w:val="Heading2"/>
        <w:widowControl/>
        <w:numPr>
          <w:ilvl w:val="1"/>
          <w:numId w:val="21"/>
        </w:numPr>
        <w:rPr>
          <w:lang w:val="fr-CA"/>
        </w:rPr>
      </w:pPr>
      <w:r w:rsidRPr="0033167E">
        <w:rPr>
          <w:u w:val="single"/>
          <w:lang w:val="fr-CA"/>
        </w:rPr>
        <w:t>Activités en lien avec l’efficacité énergétique</w:t>
      </w:r>
      <w:r w:rsidRPr="00B23EAE">
        <w:rPr>
          <w:lang w:val="fr-CA"/>
        </w:rPr>
        <w:t xml:space="preserve"> </w:t>
      </w:r>
      <w:r w:rsidRPr="0033167E">
        <w:rPr>
          <w:lang w:val="fr-CA"/>
        </w:rPr>
        <w:t xml:space="preserve">: Coordination avec les institutions d’efficacité énergétique afin d’inclure les dispositions </w:t>
      </w:r>
      <w:r>
        <w:rPr>
          <w:lang w:val="fr-CA"/>
        </w:rPr>
        <w:t xml:space="preserve">de l’Amendement de Kigali tout en mettant en œuvre des mesures d’efficacité énergétique </w:t>
      </w:r>
      <w:r w:rsidRPr="0033167E">
        <w:rPr>
          <w:lang w:val="fr-CA"/>
        </w:rPr>
        <w:t xml:space="preserve">(p. ex., normes minimales de performance énergétique, programmes d’étiquetage, amélioration de l’efficacité énergétique de l’équipement de réfrigération et de </w:t>
      </w:r>
      <w:r>
        <w:rPr>
          <w:lang w:val="fr-CA"/>
        </w:rPr>
        <w:t>climatisation, participation à l</w:t>
      </w:r>
      <w:r w:rsidRPr="0033167E">
        <w:rPr>
          <w:lang w:val="fr-CA"/>
        </w:rPr>
        <w:t>’élaboration de plans de refroidissement afin de promouvoir les technolog</w:t>
      </w:r>
      <w:r>
        <w:rPr>
          <w:lang w:val="fr-CA"/>
        </w:rPr>
        <w:t xml:space="preserve">ies </w:t>
      </w:r>
      <w:proofErr w:type="spellStart"/>
      <w:r>
        <w:rPr>
          <w:lang w:val="fr-CA"/>
        </w:rPr>
        <w:t>éconergétiques</w:t>
      </w:r>
      <w:proofErr w:type="spellEnd"/>
      <w:r>
        <w:rPr>
          <w:lang w:val="fr-CA"/>
        </w:rPr>
        <w:t xml:space="preserve"> à faible PRG,</w:t>
      </w:r>
      <w:r w:rsidRPr="0033167E">
        <w:rPr>
          <w:lang w:val="fr-CA"/>
        </w:rPr>
        <w:t xml:space="preserve"> contribution lors de l’élaboration de normes régionales sur l’adoption de technologies </w:t>
      </w:r>
      <w:proofErr w:type="spellStart"/>
      <w:r w:rsidRPr="0033167E">
        <w:rPr>
          <w:lang w:val="fr-CA"/>
        </w:rPr>
        <w:t>éconergétiques</w:t>
      </w:r>
      <w:proofErr w:type="spellEnd"/>
      <w:r w:rsidRPr="0033167E">
        <w:rPr>
          <w:lang w:val="fr-CA"/>
        </w:rPr>
        <w:t>)</w:t>
      </w:r>
      <w:r w:rsidRPr="0033167E">
        <w:rPr>
          <w:rStyle w:val="FootnoteReference"/>
        </w:rPr>
        <w:footnoteReference w:id="27"/>
      </w:r>
      <w:r w:rsidRPr="0033167E">
        <w:rPr>
          <w:lang w:val="fr-CA"/>
        </w:rPr>
        <w:t>; encouragement de la participation des parties prenantes de l’efficacité énergétique aux réunions en lien avec l’Amendement de Kigali; promotion de l’efficacité énergétique</w:t>
      </w:r>
      <w:r>
        <w:rPr>
          <w:lang w:val="fr-CA"/>
        </w:rPr>
        <w:t xml:space="preserve"> du</w:t>
      </w:r>
      <w:r w:rsidRPr="0033167E">
        <w:rPr>
          <w:lang w:val="fr-CA"/>
        </w:rPr>
        <w:t xml:space="preserve"> refroidissement dans le cadre de mesures sectorielles de promotion de l’efficacité énergétique; formation en technologies de réfrigération et climatisation </w:t>
      </w:r>
      <w:proofErr w:type="spellStart"/>
      <w:r w:rsidRPr="0033167E">
        <w:rPr>
          <w:lang w:val="fr-CA"/>
        </w:rPr>
        <w:t>éconergétiques</w:t>
      </w:r>
      <w:proofErr w:type="spellEnd"/>
      <w:r w:rsidRPr="0033167E">
        <w:rPr>
          <w:lang w:val="fr-CA"/>
        </w:rPr>
        <w:t xml:space="preserve">; démonstration des économies réalisées par les utilisateurs qui adoptent de l’équipement </w:t>
      </w:r>
      <w:proofErr w:type="spellStart"/>
      <w:r w:rsidRPr="0033167E">
        <w:rPr>
          <w:lang w:val="fr-CA"/>
        </w:rPr>
        <w:t>éconergétique</w:t>
      </w:r>
      <w:proofErr w:type="spellEnd"/>
      <w:r w:rsidRPr="0033167E">
        <w:rPr>
          <w:lang w:val="fr-CA"/>
        </w:rPr>
        <w:t xml:space="preserve">; et conception d’équipement de réfrigération et climatisation </w:t>
      </w:r>
      <w:proofErr w:type="spellStart"/>
      <w:r w:rsidRPr="0033167E">
        <w:rPr>
          <w:lang w:val="fr-CA"/>
        </w:rPr>
        <w:t>éconergétique</w:t>
      </w:r>
      <w:proofErr w:type="spellEnd"/>
      <w:r>
        <w:rPr>
          <w:lang w:val="fr-CA"/>
        </w:rPr>
        <w:t>,</w:t>
      </w:r>
      <w:r w:rsidRPr="0033167E">
        <w:rPr>
          <w:lang w:val="fr-CA"/>
        </w:rPr>
        <w:t xml:space="preserve"> et de mesures pour accroître l’adoption de technologies </w:t>
      </w:r>
      <w:proofErr w:type="spellStart"/>
      <w:r w:rsidRPr="0033167E">
        <w:rPr>
          <w:lang w:val="fr-CA"/>
        </w:rPr>
        <w:t>éconergétiques</w:t>
      </w:r>
      <w:proofErr w:type="spellEnd"/>
      <w:r w:rsidR="00EB3658" w:rsidRPr="00713592">
        <w:rPr>
          <w:lang w:val="fr-CA"/>
        </w:rPr>
        <w:t>.</w:t>
      </w:r>
    </w:p>
    <w:p w14:paraId="6ED85114" w14:textId="77777777" w:rsidR="008761C9" w:rsidRPr="008761C9" w:rsidRDefault="008761C9" w:rsidP="008761C9">
      <w:pPr>
        <w:pStyle w:val="Heading1"/>
        <w:keepNext/>
        <w:numPr>
          <w:ilvl w:val="0"/>
          <w:numId w:val="0"/>
        </w:numPr>
        <w:rPr>
          <w:kern w:val="36"/>
          <w:lang w:val="fr-CA"/>
        </w:rPr>
      </w:pPr>
      <w:r>
        <w:rPr>
          <w:u w:val="single"/>
          <w:lang w:val="fr-CA"/>
        </w:rPr>
        <w:lastRenderedPageBreak/>
        <w:t>Principales conclusions et enseignements tirés</w:t>
      </w:r>
    </w:p>
    <w:p w14:paraId="26A47FAC" w14:textId="4285EF09" w:rsidR="00EB3658" w:rsidRPr="008761C9" w:rsidRDefault="008761C9" w:rsidP="001E39EE">
      <w:pPr>
        <w:pStyle w:val="Heading1"/>
        <w:keepNext/>
        <w:numPr>
          <w:ilvl w:val="0"/>
          <w:numId w:val="21"/>
        </w:numPr>
        <w:rPr>
          <w:kern w:val="36"/>
          <w:lang w:val="en-US"/>
        </w:rPr>
      </w:pPr>
      <w:r>
        <w:rPr>
          <w:lang w:val="fr-CA"/>
        </w:rPr>
        <w:t xml:space="preserve">Les pays ont acquis de l’expérience concernant le processus de ratification de l’Amendement de Kigali et la mise en œuvre des activités de facilitation de la réduction progressive des HFC au cours de la mise en œuvre des activités de facilitation. </w:t>
      </w:r>
      <w:r w:rsidR="00970BE6">
        <w:rPr>
          <w:lang w:val="fr-CA"/>
        </w:rPr>
        <w:t>Elle est</w:t>
      </w:r>
      <w:r>
        <w:rPr>
          <w:lang w:val="fr-CA"/>
        </w:rPr>
        <w:t xml:space="preserve"> résumée ci-dessous </w:t>
      </w:r>
      <w:r w:rsidR="00EB3658" w:rsidRPr="008761C9">
        <w:rPr>
          <w:kern w:val="36"/>
          <w:lang w:val="en-US"/>
        </w:rPr>
        <w:t xml:space="preserve">: </w:t>
      </w:r>
    </w:p>
    <w:p w14:paraId="0FC2C19A" w14:textId="319E2B63" w:rsidR="00EB3658" w:rsidRPr="00713592" w:rsidRDefault="00933556" w:rsidP="001E39EE">
      <w:pPr>
        <w:pStyle w:val="Heading2"/>
        <w:widowControl/>
        <w:numPr>
          <w:ilvl w:val="1"/>
          <w:numId w:val="21"/>
        </w:numPr>
        <w:rPr>
          <w:lang w:val="fr-CA"/>
        </w:rPr>
      </w:pPr>
      <w:r>
        <w:rPr>
          <w:lang w:val="fr-CA"/>
        </w:rPr>
        <w:t xml:space="preserve">Le </w:t>
      </w:r>
      <w:r w:rsidRPr="00DB507C">
        <w:rPr>
          <w:lang w:val="fr-CA"/>
        </w:rPr>
        <w:t>rapport d’évaluation du pays permettant de comprendre les tendances de consommation aide les parties prenantes à définir les mesures à prendre et leurs responsabilités dans l’application de ces mesures</w:t>
      </w:r>
      <w:r w:rsidR="00D77EDD">
        <w:rPr>
          <w:lang w:val="fr-CA"/>
        </w:rPr>
        <w:t>,</w:t>
      </w:r>
      <w:r>
        <w:rPr>
          <w:lang w:val="fr-CA"/>
        </w:rPr>
        <w:t xml:space="preserve"> et fournit des recommandations concernant les mesures d’orientation et les activités d’assistance technique qui pourraient servir de carte de route aux pays pour la mise en œuvre de l’Amendement de Kigali</w:t>
      </w:r>
      <w:r w:rsidRPr="00DB507C">
        <w:rPr>
          <w:lang w:val="fr-CA"/>
        </w:rPr>
        <w:t>; les lignes directrices sur les méthodes de collecte de données et les questionnaires de sondage/modèles de rapport structurés ont été préparés et communiqués à toutes les parties prenantes concernées; les activités en lien avec les plans d’action sur le refroidissement et l’amélioration de l’efficacité énergétique recevant le soutien des sources de financement à l’extérieur du Fonds multilatéral présentent également des occasions de coordonner et de collaborer à la mise en œuvre de projets pour réduire progressivement les HFC; et les interfaces avec les activités existantes et prévues des plan</w:t>
      </w:r>
      <w:r>
        <w:rPr>
          <w:lang w:val="fr-CA"/>
        </w:rPr>
        <w:t>s</w:t>
      </w:r>
      <w:r w:rsidRPr="00DB507C">
        <w:rPr>
          <w:lang w:val="fr-CA"/>
        </w:rPr>
        <w:t xml:space="preserve"> de gestion de l'élimination des HCFC (PGEH) ont été internalisées en analysant les niveaux de consommation de HCFC et de HFC, et en consultant les parties prenantes de l’industrie</w:t>
      </w:r>
      <w:r w:rsidR="00EB3658" w:rsidRPr="00713592">
        <w:rPr>
          <w:lang w:val="fr-CA"/>
        </w:rPr>
        <w:t>;</w:t>
      </w:r>
    </w:p>
    <w:p w14:paraId="3D89FBCD" w14:textId="61EFD243" w:rsidR="00EB3658" w:rsidRPr="00713592" w:rsidRDefault="006B67C5" w:rsidP="001E39EE">
      <w:pPr>
        <w:pStyle w:val="Heading2"/>
        <w:widowControl/>
        <w:numPr>
          <w:ilvl w:val="1"/>
          <w:numId w:val="21"/>
        </w:numPr>
        <w:rPr>
          <w:lang w:val="fr-CA"/>
        </w:rPr>
      </w:pPr>
      <w:r w:rsidRPr="00DB507C">
        <w:rPr>
          <w:lang w:val="fr-CA"/>
        </w:rPr>
        <w:t>Le renforcement des programmes d’octr</w:t>
      </w:r>
      <w:r>
        <w:rPr>
          <w:lang w:val="fr-CA"/>
        </w:rPr>
        <w:t>oi de permis et de quotas afin d’</w:t>
      </w:r>
      <w:r w:rsidRPr="00DB507C">
        <w:rPr>
          <w:lang w:val="fr-CA"/>
        </w:rPr>
        <w:t xml:space="preserve">y inclure les HFC et les </w:t>
      </w:r>
      <w:r>
        <w:rPr>
          <w:lang w:val="fr-CA"/>
        </w:rPr>
        <w:t xml:space="preserve">mélanges contenant des </w:t>
      </w:r>
      <w:r w:rsidRPr="00DB507C">
        <w:rPr>
          <w:lang w:val="fr-CA"/>
        </w:rPr>
        <w:t xml:space="preserve">HFC est une action prioritaire pour le suivi et l’établissement de rapports, qui exigent des consultations approfondies avec les institutions compétentes; </w:t>
      </w:r>
      <w:r>
        <w:rPr>
          <w:lang w:val="fr-CA"/>
        </w:rPr>
        <w:t>des mesures ont été entreprises pour garantir l’identification exacte des HFC et des mélanges contenant des HFC, dont l</w:t>
      </w:r>
      <w:r w:rsidR="001C1104">
        <w:rPr>
          <w:lang w:val="fr-CA"/>
        </w:rPr>
        <w:t>a</w:t>
      </w:r>
      <w:r>
        <w:rPr>
          <w:lang w:val="fr-CA"/>
        </w:rPr>
        <w:t xml:space="preserve"> mise au point des codes du SH et la mise en place de méthodes/processus pour une collecte et un suivi exacts des données sur les HFC; </w:t>
      </w:r>
      <w:r w:rsidRPr="00DB507C">
        <w:rPr>
          <w:lang w:val="fr-CA"/>
        </w:rPr>
        <w:t xml:space="preserve">la mise en place de programmes en ligne est appréciée par les douaniers et les importateurs car </w:t>
      </w:r>
      <w:r>
        <w:rPr>
          <w:lang w:val="fr-CA"/>
        </w:rPr>
        <w:t>ils</w:t>
      </w:r>
      <w:r w:rsidRPr="00DB507C">
        <w:rPr>
          <w:lang w:val="fr-CA"/>
        </w:rPr>
        <w:t xml:space="preserve"> leur permet</w:t>
      </w:r>
      <w:r>
        <w:rPr>
          <w:lang w:val="fr-CA"/>
        </w:rPr>
        <w:t>tent</w:t>
      </w:r>
      <w:r w:rsidRPr="00DB507C">
        <w:rPr>
          <w:lang w:val="fr-CA"/>
        </w:rPr>
        <w:t xml:space="preserve"> d’économiser du temps, des coûts et des efforts; le renforcement des capacités et la formati</w:t>
      </w:r>
      <w:r>
        <w:rPr>
          <w:lang w:val="fr-CA"/>
        </w:rPr>
        <w:t>on supplémentaire</w:t>
      </w:r>
      <w:r w:rsidRPr="00DB507C">
        <w:rPr>
          <w:lang w:val="fr-CA"/>
        </w:rPr>
        <w:t xml:space="preserve"> des représentants </w:t>
      </w:r>
      <w:r>
        <w:rPr>
          <w:lang w:val="fr-CA"/>
        </w:rPr>
        <w:t>en</w:t>
      </w:r>
      <w:r w:rsidRPr="00DB507C">
        <w:rPr>
          <w:lang w:val="fr-CA"/>
        </w:rPr>
        <w:t xml:space="preserve"> collecte et </w:t>
      </w:r>
      <w:r>
        <w:rPr>
          <w:lang w:val="fr-CA"/>
        </w:rPr>
        <w:t>en</w:t>
      </w:r>
      <w:r w:rsidRPr="00DB507C">
        <w:rPr>
          <w:lang w:val="fr-CA"/>
        </w:rPr>
        <w:t xml:space="preserve"> suivi de données sont aussi des actions prioritaires;</w:t>
      </w:r>
      <w:r>
        <w:rPr>
          <w:lang w:val="fr-CA"/>
        </w:rPr>
        <w:t xml:space="preserve"> et l</w:t>
      </w:r>
      <w:r w:rsidRPr="00DB507C">
        <w:rPr>
          <w:lang w:val="fr-CA"/>
        </w:rPr>
        <w:t xml:space="preserve">a formation des douaniers </w:t>
      </w:r>
      <w:r>
        <w:rPr>
          <w:lang w:val="fr-CA"/>
        </w:rPr>
        <w:t xml:space="preserve">et des agents d’exécution </w:t>
      </w:r>
      <w:r w:rsidRPr="00DB507C">
        <w:rPr>
          <w:lang w:val="fr-CA"/>
        </w:rPr>
        <w:t>ainsi que le renforcement des points de contrôle frontaliers grâce à de l’équipement d’identification sont essentiels afin de prévenir le commerce illicite des HFC</w:t>
      </w:r>
      <w:r w:rsidR="00EB3658" w:rsidRPr="00713592">
        <w:rPr>
          <w:lang w:val="fr-CA"/>
        </w:rPr>
        <w:t>;</w:t>
      </w:r>
    </w:p>
    <w:p w14:paraId="718DAC8E" w14:textId="2EF7B61E" w:rsidR="00EB3658" w:rsidRPr="00713592" w:rsidRDefault="00D82434" w:rsidP="001E39EE">
      <w:pPr>
        <w:pStyle w:val="Heading2"/>
        <w:widowControl/>
        <w:numPr>
          <w:ilvl w:val="1"/>
          <w:numId w:val="21"/>
        </w:numPr>
        <w:rPr>
          <w:bCs/>
          <w:lang w:val="fr-CA"/>
        </w:rPr>
      </w:pPr>
      <w:r w:rsidRPr="00DB507C">
        <w:rPr>
          <w:lang w:val="fr-CA"/>
        </w:rPr>
        <w:t>Le suivi continu auprès des autorités responsables de l’élaboration, de la mise au point et de l’approbation des politiques et réglementations sur les HFC par le Bureau national de l’ozone est essentiel. Comme les activités en lien avec les HFC portent sur un nouveau groupe de substances comprenant des mélanges et des substances de re</w:t>
      </w:r>
      <w:r>
        <w:rPr>
          <w:lang w:val="fr-CA"/>
        </w:rPr>
        <w:t>mplacement devant être manipulée</w:t>
      </w:r>
      <w:r w:rsidRPr="00DB507C">
        <w:rPr>
          <w:lang w:val="fr-CA"/>
        </w:rPr>
        <w:t xml:space="preserve">s avec soin, des efforts supplémentaires sont nécessaires </w:t>
      </w:r>
      <w:r>
        <w:rPr>
          <w:lang w:val="fr-CA"/>
        </w:rPr>
        <w:t>afin de</w:t>
      </w:r>
      <w:r w:rsidRPr="00DB507C">
        <w:rPr>
          <w:lang w:val="fr-CA"/>
        </w:rPr>
        <w:t xml:space="preserve"> renforcer les capacités des différentes parties prenantes nationales pour la collecte de données</w:t>
      </w:r>
      <w:r>
        <w:rPr>
          <w:lang w:val="fr-CA"/>
        </w:rPr>
        <w:t>,</w:t>
      </w:r>
      <w:r w:rsidRPr="00DB507C">
        <w:rPr>
          <w:lang w:val="fr-CA"/>
        </w:rPr>
        <w:t xml:space="preserve"> le suivi et l’établissement de rapports</w:t>
      </w:r>
      <w:r>
        <w:rPr>
          <w:lang w:val="fr-CA"/>
        </w:rPr>
        <w:t>, et pour la sensibilisation aux nouvelles politiques et réglementations en vigueur concernant les HFC</w:t>
      </w:r>
      <w:r w:rsidR="00EB3658" w:rsidRPr="00713592">
        <w:rPr>
          <w:bCs/>
          <w:lang w:val="fr-CA"/>
        </w:rPr>
        <w:t xml:space="preserve">; </w:t>
      </w:r>
    </w:p>
    <w:p w14:paraId="6321AF8E" w14:textId="6E675580" w:rsidR="00EB3658" w:rsidRPr="00713592" w:rsidRDefault="00D82434" w:rsidP="001E39EE">
      <w:pPr>
        <w:pStyle w:val="Heading2"/>
        <w:widowControl/>
        <w:numPr>
          <w:ilvl w:val="1"/>
          <w:numId w:val="21"/>
        </w:numPr>
        <w:rPr>
          <w:bCs/>
          <w:lang w:val="fr-CA"/>
        </w:rPr>
      </w:pPr>
      <w:r>
        <w:rPr>
          <w:lang w:val="fr-CA"/>
        </w:rPr>
        <w:t>D’importants efforts s’imposent afin d’approuver les réglementations concernant l’adoption de frigorigènes à faible PRG, surtout en ce qui concerne la sécurité; le renforcement des capacités, comprenant la formation et la diffusion de renseignements techniques, est essentiel à l’adoption durable de frigorigènes à faible PRG inflammables, toxiques et fonctionnant à haute pression; et le renforcement des capacités des institutions de formation et techniques, et la formation et la certification des techniciens d’entretien en manipulation de frigorigènes à faible PRG sont essentiels</w:t>
      </w:r>
      <w:r w:rsidR="00A34185">
        <w:rPr>
          <w:lang w:val="fr-CA"/>
        </w:rPr>
        <w:t xml:space="preserve">; </w:t>
      </w:r>
      <w:r w:rsidR="003D3C50">
        <w:rPr>
          <w:lang w:val="fr-CA"/>
        </w:rPr>
        <w:t>le regroupement</w:t>
      </w:r>
      <w:r w:rsidR="00A34185">
        <w:rPr>
          <w:lang w:val="fr-CA"/>
        </w:rPr>
        <w:t xml:space="preserve"> de synergies et d’activités existantes au titre des PGEH peut faciliter l’introduct</w:t>
      </w:r>
      <w:r w:rsidR="00173672">
        <w:rPr>
          <w:lang w:val="fr-CA"/>
        </w:rPr>
        <w:t>ion de solutions de remplacement à faible PRG durables et rentables</w:t>
      </w:r>
      <w:r w:rsidR="00EB3658" w:rsidRPr="00713592">
        <w:rPr>
          <w:bCs/>
          <w:lang w:val="fr-CA"/>
        </w:rPr>
        <w:t>;</w:t>
      </w:r>
    </w:p>
    <w:p w14:paraId="1E58D10D" w14:textId="6BB55727" w:rsidR="00EB3658" w:rsidRPr="00713592" w:rsidRDefault="00173672" w:rsidP="001E39EE">
      <w:pPr>
        <w:pStyle w:val="Heading2"/>
        <w:widowControl/>
        <w:numPr>
          <w:ilvl w:val="1"/>
          <w:numId w:val="21"/>
        </w:numPr>
        <w:rPr>
          <w:lang w:val="fr-CA"/>
        </w:rPr>
      </w:pPr>
      <w:r>
        <w:rPr>
          <w:lang w:val="fr-CA"/>
        </w:rPr>
        <w:lastRenderedPageBreak/>
        <w:t xml:space="preserve">La mise en place de normes minimales de performance énergétique, d’un régime de taxes/droits progressif fondé sur l’efficacité énergétique de l’équipement de réfrigération et de climatisation sans HFC et de taxes plus élevées pour les produits à base de frigorigènes à PRG élevé encourage l’industrie à faire la transition à de l’équipement à PRG moins élevé et plus </w:t>
      </w:r>
      <w:proofErr w:type="spellStart"/>
      <w:r>
        <w:rPr>
          <w:lang w:val="fr-CA"/>
        </w:rPr>
        <w:t>éconergétique</w:t>
      </w:r>
      <w:proofErr w:type="spellEnd"/>
      <w:r>
        <w:rPr>
          <w:lang w:val="fr-CA"/>
        </w:rPr>
        <w:t xml:space="preserve">; et bien que l’importation d’équipement de réfrigération et de climatisation usagé moins </w:t>
      </w:r>
      <w:proofErr w:type="spellStart"/>
      <w:r>
        <w:rPr>
          <w:lang w:val="fr-CA"/>
        </w:rPr>
        <w:t>éconergétique</w:t>
      </w:r>
      <w:proofErr w:type="spellEnd"/>
      <w:r>
        <w:rPr>
          <w:lang w:val="fr-CA"/>
        </w:rPr>
        <w:t xml:space="preserve"> ait des conséquences sur la mise en place des mesures d’amélioration de l’efficacité énergétique, plusieurs activités de diffusion d’information et de renforcement des capacités sont menées afin de réduire au minimum ces importations</w:t>
      </w:r>
      <w:r w:rsidR="00EB3658" w:rsidRPr="00713592">
        <w:rPr>
          <w:lang w:val="fr-CA"/>
        </w:rPr>
        <w:t>;</w:t>
      </w:r>
    </w:p>
    <w:p w14:paraId="505899DE" w14:textId="1F2E6DC6" w:rsidR="00EB3658" w:rsidRPr="00713592" w:rsidRDefault="00173672" w:rsidP="001E39EE">
      <w:pPr>
        <w:pStyle w:val="Heading2"/>
        <w:widowControl/>
        <w:numPr>
          <w:ilvl w:val="1"/>
          <w:numId w:val="21"/>
        </w:numPr>
        <w:rPr>
          <w:lang w:val="fr-CA"/>
        </w:rPr>
      </w:pPr>
      <w:r>
        <w:rPr>
          <w:lang w:val="fr-CA"/>
        </w:rPr>
        <w:t>La mise en place de normes nationales d’accréditation des techniciens en réfrigération et climatisation contribuera à réduire les HFC émis par l’équipement de réfrigération et de climatisation grâce à l’adoption de bonnes pratiques d’entretien et de pratiques sécuritaires lors de l’entretien de l’équipement</w:t>
      </w:r>
      <w:r w:rsidR="00310B70">
        <w:rPr>
          <w:lang w:val="fr-CA"/>
        </w:rPr>
        <w:t xml:space="preserve"> à base de frigorigènes inflammables, toxiques et fonctionnant à haute pression</w:t>
      </w:r>
      <w:r w:rsidR="00EB3658" w:rsidRPr="00713592">
        <w:rPr>
          <w:lang w:val="fr-CA"/>
        </w:rPr>
        <w:t>.</w:t>
      </w:r>
    </w:p>
    <w:p w14:paraId="7213B1B0" w14:textId="1DAA8142" w:rsidR="00EB3658" w:rsidRPr="00713592" w:rsidRDefault="00310B70" w:rsidP="001E39EE">
      <w:pPr>
        <w:pStyle w:val="Heading2"/>
        <w:widowControl/>
        <w:numPr>
          <w:ilvl w:val="1"/>
          <w:numId w:val="21"/>
        </w:numPr>
        <w:rPr>
          <w:lang w:val="fr-CA"/>
        </w:rPr>
      </w:pPr>
      <w:r w:rsidRPr="00B074BA">
        <w:rPr>
          <w:lang w:val="fr-CA"/>
        </w:rPr>
        <w:t>Le recensement d’experts locaux pour entreprendre des activités exige le soutien continu du Bureau national de</w:t>
      </w:r>
      <w:r>
        <w:rPr>
          <w:lang w:val="fr-CA"/>
        </w:rPr>
        <w:t xml:space="preserve"> l’ozone </w:t>
      </w:r>
      <w:r w:rsidRPr="00B074BA">
        <w:rPr>
          <w:lang w:val="fr-CA"/>
        </w:rPr>
        <w:t>et pour le renforcement des capacités</w:t>
      </w:r>
      <w:r>
        <w:rPr>
          <w:lang w:val="fr-CA"/>
        </w:rPr>
        <w:t xml:space="preserve">, et </w:t>
      </w:r>
      <w:r w:rsidR="00B564EC">
        <w:rPr>
          <w:lang w:val="fr-CA"/>
        </w:rPr>
        <w:t>tient compte</w:t>
      </w:r>
      <w:r>
        <w:rPr>
          <w:lang w:val="fr-CA"/>
        </w:rPr>
        <w:t xml:space="preserve"> de</w:t>
      </w:r>
      <w:r w:rsidR="00B564EC">
        <w:rPr>
          <w:lang w:val="fr-CA"/>
        </w:rPr>
        <w:t>s</w:t>
      </w:r>
      <w:r>
        <w:rPr>
          <w:lang w:val="fr-CA"/>
        </w:rPr>
        <w:t xml:space="preserve"> besoins/tendances précis de consommation</w:t>
      </w:r>
      <w:r w:rsidR="00EB3658" w:rsidRPr="00713592">
        <w:rPr>
          <w:lang w:val="fr-CA"/>
        </w:rPr>
        <w:t>.</w:t>
      </w:r>
    </w:p>
    <w:p w14:paraId="7894972F" w14:textId="6EDD7E7F" w:rsidR="00EB3658" w:rsidRPr="00713592" w:rsidRDefault="00310B70" w:rsidP="001E39EE">
      <w:pPr>
        <w:pStyle w:val="Heading2"/>
        <w:widowControl/>
        <w:numPr>
          <w:ilvl w:val="1"/>
          <w:numId w:val="21"/>
        </w:numPr>
        <w:rPr>
          <w:strike/>
          <w:lang w:val="fr-CA"/>
        </w:rPr>
      </w:pPr>
      <w:r w:rsidRPr="00B074BA">
        <w:rPr>
          <w:lang w:val="fr-CA"/>
        </w:rPr>
        <w:t xml:space="preserve">Les activités </w:t>
      </w:r>
      <w:r>
        <w:rPr>
          <w:lang w:val="fr-CA"/>
        </w:rPr>
        <w:t>mises en œuvre à ce jour ont élevé le niveau de sensibilisation des parties prenantes et du public quant à l’importance et aux avantages de l’</w:t>
      </w:r>
      <w:r w:rsidR="001E2C7A">
        <w:rPr>
          <w:lang w:val="fr-CA"/>
        </w:rPr>
        <w:t>Amen</w:t>
      </w:r>
      <w:r>
        <w:rPr>
          <w:lang w:val="fr-CA"/>
        </w:rPr>
        <w:t>dement de Kigali, et offert une perspective des habitudes de consommation des HFC et de l’importance de l’efficacité énergétique</w:t>
      </w:r>
      <w:r w:rsidR="001E2C7A">
        <w:rPr>
          <w:lang w:val="fr-CA"/>
        </w:rPr>
        <w:t xml:space="preserve"> lors de l</w:t>
      </w:r>
      <w:r>
        <w:rPr>
          <w:lang w:val="fr-CA"/>
        </w:rPr>
        <w:t>a ré</w:t>
      </w:r>
      <w:r w:rsidR="001E2C7A">
        <w:rPr>
          <w:lang w:val="fr-CA"/>
        </w:rPr>
        <w:t>ducti</w:t>
      </w:r>
      <w:r>
        <w:rPr>
          <w:lang w:val="fr-CA"/>
        </w:rPr>
        <w:t xml:space="preserve">on progressive des HFC, en favorisant la participation des parties prenantes à la préparation des plans de mise en </w:t>
      </w:r>
      <w:r w:rsidR="001E2C7A">
        <w:rPr>
          <w:lang w:val="fr-CA"/>
        </w:rPr>
        <w:t xml:space="preserve">œuvre </w:t>
      </w:r>
      <w:r>
        <w:rPr>
          <w:lang w:val="fr-CA"/>
        </w:rPr>
        <w:t>de l'Amendement de Kigali et autres interventions de suivi et de</w:t>
      </w:r>
      <w:r w:rsidR="001E2C7A">
        <w:rPr>
          <w:lang w:val="fr-CA"/>
        </w:rPr>
        <w:t xml:space="preserve"> réglementation de la consommati</w:t>
      </w:r>
      <w:r>
        <w:rPr>
          <w:lang w:val="fr-CA"/>
        </w:rPr>
        <w:t xml:space="preserve">on de HFC. </w:t>
      </w:r>
      <w:r w:rsidR="00EB3658" w:rsidRPr="00713592">
        <w:rPr>
          <w:b/>
          <w:bCs/>
          <w:lang w:val="fr-CA"/>
        </w:rPr>
        <w:t xml:space="preserve"> </w:t>
      </w:r>
    </w:p>
    <w:p w14:paraId="71AE9FFD" w14:textId="2201108B" w:rsidR="00EB3658" w:rsidRPr="00713592" w:rsidRDefault="001E2C7A" w:rsidP="001E39EE">
      <w:pPr>
        <w:pStyle w:val="Heading2"/>
        <w:numPr>
          <w:ilvl w:val="0"/>
          <w:numId w:val="0"/>
        </w:numPr>
        <w:rPr>
          <w:u w:val="single"/>
          <w:lang w:val="fr-CA"/>
        </w:rPr>
      </w:pPr>
      <w:r>
        <w:rPr>
          <w:u w:val="single"/>
          <w:lang w:val="fr-CA"/>
        </w:rPr>
        <w:t>Difficultés possibles</w:t>
      </w:r>
    </w:p>
    <w:p w14:paraId="533CA59E" w14:textId="7FD8EB47" w:rsidR="00EB3658" w:rsidRPr="00713592" w:rsidRDefault="001E2C7A" w:rsidP="001E39EE">
      <w:pPr>
        <w:pStyle w:val="Heading1"/>
        <w:numPr>
          <w:ilvl w:val="0"/>
          <w:numId w:val="21"/>
        </w:numPr>
        <w:rPr>
          <w:kern w:val="36"/>
          <w:lang w:val="fr-CA"/>
        </w:rPr>
      </w:pPr>
      <w:r w:rsidRPr="00B074BA">
        <w:rPr>
          <w:lang w:val="fr-CA"/>
        </w:rPr>
        <w:t xml:space="preserve">Voici les principales difficultés rencontrées lors de la mise en œuvre des activités de facilitation </w:t>
      </w:r>
      <w:r w:rsidR="00EB3658" w:rsidRPr="00713592">
        <w:rPr>
          <w:kern w:val="36"/>
          <w:lang w:val="fr-CA"/>
        </w:rPr>
        <w:t>:</w:t>
      </w:r>
    </w:p>
    <w:p w14:paraId="58AA9037" w14:textId="5C3324D8" w:rsidR="00EB3658" w:rsidRPr="001E2C7A" w:rsidRDefault="001E2C7A" w:rsidP="001E2C7A">
      <w:pPr>
        <w:pStyle w:val="Heading1"/>
        <w:numPr>
          <w:ilvl w:val="0"/>
          <w:numId w:val="42"/>
        </w:numPr>
        <w:ind w:left="1440" w:hanging="720"/>
        <w:rPr>
          <w:kern w:val="36"/>
          <w:lang w:val="fr-CA"/>
        </w:rPr>
      </w:pPr>
      <w:r w:rsidRPr="00B074BA">
        <w:rPr>
          <w:lang w:val="fr-CA"/>
        </w:rPr>
        <w:t xml:space="preserve">La pandémie de la COVID-19 </w:t>
      </w:r>
      <w:r>
        <w:rPr>
          <w:lang w:val="fr-CA"/>
        </w:rPr>
        <w:t>demeure un obstacle à</w:t>
      </w:r>
      <w:r w:rsidRPr="00B074BA">
        <w:rPr>
          <w:lang w:val="fr-CA"/>
        </w:rPr>
        <w:t xml:space="preserve"> la réalisation des activités </w:t>
      </w:r>
      <w:r>
        <w:rPr>
          <w:lang w:val="fr-CA"/>
        </w:rPr>
        <w:t xml:space="preserve">de facilitation </w:t>
      </w:r>
      <w:r w:rsidRPr="00B074BA">
        <w:rPr>
          <w:lang w:val="fr-CA"/>
        </w:rPr>
        <w:t xml:space="preserve">dans les délais approuvés pour </w:t>
      </w:r>
      <w:r>
        <w:rPr>
          <w:lang w:val="fr-CA"/>
        </w:rPr>
        <w:t>certains</w:t>
      </w:r>
      <w:r w:rsidRPr="00B074BA">
        <w:rPr>
          <w:lang w:val="fr-CA"/>
        </w:rPr>
        <w:t xml:space="preserve"> pays visés à l'article 5, surtout en ce qui a trait aux consultations en personne des parties prenantes pour l’élaboration et la mise au point des réglementations sur les HFC, la ratification de l’Amendement de Kigali et </w:t>
      </w:r>
      <w:r>
        <w:rPr>
          <w:lang w:val="fr-CA"/>
        </w:rPr>
        <w:t>l’achèvement</w:t>
      </w:r>
      <w:r w:rsidRPr="00B074BA">
        <w:rPr>
          <w:lang w:val="fr-CA"/>
        </w:rPr>
        <w:t xml:space="preserve"> des programmes de formation prévus au projet</w:t>
      </w:r>
      <w:r w:rsidR="00EB3658" w:rsidRPr="001E2C7A">
        <w:rPr>
          <w:kern w:val="36"/>
          <w:lang w:val="fr-CA"/>
        </w:rPr>
        <w:t>;</w:t>
      </w:r>
    </w:p>
    <w:p w14:paraId="226B6473" w14:textId="0493FE29" w:rsidR="00EB3658" w:rsidRPr="00713592" w:rsidRDefault="001E2C7A" w:rsidP="001E39EE">
      <w:pPr>
        <w:pStyle w:val="Heading1"/>
        <w:numPr>
          <w:ilvl w:val="0"/>
          <w:numId w:val="42"/>
        </w:numPr>
        <w:tabs>
          <w:tab w:val="left" w:pos="720"/>
        </w:tabs>
        <w:ind w:left="1418" w:hanging="709"/>
        <w:rPr>
          <w:kern w:val="36"/>
          <w:lang w:val="fr-CA"/>
        </w:rPr>
      </w:pPr>
      <w:r w:rsidRPr="00B074BA">
        <w:rPr>
          <w:lang w:val="fr-CA"/>
        </w:rPr>
        <w:t xml:space="preserve">Les retards dans le règlement par voie administrative et le processus d’approbation pour la ratification de l’Amendement de Kigali et la mise au point des réglementations </w:t>
      </w:r>
      <w:r>
        <w:rPr>
          <w:lang w:val="fr-CA"/>
        </w:rPr>
        <w:t>ont</w:t>
      </w:r>
      <w:r w:rsidRPr="00B074BA">
        <w:rPr>
          <w:lang w:val="fr-CA"/>
        </w:rPr>
        <w:t xml:space="preserve"> créé des difficultés dans certains pays visés à l'article 5; un suivi étroit, le soutien des décideurs du gouvernement</w:t>
      </w:r>
      <w:r>
        <w:rPr>
          <w:lang w:val="fr-CA"/>
        </w:rPr>
        <w:t>,</w:t>
      </w:r>
      <w:r w:rsidRPr="00B074BA">
        <w:rPr>
          <w:lang w:val="fr-CA"/>
        </w:rPr>
        <w:t xml:space="preserve"> le renforcement des capacités et la diffusion d’information à l’intention des représentants du gouvernement ont aidé à amoindrir les retards</w:t>
      </w:r>
      <w:r w:rsidR="00EB3658" w:rsidRPr="00713592">
        <w:rPr>
          <w:kern w:val="36"/>
          <w:lang w:val="fr-CA"/>
        </w:rPr>
        <w:t>;</w:t>
      </w:r>
    </w:p>
    <w:p w14:paraId="0CF95AC9" w14:textId="0F4F0C90" w:rsidR="00EB3658" w:rsidRPr="00713592" w:rsidRDefault="00602FDA" w:rsidP="001E39EE">
      <w:pPr>
        <w:pStyle w:val="Heading1"/>
        <w:numPr>
          <w:ilvl w:val="0"/>
          <w:numId w:val="42"/>
        </w:numPr>
        <w:tabs>
          <w:tab w:val="left" w:pos="720"/>
        </w:tabs>
        <w:ind w:left="1418" w:hanging="709"/>
        <w:rPr>
          <w:kern w:val="36"/>
          <w:lang w:val="fr-CA"/>
        </w:rPr>
      </w:pPr>
      <w:r w:rsidRPr="00B074BA">
        <w:rPr>
          <w:lang w:val="fr-CA"/>
        </w:rPr>
        <w:t xml:space="preserve">La situation politique difficile et les problèmes de sécurité dans certains pays </w:t>
      </w:r>
      <w:r>
        <w:rPr>
          <w:lang w:val="fr-CA"/>
        </w:rPr>
        <w:t>visés à l'article </w:t>
      </w:r>
      <w:r w:rsidRPr="00B074BA">
        <w:rPr>
          <w:lang w:val="fr-CA"/>
        </w:rPr>
        <w:t>5</w:t>
      </w:r>
      <w:r>
        <w:rPr>
          <w:lang w:val="fr-CA"/>
        </w:rPr>
        <w:t xml:space="preserve"> ont</w:t>
      </w:r>
      <w:r w:rsidRPr="00B074BA">
        <w:rPr>
          <w:lang w:val="fr-CA"/>
        </w:rPr>
        <w:t xml:space="preserve"> entraîné des retards dans la mise en œuvre des projets;</w:t>
      </w:r>
      <w:r>
        <w:rPr>
          <w:lang w:val="fr-CA"/>
        </w:rPr>
        <w:t xml:space="preserve"> et</w:t>
      </w:r>
    </w:p>
    <w:p w14:paraId="551C7DAD" w14:textId="54723BEA" w:rsidR="00EB3658" w:rsidRPr="00713592" w:rsidRDefault="00602FDA" w:rsidP="001E39EE">
      <w:pPr>
        <w:pStyle w:val="Heading1"/>
        <w:numPr>
          <w:ilvl w:val="0"/>
          <w:numId w:val="42"/>
        </w:numPr>
        <w:tabs>
          <w:tab w:val="left" w:pos="720"/>
        </w:tabs>
        <w:ind w:left="1418" w:hanging="709"/>
        <w:rPr>
          <w:kern w:val="36"/>
          <w:lang w:val="fr-CA"/>
        </w:rPr>
      </w:pPr>
      <w:r w:rsidRPr="00B074BA">
        <w:rPr>
          <w:lang w:val="fr-CA"/>
        </w:rPr>
        <w:t>Des consultations ont été menées pendant la mise en œuvre, notamment en ce qui concerne la collecte de données et les exigences d’établissement de rappo</w:t>
      </w:r>
      <w:r>
        <w:rPr>
          <w:lang w:val="fr-CA"/>
        </w:rPr>
        <w:t>rts, et</w:t>
      </w:r>
      <w:r w:rsidRPr="00B074BA">
        <w:rPr>
          <w:lang w:val="fr-CA"/>
        </w:rPr>
        <w:t xml:space="preserve"> l’utilisation des HFC et des substances de remplacement sans HFC dans différentes applicati</w:t>
      </w:r>
      <w:r>
        <w:rPr>
          <w:lang w:val="fr-CA"/>
        </w:rPr>
        <w:t>ons (</w:t>
      </w:r>
      <w:r w:rsidRPr="00B074BA">
        <w:rPr>
          <w:lang w:val="fr-CA"/>
        </w:rPr>
        <w:t>p. ex., la réfrigération et climatisation, la mousse de polyuréthanne). L</w:t>
      </w:r>
      <w:r>
        <w:rPr>
          <w:lang w:val="fr-CA"/>
        </w:rPr>
        <w:t>’importance de l</w:t>
      </w:r>
      <w:r w:rsidRPr="00B074BA">
        <w:rPr>
          <w:lang w:val="fr-CA"/>
        </w:rPr>
        <w:t xml:space="preserve">’offre de formation et de soutien technique aux techniciens afin de garantir l’adoption sécuritaire des substances de remplacement à faible PRG dans le secteur de la réfrigération et de la </w:t>
      </w:r>
      <w:r w:rsidRPr="00B074BA">
        <w:rPr>
          <w:lang w:val="fr-CA"/>
        </w:rPr>
        <w:lastRenderedPageBreak/>
        <w:t>climatisation a é</w:t>
      </w:r>
      <w:r>
        <w:rPr>
          <w:lang w:val="fr-CA"/>
        </w:rPr>
        <w:t>té soulignée. La</w:t>
      </w:r>
      <w:r w:rsidRPr="00B074BA">
        <w:rPr>
          <w:lang w:val="fr-CA"/>
        </w:rPr>
        <w:t xml:space="preserve"> mise en œuvre des activités de formation portant sur l’utilisation sécuritaire des substances de remplacement au titre des PGEH a offert un soutien aux techniciens d’entretien de l’équipement à base de HCFC </w:t>
      </w:r>
      <w:r>
        <w:rPr>
          <w:lang w:val="fr-CA"/>
        </w:rPr>
        <w:t>concernant</w:t>
      </w:r>
      <w:r w:rsidRPr="00B074BA">
        <w:rPr>
          <w:lang w:val="fr-CA"/>
        </w:rPr>
        <w:t xml:space="preserve"> l’utilisation sécuritaire de substances de remplacement à faible PRG; la mise en œuvre de réglementations et d’autres mesures de soutien concernant l’utilisation sécuritaire d’équipement à base de frigorigènes à faible PRG (p. ex., normes nationales régissant l’importation et l’utilisation d’équipement de réfrigération et climatisation, les programmes d’encouragement pour les utilisateurs finaux concernant l’équipement de réfrigération et climatisation à faible PRG, les programmes de certification des techniciens d’entretien sur les pratiques d’entretien sécuritaires) et les activités de diffusion d’information et de sensibilisation </w:t>
      </w:r>
      <w:r>
        <w:rPr>
          <w:lang w:val="fr-CA"/>
        </w:rPr>
        <w:t>concernant</w:t>
      </w:r>
      <w:r w:rsidRPr="00B074BA">
        <w:rPr>
          <w:lang w:val="fr-CA"/>
        </w:rPr>
        <w:t xml:space="preserve"> les substances écologiques à faible PRG</w:t>
      </w:r>
      <w:r>
        <w:rPr>
          <w:lang w:val="fr-CA"/>
        </w:rPr>
        <w:t xml:space="preserve"> menées </w:t>
      </w:r>
      <w:r w:rsidRPr="00B074BA">
        <w:rPr>
          <w:lang w:val="fr-CA"/>
        </w:rPr>
        <w:t>au cours du PGEH ont accru le niveau de sensibilisation des parties prenant</w:t>
      </w:r>
      <w:r>
        <w:rPr>
          <w:lang w:val="fr-CA"/>
        </w:rPr>
        <w:t xml:space="preserve">es nationales aux technologies </w:t>
      </w:r>
      <w:r w:rsidRPr="00B074BA">
        <w:rPr>
          <w:lang w:val="fr-CA"/>
        </w:rPr>
        <w:t>à faible PRG, surtout dans le secteur de la réfrigération et de la climatisation</w:t>
      </w:r>
      <w:r w:rsidR="00EB3658" w:rsidRPr="00713592">
        <w:rPr>
          <w:kern w:val="36"/>
          <w:lang w:val="fr-CA"/>
        </w:rPr>
        <w:t>.</w:t>
      </w:r>
      <w:r w:rsidR="000B66FA" w:rsidRPr="00713592">
        <w:rPr>
          <w:kern w:val="36"/>
          <w:lang w:val="fr-CA"/>
        </w:rPr>
        <w:t xml:space="preserve"> </w:t>
      </w:r>
    </w:p>
    <w:p w14:paraId="410E3994" w14:textId="0407EC65" w:rsidR="00EB3658" w:rsidRPr="00713592" w:rsidRDefault="001F39D8" w:rsidP="001E39EE">
      <w:pPr>
        <w:pStyle w:val="Heading1"/>
        <w:numPr>
          <w:ilvl w:val="0"/>
          <w:numId w:val="21"/>
        </w:numPr>
        <w:rPr>
          <w:lang w:val="fr-CA"/>
        </w:rPr>
      </w:pPr>
      <w:r>
        <w:rPr>
          <w:lang w:val="fr-CA"/>
        </w:rPr>
        <w:t xml:space="preserve">La formation régulière des douaniers est primordiale à l’application efficace des programmes d’octroi de permis et de quotas et </w:t>
      </w:r>
      <w:r w:rsidR="001E698F">
        <w:rPr>
          <w:lang w:val="fr-CA"/>
        </w:rPr>
        <w:t>de</w:t>
      </w:r>
      <w:r>
        <w:rPr>
          <w:lang w:val="fr-CA"/>
        </w:rPr>
        <w:t xml:space="preserve"> la réglementation des HFC à </w:t>
      </w:r>
      <w:r w:rsidR="001E698F">
        <w:rPr>
          <w:lang w:val="fr-CA"/>
        </w:rPr>
        <w:t>cause du fort roulement de perso</w:t>
      </w:r>
      <w:r>
        <w:rPr>
          <w:lang w:val="fr-CA"/>
        </w:rPr>
        <w:t xml:space="preserve">nnel chez les douaniers. </w:t>
      </w:r>
      <w:r w:rsidRPr="002B47A8">
        <w:rPr>
          <w:lang w:val="fr-CA"/>
        </w:rPr>
        <w:t>Les activités de facilitation ont aidé les pays visés à l'article 5 à entreprendre des consultations et la mise en œuvre d’activités sur le suivi de la consommation de HFC et l’adoption de substances de remplacement sans HFC</w:t>
      </w:r>
      <w:r w:rsidR="00DA7761">
        <w:rPr>
          <w:lang w:val="fr-CA"/>
        </w:rPr>
        <w:t xml:space="preserve"> et</w:t>
      </w:r>
      <w:r w:rsidR="001E698F">
        <w:rPr>
          <w:lang w:val="fr-CA"/>
        </w:rPr>
        <w:t xml:space="preserve"> ont donné lieu à des dialogues sur les méthodes à adopter pour un refroidissement durable et </w:t>
      </w:r>
      <w:proofErr w:type="spellStart"/>
      <w:r w:rsidR="001E698F">
        <w:rPr>
          <w:lang w:val="fr-CA"/>
        </w:rPr>
        <w:t>éconergétique</w:t>
      </w:r>
      <w:proofErr w:type="spellEnd"/>
      <w:r w:rsidR="001E698F">
        <w:rPr>
          <w:lang w:val="fr-CA"/>
        </w:rPr>
        <w:t xml:space="preserve"> pendant la mise en œuvre des activités de réduction progressive des HFC.</w:t>
      </w:r>
      <w:r w:rsidRPr="002B47A8">
        <w:rPr>
          <w:lang w:val="fr-CA"/>
        </w:rPr>
        <w:t xml:space="preserve"> Les difficultés particulières devant être réglées lors de la réduction progressive des HFC et les synergies à regrouper lors de la mise en œuvre de l’élimination des HCFC et de la réduction progressive des HFC au cou</w:t>
      </w:r>
      <w:r>
        <w:rPr>
          <w:lang w:val="fr-CA"/>
        </w:rPr>
        <w:t>rs des prochaines années pourro</w:t>
      </w:r>
      <w:r w:rsidRPr="002B47A8">
        <w:rPr>
          <w:lang w:val="fr-CA"/>
        </w:rPr>
        <w:t>nt être précisées lorsque les pays visés à l'article</w:t>
      </w:r>
      <w:r>
        <w:rPr>
          <w:lang w:val="fr-CA"/>
        </w:rPr>
        <w:t> </w:t>
      </w:r>
      <w:r w:rsidRPr="002B47A8">
        <w:rPr>
          <w:lang w:val="fr-CA"/>
        </w:rPr>
        <w:t>5 entrepren</w:t>
      </w:r>
      <w:r>
        <w:rPr>
          <w:lang w:val="fr-CA"/>
        </w:rPr>
        <w:t>dront</w:t>
      </w:r>
      <w:r w:rsidRPr="002B47A8">
        <w:rPr>
          <w:lang w:val="fr-CA"/>
        </w:rPr>
        <w:t xml:space="preserve"> la préparation de la stratégie de réduction progressive des HFC, à la suite de l’approbation des lignes directrices par le Comité exécutif</w:t>
      </w:r>
      <w:r w:rsidR="00EB3658" w:rsidRPr="00713592">
        <w:rPr>
          <w:kern w:val="36"/>
          <w:lang w:val="fr-CA"/>
        </w:rPr>
        <w:t xml:space="preserve">. </w:t>
      </w:r>
    </w:p>
    <w:p w14:paraId="5509A28C" w14:textId="6E26F1AA" w:rsidR="00EB3658" w:rsidRPr="00713592" w:rsidRDefault="001E698F" w:rsidP="001E39EE">
      <w:pPr>
        <w:keepNext/>
        <w:spacing w:after="240"/>
        <w:jc w:val="left"/>
        <w:rPr>
          <w:u w:val="single"/>
          <w:lang w:val="fr-CA"/>
        </w:rPr>
      </w:pPr>
      <w:r w:rsidRPr="002B47A8">
        <w:rPr>
          <w:u w:val="single"/>
          <w:lang w:val="fr-CA"/>
        </w:rPr>
        <w:t>Sommes approuvées et décaissées</w:t>
      </w:r>
    </w:p>
    <w:p w14:paraId="6DADA8B4" w14:textId="3D85BA82" w:rsidR="00EB3658" w:rsidRPr="00713592" w:rsidRDefault="001E698F" w:rsidP="001E39EE">
      <w:pPr>
        <w:pStyle w:val="Heading1"/>
        <w:numPr>
          <w:ilvl w:val="0"/>
          <w:numId w:val="21"/>
        </w:numPr>
        <w:rPr>
          <w:lang w:val="fr-CA"/>
        </w:rPr>
      </w:pPr>
      <w:r w:rsidRPr="002B47A8">
        <w:rPr>
          <w:lang w:val="fr-CA"/>
        </w:rPr>
        <w:t>La somme totale de 23</w:t>
      </w:r>
      <w:r w:rsidR="005C5FE0">
        <w:rPr>
          <w:lang w:val="fr-CA"/>
        </w:rPr>
        <w:t> 954 943</w:t>
      </w:r>
      <w:r w:rsidRPr="002B47A8">
        <w:rPr>
          <w:lang w:val="fr-CA"/>
        </w:rPr>
        <w:t xml:space="preserve"> $US a été approuvée pour les projets d’investissement et les activités de facilitation en lien avec les HFC </w:t>
      </w:r>
      <w:r>
        <w:rPr>
          <w:lang w:val="fr-CA"/>
        </w:rPr>
        <w:t xml:space="preserve">financés </w:t>
      </w:r>
      <w:r w:rsidRPr="002B47A8">
        <w:rPr>
          <w:lang w:val="fr-CA"/>
        </w:rPr>
        <w:t>au titre des contributions supplémentaires volontaires d’un groupe de 17 pays donateur</w:t>
      </w:r>
      <w:r>
        <w:rPr>
          <w:lang w:val="fr-CA"/>
        </w:rPr>
        <w:t>s,</w:t>
      </w:r>
      <w:r w:rsidRPr="002B47A8">
        <w:rPr>
          <w:lang w:val="fr-CA"/>
        </w:rPr>
        <w:t xml:space="preserve"> et la somme de </w:t>
      </w:r>
      <w:r w:rsidR="005C5FE0">
        <w:rPr>
          <w:lang w:val="fr-CA"/>
        </w:rPr>
        <w:t>16 347 659</w:t>
      </w:r>
      <w:r w:rsidRPr="002B47A8">
        <w:rPr>
          <w:lang w:val="fr-CA"/>
        </w:rPr>
        <w:t> $US a été décaissée</w:t>
      </w:r>
      <w:r w:rsidR="00EB3658" w:rsidRPr="00713592">
        <w:rPr>
          <w:lang w:val="fr-CA"/>
        </w:rPr>
        <w:t xml:space="preserve">. </w:t>
      </w:r>
    </w:p>
    <w:p w14:paraId="0CEF8AFA" w14:textId="77777777" w:rsidR="00563674" w:rsidRPr="00713592" w:rsidRDefault="00563674" w:rsidP="001E39E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563674" w:rsidRPr="00D303D6" w14:paraId="4EB7F07E" w14:textId="77777777" w:rsidTr="00563674">
        <w:tc>
          <w:tcPr>
            <w:tcW w:w="1870" w:type="dxa"/>
          </w:tcPr>
          <w:p w14:paraId="5CB340FB" w14:textId="77777777" w:rsidR="00563674" w:rsidRPr="00713592" w:rsidRDefault="00563674" w:rsidP="001E39EE">
            <w:pPr>
              <w:jc w:val="left"/>
              <w:rPr>
                <w:lang w:val="fr-CA"/>
              </w:rPr>
            </w:pPr>
          </w:p>
        </w:tc>
        <w:tc>
          <w:tcPr>
            <w:tcW w:w="1870" w:type="dxa"/>
          </w:tcPr>
          <w:p w14:paraId="63D0C4CF" w14:textId="77777777" w:rsidR="00563674" w:rsidRPr="00713592" w:rsidRDefault="00563674" w:rsidP="001E39EE">
            <w:pPr>
              <w:jc w:val="left"/>
              <w:rPr>
                <w:lang w:val="fr-CA"/>
              </w:rPr>
            </w:pPr>
          </w:p>
        </w:tc>
        <w:tc>
          <w:tcPr>
            <w:tcW w:w="1870" w:type="dxa"/>
            <w:tcBorders>
              <w:bottom w:val="single" w:sz="4" w:space="0" w:color="auto"/>
            </w:tcBorders>
          </w:tcPr>
          <w:p w14:paraId="5B1B1B0E" w14:textId="77777777" w:rsidR="00563674" w:rsidRPr="00713592" w:rsidRDefault="00563674" w:rsidP="001E39EE">
            <w:pPr>
              <w:jc w:val="left"/>
              <w:rPr>
                <w:u w:val="single"/>
                <w:lang w:val="fr-CA"/>
              </w:rPr>
            </w:pPr>
          </w:p>
        </w:tc>
        <w:tc>
          <w:tcPr>
            <w:tcW w:w="1870" w:type="dxa"/>
          </w:tcPr>
          <w:p w14:paraId="39E9CA78" w14:textId="77777777" w:rsidR="00563674" w:rsidRPr="00713592" w:rsidRDefault="00563674" w:rsidP="001E39EE">
            <w:pPr>
              <w:jc w:val="left"/>
              <w:rPr>
                <w:lang w:val="fr-CA"/>
              </w:rPr>
            </w:pPr>
          </w:p>
        </w:tc>
        <w:tc>
          <w:tcPr>
            <w:tcW w:w="1870" w:type="dxa"/>
          </w:tcPr>
          <w:p w14:paraId="59092406" w14:textId="77777777" w:rsidR="00563674" w:rsidRPr="00713592" w:rsidRDefault="00563674" w:rsidP="001E39EE">
            <w:pPr>
              <w:jc w:val="left"/>
              <w:rPr>
                <w:lang w:val="fr-CA"/>
              </w:rPr>
            </w:pPr>
          </w:p>
        </w:tc>
      </w:tr>
    </w:tbl>
    <w:p w14:paraId="0191E459" w14:textId="77777777" w:rsidR="00563674" w:rsidRPr="00713592" w:rsidRDefault="00563674" w:rsidP="001E39EE">
      <w:pPr>
        <w:jc w:val="left"/>
        <w:rPr>
          <w:lang w:val="fr-CA"/>
        </w:rPr>
      </w:pPr>
    </w:p>
    <w:p w14:paraId="20B3F591" w14:textId="77777777" w:rsidR="00E85409" w:rsidRPr="001E698F" w:rsidRDefault="00E85409" w:rsidP="001E39EE">
      <w:pPr>
        <w:rPr>
          <w:lang w:val="fr-CA"/>
        </w:rPr>
      </w:pPr>
    </w:p>
    <w:sectPr w:rsidR="00E85409" w:rsidRPr="001E698F" w:rsidSect="00153622">
      <w:headerReference w:type="even" r:id="rId31"/>
      <w:headerReference w:type="default" r:id="rId32"/>
      <w:footerReference w:type="even" r:id="rId33"/>
      <w:footerReference w:type="default" r:id="rId34"/>
      <w:headerReference w:type="first" r:id="rId35"/>
      <w:footerReference w:type="first" r:id="rId3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2ECCD" w14:textId="77777777" w:rsidR="009376F5" w:rsidRDefault="009376F5" w:rsidP="004A504B">
      <w:r>
        <w:separator/>
      </w:r>
    </w:p>
  </w:endnote>
  <w:endnote w:type="continuationSeparator" w:id="0">
    <w:p w14:paraId="756B5358" w14:textId="77777777" w:rsidR="009376F5" w:rsidRDefault="009376F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DE3ED" w14:textId="69A616CF" w:rsidR="00072897" w:rsidRPr="0033525D" w:rsidRDefault="00072897">
    <w:pPr>
      <w:jc w:val="center"/>
    </w:pPr>
    <w:r>
      <w:fldChar w:fldCharType="begin"/>
    </w:r>
    <w:r>
      <w:instrText xml:space="preserve"> PAGE </w:instrText>
    </w:r>
    <w:r>
      <w:fldChar w:fldCharType="separate"/>
    </w:r>
    <w:r w:rsidR="00515A95">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D32F" w14:textId="7B2D5E3D" w:rsidR="00072897" w:rsidRPr="0033525D" w:rsidRDefault="00072897">
    <w:pPr>
      <w:jc w:val="center"/>
    </w:pPr>
    <w:r>
      <w:fldChar w:fldCharType="begin"/>
    </w:r>
    <w:r>
      <w:instrText xml:space="preserve"> PAGE </w:instrText>
    </w:r>
    <w:r>
      <w:fldChar w:fldCharType="separate"/>
    </w:r>
    <w:r w:rsidR="00515A95">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1AB6" w14:textId="77777777" w:rsidR="00072897" w:rsidRDefault="00072897" w:rsidP="00AB5070">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55119EB8" w14:textId="7C2F1388" w:rsidR="00072897" w:rsidRPr="00AB5070" w:rsidRDefault="00072897" w:rsidP="00AB5070">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Pr="00AB5070">
      <w:rPr>
        <w:sz w:val="18"/>
        <w:szCs w:val="18"/>
        <w:lang w:val="fr-CA"/>
      </w:rPr>
      <w:t>.</w:t>
    </w:r>
  </w:p>
  <w:p w14:paraId="2002ED36" w14:textId="77777777" w:rsidR="00072897" w:rsidRPr="00AB5070" w:rsidRDefault="00072897" w:rsidP="004E7F9C">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68EF" w14:textId="1A9DA640" w:rsidR="00072897" w:rsidRPr="0033525D" w:rsidRDefault="00072897" w:rsidP="00A37590">
    <w:pPr>
      <w:jc w:val="center"/>
    </w:pPr>
    <w:r>
      <w:fldChar w:fldCharType="begin"/>
    </w:r>
    <w:r>
      <w:instrText xml:space="preserve"> PAGE </w:instrText>
    </w:r>
    <w:r>
      <w:fldChar w:fldCharType="separate"/>
    </w:r>
    <w:r w:rsidR="00515A95">
      <w:rPr>
        <w:noProof/>
      </w:rPr>
      <w:t>1</w:t>
    </w:r>
    <w:r>
      <w:rPr>
        <w:noProof/>
      </w:rPr>
      <w:fldChar w:fldCharType="end"/>
    </w:r>
  </w:p>
  <w:p w14:paraId="66957AAE" w14:textId="77777777" w:rsidR="00072897" w:rsidRPr="00C12558" w:rsidRDefault="00072897" w:rsidP="00A3759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B3B3" w14:textId="3D356D4A" w:rsidR="00072897" w:rsidRPr="0033525D" w:rsidRDefault="00072897" w:rsidP="00A37590">
    <w:pPr>
      <w:jc w:val="center"/>
    </w:pPr>
    <w:r>
      <w:fldChar w:fldCharType="begin"/>
    </w:r>
    <w:r>
      <w:instrText xml:space="preserve"> PAGE </w:instrText>
    </w:r>
    <w:r>
      <w:fldChar w:fldCharType="separate"/>
    </w:r>
    <w:r w:rsidR="00515A95">
      <w:rPr>
        <w:noProof/>
      </w:rPr>
      <w:t>1</w:t>
    </w:r>
    <w:r>
      <w:rPr>
        <w:noProof/>
      </w:rPr>
      <w:fldChar w:fldCharType="end"/>
    </w:r>
  </w:p>
  <w:p w14:paraId="3D6189FB" w14:textId="77777777" w:rsidR="00072897" w:rsidRPr="00C12558" w:rsidRDefault="00072897" w:rsidP="00A3759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17BB" w14:textId="6914373D" w:rsidR="00072897" w:rsidRPr="0033525D" w:rsidRDefault="00072897">
    <w:pPr>
      <w:jc w:val="center"/>
    </w:pPr>
    <w:r>
      <w:fldChar w:fldCharType="begin"/>
    </w:r>
    <w:r>
      <w:instrText xml:space="preserve"> PAGE </w:instrText>
    </w:r>
    <w:r>
      <w:fldChar w:fldCharType="separate"/>
    </w:r>
    <w:r w:rsidR="00515A95">
      <w:rPr>
        <w:noProof/>
      </w:rPr>
      <w:t>6</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AFAC" w14:textId="6E5ED164" w:rsidR="00072897" w:rsidRPr="0033525D" w:rsidRDefault="00072897">
    <w:pPr>
      <w:jc w:val="center"/>
    </w:pPr>
    <w:r>
      <w:fldChar w:fldCharType="begin"/>
    </w:r>
    <w:r>
      <w:instrText xml:space="preserve"> PAGE </w:instrText>
    </w:r>
    <w:r>
      <w:fldChar w:fldCharType="separate"/>
    </w:r>
    <w:r w:rsidR="00515A95">
      <w:rPr>
        <w:noProof/>
      </w:rPr>
      <w:t>5</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57161"/>
      <w:docPartObj>
        <w:docPartGallery w:val="Page Numbers (Bottom of Page)"/>
        <w:docPartUnique/>
      </w:docPartObj>
    </w:sdtPr>
    <w:sdtEndPr>
      <w:rPr>
        <w:noProof/>
      </w:rPr>
    </w:sdtEndPr>
    <w:sdtContent>
      <w:p w14:paraId="4FA40DB3" w14:textId="14639CB5" w:rsidR="00072897" w:rsidRDefault="00072897">
        <w:pPr>
          <w:pStyle w:val="Footer"/>
          <w:jc w:val="center"/>
        </w:pPr>
        <w:r>
          <w:fldChar w:fldCharType="begin"/>
        </w:r>
        <w:r>
          <w:instrText xml:space="preserve"> PAGE   \* MERGEFORMAT </w:instrText>
        </w:r>
        <w:r>
          <w:fldChar w:fldCharType="separate"/>
        </w:r>
        <w:r w:rsidR="00515A95">
          <w:rPr>
            <w:noProof/>
          </w:rPr>
          <w:t>1</w:t>
        </w:r>
        <w:r>
          <w:rPr>
            <w:noProof/>
          </w:rPr>
          <w:fldChar w:fldCharType="end"/>
        </w:r>
      </w:p>
    </w:sdtContent>
  </w:sdt>
  <w:p w14:paraId="698850D5" w14:textId="77777777" w:rsidR="00072897" w:rsidRPr="00D64E55" w:rsidRDefault="00072897" w:rsidP="00D64E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C1B0" w14:textId="77777777" w:rsidR="009376F5" w:rsidRDefault="009376F5" w:rsidP="004A504B">
      <w:r>
        <w:separator/>
      </w:r>
    </w:p>
  </w:footnote>
  <w:footnote w:type="continuationSeparator" w:id="0">
    <w:p w14:paraId="74FD268C" w14:textId="77777777" w:rsidR="009376F5" w:rsidRDefault="009376F5" w:rsidP="004A504B">
      <w:r>
        <w:continuationSeparator/>
      </w:r>
    </w:p>
  </w:footnote>
  <w:footnote w:id="1">
    <w:p w14:paraId="03F71DBD" w14:textId="77777777" w:rsidR="00072897" w:rsidRPr="00DA4352" w:rsidRDefault="00072897" w:rsidP="00AB5070">
      <w:pPr>
        <w:pStyle w:val="FootnoteText"/>
        <w:rPr>
          <w:lang w:val="fr-CA"/>
        </w:rPr>
      </w:pPr>
      <w:r>
        <w:rPr>
          <w:rStyle w:val="FootnoteReference"/>
        </w:rPr>
        <w:footnoteRef/>
      </w:r>
      <w:r w:rsidRPr="006A34FE">
        <w:rPr>
          <w:lang w:val="fr-CA"/>
        </w:rPr>
        <w:t xml:space="preserve"> </w:t>
      </w:r>
      <w:r w:rsidRPr="00DA4352">
        <w:rPr>
          <w:lang w:val="fr-CA"/>
        </w:rPr>
        <w:t>Les réunions et le processus d’approbation intersessions se dérouleront en ligne en novembre et en décembre 2021 à cause du coronavirus (COVID-19)</w:t>
      </w:r>
    </w:p>
  </w:footnote>
  <w:footnote w:id="2">
    <w:p w14:paraId="60187F2C" w14:textId="050260D2" w:rsidR="00072897" w:rsidRPr="001568BC" w:rsidRDefault="00072897" w:rsidP="007E124F">
      <w:pPr>
        <w:pStyle w:val="FootnoteText"/>
        <w:rPr>
          <w:lang w:val="fr-CA"/>
        </w:rPr>
      </w:pPr>
      <w:r w:rsidRPr="00976769">
        <w:rPr>
          <w:rStyle w:val="FootnoteReference"/>
        </w:rPr>
        <w:footnoteRef/>
      </w:r>
      <w:r w:rsidRPr="001568BC">
        <w:rPr>
          <w:lang w:val="fr-CA"/>
        </w:rPr>
        <w:t xml:space="preserve"> Les </w:t>
      </w:r>
      <w:r>
        <w:rPr>
          <w:lang w:val="fr-CA"/>
        </w:rPr>
        <w:t>agenc</w:t>
      </w:r>
      <w:r w:rsidRPr="001568BC">
        <w:rPr>
          <w:lang w:val="fr-CA"/>
        </w:rPr>
        <w:t>es suivantes ont remis un rapport périodique :</w:t>
      </w:r>
      <w:r>
        <w:rPr>
          <w:lang w:val="fr-CA"/>
        </w:rPr>
        <w:t xml:space="preserve"> </w:t>
      </w:r>
      <w:r w:rsidRPr="006A065D">
        <w:rPr>
          <w:lang w:val="fr-CA"/>
        </w:rPr>
        <w:t>Allemagne, Australie, Canada, Espagne, France, Italie, Japon</w:t>
      </w:r>
      <w:r>
        <w:rPr>
          <w:lang w:val="fr-CA"/>
        </w:rPr>
        <w:t xml:space="preserve">, PNUD, PNUE, ONUDI et Banque mondiale </w:t>
      </w:r>
      <w:r w:rsidRPr="001568BC">
        <w:rPr>
          <w:lang w:val="fr-CA"/>
        </w:rPr>
        <w:t>(UNEP/</w:t>
      </w:r>
      <w:proofErr w:type="spellStart"/>
      <w:r w:rsidRPr="001568BC">
        <w:rPr>
          <w:lang w:val="fr-CA"/>
        </w:rPr>
        <w:t>OzL.Pro</w:t>
      </w:r>
      <w:proofErr w:type="spellEnd"/>
      <w:r w:rsidRPr="001568BC">
        <w:rPr>
          <w:lang w:val="fr-CA"/>
        </w:rPr>
        <w:t>/</w:t>
      </w:r>
      <w:proofErr w:type="spellStart"/>
      <w:r w:rsidRPr="001568BC">
        <w:rPr>
          <w:lang w:val="fr-CA"/>
        </w:rPr>
        <w:t>ExCom</w:t>
      </w:r>
      <w:proofErr w:type="spellEnd"/>
      <w:r w:rsidRPr="001568BC">
        <w:rPr>
          <w:lang w:val="fr-CA"/>
        </w:rPr>
        <w:t>/</w:t>
      </w:r>
      <w:r>
        <w:rPr>
          <w:lang w:val="fr-CA"/>
        </w:rPr>
        <w:t>88/13</w:t>
      </w:r>
      <w:r w:rsidRPr="001568BC">
        <w:rPr>
          <w:lang w:val="fr-CA"/>
        </w:rPr>
        <w:t xml:space="preserve"> </w:t>
      </w:r>
      <w:r>
        <w:rPr>
          <w:lang w:val="fr-CA"/>
        </w:rPr>
        <w:t>à</w:t>
      </w:r>
      <w:r w:rsidRPr="001568BC">
        <w:rPr>
          <w:lang w:val="fr-CA"/>
        </w:rPr>
        <w:t xml:space="preserve"> </w:t>
      </w:r>
      <w:r>
        <w:rPr>
          <w:lang w:val="fr-CA"/>
        </w:rPr>
        <w:t>UNEP/</w:t>
      </w:r>
      <w:proofErr w:type="spellStart"/>
      <w:r>
        <w:rPr>
          <w:lang w:val="fr-CA"/>
        </w:rPr>
        <w:t>OzL.Pro</w:t>
      </w:r>
      <w:proofErr w:type="spellEnd"/>
      <w:r>
        <w:rPr>
          <w:lang w:val="fr-CA"/>
        </w:rPr>
        <w:t>/</w:t>
      </w:r>
      <w:proofErr w:type="spellStart"/>
      <w:r>
        <w:rPr>
          <w:lang w:val="fr-CA"/>
        </w:rPr>
        <w:t>ExCom</w:t>
      </w:r>
      <w:proofErr w:type="spellEnd"/>
      <w:r>
        <w:rPr>
          <w:lang w:val="fr-CA"/>
        </w:rPr>
        <w:t>/8</w:t>
      </w:r>
      <w:r w:rsidRPr="001568BC">
        <w:rPr>
          <w:lang w:val="fr-CA"/>
        </w:rPr>
        <w:t>8/</w:t>
      </w:r>
      <w:r>
        <w:rPr>
          <w:lang w:val="fr-CA"/>
        </w:rPr>
        <w:t>17</w:t>
      </w:r>
      <w:r w:rsidRPr="001568BC">
        <w:rPr>
          <w:lang w:val="fr-CA"/>
        </w:rPr>
        <w:t>).</w:t>
      </w:r>
    </w:p>
  </w:footnote>
  <w:footnote w:id="3">
    <w:p w14:paraId="26D398B9" w14:textId="77777777" w:rsidR="00072897" w:rsidRPr="001568BC" w:rsidRDefault="00072897" w:rsidP="007E124F">
      <w:pPr>
        <w:pStyle w:val="FootnoteText"/>
        <w:rPr>
          <w:lang w:val="fr-CA"/>
        </w:rPr>
      </w:pPr>
      <w:r w:rsidRPr="001568BC">
        <w:rPr>
          <w:rStyle w:val="FootnoteReference"/>
          <w:lang w:val="fr-CA"/>
        </w:rPr>
        <w:footnoteRef/>
      </w:r>
      <w:r w:rsidRPr="001568BC">
        <w:rPr>
          <w:lang w:val="fr-CA"/>
        </w:rPr>
        <w:t xml:space="preserve"> Le Comité exécutif a demandé </w:t>
      </w:r>
      <w:r>
        <w:rPr>
          <w:lang w:val="fr-CA"/>
        </w:rPr>
        <w:t xml:space="preserve">que </w:t>
      </w:r>
      <w:r w:rsidRPr="001568BC">
        <w:rPr>
          <w:lang w:val="fr-CA"/>
        </w:rPr>
        <w:t xml:space="preserve">des renseignements détaillés sur </w:t>
      </w:r>
      <w:r>
        <w:rPr>
          <w:lang w:val="fr-CA"/>
        </w:rPr>
        <w:t>chacun des projets soient mis à la disposition des membres du Comité et une version papier offerte sur demande (décision 19/23). La base de données du rapport périodique global est disponible dans un chiffrier Microsoft Excel, sur le site Intranet du Comité exécutif</w:t>
      </w:r>
      <w:r w:rsidRPr="001568BC">
        <w:rPr>
          <w:lang w:val="fr-CA"/>
        </w:rPr>
        <w:t>.</w:t>
      </w:r>
    </w:p>
  </w:footnote>
  <w:footnote w:id="4">
    <w:p w14:paraId="60687769" w14:textId="042A73CD" w:rsidR="00072897" w:rsidRPr="001D1252" w:rsidRDefault="00072897" w:rsidP="007E124F">
      <w:pPr>
        <w:pStyle w:val="FootnoteText"/>
        <w:rPr>
          <w:lang w:val="fr-CA"/>
        </w:rPr>
      </w:pPr>
      <w:r w:rsidRPr="001568BC">
        <w:rPr>
          <w:rStyle w:val="FootnoteReference"/>
          <w:lang w:val="fr-CA"/>
        </w:rPr>
        <w:footnoteRef/>
      </w:r>
      <w:r w:rsidRPr="001568BC">
        <w:rPr>
          <w:lang w:val="fr-CA"/>
        </w:rPr>
        <w:t xml:space="preserve"> </w:t>
      </w:r>
      <w:r>
        <w:rPr>
          <w:lang w:val="fr-CA"/>
        </w:rPr>
        <w:t>Le Comité exécutif a accepté avec satisfaction, à sa 77</w:t>
      </w:r>
      <w:r w:rsidRPr="00C64DB9">
        <w:rPr>
          <w:vertAlign w:val="superscript"/>
          <w:lang w:val="fr-CA"/>
        </w:rPr>
        <w:t>e</w:t>
      </w:r>
      <w:r>
        <w:rPr>
          <w:lang w:val="fr-CA"/>
        </w:rPr>
        <w:t xml:space="preserve"> réunion, les contributions supplémentaires annoncées par 17 pays non visés à l’article 5 pour permettre le démarrage rapide de la mise en œuvre de l’Amendement de Kigali, étant entendu que ce financement ne serait offert qu’une seule fois et qu’il ne changerait </w:t>
      </w:r>
      <w:r w:rsidRPr="001D1252">
        <w:rPr>
          <w:lang w:val="fr-CA"/>
        </w:rPr>
        <w:t xml:space="preserve">en rien les contributions des pays donateurs. Les Parties contributrices sont : </w:t>
      </w:r>
      <w:r w:rsidRPr="000B07CF">
        <w:rPr>
          <w:lang w:val="fr-CA"/>
        </w:rPr>
        <w:t>Allemagne, Australie, Canada, Danemark, États-Unis d’Amérique, Finlande, France, Irlande, Italie, Japon, Luxembourg, Nouvelle-Zélande, Norvège, Pays-Bas, Royaume Uni de Grande-Bretagne et d’Irlande du Nord, Suède et Suisse</w:t>
      </w:r>
      <w:r w:rsidRPr="001D1252">
        <w:rPr>
          <w:lang w:val="fr-CA"/>
        </w:rPr>
        <w:t>.</w:t>
      </w:r>
    </w:p>
  </w:footnote>
  <w:footnote w:id="5">
    <w:p w14:paraId="2641DAF0" w14:textId="6A21D2C4" w:rsidR="00072897" w:rsidRDefault="00072897" w:rsidP="00E2698A">
      <w:pPr>
        <w:pStyle w:val="FootnoteText"/>
        <w:rPr>
          <w:lang w:val="fr-CA"/>
        </w:rPr>
      </w:pPr>
      <w:r w:rsidRPr="0016179C">
        <w:rPr>
          <w:rStyle w:val="FootnoteReference"/>
        </w:rPr>
        <w:footnoteRef/>
      </w:r>
      <w:r w:rsidRPr="000B07CF">
        <w:rPr>
          <w:lang w:val="fr-CA"/>
        </w:rPr>
        <w:t xml:space="preserve"> L</w:t>
      </w:r>
      <w:r>
        <w:rPr>
          <w:lang w:val="fr-CA"/>
        </w:rPr>
        <w:t xml:space="preserve">’unité de </w:t>
      </w:r>
      <w:r w:rsidRPr="000B07CF">
        <w:rPr>
          <w:lang w:val="fr-CA"/>
        </w:rPr>
        <w:t xml:space="preserve">mesure des HFC </w:t>
      </w:r>
      <w:r>
        <w:rPr>
          <w:lang w:val="fr-CA"/>
        </w:rPr>
        <w:t>offerte dans les rapports périodiques soumis à la 88</w:t>
      </w:r>
      <w:r w:rsidRPr="00F602DC">
        <w:rPr>
          <w:vertAlign w:val="superscript"/>
          <w:lang w:val="fr-CA"/>
        </w:rPr>
        <w:t>e</w:t>
      </w:r>
      <w:r>
        <w:rPr>
          <w:lang w:val="fr-CA"/>
        </w:rPr>
        <w:t xml:space="preserve"> réunion est la tonne métrique</w:t>
      </w:r>
      <w:r w:rsidRPr="000B07CF">
        <w:rPr>
          <w:lang w:val="fr-CA"/>
        </w:rPr>
        <w:t xml:space="preserve"> d’</w:t>
      </w:r>
      <w:r>
        <w:rPr>
          <w:lang w:val="fr-CA"/>
        </w:rPr>
        <w:t>éq-CO</w:t>
      </w:r>
      <w:r w:rsidRPr="00F602DC">
        <w:rPr>
          <w:vertAlign w:val="subscript"/>
          <w:lang w:val="fr-CA"/>
        </w:rPr>
        <w:t>2</w:t>
      </w:r>
      <w:r>
        <w:rPr>
          <w:lang w:val="fr-CA"/>
        </w:rPr>
        <w:t>, conformément à la décision 84/12 a) iv</w:t>
      </w:r>
      <w:proofErr w:type="gramStart"/>
      <w:r>
        <w:rPr>
          <w:lang w:val="fr-CA"/>
        </w:rPr>
        <w:t>)</w:t>
      </w:r>
      <w:r w:rsidRPr="000B07CF">
        <w:rPr>
          <w:lang w:val="fr-CA"/>
        </w:rPr>
        <w:t xml:space="preserve"> .</w:t>
      </w:r>
      <w:proofErr w:type="gramEnd"/>
    </w:p>
    <w:p w14:paraId="2E9FAAD5" w14:textId="77777777" w:rsidR="003D423A" w:rsidRPr="000B07CF" w:rsidRDefault="003D423A" w:rsidP="00E2698A">
      <w:pPr>
        <w:pStyle w:val="FootnoteText"/>
        <w:rPr>
          <w:lang w:val="fr-CA"/>
        </w:rPr>
      </w:pPr>
    </w:p>
  </w:footnote>
  <w:footnote w:id="6">
    <w:p w14:paraId="3A55DD49" w14:textId="35EEBB18" w:rsidR="00072897" w:rsidRPr="004251CE" w:rsidRDefault="00072897" w:rsidP="00D631A9">
      <w:pPr>
        <w:pStyle w:val="FootnoteText"/>
        <w:rPr>
          <w:lang w:val="fr-CA"/>
        </w:rPr>
      </w:pPr>
      <w:r w:rsidRPr="00B55E06">
        <w:rPr>
          <w:rStyle w:val="FootnoteReference"/>
        </w:rPr>
        <w:footnoteRef/>
      </w:r>
      <w:r w:rsidRPr="004251CE">
        <w:rPr>
          <w:lang w:val="fr-CA"/>
        </w:rPr>
        <w:t xml:space="preserve"> À l’exception de </w:t>
      </w:r>
      <w:r>
        <w:rPr>
          <w:lang w:val="fr-CA"/>
        </w:rPr>
        <w:t>ceux examinés</w:t>
      </w:r>
      <w:r w:rsidRPr="004251CE">
        <w:rPr>
          <w:lang w:val="fr-CA"/>
        </w:rPr>
        <w:t xml:space="preserve"> dans les documents de p</w:t>
      </w:r>
      <w:r>
        <w:rPr>
          <w:lang w:val="fr-CA"/>
        </w:rPr>
        <w:t>roposition de projet pertinents, au titre des rapports sur la projets comportant des exigences particulières pour la remise de rapports</w:t>
      </w:r>
      <w:r w:rsidRPr="004251CE">
        <w:rPr>
          <w:lang w:val="fr-CA"/>
        </w:rPr>
        <w:t xml:space="preserve"> (UNEP/</w:t>
      </w:r>
      <w:proofErr w:type="spellStart"/>
      <w:r w:rsidRPr="004251CE">
        <w:rPr>
          <w:lang w:val="fr-CA"/>
        </w:rPr>
        <w:t>OzL.Pro</w:t>
      </w:r>
      <w:proofErr w:type="spellEnd"/>
      <w:r w:rsidRPr="004251CE">
        <w:rPr>
          <w:lang w:val="fr-CA"/>
        </w:rPr>
        <w:t>/</w:t>
      </w:r>
      <w:proofErr w:type="spellStart"/>
      <w:r w:rsidRPr="004251CE">
        <w:rPr>
          <w:lang w:val="fr-CA"/>
        </w:rPr>
        <w:t>ExCom</w:t>
      </w:r>
      <w:proofErr w:type="spellEnd"/>
      <w:r w:rsidRPr="004251CE">
        <w:rPr>
          <w:lang w:val="fr-CA"/>
        </w:rPr>
        <w:t xml:space="preserve">/88/18), </w:t>
      </w:r>
      <w:r>
        <w:rPr>
          <w:lang w:val="fr-CA"/>
        </w:rPr>
        <w:t xml:space="preserve">ou au titre des tranches connaissant des retards dans la mise en œuvre </w:t>
      </w:r>
      <w:r w:rsidRPr="004251CE">
        <w:rPr>
          <w:lang w:val="fr-CA"/>
        </w:rPr>
        <w:t>(UNEP/</w:t>
      </w:r>
      <w:proofErr w:type="spellStart"/>
      <w:r w:rsidRPr="004251CE">
        <w:rPr>
          <w:lang w:val="fr-CA"/>
        </w:rPr>
        <w:t>OzL.Pro</w:t>
      </w:r>
      <w:proofErr w:type="spellEnd"/>
      <w:r w:rsidRPr="004251CE">
        <w:rPr>
          <w:lang w:val="fr-CA"/>
        </w:rPr>
        <w:t>/</w:t>
      </w:r>
      <w:proofErr w:type="spellStart"/>
      <w:r w:rsidRPr="004251CE">
        <w:rPr>
          <w:lang w:val="fr-CA"/>
        </w:rPr>
        <w:t>ExCom</w:t>
      </w:r>
      <w:proofErr w:type="spellEnd"/>
      <w:r w:rsidRPr="004251CE">
        <w:rPr>
          <w:lang w:val="fr-CA"/>
        </w:rPr>
        <w:t>/88/21).</w:t>
      </w:r>
    </w:p>
  </w:footnote>
  <w:footnote w:id="7">
    <w:p w14:paraId="7FB5650A" w14:textId="051C6893" w:rsidR="00072897" w:rsidRPr="00192999" w:rsidRDefault="00072897" w:rsidP="001760C7">
      <w:pPr>
        <w:pStyle w:val="FootnoteText"/>
        <w:rPr>
          <w:lang w:val="fr-CA"/>
        </w:rPr>
      </w:pPr>
      <w:r w:rsidRPr="00976769">
        <w:rPr>
          <w:rStyle w:val="FootnoteReference"/>
        </w:rPr>
        <w:footnoteRef/>
      </w:r>
      <w:r w:rsidRPr="00192999">
        <w:rPr>
          <w:lang w:val="fr-CA"/>
        </w:rPr>
        <w:t xml:space="preserve"> </w:t>
      </w:r>
      <w:r>
        <w:rPr>
          <w:lang w:val="fr-CA"/>
        </w:rPr>
        <w:t>Les projets en cours consistent en tous les projets dont la mise en œuvre avait débuté au 31 décembre 2020. Les principaux indicateurs de progrès sont : le pourcentage des sommes décaissées et le pourcentage des projets pour lesquels le décaissement de fonds a commencé; le décaissement prévu d’ici la fin de l’année en tant que pourcentage du financement approuvé; la durée moyenne des retards dans la mise en œuvre des projets; et les renseignements fournis dans la colonne des commentaires de la base de données des rapports périodiques</w:t>
      </w:r>
      <w:r w:rsidRPr="00192999">
        <w:rPr>
          <w:lang w:val="fr-CA"/>
        </w:rPr>
        <w:t>.</w:t>
      </w:r>
    </w:p>
  </w:footnote>
  <w:footnote w:id="8">
    <w:p w14:paraId="6206B909" w14:textId="07334EF0" w:rsidR="00072897" w:rsidRPr="00C63B7E" w:rsidRDefault="00072897" w:rsidP="00F86A85">
      <w:pPr>
        <w:pStyle w:val="Title1"/>
        <w:keepNext/>
        <w:jc w:val="both"/>
        <w:rPr>
          <w:b w:val="0"/>
          <w:sz w:val="20"/>
          <w:szCs w:val="20"/>
          <w:lang w:val="fr-CA"/>
        </w:rPr>
      </w:pPr>
      <w:r w:rsidRPr="00E40408">
        <w:rPr>
          <w:rStyle w:val="FootnoteReference"/>
          <w:b w:val="0"/>
        </w:rPr>
        <w:footnoteRef/>
      </w:r>
      <w:r w:rsidRPr="00C63B7E">
        <w:rPr>
          <w:b w:val="0"/>
          <w:caps w:val="0"/>
          <w:sz w:val="19"/>
          <w:szCs w:val="19"/>
          <w:lang w:val="fr-CA"/>
        </w:rPr>
        <w:t xml:space="preserve"> </w:t>
      </w:r>
      <w:r w:rsidRPr="00C63B7E">
        <w:rPr>
          <w:b w:val="0"/>
          <w:caps w:val="0"/>
          <w:sz w:val="20"/>
          <w:szCs w:val="20"/>
          <w:lang w:val="fr-CA"/>
        </w:rPr>
        <w:t xml:space="preserve">Comprenant 203,5 </w:t>
      </w:r>
      <w:proofErr w:type="spellStart"/>
      <w:r w:rsidRPr="00C63B7E">
        <w:rPr>
          <w:b w:val="0"/>
          <w:caps w:val="0"/>
          <w:sz w:val="20"/>
          <w:szCs w:val="20"/>
          <w:lang w:val="fr-CA"/>
        </w:rPr>
        <w:t>tm</w:t>
      </w:r>
      <w:proofErr w:type="spellEnd"/>
      <w:r w:rsidRPr="00C63B7E">
        <w:rPr>
          <w:b w:val="0"/>
          <w:caps w:val="0"/>
          <w:sz w:val="20"/>
          <w:szCs w:val="20"/>
          <w:lang w:val="fr-CA"/>
        </w:rPr>
        <w:t xml:space="preserve"> (332 848 </w:t>
      </w:r>
      <w:proofErr w:type="spellStart"/>
      <w:r w:rsidRPr="00C63B7E">
        <w:rPr>
          <w:b w:val="0"/>
          <w:caps w:val="0"/>
          <w:sz w:val="20"/>
          <w:szCs w:val="20"/>
          <w:lang w:val="fr-CA"/>
        </w:rPr>
        <w:t>tm</w:t>
      </w:r>
      <w:proofErr w:type="spellEnd"/>
      <w:r w:rsidRPr="00C63B7E">
        <w:rPr>
          <w:b w:val="0"/>
          <w:caps w:val="0"/>
          <w:sz w:val="20"/>
          <w:szCs w:val="20"/>
          <w:lang w:val="fr-CA"/>
        </w:rPr>
        <w:t xml:space="preserve"> d’éq-CO</w:t>
      </w:r>
      <w:r w:rsidRPr="00C63B7E">
        <w:rPr>
          <w:b w:val="0"/>
          <w:caps w:val="0"/>
          <w:sz w:val="20"/>
          <w:szCs w:val="20"/>
          <w:vertAlign w:val="subscript"/>
          <w:lang w:val="fr-CA"/>
        </w:rPr>
        <w:t>2</w:t>
      </w:r>
      <w:r w:rsidRPr="00C63B7E">
        <w:rPr>
          <w:b w:val="0"/>
          <w:caps w:val="0"/>
          <w:sz w:val="20"/>
          <w:szCs w:val="20"/>
          <w:lang w:val="fr-CA"/>
        </w:rPr>
        <w:t xml:space="preserve">) éliminées en 2020 </w:t>
      </w:r>
      <w:r>
        <w:rPr>
          <w:b w:val="0"/>
          <w:caps w:val="0"/>
          <w:sz w:val="20"/>
          <w:szCs w:val="20"/>
          <w:lang w:val="fr-CA"/>
        </w:rPr>
        <w:t>dans</w:t>
      </w:r>
      <w:r w:rsidRPr="00C63B7E">
        <w:rPr>
          <w:b w:val="0"/>
          <w:caps w:val="0"/>
          <w:sz w:val="20"/>
          <w:szCs w:val="20"/>
          <w:lang w:val="fr-CA"/>
        </w:rPr>
        <w:t xml:space="preserve"> le cadre de projets sur les HFC.</w:t>
      </w:r>
    </w:p>
  </w:footnote>
  <w:footnote w:id="9">
    <w:p w14:paraId="28CDDCB6" w14:textId="30646E54" w:rsidR="00072897" w:rsidRPr="00E33178" w:rsidRDefault="00072897" w:rsidP="00D0503A">
      <w:pPr>
        <w:pStyle w:val="FootnoteText"/>
        <w:rPr>
          <w:lang w:val="fr-CA"/>
        </w:rPr>
      </w:pPr>
      <w:r w:rsidRPr="00E33178">
        <w:rPr>
          <w:rStyle w:val="FootnoteReference"/>
          <w:lang w:val="fr-CA"/>
        </w:rPr>
        <w:footnoteRef/>
      </w:r>
      <w:r w:rsidRPr="00E33178">
        <w:rPr>
          <w:lang w:val="fr-CA"/>
        </w:rPr>
        <w:t xml:space="preserve"> Comprend 335,</w:t>
      </w:r>
      <w:r>
        <w:rPr>
          <w:lang w:val="fr-CA"/>
        </w:rPr>
        <w:t>4</w:t>
      </w:r>
      <w:r w:rsidRPr="00E33178">
        <w:rPr>
          <w:lang w:val="fr-CA"/>
        </w:rPr>
        <w:t xml:space="preserve"> </w:t>
      </w:r>
      <w:proofErr w:type="spellStart"/>
      <w:r w:rsidRPr="00E33178">
        <w:rPr>
          <w:lang w:val="fr-CA"/>
        </w:rPr>
        <w:t>tm</w:t>
      </w:r>
      <w:proofErr w:type="spellEnd"/>
      <w:r w:rsidRPr="00E33178">
        <w:rPr>
          <w:lang w:val="fr-CA"/>
        </w:rPr>
        <w:t xml:space="preserve"> des projets d’investissement pour les HFC</w:t>
      </w:r>
      <w:r>
        <w:rPr>
          <w:lang w:val="fr-CA"/>
        </w:rPr>
        <w:t>. Le rapport coût-efficacité en éq-CO</w:t>
      </w:r>
      <w:r w:rsidRPr="002765D3">
        <w:rPr>
          <w:vertAlign w:val="subscript"/>
          <w:lang w:val="fr-CA"/>
        </w:rPr>
        <w:t>2</w:t>
      </w:r>
      <w:r>
        <w:rPr>
          <w:lang w:val="fr-CA"/>
        </w:rPr>
        <w:t xml:space="preserve"> n’est pas fourni à cause du faible nombre de projets approuvés.</w:t>
      </w:r>
    </w:p>
  </w:footnote>
  <w:footnote w:id="10">
    <w:p w14:paraId="7C98EBBC" w14:textId="070055E7" w:rsidR="00072897" w:rsidRPr="00E33178" w:rsidRDefault="00072897" w:rsidP="00D0503A">
      <w:pPr>
        <w:pStyle w:val="FootnoteText"/>
        <w:rPr>
          <w:rStyle w:val="FootnoteReference"/>
          <w:vertAlign w:val="baseline"/>
          <w:lang w:val="fr-CA"/>
        </w:rPr>
      </w:pPr>
      <w:r w:rsidRPr="00E33178">
        <w:rPr>
          <w:rStyle w:val="FootnoteReference"/>
          <w:lang w:val="fr-CA"/>
        </w:rPr>
        <w:footnoteRef/>
      </w:r>
      <w:r w:rsidRPr="00E33178">
        <w:rPr>
          <w:rStyle w:val="FootnoteReference"/>
          <w:lang w:val="fr-CA"/>
        </w:rPr>
        <w:t xml:space="preserve"> </w:t>
      </w:r>
      <w:r w:rsidRPr="00E33178">
        <w:rPr>
          <w:rStyle w:val="FootnoteReference"/>
          <w:vertAlign w:val="baseline"/>
          <w:lang w:val="fr-CA"/>
        </w:rPr>
        <w:t>L</w:t>
      </w:r>
      <w:proofErr w:type="gramStart"/>
      <w:r w:rsidRPr="00E33178">
        <w:rPr>
          <w:lang w:val="fr-CA"/>
        </w:rPr>
        <w:t>e</w:t>
      </w:r>
      <w:proofErr w:type="gramEnd"/>
      <w:r w:rsidRPr="00E33178">
        <w:rPr>
          <w:lang w:val="fr-CA"/>
        </w:rPr>
        <w:t xml:space="preserve"> rap</w:t>
      </w:r>
      <w:r>
        <w:rPr>
          <w:lang w:val="fr-CA"/>
        </w:rPr>
        <w:t>port coût-efficacité plus élevé</w:t>
      </w:r>
      <w:r w:rsidRPr="00E33178">
        <w:rPr>
          <w:lang w:val="fr-CA"/>
        </w:rPr>
        <w:t xml:space="preserve"> des projets en cours est surtout attribuable aux valeurs PAO moins élevées des HCFC et aussi </w:t>
      </w:r>
      <w:r>
        <w:rPr>
          <w:lang w:val="fr-CA"/>
        </w:rPr>
        <w:t>aux</w:t>
      </w:r>
      <w:r w:rsidRPr="00E33178">
        <w:rPr>
          <w:lang w:val="fr-CA"/>
        </w:rPr>
        <w:t xml:space="preserve"> moyens par lesquels les agences attribuent l’élimination. Le rapport coût-efficacité </w:t>
      </w:r>
      <w:r>
        <w:rPr>
          <w:lang w:val="fr-CA"/>
        </w:rPr>
        <w:t>est de 44,06 $US/kg pour les accords pluriannuels des plans de gestion de l’élimination des HCFC (PGEH), de 23,93 $US/kg pour la phase I des plans de gestion de l’élimination de la production de HCFC et de 4,16 $US/kg pour la phase II des plans de gestion de l’élimination de la production de HCFC</w:t>
      </w:r>
      <w:r w:rsidRPr="00E33178">
        <w:rPr>
          <w:rStyle w:val="FootnoteReference"/>
          <w:vertAlign w:val="baseline"/>
          <w:lang w:val="fr-CA"/>
        </w:rPr>
        <w:t xml:space="preserve">. </w:t>
      </w:r>
    </w:p>
  </w:footnote>
  <w:footnote w:id="11">
    <w:p w14:paraId="66DBC236" w14:textId="77777777" w:rsidR="00072897" w:rsidRPr="00CB4B6E" w:rsidRDefault="00072897" w:rsidP="00945134">
      <w:pPr>
        <w:pStyle w:val="FootnoteText"/>
        <w:rPr>
          <w:lang w:val="fr-CA"/>
        </w:rPr>
      </w:pPr>
      <w:r w:rsidRPr="00976769">
        <w:rPr>
          <w:rStyle w:val="FootnoteReference"/>
        </w:rPr>
        <w:footnoteRef/>
      </w:r>
      <w:r w:rsidRPr="00C566EB">
        <w:rPr>
          <w:lang w:val="fr-CA"/>
        </w:rPr>
        <w:t xml:space="preserve"> </w:t>
      </w:r>
      <w:r w:rsidRPr="00CB4B6E">
        <w:rPr>
          <w:lang w:val="fr-CA"/>
        </w:rPr>
        <w:t xml:space="preserve">Les projets approuvés depuis plus de 18 moins et pour lesquels le taux de décaissement est </w:t>
      </w:r>
      <w:r>
        <w:rPr>
          <w:lang w:val="fr-CA"/>
        </w:rPr>
        <w:t>inférieur à</w:t>
      </w:r>
      <w:r w:rsidRPr="00CB4B6E">
        <w:rPr>
          <w:lang w:val="fr-CA"/>
        </w:rPr>
        <w:t xml:space="preserve"> 1 p. cent et les projets non achevés 12 mois après la date d’achèvement indiquée dans le rapport périodique (décision 22/61) (étant donné que </w:t>
      </w:r>
      <w:r>
        <w:rPr>
          <w:lang w:val="fr-CA"/>
        </w:rPr>
        <w:t>cette procédure ne s’applique pas aux</w:t>
      </w:r>
      <w:r w:rsidRPr="00CB4B6E">
        <w:rPr>
          <w:lang w:val="fr-CA"/>
        </w:rPr>
        <w:t xml:space="preserve"> projets de démonstration, </w:t>
      </w:r>
      <w:r>
        <w:rPr>
          <w:lang w:val="fr-CA"/>
        </w:rPr>
        <w:t xml:space="preserve">à </w:t>
      </w:r>
      <w:r w:rsidRPr="00CB4B6E">
        <w:rPr>
          <w:lang w:val="fr-CA"/>
        </w:rPr>
        <w:t xml:space="preserve">la préparation de projet et </w:t>
      </w:r>
      <w:r>
        <w:rPr>
          <w:lang w:val="fr-CA"/>
        </w:rPr>
        <w:t>au</w:t>
      </w:r>
      <w:r w:rsidRPr="00CB4B6E">
        <w:rPr>
          <w:lang w:val="fr-CA"/>
        </w:rPr>
        <w:t xml:space="preserve"> renforcement des instit</w:t>
      </w:r>
      <w:r>
        <w:rPr>
          <w:lang w:val="fr-CA"/>
        </w:rPr>
        <w:t>utions</w:t>
      </w:r>
      <w:r w:rsidRPr="00CB4B6E">
        <w:rPr>
          <w:lang w:val="fr-CA"/>
        </w:rPr>
        <w:t xml:space="preserve">). Les composants des accords pluriannuels </w:t>
      </w:r>
      <w:r>
        <w:rPr>
          <w:lang w:val="fr-CA"/>
        </w:rPr>
        <w:t>s</w:t>
      </w:r>
      <w:r w:rsidRPr="00CB4B6E">
        <w:rPr>
          <w:lang w:val="fr-CA"/>
        </w:rPr>
        <w:t>ont assujettis à la procédure d’annulation conformément à la décision 84/45 c).</w:t>
      </w:r>
    </w:p>
  </w:footnote>
  <w:footnote w:id="12">
    <w:p w14:paraId="7259CD42" w14:textId="15AA8996" w:rsidR="00072897" w:rsidRPr="00D303D6" w:rsidRDefault="00072897">
      <w:pPr>
        <w:pStyle w:val="FootnoteText"/>
        <w:rPr>
          <w:lang w:val="fr-CA"/>
        </w:rPr>
      </w:pPr>
      <w:r>
        <w:rPr>
          <w:rStyle w:val="FootnoteReference"/>
        </w:rPr>
        <w:footnoteRef/>
      </w:r>
      <w:r w:rsidRPr="00D303D6">
        <w:rPr>
          <w:lang w:val="fr-CA"/>
        </w:rPr>
        <w:t xml:space="preserve"> UNEP/</w:t>
      </w:r>
      <w:proofErr w:type="spellStart"/>
      <w:r w:rsidRPr="00D303D6">
        <w:rPr>
          <w:lang w:val="fr-CA"/>
        </w:rPr>
        <w:t>OzL.Pro</w:t>
      </w:r>
      <w:proofErr w:type="spellEnd"/>
      <w:r w:rsidRPr="00D303D6">
        <w:rPr>
          <w:lang w:val="fr-CA"/>
        </w:rPr>
        <w:t>/</w:t>
      </w:r>
      <w:proofErr w:type="spellStart"/>
      <w:r w:rsidRPr="00D303D6">
        <w:rPr>
          <w:lang w:val="fr-CA"/>
        </w:rPr>
        <w:t>ExCom</w:t>
      </w:r>
      <w:proofErr w:type="spellEnd"/>
      <w:r w:rsidRPr="00D303D6">
        <w:rPr>
          <w:lang w:val="fr-CA"/>
        </w:rPr>
        <w:t>/88/18</w:t>
      </w:r>
    </w:p>
  </w:footnote>
  <w:footnote w:id="13">
    <w:p w14:paraId="4F6474C4" w14:textId="6AB5F5E9" w:rsidR="00072897" w:rsidRPr="00D303D6" w:rsidRDefault="00072897">
      <w:pPr>
        <w:pStyle w:val="FootnoteText"/>
        <w:rPr>
          <w:lang w:val="fr-CA"/>
        </w:rPr>
      </w:pPr>
      <w:r>
        <w:rPr>
          <w:rStyle w:val="FootnoteReference"/>
        </w:rPr>
        <w:footnoteRef/>
      </w:r>
      <w:r w:rsidRPr="00D303D6">
        <w:rPr>
          <w:lang w:val="fr-CA"/>
        </w:rPr>
        <w:t xml:space="preserve"> UNEP/</w:t>
      </w:r>
      <w:proofErr w:type="spellStart"/>
      <w:r w:rsidRPr="00D303D6">
        <w:rPr>
          <w:lang w:val="fr-CA"/>
        </w:rPr>
        <w:t>OzL.Pro</w:t>
      </w:r>
      <w:proofErr w:type="spellEnd"/>
      <w:r w:rsidRPr="00D303D6">
        <w:rPr>
          <w:lang w:val="fr-CA"/>
        </w:rPr>
        <w:t>/</w:t>
      </w:r>
      <w:proofErr w:type="spellStart"/>
      <w:r w:rsidRPr="00D303D6">
        <w:rPr>
          <w:lang w:val="fr-CA"/>
        </w:rPr>
        <w:t>ExCom</w:t>
      </w:r>
      <w:proofErr w:type="spellEnd"/>
      <w:r w:rsidRPr="00D303D6">
        <w:rPr>
          <w:lang w:val="fr-CA"/>
        </w:rPr>
        <w:t>/88/21</w:t>
      </w:r>
    </w:p>
  </w:footnote>
  <w:footnote w:id="14">
    <w:p w14:paraId="563358D1" w14:textId="2B7F3D33" w:rsidR="00072897" w:rsidRPr="0042177E" w:rsidRDefault="00072897" w:rsidP="00B932B1">
      <w:pPr>
        <w:pStyle w:val="FootnoteText"/>
        <w:rPr>
          <w:lang w:val="fr-CA"/>
        </w:rPr>
      </w:pPr>
      <w:r w:rsidRPr="00976769">
        <w:rPr>
          <w:rStyle w:val="FootnoteReference"/>
        </w:rPr>
        <w:footnoteRef/>
      </w:r>
      <w:r w:rsidRPr="0042177E">
        <w:rPr>
          <w:lang w:val="fr-CA"/>
        </w:rPr>
        <w:t xml:space="preserve"> Une somme supplémentaire de </w:t>
      </w:r>
      <w:r>
        <w:rPr>
          <w:lang w:val="fr-CA"/>
        </w:rPr>
        <w:t>142,65</w:t>
      </w:r>
      <w:r w:rsidRPr="0042177E">
        <w:rPr>
          <w:lang w:val="fr-CA"/>
        </w:rPr>
        <w:t xml:space="preserve"> millions $US a été approuvée pour les </w:t>
      </w:r>
      <w:r>
        <w:rPr>
          <w:lang w:val="fr-CA"/>
        </w:rPr>
        <w:t>réunions du Co</w:t>
      </w:r>
      <w:r w:rsidRPr="0042177E">
        <w:rPr>
          <w:lang w:val="fr-CA"/>
        </w:rPr>
        <w:t xml:space="preserve">mité </w:t>
      </w:r>
      <w:r>
        <w:rPr>
          <w:lang w:val="fr-CA"/>
        </w:rPr>
        <w:t>exécutif, le fonctionnement du Secrétariat et les honoraires du Trésorier</w:t>
      </w:r>
      <w:r w:rsidRPr="0042177E">
        <w:rPr>
          <w:lang w:val="fr-CA"/>
        </w:rPr>
        <w:t>.</w:t>
      </w:r>
    </w:p>
  </w:footnote>
  <w:footnote w:id="15">
    <w:p w14:paraId="2A208968" w14:textId="77777777" w:rsidR="00072897" w:rsidRPr="007B62DC" w:rsidRDefault="00072897" w:rsidP="00C27C93">
      <w:pPr>
        <w:pStyle w:val="FootnoteText"/>
        <w:rPr>
          <w:lang w:val="fr-CA"/>
        </w:rPr>
      </w:pPr>
      <w:r w:rsidRPr="00976769">
        <w:rPr>
          <w:rStyle w:val="FootnoteReference"/>
        </w:rPr>
        <w:footnoteRef/>
      </w:r>
      <w:r w:rsidRPr="007B62DC">
        <w:rPr>
          <w:lang w:val="fr-CA"/>
        </w:rPr>
        <w:t xml:space="preserve"> </w:t>
      </w:r>
      <w:r>
        <w:rPr>
          <w:lang w:val="fr-CA"/>
        </w:rPr>
        <w:t>Les données sont présentées selon l’année d’approbation du projet par le Comité exécutif. Toutes les approbations (d’investissement et ne portant pas sur des investissements) sont traitées de la même manière (c.-à-d., un projet d’investissement ou une tranche annuelle de financement d’un projet pluriannuel de 1 million $US est considéré comme un projet, au même titre que la préparation d’un programme de pays de 30 000 $US). Les principaux indicateurs du sommaire annuel sont : le pourcentage de projets achevés, l’élimination PAO et le pourcentage des sommes décaissées. Il y a trois types de décaissements : au cours de la mise en œuvre, après la mise en œuvre et pour des projets financés de manière rétroactive</w:t>
      </w:r>
      <w:r w:rsidRPr="007B62DC">
        <w:rPr>
          <w:lang w:val="fr-CA"/>
        </w:rPr>
        <w:t xml:space="preserve">. </w:t>
      </w:r>
    </w:p>
  </w:footnote>
  <w:footnote w:id="16">
    <w:p w14:paraId="3D442A0E" w14:textId="1D8526B3" w:rsidR="00072897" w:rsidRPr="007B62DC" w:rsidRDefault="00072897" w:rsidP="00C27C93">
      <w:pPr>
        <w:pStyle w:val="FootnoteText"/>
        <w:tabs>
          <w:tab w:val="left" w:pos="0"/>
        </w:tabs>
        <w:rPr>
          <w:lang w:val="fr-CA"/>
        </w:rPr>
      </w:pPr>
      <w:r w:rsidRPr="007B62DC">
        <w:rPr>
          <w:rStyle w:val="FootnoteReference"/>
          <w:lang w:val="fr-CA"/>
        </w:rPr>
        <w:footnoteRef/>
      </w:r>
      <w:r w:rsidRPr="007B62DC">
        <w:rPr>
          <w:lang w:val="fr-CA"/>
        </w:rPr>
        <w:t xml:space="preserve"> </w:t>
      </w:r>
      <w:r>
        <w:rPr>
          <w:lang w:val="fr-CA"/>
        </w:rPr>
        <w:t>L’élimination complète pour le Fonds comprend 475 913 tonnes PAO de substances réglementées dans le cadre de projets d’investissement achevés, 14 420 tonnes PAO dans le cadre de projets ne portant pas sur des investissements achevés et 4 235 tonnes PAO dans le cadre de projets en cours</w:t>
      </w:r>
      <w:r w:rsidRPr="007B62DC">
        <w:rPr>
          <w:lang w:val="fr-CA"/>
        </w:rPr>
        <w:t>.</w:t>
      </w:r>
    </w:p>
  </w:footnote>
  <w:footnote w:id="17">
    <w:p w14:paraId="126F6A3B" w14:textId="47B88595" w:rsidR="00072897" w:rsidRPr="00715329" w:rsidRDefault="00072897" w:rsidP="00D631A9">
      <w:pPr>
        <w:pStyle w:val="FootnoteText"/>
        <w:rPr>
          <w:lang w:val="fr-CA"/>
        </w:rPr>
      </w:pPr>
      <w:r w:rsidRPr="007D4247">
        <w:rPr>
          <w:rStyle w:val="FootnoteReference"/>
        </w:rPr>
        <w:footnoteRef/>
      </w:r>
      <w:r w:rsidRPr="00715329">
        <w:rPr>
          <w:lang w:val="fr-CA"/>
        </w:rPr>
        <w:t xml:space="preserve"> </w:t>
      </w:r>
      <w:r>
        <w:rPr>
          <w:lang w:val="fr-CA"/>
        </w:rPr>
        <w:t>Les décisions 17/22 et 19/23 définissent les projets/activités achevés comme étant des projets contractés dans lesquels les SAO visées avaient été éliminées. La décision 28/2 étend la définition pour y inclure les situations qui démontrent que les CFC ayant fait l’objet d’un projet dans le secteur ne sont plus utilisés et qu’une substance de remplacement est produite (et/ou la production de celle-ci a commencé), et que l’équipement utilisant le CFC a été détruit, démantelé ou rendu inutilisable pour les SAO. Les activités du programme de travail sans élimination de SAO sont considérées achevées lorsque l’activité prend fin (p. ex., dans le cas d’un atelier, lorsque celui-ci a été présenté). Cette définition a été appliquée aux projets sur les HCFC</w:t>
      </w:r>
      <w:r w:rsidRPr="00715329">
        <w:rPr>
          <w:lang w:val="fr-CA"/>
        </w:rPr>
        <w:t xml:space="preserve">. </w:t>
      </w:r>
    </w:p>
  </w:footnote>
  <w:footnote w:id="18">
    <w:p w14:paraId="574B1932" w14:textId="47E553B5" w:rsidR="00072897" w:rsidRPr="00715329" w:rsidRDefault="00072897" w:rsidP="00D631A9">
      <w:pPr>
        <w:pStyle w:val="FootnoteText"/>
        <w:rPr>
          <w:lang w:val="fr-CA"/>
        </w:rPr>
      </w:pPr>
      <w:r w:rsidRPr="007D4247">
        <w:rPr>
          <w:rStyle w:val="FootnoteReference"/>
        </w:rPr>
        <w:footnoteRef/>
      </w:r>
      <w:r w:rsidRPr="00715329">
        <w:rPr>
          <w:lang w:val="fr-CA"/>
        </w:rPr>
        <w:t xml:space="preserve"> </w:t>
      </w:r>
      <w:r>
        <w:rPr>
          <w:lang w:val="fr-CA"/>
        </w:rPr>
        <w:t>La raison pour laquelle l’ensemble des fonds n’a pas été décaissé pour les projets achevés est qu’il faut parfois compter de six mois à un an pour mettre au point les derniers détails des dossiers de comptabilité</w:t>
      </w:r>
      <w:r w:rsidRPr="00715329">
        <w:rPr>
          <w:lang w:val="fr-CA"/>
        </w:rPr>
        <w:t>.</w:t>
      </w:r>
    </w:p>
  </w:footnote>
  <w:footnote w:id="19">
    <w:p w14:paraId="1EED1ABA" w14:textId="37F10627" w:rsidR="00D303D6" w:rsidRPr="00D303D6" w:rsidRDefault="00D303D6">
      <w:pPr>
        <w:pStyle w:val="FootnoteText"/>
        <w:rPr>
          <w:lang w:val="fr-FR"/>
        </w:rPr>
      </w:pPr>
      <w:r>
        <w:rPr>
          <w:rStyle w:val="FootnoteReference"/>
        </w:rPr>
        <w:footnoteRef/>
      </w:r>
      <w:r w:rsidRPr="00D303D6">
        <w:rPr>
          <w:lang w:val="fr-FR"/>
        </w:rPr>
        <w:t xml:space="preserve"> UNEP/</w:t>
      </w:r>
      <w:proofErr w:type="spellStart"/>
      <w:r w:rsidRPr="00D303D6">
        <w:rPr>
          <w:lang w:val="fr-FR"/>
        </w:rPr>
        <w:t>OzL.Pro</w:t>
      </w:r>
      <w:proofErr w:type="spellEnd"/>
      <w:r w:rsidRPr="00D303D6">
        <w:rPr>
          <w:lang w:val="fr-FR"/>
        </w:rPr>
        <w:t>/</w:t>
      </w:r>
      <w:proofErr w:type="spellStart"/>
      <w:r w:rsidRPr="00D303D6">
        <w:rPr>
          <w:lang w:val="fr-FR"/>
        </w:rPr>
        <w:t>ExCom</w:t>
      </w:r>
      <w:proofErr w:type="spellEnd"/>
      <w:r w:rsidRPr="00D303D6">
        <w:rPr>
          <w:lang w:val="fr-FR"/>
        </w:rPr>
        <w:t>/85/9</w:t>
      </w:r>
    </w:p>
  </w:footnote>
  <w:footnote w:id="20">
    <w:p w14:paraId="30A19988" w14:textId="115F2B01" w:rsidR="00072897" w:rsidRPr="009B1E5A" w:rsidRDefault="00072897" w:rsidP="00072897">
      <w:pPr>
        <w:pStyle w:val="FootnoteText"/>
        <w:rPr>
          <w:rStyle w:val="FootnoteReference"/>
          <w:vertAlign w:val="baseline"/>
          <w:lang w:val="fr-CA"/>
        </w:rPr>
      </w:pPr>
      <w:r w:rsidRPr="00976769">
        <w:rPr>
          <w:rStyle w:val="FootnoteReference"/>
        </w:rPr>
        <w:footnoteRef/>
      </w:r>
      <w:r w:rsidRPr="009B1E5A">
        <w:rPr>
          <w:rStyle w:val="FootnoteReference"/>
          <w:vertAlign w:val="baseline"/>
          <w:lang w:val="fr-CA"/>
        </w:rPr>
        <w:t xml:space="preserve"> </w:t>
      </w:r>
      <w:r>
        <w:rPr>
          <w:rStyle w:val="FootnoteReference"/>
          <w:vertAlign w:val="baseline"/>
          <w:lang w:val="fr-CA"/>
        </w:rPr>
        <w:t>L</w:t>
      </w:r>
      <w:r>
        <w:rPr>
          <w:lang w:val="fr-CA"/>
        </w:rPr>
        <w:t>’équipement utilisant la technologie de remplacement est en production. Les sommes seront décaissées d’ici la fin de 2020, après la signature de l’accord entre l’intermédiaire financier et le bénéficiaire</w:t>
      </w:r>
      <w:r w:rsidRPr="009B1E5A">
        <w:rPr>
          <w:lang w:val="fr-CA"/>
        </w:rPr>
        <w:t>.</w:t>
      </w:r>
    </w:p>
  </w:footnote>
  <w:footnote w:id="21">
    <w:p w14:paraId="3397D163" w14:textId="77777777" w:rsidR="00072897" w:rsidRPr="007D4247" w:rsidRDefault="00072897" w:rsidP="00FF3843">
      <w:pPr>
        <w:pStyle w:val="FootnoteText"/>
        <w:rPr>
          <w:rStyle w:val="FootnoteReference"/>
          <w:vertAlign w:val="baseline"/>
        </w:rPr>
      </w:pPr>
      <w:r w:rsidRPr="00563674">
        <w:rPr>
          <w:rStyle w:val="FootnoteReference"/>
        </w:rPr>
        <w:footnoteRef/>
      </w:r>
      <w:r w:rsidRPr="00563674">
        <w:rPr>
          <w:rStyle w:val="FootnoteReference"/>
        </w:rPr>
        <w:t xml:space="preserve"> </w:t>
      </w:r>
      <w:r w:rsidRPr="007D4247">
        <w:rPr>
          <w:rStyle w:val="FootnoteReference"/>
          <w:vertAlign w:val="baseline"/>
        </w:rPr>
        <w:t>Lesotho</w:t>
      </w:r>
    </w:p>
  </w:footnote>
  <w:footnote w:id="22">
    <w:p w14:paraId="3EB84C43" w14:textId="38756787" w:rsidR="00072897" w:rsidRPr="00DD27B4" w:rsidRDefault="00072897" w:rsidP="00FF3843">
      <w:pPr>
        <w:pStyle w:val="FootnoteText"/>
        <w:rPr>
          <w:rStyle w:val="FootnoteReference"/>
          <w:vertAlign w:val="baseline"/>
          <w:lang w:val="fr-CA"/>
        </w:rPr>
      </w:pPr>
      <w:r w:rsidRPr="00563674">
        <w:rPr>
          <w:rStyle w:val="FootnoteReference"/>
        </w:rPr>
        <w:footnoteRef/>
      </w:r>
      <w:r w:rsidRPr="00DD27B4">
        <w:rPr>
          <w:rStyle w:val="FootnoteReference"/>
          <w:vertAlign w:val="baseline"/>
          <w:lang w:val="fr-CA"/>
        </w:rPr>
        <w:t xml:space="preserve"> M</w:t>
      </w:r>
      <w:r w:rsidRPr="00DD27B4">
        <w:rPr>
          <w:lang w:val="fr-CA"/>
        </w:rPr>
        <w:t xml:space="preserve">alaisie et </w:t>
      </w:r>
      <w:r w:rsidRPr="00DD27B4">
        <w:rPr>
          <w:rStyle w:val="FootnoteReference"/>
          <w:vertAlign w:val="baseline"/>
          <w:lang w:val="fr-CA"/>
        </w:rPr>
        <w:t>Philippines</w:t>
      </w:r>
    </w:p>
  </w:footnote>
  <w:footnote w:id="23">
    <w:p w14:paraId="0B1FFFDC" w14:textId="0135EC7C" w:rsidR="00072897" w:rsidRPr="00DD27B4" w:rsidRDefault="00072897" w:rsidP="00FF3843">
      <w:pPr>
        <w:pStyle w:val="FootnoteText"/>
        <w:rPr>
          <w:rStyle w:val="FootnoteReference"/>
          <w:vertAlign w:val="baseline"/>
          <w:lang w:val="fr-CA"/>
        </w:rPr>
      </w:pPr>
      <w:r w:rsidRPr="009B1E5A">
        <w:rPr>
          <w:rStyle w:val="FootnoteReference"/>
          <w:lang w:val="fr-CA"/>
        </w:rPr>
        <w:footnoteRef/>
      </w:r>
      <w:r w:rsidRPr="00DD27B4">
        <w:rPr>
          <w:rStyle w:val="FootnoteReference"/>
          <w:vertAlign w:val="baseline"/>
          <w:lang w:val="fr-CA"/>
        </w:rPr>
        <w:t xml:space="preserve"> Costa Rica, </w:t>
      </w:r>
      <w:r w:rsidRPr="00DD27B4">
        <w:rPr>
          <w:lang w:val="fr-CA"/>
        </w:rPr>
        <w:t xml:space="preserve">Jamaïque, </w:t>
      </w:r>
      <w:r w:rsidRPr="00DD27B4">
        <w:rPr>
          <w:rStyle w:val="FootnoteReference"/>
          <w:vertAlign w:val="baseline"/>
          <w:lang w:val="fr-CA"/>
        </w:rPr>
        <w:t>P</w:t>
      </w:r>
      <w:r w:rsidRPr="00DD27B4">
        <w:rPr>
          <w:lang w:val="fr-CA"/>
        </w:rPr>
        <w:t>érou et Trinité-et-Tobago.</w:t>
      </w:r>
    </w:p>
  </w:footnote>
  <w:footnote w:id="24">
    <w:p w14:paraId="65A75D28" w14:textId="067EEDFC" w:rsidR="00072897" w:rsidRPr="009B1E5A" w:rsidRDefault="00072897" w:rsidP="00FF3843">
      <w:pPr>
        <w:pStyle w:val="FootnoteText"/>
        <w:rPr>
          <w:rStyle w:val="FootnoteReference"/>
          <w:vertAlign w:val="baseline"/>
          <w:lang w:val="fr-CA"/>
        </w:rPr>
      </w:pPr>
      <w:r w:rsidRPr="009B1E5A">
        <w:rPr>
          <w:rStyle w:val="FootnoteReference"/>
          <w:lang w:val="fr-CA"/>
        </w:rPr>
        <w:footnoteRef/>
      </w:r>
      <w:r w:rsidRPr="009B1E5A">
        <w:rPr>
          <w:rStyle w:val="FootnoteReference"/>
          <w:vertAlign w:val="baseline"/>
          <w:lang w:val="fr-CA"/>
        </w:rPr>
        <w:t xml:space="preserve"> </w:t>
      </w:r>
      <w:r>
        <w:rPr>
          <w:rStyle w:val="FootnoteReference"/>
          <w:vertAlign w:val="baseline"/>
          <w:lang w:val="fr-CA"/>
        </w:rPr>
        <w:t>C</w:t>
      </w:r>
      <w:r>
        <w:rPr>
          <w:lang w:val="fr-CA"/>
        </w:rPr>
        <w:t>ambodge, Ghana, Kirghizistan, Liban, Mongolie, Palau, Tonga et Zimbabwe</w:t>
      </w:r>
      <w:r w:rsidRPr="009B1E5A">
        <w:rPr>
          <w:rStyle w:val="FootnoteReference"/>
          <w:vertAlign w:val="baseline"/>
          <w:lang w:val="fr-CA"/>
        </w:rPr>
        <w:t>.</w:t>
      </w:r>
    </w:p>
  </w:footnote>
  <w:footnote w:id="25">
    <w:p w14:paraId="60ADB73F" w14:textId="5FB26C75" w:rsidR="00072897" w:rsidRPr="009B1E5A" w:rsidRDefault="00072897" w:rsidP="00FF3843">
      <w:pPr>
        <w:pStyle w:val="FootnoteText"/>
        <w:rPr>
          <w:rStyle w:val="FootnoteReference"/>
          <w:vertAlign w:val="baseline"/>
          <w:lang w:val="fr-CA"/>
        </w:rPr>
      </w:pPr>
      <w:r w:rsidRPr="009B1E5A">
        <w:rPr>
          <w:rStyle w:val="FootnoteReference"/>
          <w:lang w:val="fr-CA"/>
        </w:rPr>
        <w:footnoteRef/>
      </w:r>
      <w:r w:rsidRPr="009B1E5A">
        <w:rPr>
          <w:rStyle w:val="FootnoteReference"/>
          <w:vertAlign w:val="baseline"/>
          <w:lang w:val="fr-CA"/>
        </w:rPr>
        <w:t xml:space="preserve"> </w:t>
      </w:r>
      <w:r>
        <w:rPr>
          <w:rStyle w:val="FootnoteReference"/>
          <w:vertAlign w:val="baseline"/>
          <w:lang w:val="fr-CA"/>
        </w:rPr>
        <w:t xml:space="preserve">Afrique du Sud, </w:t>
      </w:r>
      <w:r>
        <w:rPr>
          <w:lang w:val="fr-CA"/>
        </w:rPr>
        <w:t>Albanie, Arménie, Grenade, Mexique, Monténégro, Soudan et Viet Nam</w:t>
      </w:r>
      <w:r w:rsidRPr="009B1E5A">
        <w:rPr>
          <w:rStyle w:val="FootnoteReference"/>
          <w:vertAlign w:val="baseline"/>
          <w:lang w:val="fr-CA"/>
        </w:rPr>
        <w:t>.</w:t>
      </w:r>
    </w:p>
  </w:footnote>
  <w:footnote w:id="26">
    <w:p w14:paraId="3966C19F" w14:textId="5949BDEA" w:rsidR="00072897" w:rsidRPr="00323DA8" w:rsidRDefault="00072897" w:rsidP="00DD74A5">
      <w:pPr>
        <w:pStyle w:val="FootnoteText"/>
        <w:rPr>
          <w:lang w:val="fr-CA"/>
        </w:rPr>
      </w:pPr>
      <w:r w:rsidRPr="00976769">
        <w:rPr>
          <w:rStyle w:val="FootnoteReference"/>
        </w:rPr>
        <w:footnoteRef/>
      </w:r>
      <w:r w:rsidRPr="008B1FA8">
        <w:rPr>
          <w:rStyle w:val="FootnoteReference"/>
          <w:vertAlign w:val="baseline"/>
          <w:lang w:val="fr-CA"/>
        </w:rPr>
        <w:t xml:space="preserve"> </w:t>
      </w:r>
      <w:r w:rsidRPr="00323DA8">
        <w:rPr>
          <w:rStyle w:val="FootnoteReference"/>
          <w:vertAlign w:val="baseline"/>
          <w:lang w:val="fr-CA"/>
        </w:rPr>
        <w:t>T</w:t>
      </w:r>
      <w:proofErr w:type="gramStart"/>
      <w:r w:rsidRPr="00323DA8">
        <w:rPr>
          <w:lang w:val="fr-CA"/>
        </w:rPr>
        <w:t>outes</w:t>
      </w:r>
      <w:proofErr w:type="gramEnd"/>
      <w:r w:rsidRPr="00323DA8">
        <w:rPr>
          <w:lang w:val="fr-CA"/>
        </w:rPr>
        <w:t xml:space="preserve"> les Parties sont tenues de mettre en place et </w:t>
      </w:r>
      <w:r w:rsidR="0089707A">
        <w:rPr>
          <w:lang w:val="fr-CA"/>
        </w:rPr>
        <w:t>d’exécuter</w:t>
      </w:r>
      <w:r w:rsidRPr="00323DA8">
        <w:rPr>
          <w:lang w:val="fr-CA"/>
        </w:rPr>
        <w:t xml:space="preserve"> un programme d’octroi de permis d’importation et d’exportation de substances réglementées de l’annexe F nouvelles, usées, recyclées ou régénérées avant le 1</w:t>
      </w:r>
      <w:r w:rsidRPr="00323DA8">
        <w:rPr>
          <w:vertAlign w:val="superscript"/>
          <w:lang w:val="fr-CA"/>
        </w:rPr>
        <w:t>er</w:t>
      </w:r>
      <w:r>
        <w:rPr>
          <w:lang w:val="fr-CA"/>
        </w:rPr>
        <w:t> janvier </w:t>
      </w:r>
      <w:r w:rsidRPr="00323DA8">
        <w:rPr>
          <w:lang w:val="fr-CA"/>
        </w:rPr>
        <w:t xml:space="preserve">2019 ou dans les trois mois suivant l’entrée en vigueur de ce paragraphe </w:t>
      </w:r>
      <w:r>
        <w:rPr>
          <w:lang w:val="fr-CA"/>
        </w:rPr>
        <w:t>pour leur pays</w:t>
      </w:r>
      <w:r w:rsidRPr="00323DA8">
        <w:rPr>
          <w:lang w:val="fr-CA"/>
        </w:rPr>
        <w:t xml:space="preserve">, selon l’éventualité la plus éloignée. Toute Partie visée au paragraphe 1 de l’article 5 qui décide </w:t>
      </w:r>
      <w:r>
        <w:rPr>
          <w:lang w:val="fr-CA"/>
        </w:rPr>
        <w:t xml:space="preserve">qu’elle n’est pas </w:t>
      </w:r>
      <w:r w:rsidRPr="00323DA8">
        <w:rPr>
          <w:lang w:val="fr-CA"/>
        </w:rPr>
        <w:t>en position de créer et de mettre en place un tel programme d’ici le 1</w:t>
      </w:r>
      <w:r w:rsidRPr="00323DA8">
        <w:rPr>
          <w:vertAlign w:val="superscript"/>
          <w:lang w:val="fr-CA"/>
        </w:rPr>
        <w:t>er</w:t>
      </w:r>
      <w:r w:rsidRPr="00323DA8">
        <w:rPr>
          <w:lang w:val="fr-CA"/>
        </w:rPr>
        <w:t xml:space="preserve"> janvier 2019 peut retarder cette décision jusqu’au 1</w:t>
      </w:r>
      <w:r w:rsidRPr="00323DA8">
        <w:rPr>
          <w:vertAlign w:val="superscript"/>
          <w:lang w:val="fr-CA"/>
        </w:rPr>
        <w:t>er</w:t>
      </w:r>
      <w:r w:rsidRPr="00323DA8">
        <w:rPr>
          <w:lang w:val="fr-CA"/>
        </w:rPr>
        <w:t xml:space="preserve"> janvier 2021.</w:t>
      </w:r>
    </w:p>
  </w:footnote>
  <w:footnote w:id="27">
    <w:p w14:paraId="303B9B1B" w14:textId="43C1E502" w:rsidR="00072897" w:rsidRPr="001B0DC4" w:rsidRDefault="00072897" w:rsidP="00B23EAE">
      <w:pPr>
        <w:pStyle w:val="FootnoteText"/>
        <w:rPr>
          <w:rStyle w:val="FootnoteReference"/>
          <w:vertAlign w:val="baseline"/>
          <w:lang w:val="fr-CA"/>
        </w:rPr>
      </w:pPr>
      <w:r w:rsidRPr="00323DA8">
        <w:rPr>
          <w:rStyle w:val="FootnoteReference"/>
          <w:lang w:val="fr-CA"/>
        </w:rPr>
        <w:footnoteRef/>
      </w:r>
      <w:r w:rsidRPr="00323DA8">
        <w:rPr>
          <w:rStyle w:val="FootnoteReference"/>
          <w:vertAlign w:val="baseline"/>
          <w:lang w:val="fr-CA"/>
        </w:rPr>
        <w:t xml:space="preserve"> L</w:t>
      </w:r>
      <w:proofErr w:type="gramStart"/>
      <w:r w:rsidRPr="00323DA8">
        <w:rPr>
          <w:lang w:val="fr-CA"/>
        </w:rPr>
        <w:t>e</w:t>
      </w:r>
      <w:r>
        <w:rPr>
          <w:lang w:val="fr-CA"/>
        </w:rPr>
        <w:t>s</w:t>
      </w:r>
      <w:proofErr w:type="gramEnd"/>
      <w:r w:rsidRPr="00323DA8">
        <w:rPr>
          <w:lang w:val="fr-CA"/>
        </w:rPr>
        <w:t xml:space="preserve"> gouvernement</w:t>
      </w:r>
      <w:r>
        <w:rPr>
          <w:lang w:val="fr-CA"/>
        </w:rPr>
        <w:t>s</w:t>
      </w:r>
      <w:r w:rsidRPr="00323DA8">
        <w:rPr>
          <w:lang w:val="fr-CA"/>
        </w:rPr>
        <w:t xml:space="preserve"> </w:t>
      </w:r>
      <w:r>
        <w:rPr>
          <w:lang w:val="fr-CA"/>
        </w:rPr>
        <w:t>ont</w:t>
      </w:r>
      <w:r w:rsidRPr="00323DA8">
        <w:rPr>
          <w:lang w:val="fr-CA"/>
        </w:rPr>
        <w:t xml:space="preserve"> mis en œuvre plusieurs activités sur l’amélioration de l’efficacité énergétique avec et sans le soutien de sources à l’extérieur du Fonds multilatéral. Ces activités évoluent selon des exigences du pays. Ainsi, l’information sur les types de projet</w:t>
      </w:r>
      <w:r>
        <w:rPr>
          <w:lang w:val="fr-CA"/>
        </w:rPr>
        <w:t>s</w:t>
      </w:r>
      <w:r w:rsidRPr="00323DA8">
        <w:rPr>
          <w:lang w:val="fr-CA"/>
        </w:rPr>
        <w:t xml:space="preserve"> est illustrative et non exhaustive</w:t>
      </w:r>
      <w:r w:rsidRPr="001B0DC4">
        <w:rPr>
          <w:rStyle w:val="FootnoteReference"/>
          <w:vertAlign w:val="baseline"/>
          <w:lang w:val="fr-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C799" w14:textId="716A52F2" w:rsidR="00072897" w:rsidRPr="0033525D" w:rsidRDefault="005A7169">
    <w:r>
      <w:fldChar w:fldCharType="begin"/>
    </w:r>
    <w:r>
      <w:instrText xml:space="preserve"> DOCPROPERTY "Document number"  \* MERGEFORMAT </w:instrText>
    </w:r>
    <w:r>
      <w:fldChar w:fldCharType="separate"/>
    </w:r>
    <w:r w:rsidR="00D303D6">
      <w:t>UNEP/</w:t>
    </w:r>
    <w:proofErr w:type="spellStart"/>
    <w:r w:rsidR="00D303D6">
      <w:t>OzL.Pro</w:t>
    </w:r>
    <w:proofErr w:type="spellEnd"/>
    <w:r w:rsidR="00D303D6">
      <w:t>/</w:t>
    </w:r>
    <w:proofErr w:type="spellStart"/>
    <w:r w:rsidR="00D303D6">
      <w:t>ExCom</w:t>
    </w:r>
    <w:proofErr w:type="spellEnd"/>
    <w:r w:rsidR="00D303D6">
      <w:t>/88/12</w:t>
    </w:r>
    <w:r>
      <w:fldChar w:fldCharType="end"/>
    </w:r>
  </w:p>
  <w:p w14:paraId="3BE41592" w14:textId="77777777" w:rsidR="00072897" w:rsidRPr="0033525D" w:rsidRDefault="00072897"/>
  <w:p w14:paraId="381C457A" w14:textId="77777777" w:rsidR="00072897" w:rsidRPr="0033525D" w:rsidRDefault="00072897"/>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F657" w14:textId="1EA0E342" w:rsidR="00072897" w:rsidRPr="00D303D6" w:rsidRDefault="00072897">
    <w:pPr>
      <w:jc w:val="right"/>
    </w:pPr>
    <w:r w:rsidRPr="00071529">
      <w:rPr>
        <w:lang w:val="fr-CA"/>
      </w:rPr>
      <w:fldChar w:fldCharType="begin"/>
    </w:r>
    <w:r w:rsidRPr="00D303D6">
      <w:instrText xml:space="preserve"> DOCPROPERTY "Document number"  \* MERGEFORMAT </w:instrText>
    </w:r>
    <w:r w:rsidRPr="00071529">
      <w:rPr>
        <w:lang w:val="fr-CA"/>
      </w:rPr>
      <w:fldChar w:fldCharType="separate"/>
    </w:r>
    <w:r w:rsidRPr="00D303D6">
      <w:t>UNEP/</w:t>
    </w:r>
    <w:proofErr w:type="spellStart"/>
    <w:r w:rsidRPr="00D303D6">
      <w:t>OzL.Pro</w:t>
    </w:r>
    <w:proofErr w:type="spellEnd"/>
    <w:r w:rsidRPr="00D303D6">
      <w:t>/</w:t>
    </w:r>
    <w:proofErr w:type="spellStart"/>
    <w:r w:rsidRPr="00D303D6">
      <w:t>ExCom</w:t>
    </w:r>
    <w:proofErr w:type="spellEnd"/>
    <w:r w:rsidRPr="00D303D6">
      <w:t>/88/12</w:t>
    </w:r>
    <w:r w:rsidRPr="00071529">
      <w:rPr>
        <w:lang w:val="fr-CA"/>
      </w:rPr>
      <w:fldChar w:fldCharType="end"/>
    </w:r>
  </w:p>
  <w:p w14:paraId="5EC63947" w14:textId="5F8012E3" w:rsidR="00072897" w:rsidRPr="00D303D6" w:rsidRDefault="00072897" w:rsidP="00A37590">
    <w:pPr>
      <w:jc w:val="right"/>
    </w:pPr>
    <w:r w:rsidRPr="00D303D6">
      <w:t>Annexe II</w:t>
    </w:r>
  </w:p>
  <w:p w14:paraId="7590322E" w14:textId="4F6168FA" w:rsidR="00072897" w:rsidRPr="00071529" w:rsidRDefault="00072897" w:rsidP="00A37590">
    <w:pPr>
      <w:pStyle w:val="Header"/>
      <w:jc w:val="right"/>
      <w:rPr>
        <w:lang w:val="fr-CA"/>
      </w:rPr>
    </w:pPr>
    <w:r w:rsidRPr="00071529">
      <w:rPr>
        <w:lang w:val="fr-CA"/>
      </w:rPr>
      <w:t>Appendice I</w:t>
    </w:r>
  </w:p>
  <w:p w14:paraId="37E2034D" w14:textId="77777777" w:rsidR="00072897" w:rsidRPr="0033525D" w:rsidRDefault="00072897" w:rsidP="00A37590">
    <w:pPr>
      <w:pStyle w:val="Header"/>
      <w:jc w:val="righ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E78D" w14:textId="1D3B1CD7" w:rsidR="00072897" w:rsidRPr="0033525D" w:rsidRDefault="005A7169" w:rsidP="00A37590">
    <w:pPr>
      <w:jc w:val="right"/>
    </w:pPr>
    <w:r>
      <w:fldChar w:fldCharType="begin"/>
    </w:r>
    <w:r>
      <w:instrText xml:space="preserve"> DOCPROPERTY "Document number"  \* MERGEFORMAT </w:instrText>
    </w:r>
    <w:r>
      <w:fldChar w:fldCharType="separate"/>
    </w:r>
    <w:r w:rsidR="00072897">
      <w:t>UNEP/</w:t>
    </w:r>
    <w:proofErr w:type="spellStart"/>
    <w:r w:rsidR="00072897">
      <w:t>OzL.Pro</w:t>
    </w:r>
    <w:proofErr w:type="spellEnd"/>
    <w:r w:rsidR="00072897">
      <w:t>/</w:t>
    </w:r>
    <w:proofErr w:type="spellStart"/>
    <w:r w:rsidR="00072897">
      <w:t>ExCom</w:t>
    </w:r>
    <w:proofErr w:type="spellEnd"/>
    <w:r w:rsidR="00072897">
      <w:t>/88/12</w:t>
    </w:r>
    <w:r>
      <w:fldChar w:fldCharType="end"/>
    </w:r>
  </w:p>
  <w:p w14:paraId="4CE7C6E4" w14:textId="56DB2E0B" w:rsidR="00072897" w:rsidRDefault="00072897" w:rsidP="00A37590">
    <w:pPr>
      <w:pStyle w:val="Header"/>
      <w:jc w:val="right"/>
    </w:pPr>
    <w:r>
      <w:t>Annexe II</w:t>
    </w:r>
  </w:p>
  <w:p w14:paraId="72C5FB48" w14:textId="6C4C796B" w:rsidR="00072897" w:rsidRDefault="00072897" w:rsidP="00A37590">
    <w:pPr>
      <w:pStyle w:val="Header"/>
      <w:jc w:val="right"/>
    </w:pPr>
    <w:proofErr w:type="spellStart"/>
    <w:r>
      <w:t>Appendice</w:t>
    </w:r>
    <w:proofErr w:type="spellEnd"/>
    <w:r>
      <w:t xml:space="preserve"> I</w:t>
    </w:r>
  </w:p>
  <w:p w14:paraId="3045ECEC" w14:textId="77777777" w:rsidR="00072897" w:rsidRDefault="00072897" w:rsidP="00A37590">
    <w:pPr>
      <w:pStyle w:val="Header"/>
      <w:jc w:val="righ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7821" w14:textId="7FCE30FA" w:rsidR="00072897" w:rsidRPr="0033525D" w:rsidRDefault="005A7169">
    <w:r>
      <w:fldChar w:fldCharType="begin"/>
    </w:r>
    <w:r>
      <w:instrText xml:space="preserve"> DOCPROPERTY "Document number"  \* MERGEFORMAT </w:instrText>
    </w:r>
    <w:r>
      <w:fldChar w:fldCharType="separate"/>
    </w:r>
    <w:r w:rsidR="00072897">
      <w:t>UNEP/</w:t>
    </w:r>
    <w:proofErr w:type="spellStart"/>
    <w:r w:rsidR="00072897">
      <w:t>OzL.Pro</w:t>
    </w:r>
    <w:proofErr w:type="spellEnd"/>
    <w:r w:rsidR="00072897">
      <w:t>/</w:t>
    </w:r>
    <w:proofErr w:type="spellStart"/>
    <w:r w:rsidR="00072897">
      <w:t>ExCom</w:t>
    </w:r>
    <w:proofErr w:type="spellEnd"/>
    <w:r w:rsidR="00072897">
      <w:t>/88/12</w:t>
    </w:r>
    <w:r>
      <w:fldChar w:fldCharType="end"/>
    </w:r>
  </w:p>
  <w:p w14:paraId="13F962A2" w14:textId="21BF2760" w:rsidR="00072897" w:rsidRPr="00D303D6" w:rsidRDefault="00072897">
    <w:r w:rsidRPr="00D303D6">
      <w:t>Annexe II</w:t>
    </w:r>
  </w:p>
  <w:p w14:paraId="61498FC1" w14:textId="34AAE21D" w:rsidR="00072897" w:rsidRPr="00071529" w:rsidRDefault="00072897">
    <w:pPr>
      <w:rPr>
        <w:lang w:val="fr-CA"/>
      </w:rPr>
    </w:pPr>
    <w:r w:rsidRPr="00071529">
      <w:rPr>
        <w:lang w:val="fr-CA"/>
      </w:rPr>
      <w:t>Appendice II</w:t>
    </w:r>
  </w:p>
  <w:p w14:paraId="5E1CD413" w14:textId="77777777" w:rsidR="00072897" w:rsidRPr="0033525D" w:rsidRDefault="00072897"/>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A4E0" w14:textId="2439F4F6" w:rsidR="00072897" w:rsidRPr="0033525D" w:rsidRDefault="005A7169">
    <w:pPr>
      <w:jc w:val="right"/>
    </w:pPr>
    <w:r>
      <w:fldChar w:fldCharType="begin"/>
    </w:r>
    <w:r>
      <w:instrText xml:space="preserve"> DOCPROPERTY "Document number"  \* MERGEFORMAT </w:instrText>
    </w:r>
    <w:r>
      <w:fldChar w:fldCharType="separate"/>
    </w:r>
    <w:r w:rsidR="00072897">
      <w:t>UNEP/</w:t>
    </w:r>
    <w:proofErr w:type="spellStart"/>
    <w:r w:rsidR="00072897">
      <w:t>OzL.Pro</w:t>
    </w:r>
    <w:proofErr w:type="spellEnd"/>
    <w:r w:rsidR="00072897">
      <w:t>/</w:t>
    </w:r>
    <w:proofErr w:type="spellStart"/>
    <w:r w:rsidR="00072897">
      <w:t>ExCom</w:t>
    </w:r>
    <w:proofErr w:type="spellEnd"/>
    <w:r w:rsidR="00072897">
      <w:t>/88/12</w:t>
    </w:r>
    <w:r>
      <w:fldChar w:fldCharType="end"/>
    </w:r>
  </w:p>
  <w:p w14:paraId="2840E1C5" w14:textId="1AB141A9" w:rsidR="00072897" w:rsidRPr="00D303D6" w:rsidRDefault="00072897" w:rsidP="00A37590">
    <w:pPr>
      <w:jc w:val="right"/>
    </w:pPr>
    <w:r w:rsidRPr="00D303D6">
      <w:t>Annexe II</w:t>
    </w:r>
  </w:p>
  <w:p w14:paraId="5C22057A" w14:textId="72B73DE2" w:rsidR="00072897" w:rsidRPr="00071529" w:rsidRDefault="00072897" w:rsidP="00A37590">
    <w:pPr>
      <w:pStyle w:val="Header"/>
      <w:jc w:val="right"/>
      <w:rPr>
        <w:lang w:val="fr-CA"/>
      </w:rPr>
    </w:pPr>
    <w:r w:rsidRPr="00071529">
      <w:rPr>
        <w:lang w:val="fr-CA"/>
      </w:rPr>
      <w:t>Appendice II</w:t>
    </w:r>
  </w:p>
  <w:p w14:paraId="2038FB07" w14:textId="77777777" w:rsidR="00072897" w:rsidRPr="0033525D" w:rsidRDefault="00072897" w:rsidP="00A37590">
    <w:pPr>
      <w:pStyle w:val="Header"/>
      <w:jc w:val="righ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2B96" w14:textId="5E774ADF" w:rsidR="00072897" w:rsidRPr="0033525D" w:rsidRDefault="005A7169" w:rsidP="00A37590">
    <w:pPr>
      <w:jc w:val="right"/>
    </w:pPr>
    <w:r>
      <w:fldChar w:fldCharType="begin"/>
    </w:r>
    <w:r>
      <w:instrText xml:space="preserve"> DOCPROPERTY "Document number"  \* MERGEFORMAT </w:instrText>
    </w:r>
    <w:r>
      <w:fldChar w:fldCharType="separate"/>
    </w:r>
    <w:r w:rsidR="00072897">
      <w:t>UNEP/</w:t>
    </w:r>
    <w:proofErr w:type="spellStart"/>
    <w:r w:rsidR="00072897">
      <w:t>OzL.Pro</w:t>
    </w:r>
    <w:proofErr w:type="spellEnd"/>
    <w:r w:rsidR="00072897">
      <w:t>/</w:t>
    </w:r>
    <w:proofErr w:type="spellStart"/>
    <w:r w:rsidR="00072897">
      <w:t>ExCom</w:t>
    </w:r>
    <w:proofErr w:type="spellEnd"/>
    <w:r w:rsidR="00072897">
      <w:t>/88/12</w:t>
    </w:r>
    <w:r>
      <w:fldChar w:fldCharType="end"/>
    </w:r>
  </w:p>
  <w:p w14:paraId="2659E8B1" w14:textId="4BFCC122" w:rsidR="00072897" w:rsidRPr="00D303D6" w:rsidRDefault="00072897" w:rsidP="00A37590">
    <w:pPr>
      <w:pStyle w:val="Header"/>
      <w:jc w:val="right"/>
    </w:pPr>
    <w:r w:rsidRPr="00D303D6">
      <w:t>Annexe II</w:t>
    </w:r>
  </w:p>
  <w:p w14:paraId="6240A7EA" w14:textId="5C396AB2" w:rsidR="00072897" w:rsidRPr="00071529" w:rsidRDefault="00072897" w:rsidP="00A37590">
    <w:pPr>
      <w:pStyle w:val="Header"/>
      <w:jc w:val="right"/>
      <w:rPr>
        <w:lang w:val="fr-CA"/>
      </w:rPr>
    </w:pPr>
    <w:r w:rsidRPr="00071529">
      <w:rPr>
        <w:lang w:val="fr-CA"/>
      </w:rPr>
      <w:t>Appendice II</w:t>
    </w:r>
  </w:p>
  <w:p w14:paraId="65769F23" w14:textId="77777777" w:rsidR="00072897" w:rsidRDefault="00072897" w:rsidP="00A37590">
    <w:pPr>
      <w:pStyle w:val="Header"/>
      <w:jc w:val="righ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7EC3" w14:textId="21802E1F" w:rsidR="00072897" w:rsidRPr="0033525D" w:rsidRDefault="005A7169">
    <w:r>
      <w:fldChar w:fldCharType="begin"/>
    </w:r>
    <w:r>
      <w:instrText xml:space="preserve"> DOCPROPERTY "Document number"  \* MERGEFORMAT </w:instrText>
    </w:r>
    <w:r>
      <w:fldChar w:fldCharType="separate"/>
    </w:r>
    <w:r w:rsidR="00072897">
      <w:t>UNEP/</w:t>
    </w:r>
    <w:proofErr w:type="spellStart"/>
    <w:r w:rsidR="00072897">
      <w:t>OzL.Pro</w:t>
    </w:r>
    <w:proofErr w:type="spellEnd"/>
    <w:r w:rsidR="00072897">
      <w:t>/</w:t>
    </w:r>
    <w:proofErr w:type="spellStart"/>
    <w:r w:rsidR="00072897">
      <w:t>ExCom</w:t>
    </w:r>
    <w:proofErr w:type="spellEnd"/>
    <w:r w:rsidR="00072897">
      <w:t>/88/12</w:t>
    </w:r>
    <w:r>
      <w:fldChar w:fldCharType="end"/>
    </w:r>
  </w:p>
  <w:p w14:paraId="53A9D9CD" w14:textId="48F5FB62" w:rsidR="00072897" w:rsidRPr="0033525D" w:rsidRDefault="00072897">
    <w:r>
      <w:t>Annexe III</w:t>
    </w:r>
  </w:p>
  <w:p w14:paraId="36157AF2" w14:textId="77777777" w:rsidR="00072897" w:rsidRPr="0033525D" w:rsidRDefault="00072897"/>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1A0B" w14:textId="2E735EC0" w:rsidR="00072897" w:rsidRDefault="005A7169">
    <w:pPr>
      <w:jc w:val="right"/>
    </w:pPr>
    <w:r>
      <w:fldChar w:fldCharType="begin"/>
    </w:r>
    <w:r>
      <w:instrText xml:space="preserve"> DOCPROPERTY "Document number"  \* MERGEFORMAT </w:instrText>
    </w:r>
    <w:r>
      <w:fldChar w:fldCharType="separate"/>
    </w:r>
    <w:r w:rsidR="00072897">
      <w:t>UNEP/</w:t>
    </w:r>
    <w:proofErr w:type="spellStart"/>
    <w:r w:rsidR="00072897">
      <w:t>OzL.Pro</w:t>
    </w:r>
    <w:proofErr w:type="spellEnd"/>
    <w:r w:rsidR="00072897">
      <w:t>/</w:t>
    </w:r>
    <w:proofErr w:type="spellStart"/>
    <w:r w:rsidR="00072897">
      <w:t>ExCom</w:t>
    </w:r>
    <w:proofErr w:type="spellEnd"/>
    <w:r w:rsidR="00072897">
      <w:t>/88/12</w:t>
    </w:r>
    <w:r>
      <w:fldChar w:fldCharType="end"/>
    </w:r>
  </w:p>
  <w:p w14:paraId="0B743AAF" w14:textId="54DE335F" w:rsidR="00072897" w:rsidRPr="0033525D" w:rsidRDefault="00072897">
    <w:pPr>
      <w:jc w:val="right"/>
    </w:pPr>
    <w:r>
      <w:t>Annexe III</w:t>
    </w:r>
  </w:p>
  <w:p w14:paraId="3EFE218F" w14:textId="77777777" w:rsidR="00072897" w:rsidRPr="0033525D" w:rsidRDefault="00072897">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58EF" w14:textId="29B971BF" w:rsidR="00072897" w:rsidRPr="0033525D" w:rsidRDefault="005A7169" w:rsidP="00A37590">
    <w:pPr>
      <w:jc w:val="right"/>
    </w:pPr>
    <w:r>
      <w:fldChar w:fldCharType="begin"/>
    </w:r>
    <w:r>
      <w:instrText xml:space="preserve"> DOCPROPERTY "Document number"  \* MERGEFORMAT </w:instrText>
    </w:r>
    <w:r>
      <w:fldChar w:fldCharType="separate"/>
    </w:r>
    <w:r w:rsidR="00D303D6">
      <w:t>UNEP/</w:t>
    </w:r>
    <w:proofErr w:type="spellStart"/>
    <w:r w:rsidR="00D303D6">
      <w:t>OzL.Pro</w:t>
    </w:r>
    <w:proofErr w:type="spellEnd"/>
    <w:r w:rsidR="00D303D6">
      <w:t>/</w:t>
    </w:r>
    <w:proofErr w:type="spellStart"/>
    <w:r w:rsidR="00D303D6">
      <w:t>ExCom</w:t>
    </w:r>
    <w:proofErr w:type="spellEnd"/>
    <w:r w:rsidR="00D303D6">
      <w:t>/88/12</w:t>
    </w:r>
    <w:r>
      <w:fldChar w:fldCharType="end"/>
    </w:r>
  </w:p>
  <w:p w14:paraId="3DF1B82B" w14:textId="7ACDEC7A" w:rsidR="00072897" w:rsidRDefault="00072897" w:rsidP="00A37590">
    <w:pPr>
      <w:pStyle w:val="Header"/>
      <w:jc w:val="right"/>
    </w:pPr>
    <w:r>
      <w:t>Annexe III</w:t>
    </w:r>
  </w:p>
  <w:p w14:paraId="2D6B7CF9" w14:textId="77777777" w:rsidR="00072897" w:rsidRDefault="00072897" w:rsidP="00A37590">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2039" w14:textId="46CFFB7D" w:rsidR="00072897" w:rsidRPr="0033525D" w:rsidRDefault="005A7169">
    <w:pPr>
      <w:jc w:val="right"/>
    </w:pPr>
    <w:r>
      <w:fldChar w:fldCharType="begin"/>
    </w:r>
    <w:r>
      <w:instrText xml:space="preserve"> DOCPROPERTY "Document number"  \* MERGEFORMAT </w:instrText>
    </w:r>
    <w:r>
      <w:fldChar w:fldCharType="separate"/>
    </w:r>
    <w:r w:rsidR="00D303D6">
      <w:t>UNEP/</w:t>
    </w:r>
    <w:proofErr w:type="spellStart"/>
    <w:r w:rsidR="00D303D6">
      <w:t>OzL.Pro</w:t>
    </w:r>
    <w:proofErr w:type="spellEnd"/>
    <w:r w:rsidR="00D303D6">
      <w:t>/</w:t>
    </w:r>
    <w:proofErr w:type="spellStart"/>
    <w:r w:rsidR="00D303D6">
      <w:t>ExCom</w:t>
    </w:r>
    <w:proofErr w:type="spellEnd"/>
    <w:r w:rsidR="00D303D6">
      <w:t>/88/12</w:t>
    </w:r>
    <w:r>
      <w:fldChar w:fldCharType="end"/>
    </w:r>
  </w:p>
  <w:p w14:paraId="02D4225F" w14:textId="77777777" w:rsidR="00072897" w:rsidRPr="0033525D" w:rsidRDefault="00072897"/>
  <w:p w14:paraId="1F374D23" w14:textId="77777777" w:rsidR="00072897" w:rsidRPr="0033525D" w:rsidRDefault="000728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9893" w14:textId="1B789E0E" w:rsidR="00072897" w:rsidRPr="0033525D" w:rsidRDefault="005A7169">
    <w:r>
      <w:fldChar w:fldCharType="begin"/>
    </w:r>
    <w:r>
      <w:instrText xml:space="preserve"> DOCPROPERTY "Document number"  \* MERGEFORMAT </w:instrText>
    </w:r>
    <w:r>
      <w:fldChar w:fldCharType="separate"/>
    </w:r>
    <w:r w:rsidR="00D303D6">
      <w:t>UNEP/</w:t>
    </w:r>
    <w:proofErr w:type="spellStart"/>
    <w:r w:rsidR="00D303D6">
      <w:t>OzL.Pro</w:t>
    </w:r>
    <w:proofErr w:type="spellEnd"/>
    <w:r w:rsidR="00D303D6">
      <w:t>/</w:t>
    </w:r>
    <w:proofErr w:type="spellStart"/>
    <w:r w:rsidR="00D303D6">
      <w:t>ExCom</w:t>
    </w:r>
    <w:proofErr w:type="spellEnd"/>
    <w:r w:rsidR="00D303D6">
      <w:t>/88/12</w:t>
    </w:r>
    <w:r>
      <w:fldChar w:fldCharType="end"/>
    </w:r>
  </w:p>
  <w:p w14:paraId="1497F8CD" w14:textId="1C938F65" w:rsidR="00072897" w:rsidRPr="0033525D" w:rsidRDefault="00072897">
    <w:r>
      <w:t>Annexe I</w:t>
    </w:r>
  </w:p>
  <w:p w14:paraId="25308932" w14:textId="77777777" w:rsidR="00072897" w:rsidRPr="0033525D" w:rsidRDefault="0007289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8204" w14:textId="0AE5ECC6" w:rsidR="00072897" w:rsidRPr="0033525D" w:rsidRDefault="005A7169">
    <w:pPr>
      <w:jc w:val="right"/>
    </w:pPr>
    <w:r>
      <w:fldChar w:fldCharType="begin"/>
    </w:r>
    <w:r>
      <w:instrText xml:space="preserve"> DOCPROPERTY "Document number"  \* MERGEFORMAT </w:instrText>
    </w:r>
    <w:r>
      <w:fldChar w:fldCharType="separate"/>
    </w:r>
    <w:r w:rsidR="00072897">
      <w:t>UNEP/</w:t>
    </w:r>
    <w:proofErr w:type="spellStart"/>
    <w:r w:rsidR="00072897">
      <w:t>OzL.Pro</w:t>
    </w:r>
    <w:proofErr w:type="spellEnd"/>
    <w:r w:rsidR="00072897">
      <w:t>/</w:t>
    </w:r>
    <w:proofErr w:type="spellStart"/>
    <w:r w:rsidR="00072897">
      <w:t>ExCom</w:t>
    </w:r>
    <w:proofErr w:type="spellEnd"/>
    <w:r w:rsidR="00072897">
      <w:t>/88/12</w:t>
    </w:r>
    <w:r>
      <w:fldChar w:fldCharType="end"/>
    </w:r>
  </w:p>
  <w:p w14:paraId="035C958B" w14:textId="63F0DA79" w:rsidR="00072897" w:rsidRPr="0033525D" w:rsidRDefault="00072897" w:rsidP="00A37590">
    <w:pPr>
      <w:jc w:val="right"/>
    </w:pPr>
    <w:r>
      <w:t>Annexe I</w:t>
    </w:r>
  </w:p>
  <w:p w14:paraId="11E1B0EB" w14:textId="77777777" w:rsidR="00072897" w:rsidRPr="0033525D" w:rsidRDefault="0007289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E5CB" w14:textId="3BE86ED0" w:rsidR="00072897" w:rsidRPr="0033525D" w:rsidRDefault="005A7169" w:rsidP="00A37590">
    <w:pPr>
      <w:jc w:val="right"/>
    </w:pPr>
    <w:r>
      <w:fldChar w:fldCharType="begin"/>
    </w:r>
    <w:r>
      <w:instrText xml:space="preserve"> DOCPROPERTY "Document number"  \* MERGEFORMAT </w:instrText>
    </w:r>
    <w:r>
      <w:fldChar w:fldCharType="separate"/>
    </w:r>
    <w:r w:rsidR="00D303D6">
      <w:t>UNEP/</w:t>
    </w:r>
    <w:proofErr w:type="spellStart"/>
    <w:r w:rsidR="00D303D6">
      <w:t>OzL.Pro</w:t>
    </w:r>
    <w:proofErr w:type="spellEnd"/>
    <w:r w:rsidR="00D303D6">
      <w:t>/</w:t>
    </w:r>
    <w:proofErr w:type="spellStart"/>
    <w:r w:rsidR="00D303D6">
      <w:t>ExCom</w:t>
    </w:r>
    <w:proofErr w:type="spellEnd"/>
    <w:r w:rsidR="00D303D6">
      <w:t>/88/12</w:t>
    </w:r>
    <w:r>
      <w:fldChar w:fldCharType="end"/>
    </w:r>
  </w:p>
  <w:p w14:paraId="4A6C45F5" w14:textId="3C477656" w:rsidR="00072897" w:rsidRDefault="00072897" w:rsidP="00A37590">
    <w:pPr>
      <w:pStyle w:val="Header"/>
      <w:jc w:val="right"/>
    </w:pPr>
    <w:r>
      <w:t>Annexe I</w:t>
    </w:r>
  </w:p>
  <w:p w14:paraId="36C49E19" w14:textId="77777777" w:rsidR="00072897" w:rsidRDefault="00072897" w:rsidP="00A37590">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1865" w14:textId="23914B26" w:rsidR="00072897" w:rsidRPr="0033525D" w:rsidRDefault="005A7169">
    <w:r>
      <w:fldChar w:fldCharType="begin"/>
    </w:r>
    <w:r>
      <w:instrText xml:space="preserve"> DOCPROPERTY "Document number"  \* MERGEFORMAT </w:instrText>
    </w:r>
    <w:r>
      <w:fldChar w:fldCharType="separate"/>
    </w:r>
    <w:r w:rsidR="00072897">
      <w:t>UNEP/</w:t>
    </w:r>
    <w:proofErr w:type="spellStart"/>
    <w:r w:rsidR="00072897">
      <w:t>OzL.Pro</w:t>
    </w:r>
    <w:proofErr w:type="spellEnd"/>
    <w:r w:rsidR="00072897">
      <w:t>/</w:t>
    </w:r>
    <w:proofErr w:type="spellStart"/>
    <w:r w:rsidR="00072897">
      <w:t>ExCom</w:t>
    </w:r>
    <w:proofErr w:type="spellEnd"/>
    <w:r w:rsidR="00072897">
      <w:t>/88/12</w:t>
    </w:r>
    <w:r>
      <w:fldChar w:fldCharType="end"/>
    </w:r>
  </w:p>
  <w:p w14:paraId="503DA266" w14:textId="0205CB62" w:rsidR="00072897" w:rsidRPr="0033525D" w:rsidRDefault="00072897">
    <w:r>
      <w:t>Annexe II</w:t>
    </w:r>
  </w:p>
  <w:p w14:paraId="678BF65F" w14:textId="77777777" w:rsidR="00072897" w:rsidRPr="0033525D" w:rsidRDefault="0007289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3130" w14:textId="17FCAB07" w:rsidR="00072897" w:rsidRPr="0033525D" w:rsidRDefault="005A7169">
    <w:pPr>
      <w:jc w:val="right"/>
    </w:pPr>
    <w:r>
      <w:fldChar w:fldCharType="begin"/>
    </w:r>
    <w:r>
      <w:instrText xml:space="preserve"> DOCPROPERTY "Document number"  \* MERGEFORMAT </w:instrText>
    </w:r>
    <w:r>
      <w:fldChar w:fldCharType="separate"/>
    </w:r>
    <w:r w:rsidR="00072897">
      <w:t>UNEP/</w:t>
    </w:r>
    <w:proofErr w:type="spellStart"/>
    <w:r w:rsidR="00072897">
      <w:t>OzL.Pro</w:t>
    </w:r>
    <w:proofErr w:type="spellEnd"/>
    <w:r w:rsidR="00072897">
      <w:t>/</w:t>
    </w:r>
    <w:proofErr w:type="spellStart"/>
    <w:r w:rsidR="00072897">
      <w:t>ExCom</w:t>
    </w:r>
    <w:proofErr w:type="spellEnd"/>
    <w:r w:rsidR="00072897">
      <w:t>/88/12</w:t>
    </w:r>
    <w:r>
      <w:fldChar w:fldCharType="end"/>
    </w:r>
  </w:p>
  <w:p w14:paraId="474BD295" w14:textId="33582048" w:rsidR="00072897" w:rsidRPr="0033525D" w:rsidRDefault="00072897" w:rsidP="00A37590">
    <w:pPr>
      <w:jc w:val="right"/>
    </w:pPr>
    <w:r>
      <w:t>Annexe II</w:t>
    </w:r>
  </w:p>
  <w:p w14:paraId="42DA774B" w14:textId="77777777" w:rsidR="00072897" w:rsidRPr="0033525D" w:rsidRDefault="00072897">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1D94" w14:textId="2F6CC35A" w:rsidR="00072897" w:rsidRPr="0033525D" w:rsidRDefault="005A7169" w:rsidP="00A37590">
    <w:pPr>
      <w:jc w:val="right"/>
    </w:pPr>
    <w:r>
      <w:fldChar w:fldCharType="begin"/>
    </w:r>
    <w:r>
      <w:instrText xml:space="preserve"> DOCPROPERTY "Document number"  \* MERGEFORMAT </w:instrText>
    </w:r>
    <w:r>
      <w:fldChar w:fldCharType="separate"/>
    </w:r>
    <w:r w:rsidR="00D303D6">
      <w:t>UNEP/</w:t>
    </w:r>
    <w:proofErr w:type="spellStart"/>
    <w:r w:rsidR="00D303D6">
      <w:t>OzL.Pro</w:t>
    </w:r>
    <w:proofErr w:type="spellEnd"/>
    <w:r w:rsidR="00D303D6">
      <w:t>/</w:t>
    </w:r>
    <w:proofErr w:type="spellStart"/>
    <w:r w:rsidR="00D303D6">
      <w:t>ExCom</w:t>
    </w:r>
    <w:proofErr w:type="spellEnd"/>
    <w:r w:rsidR="00D303D6">
      <w:t>/88/12</w:t>
    </w:r>
    <w:r>
      <w:fldChar w:fldCharType="end"/>
    </w:r>
  </w:p>
  <w:p w14:paraId="35E4819F" w14:textId="29FA4A6C" w:rsidR="00072897" w:rsidRDefault="00072897" w:rsidP="00A37590">
    <w:pPr>
      <w:pStyle w:val="Header"/>
      <w:jc w:val="right"/>
    </w:pPr>
    <w:r>
      <w:t>Annexe II</w:t>
    </w:r>
  </w:p>
  <w:p w14:paraId="1A4D75D9" w14:textId="77777777" w:rsidR="00072897" w:rsidRDefault="00072897" w:rsidP="00A37590">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7E13" w14:textId="6EF3EB90" w:rsidR="00072897" w:rsidRPr="00D303D6" w:rsidRDefault="00072897">
    <w:r w:rsidRPr="00071529">
      <w:rPr>
        <w:lang w:val="fr-CA"/>
      </w:rPr>
      <w:fldChar w:fldCharType="begin"/>
    </w:r>
    <w:r w:rsidRPr="00D303D6">
      <w:instrText xml:space="preserve"> DOCPROPERTY "Document number"  \* MERGEFORMAT </w:instrText>
    </w:r>
    <w:r w:rsidRPr="00071529">
      <w:rPr>
        <w:lang w:val="fr-CA"/>
      </w:rPr>
      <w:fldChar w:fldCharType="separate"/>
    </w:r>
    <w:r w:rsidRPr="00D303D6">
      <w:t>UNEP/</w:t>
    </w:r>
    <w:proofErr w:type="spellStart"/>
    <w:r w:rsidRPr="00D303D6">
      <w:t>OzL.Pro</w:t>
    </w:r>
    <w:proofErr w:type="spellEnd"/>
    <w:r w:rsidRPr="00D303D6">
      <w:t>/</w:t>
    </w:r>
    <w:proofErr w:type="spellStart"/>
    <w:r w:rsidRPr="00D303D6">
      <w:t>ExCom</w:t>
    </w:r>
    <w:proofErr w:type="spellEnd"/>
    <w:r w:rsidRPr="00D303D6">
      <w:t>/88/12</w:t>
    </w:r>
    <w:r w:rsidRPr="00071529">
      <w:rPr>
        <w:lang w:val="fr-CA"/>
      </w:rPr>
      <w:fldChar w:fldCharType="end"/>
    </w:r>
  </w:p>
  <w:p w14:paraId="51547871" w14:textId="4CDAF89A" w:rsidR="00072897" w:rsidRPr="00D303D6" w:rsidRDefault="00072897">
    <w:r w:rsidRPr="00D303D6">
      <w:t>Annexe II</w:t>
    </w:r>
  </w:p>
  <w:p w14:paraId="309D6337" w14:textId="670528D7" w:rsidR="00072897" w:rsidRPr="00071529" w:rsidRDefault="00072897">
    <w:pPr>
      <w:rPr>
        <w:lang w:val="fr-CA"/>
      </w:rPr>
    </w:pPr>
    <w:r w:rsidRPr="00071529">
      <w:rPr>
        <w:lang w:val="fr-CA"/>
      </w:rPr>
      <w:t>Appendice I</w:t>
    </w:r>
  </w:p>
  <w:p w14:paraId="20F3F87E" w14:textId="77777777" w:rsidR="00072897" w:rsidRPr="0033525D" w:rsidRDefault="0007289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2E5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D83F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6E20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185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5C72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66A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CA7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E6E9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A28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964F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6F00D66"/>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rFonts w:ascii="Times New Roman" w:eastAsia="Times New Roman" w:hAnsi="Times New Roman" w:cs="Times New Roman"/>
        <w:b w:val="0"/>
        <w:bCs w:val="0"/>
        <w:strike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BAF72C0"/>
    <w:multiLevelType w:val="hybridMultilevel"/>
    <w:tmpl w:val="F0F22C9C"/>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0FDA5DF3"/>
    <w:multiLevelType w:val="hybridMultilevel"/>
    <w:tmpl w:val="D80A9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A0827"/>
    <w:multiLevelType w:val="hybridMultilevel"/>
    <w:tmpl w:val="704C7F00"/>
    <w:lvl w:ilvl="0" w:tplc="9E2A37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625ED9"/>
    <w:multiLevelType w:val="hybridMultilevel"/>
    <w:tmpl w:val="F4DAD552"/>
    <w:lvl w:ilvl="0" w:tplc="04090001">
      <w:start w:val="5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5CD12AE"/>
    <w:multiLevelType w:val="hybridMultilevel"/>
    <w:tmpl w:val="3410D8A4"/>
    <w:lvl w:ilvl="0" w:tplc="AC1E84E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DE555AE"/>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1" w15:restartNumberingAfterBreak="0">
    <w:nsid w:val="5E290FD8"/>
    <w:multiLevelType w:val="singleLevel"/>
    <w:tmpl w:val="5B9037CA"/>
    <w:lvl w:ilvl="0">
      <w:start w:val="1"/>
      <w:numFmt w:val="lowerLetter"/>
      <w:lvlText w:val="(%1)"/>
      <w:lvlJc w:val="left"/>
      <w:pPr>
        <w:tabs>
          <w:tab w:val="num" w:pos="1440"/>
        </w:tabs>
        <w:ind w:left="1440" w:hanging="792"/>
      </w:pPr>
    </w:lvl>
  </w:abstractNum>
  <w:abstractNum w:abstractNumId="22" w15:restartNumberingAfterBreak="0">
    <w:nsid w:val="627158DF"/>
    <w:multiLevelType w:val="hybridMultilevel"/>
    <w:tmpl w:val="547A47D0"/>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3" w15:restartNumberingAfterBreak="0">
    <w:nsid w:val="64A55F2F"/>
    <w:multiLevelType w:val="hybridMultilevel"/>
    <w:tmpl w:val="962A42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C1881"/>
    <w:multiLevelType w:val="hybridMultilevel"/>
    <w:tmpl w:val="0504D9CE"/>
    <w:lvl w:ilvl="0" w:tplc="0BB8E5C8">
      <w:start w:val="1"/>
      <w:numFmt w:val="decimal"/>
      <w:pStyle w:val="Parastyle"/>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56686F"/>
    <w:multiLevelType w:val="hybridMultilevel"/>
    <w:tmpl w:val="6C86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40611"/>
    <w:multiLevelType w:val="hybridMultilevel"/>
    <w:tmpl w:val="37B0EBEC"/>
    <w:lvl w:ilvl="0" w:tplc="3C982562">
      <w:start w:val="1"/>
      <w:numFmt w:val="lowerLetter"/>
      <w:lvlText w:val="%1)"/>
      <w:lvlJc w:val="left"/>
      <w:pPr>
        <w:ind w:left="1080" w:hanging="360"/>
      </w:pPr>
      <w:rPr>
        <w:rFonts w:ascii="Times New Roman" w:eastAsia="Times New Roman"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9"/>
  </w:num>
  <w:num w:numId="19">
    <w:abstractNumId w:val="27"/>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21"/>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D631A9"/>
    <w:rsid w:val="00000FED"/>
    <w:rsid w:val="0000434E"/>
    <w:rsid w:val="00017362"/>
    <w:rsid w:val="00020583"/>
    <w:rsid w:val="000211A9"/>
    <w:rsid w:val="00024C8F"/>
    <w:rsid w:val="000259A4"/>
    <w:rsid w:val="00030376"/>
    <w:rsid w:val="00030B67"/>
    <w:rsid w:val="00031260"/>
    <w:rsid w:val="0003681A"/>
    <w:rsid w:val="000372B7"/>
    <w:rsid w:val="00045607"/>
    <w:rsid w:val="000460A6"/>
    <w:rsid w:val="00050F6E"/>
    <w:rsid w:val="00061EC2"/>
    <w:rsid w:val="00063AC0"/>
    <w:rsid w:val="00066CE8"/>
    <w:rsid w:val="000710DA"/>
    <w:rsid w:val="00071529"/>
    <w:rsid w:val="00072897"/>
    <w:rsid w:val="00074983"/>
    <w:rsid w:val="00077BC2"/>
    <w:rsid w:val="00080ED0"/>
    <w:rsid w:val="00085B8F"/>
    <w:rsid w:val="00090481"/>
    <w:rsid w:val="000955D5"/>
    <w:rsid w:val="000A03F6"/>
    <w:rsid w:val="000A05A2"/>
    <w:rsid w:val="000A3826"/>
    <w:rsid w:val="000A6C26"/>
    <w:rsid w:val="000B07CF"/>
    <w:rsid w:val="000B371B"/>
    <w:rsid w:val="000B66FA"/>
    <w:rsid w:val="000D52A4"/>
    <w:rsid w:val="000E07BC"/>
    <w:rsid w:val="000E1B54"/>
    <w:rsid w:val="000F1CD4"/>
    <w:rsid w:val="000F40C0"/>
    <w:rsid w:val="000F4103"/>
    <w:rsid w:val="000F70A7"/>
    <w:rsid w:val="000F7F52"/>
    <w:rsid w:val="00105110"/>
    <w:rsid w:val="00113CCA"/>
    <w:rsid w:val="00117B9C"/>
    <w:rsid w:val="00122F25"/>
    <w:rsid w:val="0013381E"/>
    <w:rsid w:val="00135980"/>
    <w:rsid w:val="00136CC0"/>
    <w:rsid w:val="0015174E"/>
    <w:rsid w:val="00152A98"/>
    <w:rsid w:val="00153622"/>
    <w:rsid w:val="00164719"/>
    <w:rsid w:val="00166FC4"/>
    <w:rsid w:val="001677AC"/>
    <w:rsid w:val="0017139E"/>
    <w:rsid w:val="00173672"/>
    <w:rsid w:val="001760C7"/>
    <w:rsid w:val="001804EA"/>
    <w:rsid w:val="0018635B"/>
    <w:rsid w:val="0019061D"/>
    <w:rsid w:val="00190A61"/>
    <w:rsid w:val="00193869"/>
    <w:rsid w:val="00194520"/>
    <w:rsid w:val="00194550"/>
    <w:rsid w:val="0019554B"/>
    <w:rsid w:val="001A0303"/>
    <w:rsid w:val="001A1A77"/>
    <w:rsid w:val="001A2215"/>
    <w:rsid w:val="001A3342"/>
    <w:rsid w:val="001A3E3D"/>
    <w:rsid w:val="001A7049"/>
    <w:rsid w:val="001B1E40"/>
    <w:rsid w:val="001B7BCC"/>
    <w:rsid w:val="001C0533"/>
    <w:rsid w:val="001C0777"/>
    <w:rsid w:val="001C1104"/>
    <w:rsid w:val="001C764E"/>
    <w:rsid w:val="001D510D"/>
    <w:rsid w:val="001D6B44"/>
    <w:rsid w:val="001E1052"/>
    <w:rsid w:val="001E21B1"/>
    <w:rsid w:val="001E2C7A"/>
    <w:rsid w:val="001E2F93"/>
    <w:rsid w:val="001E39EE"/>
    <w:rsid w:val="001E4554"/>
    <w:rsid w:val="001E61E5"/>
    <w:rsid w:val="001E698F"/>
    <w:rsid w:val="001F2159"/>
    <w:rsid w:val="001F39D8"/>
    <w:rsid w:val="001F6FAA"/>
    <w:rsid w:val="002023F6"/>
    <w:rsid w:val="00210602"/>
    <w:rsid w:val="00210B8B"/>
    <w:rsid w:val="0021133C"/>
    <w:rsid w:val="00214863"/>
    <w:rsid w:val="002156B4"/>
    <w:rsid w:val="002160D9"/>
    <w:rsid w:val="00224FCD"/>
    <w:rsid w:val="002251B5"/>
    <w:rsid w:val="0022563A"/>
    <w:rsid w:val="002411E5"/>
    <w:rsid w:val="002418E7"/>
    <w:rsid w:val="00253222"/>
    <w:rsid w:val="00262847"/>
    <w:rsid w:val="00270F55"/>
    <w:rsid w:val="00274101"/>
    <w:rsid w:val="002765D3"/>
    <w:rsid w:val="00281BB2"/>
    <w:rsid w:val="002844CA"/>
    <w:rsid w:val="002864AC"/>
    <w:rsid w:val="00291167"/>
    <w:rsid w:val="00293EA4"/>
    <w:rsid w:val="002B189F"/>
    <w:rsid w:val="002B254E"/>
    <w:rsid w:val="002B2918"/>
    <w:rsid w:val="002B72E9"/>
    <w:rsid w:val="002C229B"/>
    <w:rsid w:val="002C22E5"/>
    <w:rsid w:val="002C7998"/>
    <w:rsid w:val="002E41E8"/>
    <w:rsid w:val="002F1E53"/>
    <w:rsid w:val="002F2AA6"/>
    <w:rsid w:val="002F2CAA"/>
    <w:rsid w:val="0030052C"/>
    <w:rsid w:val="00307D31"/>
    <w:rsid w:val="00310587"/>
    <w:rsid w:val="00310B70"/>
    <w:rsid w:val="00326C00"/>
    <w:rsid w:val="003306E1"/>
    <w:rsid w:val="00331806"/>
    <w:rsid w:val="003320E4"/>
    <w:rsid w:val="003329A8"/>
    <w:rsid w:val="0033525D"/>
    <w:rsid w:val="0033608E"/>
    <w:rsid w:val="003414F3"/>
    <w:rsid w:val="00344D11"/>
    <w:rsid w:val="00350394"/>
    <w:rsid w:val="00352738"/>
    <w:rsid w:val="0035613E"/>
    <w:rsid w:val="00360120"/>
    <w:rsid w:val="0036247E"/>
    <w:rsid w:val="00363EE9"/>
    <w:rsid w:val="00370C8D"/>
    <w:rsid w:val="00370EA4"/>
    <w:rsid w:val="00371E80"/>
    <w:rsid w:val="00372521"/>
    <w:rsid w:val="00376128"/>
    <w:rsid w:val="0037742E"/>
    <w:rsid w:val="00377B50"/>
    <w:rsid w:val="00377D56"/>
    <w:rsid w:val="0038245A"/>
    <w:rsid w:val="003827BB"/>
    <w:rsid w:val="003840E6"/>
    <w:rsid w:val="00385CFC"/>
    <w:rsid w:val="003905D0"/>
    <w:rsid w:val="0039224B"/>
    <w:rsid w:val="0039337A"/>
    <w:rsid w:val="003963ED"/>
    <w:rsid w:val="003A3189"/>
    <w:rsid w:val="003A3CA7"/>
    <w:rsid w:val="003B33BD"/>
    <w:rsid w:val="003B569D"/>
    <w:rsid w:val="003B5895"/>
    <w:rsid w:val="003C02F2"/>
    <w:rsid w:val="003C1AE6"/>
    <w:rsid w:val="003C3C0E"/>
    <w:rsid w:val="003C3F1B"/>
    <w:rsid w:val="003C5FFE"/>
    <w:rsid w:val="003D09D3"/>
    <w:rsid w:val="003D3C50"/>
    <w:rsid w:val="003D423A"/>
    <w:rsid w:val="003D42A6"/>
    <w:rsid w:val="003D4F21"/>
    <w:rsid w:val="003D4FAC"/>
    <w:rsid w:val="003E3FB3"/>
    <w:rsid w:val="003E7906"/>
    <w:rsid w:val="003F3C50"/>
    <w:rsid w:val="003F419A"/>
    <w:rsid w:val="00400547"/>
    <w:rsid w:val="004043AE"/>
    <w:rsid w:val="00406A6A"/>
    <w:rsid w:val="00406B22"/>
    <w:rsid w:val="004251CE"/>
    <w:rsid w:val="004259B2"/>
    <w:rsid w:val="004328A7"/>
    <w:rsid w:val="00433009"/>
    <w:rsid w:val="00434C74"/>
    <w:rsid w:val="00441B65"/>
    <w:rsid w:val="0045030F"/>
    <w:rsid w:val="00456EB4"/>
    <w:rsid w:val="00471377"/>
    <w:rsid w:val="004718F3"/>
    <w:rsid w:val="00472AE4"/>
    <w:rsid w:val="00475040"/>
    <w:rsid w:val="004931DC"/>
    <w:rsid w:val="00493D40"/>
    <w:rsid w:val="004967B6"/>
    <w:rsid w:val="004A504B"/>
    <w:rsid w:val="004A5A91"/>
    <w:rsid w:val="004A6911"/>
    <w:rsid w:val="004B02E9"/>
    <w:rsid w:val="004B54E0"/>
    <w:rsid w:val="004B7384"/>
    <w:rsid w:val="004C0CAC"/>
    <w:rsid w:val="004C1876"/>
    <w:rsid w:val="004C4269"/>
    <w:rsid w:val="004C7D8D"/>
    <w:rsid w:val="004D5132"/>
    <w:rsid w:val="004D6236"/>
    <w:rsid w:val="004D62B0"/>
    <w:rsid w:val="004D7F90"/>
    <w:rsid w:val="004E4C05"/>
    <w:rsid w:val="004E4DBB"/>
    <w:rsid w:val="004E4E41"/>
    <w:rsid w:val="004E6BBE"/>
    <w:rsid w:val="004E7F9C"/>
    <w:rsid w:val="004F2EFC"/>
    <w:rsid w:val="004F3493"/>
    <w:rsid w:val="004F5143"/>
    <w:rsid w:val="004F7DB5"/>
    <w:rsid w:val="005118B2"/>
    <w:rsid w:val="00512B09"/>
    <w:rsid w:val="00515A95"/>
    <w:rsid w:val="005220ED"/>
    <w:rsid w:val="00522897"/>
    <w:rsid w:val="005244CB"/>
    <w:rsid w:val="00530BFC"/>
    <w:rsid w:val="0053267C"/>
    <w:rsid w:val="00533796"/>
    <w:rsid w:val="00537343"/>
    <w:rsid w:val="00545ED9"/>
    <w:rsid w:val="005521AD"/>
    <w:rsid w:val="005544BE"/>
    <w:rsid w:val="00555D75"/>
    <w:rsid w:val="00556874"/>
    <w:rsid w:val="00556C83"/>
    <w:rsid w:val="00560DF0"/>
    <w:rsid w:val="00563674"/>
    <w:rsid w:val="005672EA"/>
    <w:rsid w:val="0056759C"/>
    <w:rsid w:val="00571EE6"/>
    <w:rsid w:val="00572A5D"/>
    <w:rsid w:val="005749FA"/>
    <w:rsid w:val="00593EFF"/>
    <w:rsid w:val="0059513E"/>
    <w:rsid w:val="005A52FA"/>
    <w:rsid w:val="005A6AA4"/>
    <w:rsid w:val="005A6D9F"/>
    <w:rsid w:val="005A7169"/>
    <w:rsid w:val="005A73CE"/>
    <w:rsid w:val="005B2F6F"/>
    <w:rsid w:val="005B2F7F"/>
    <w:rsid w:val="005B401C"/>
    <w:rsid w:val="005B4220"/>
    <w:rsid w:val="005B48FF"/>
    <w:rsid w:val="005B55FD"/>
    <w:rsid w:val="005B6DEE"/>
    <w:rsid w:val="005C5FE0"/>
    <w:rsid w:val="005D1003"/>
    <w:rsid w:val="005D363F"/>
    <w:rsid w:val="005E2C7E"/>
    <w:rsid w:val="005F3BF6"/>
    <w:rsid w:val="005F4F67"/>
    <w:rsid w:val="00602FDA"/>
    <w:rsid w:val="00602FF7"/>
    <w:rsid w:val="00604C15"/>
    <w:rsid w:val="006055FA"/>
    <w:rsid w:val="006065F1"/>
    <w:rsid w:val="006104AC"/>
    <w:rsid w:val="00611B27"/>
    <w:rsid w:val="006158D5"/>
    <w:rsid w:val="00622BD4"/>
    <w:rsid w:val="006242FE"/>
    <w:rsid w:val="00625D83"/>
    <w:rsid w:val="006435B5"/>
    <w:rsid w:val="006623E7"/>
    <w:rsid w:val="00662B80"/>
    <w:rsid w:val="00670F6C"/>
    <w:rsid w:val="006735F6"/>
    <w:rsid w:val="00682D6A"/>
    <w:rsid w:val="006852C7"/>
    <w:rsid w:val="006852CE"/>
    <w:rsid w:val="00686E9C"/>
    <w:rsid w:val="00691ABD"/>
    <w:rsid w:val="00692D14"/>
    <w:rsid w:val="006A065D"/>
    <w:rsid w:val="006A5F8A"/>
    <w:rsid w:val="006A683F"/>
    <w:rsid w:val="006B0C48"/>
    <w:rsid w:val="006B65C7"/>
    <w:rsid w:val="006B67C5"/>
    <w:rsid w:val="006C1727"/>
    <w:rsid w:val="006C32FD"/>
    <w:rsid w:val="006C39CE"/>
    <w:rsid w:val="006D0FCC"/>
    <w:rsid w:val="006D21F5"/>
    <w:rsid w:val="006D28EB"/>
    <w:rsid w:val="006E126D"/>
    <w:rsid w:val="006E1FC3"/>
    <w:rsid w:val="006E4719"/>
    <w:rsid w:val="006F6C99"/>
    <w:rsid w:val="00703743"/>
    <w:rsid w:val="0070461F"/>
    <w:rsid w:val="00704CE9"/>
    <w:rsid w:val="0070616B"/>
    <w:rsid w:val="00706295"/>
    <w:rsid w:val="00706FDA"/>
    <w:rsid w:val="00711F9A"/>
    <w:rsid w:val="00713592"/>
    <w:rsid w:val="00713810"/>
    <w:rsid w:val="00715329"/>
    <w:rsid w:val="007259D5"/>
    <w:rsid w:val="007303A5"/>
    <w:rsid w:val="00730B3E"/>
    <w:rsid w:val="00733B47"/>
    <w:rsid w:val="0073420B"/>
    <w:rsid w:val="00742D58"/>
    <w:rsid w:val="0074760E"/>
    <w:rsid w:val="00754ABA"/>
    <w:rsid w:val="0076566B"/>
    <w:rsid w:val="00772457"/>
    <w:rsid w:val="00782B0D"/>
    <w:rsid w:val="00786273"/>
    <w:rsid w:val="007917A3"/>
    <w:rsid w:val="00791DB0"/>
    <w:rsid w:val="00795085"/>
    <w:rsid w:val="007A1546"/>
    <w:rsid w:val="007A228C"/>
    <w:rsid w:val="007A2CBE"/>
    <w:rsid w:val="007A368E"/>
    <w:rsid w:val="007A5868"/>
    <w:rsid w:val="007B04CE"/>
    <w:rsid w:val="007B0529"/>
    <w:rsid w:val="007B6871"/>
    <w:rsid w:val="007B7A2F"/>
    <w:rsid w:val="007C0020"/>
    <w:rsid w:val="007C3D33"/>
    <w:rsid w:val="007C55C7"/>
    <w:rsid w:val="007D294A"/>
    <w:rsid w:val="007D2A69"/>
    <w:rsid w:val="007D4247"/>
    <w:rsid w:val="007D47D2"/>
    <w:rsid w:val="007D629C"/>
    <w:rsid w:val="007D6EC0"/>
    <w:rsid w:val="007D7E1D"/>
    <w:rsid w:val="007E124F"/>
    <w:rsid w:val="008028B2"/>
    <w:rsid w:val="00813876"/>
    <w:rsid w:val="00815563"/>
    <w:rsid w:val="00822E60"/>
    <w:rsid w:val="00831979"/>
    <w:rsid w:val="00841CAD"/>
    <w:rsid w:val="00845CF4"/>
    <w:rsid w:val="00851352"/>
    <w:rsid w:val="0085258A"/>
    <w:rsid w:val="00857017"/>
    <w:rsid w:val="00857077"/>
    <w:rsid w:val="008577A0"/>
    <w:rsid w:val="00863230"/>
    <w:rsid w:val="00863386"/>
    <w:rsid w:val="00865BD0"/>
    <w:rsid w:val="00865CF3"/>
    <w:rsid w:val="00870DD7"/>
    <w:rsid w:val="008717D8"/>
    <w:rsid w:val="008720F3"/>
    <w:rsid w:val="0087215C"/>
    <w:rsid w:val="008722AE"/>
    <w:rsid w:val="00875D25"/>
    <w:rsid w:val="008761C9"/>
    <w:rsid w:val="00880628"/>
    <w:rsid w:val="00880E35"/>
    <w:rsid w:val="008875FE"/>
    <w:rsid w:val="00887F8E"/>
    <w:rsid w:val="00890793"/>
    <w:rsid w:val="00891080"/>
    <w:rsid w:val="00896234"/>
    <w:rsid w:val="0089707A"/>
    <w:rsid w:val="00897E43"/>
    <w:rsid w:val="008A02C4"/>
    <w:rsid w:val="008A184B"/>
    <w:rsid w:val="008A7A0E"/>
    <w:rsid w:val="008B134C"/>
    <w:rsid w:val="008B1E3B"/>
    <w:rsid w:val="008C2F02"/>
    <w:rsid w:val="008C5738"/>
    <w:rsid w:val="008C6DA9"/>
    <w:rsid w:val="008C7EAD"/>
    <w:rsid w:val="008D0CFE"/>
    <w:rsid w:val="008D3BED"/>
    <w:rsid w:val="008D4D07"/>
    <w:rsid w:val="008D6152"/>
    <w:rsid w:val="008E5625"/>
    <w:rsid w:val="008E7BA9"/>
    <w:rsid w:val="008F0F81"/>
    <w:rsid w:val="008F27BF"/>
    <w:rsid w:val="00903916"/>
    <w:rsid w:val="009142EC"/>
    <w:rsid w:val="009154C3"/>
    <w:rsid w:val="00923540"/>
    <w:rsid w:val="00926767"/>
    <w:rsid w:val="0093158C"/>
    <w:rsid w:val="00933556"/>
    <w:rsid w:val="00934F64"/>
    <w:rsid w:val="009361D5"/>
    <w:rsid w:val="009376F5"/>
    <w:rsid w:val="009428A4"/>
    <w:rsid w:val="00945134"/>
    <w:rsid w:val="009659F4"/>
    <w:rsid w:val="00970BE6"/>
    <w:rsid w:val="00970D60"/>
    <w:rsid w:val="00990CED"/>
    <w:rsid w:val="0099390E"/>
    <w:rsid w:val="009960E5"/>
    <w:rsid w:val="009977BE"/>
    <w:rsid w:val="009A1047"/>
    <w:rsid w:val="009A7ADC"/>
    <w:rsid w:val="009B0D30"/>
    <w:rsid w:val="009C19B7"/>
    <w:rsid w:val="009C5ABB"/>
    <w:rsid w:val="009D3AE8"/>
    <w:rsid w:val="009D7C51"/>
    <w:rsid w:val="009E0307"/>
    <w:rsid w:val="009E196C"/>
    <w:rsid w:val="009E4F83"/>
    <w:rsid w:val="009F36BF"/>
    <w:rsid w:val="009F5B22"/>
    <w:rsid w:val="009F63C1"/>
    <w:rsid w:val="00A07E20"/>
    <w:rsid w:val="00A111B6"/>
    <w:rsid w:val="00A1660F"/>
    <w:rsid w:val="00A20028"/>
    <w:rsid w:val="00A23186"/>
    <w:rsid w:val="00A23BB6"/>
    <w:rsid w:val="00A26D27"/>
    <w:rsid w:val="00A30792"/>
    <w:rsid w:val="00A307AF"/>
    <w:rsid w:val="00A325C8"/>
    <w:rsid w:val="00A34185"/>
    <w:rsid w:val="00A37590"/>
    <w:rsid w:val="00A376EE"/>
    <w:rsid w:val="00A40447"/>
    <w:rsid w:val="00A42A99"/>
    <w:rsid w:val="00A5151A"/>
    <w:rsid w:val="00A51FFF"/>
    <w:rsid w:val="00A53300"/>
    <w:rsid w:val="00A57E0A"/>
    <w:rsid w:val="00A60D05"/>
    <w:rsid w:val="00A660A5"/>
    <w:rsid w:val="00A674C9"/>
    <w:rsid w:val="00A67796"/>
    <w:rsid w:val="00A7143C"/>
    <w:rsid w:val="00A823F6"/>
    <w:rsid w:val="00A8719E"/>
    <w:rsid w:val="00A87733"/>
    <w:rsid w:val="00A87C95"/>
    <w:rsid w:val="00AA0A89"/>
    <w:rsid w:val="00AA3DB4"/>
    <w:rsid w:val="00AA6429"/>
    <w:rsid w:val="00AB5070"/>
    <w:rsid w:val="00AB689D"/>
    <w:rsid w:val="00AB6AA6"/>
    <w:rsid w:val="00AC01AA"/>
    <w:rsid w:val="00AC3D87"/>
    <w:rsid w:val="00AC4F72"/>
    <w:rsid w:val="00AD0261"/>
    <w:rsid w:val="00AF741A"/>
    <w:rsid w:val="00B01734"/>
    <w:rsid w:val="00B01ADB"/>
    <w:rsid w:val="00B04161"/>
    <w:rsid w:val="00B05170"/>
    <w:rsid w:val="00B056F9"/>
    <w:rsid w:val="00B11E3D"/>
    <w:rsid w:val="00B17E82"/>
    <w:rsid w:val="00B21D27"/>
    <w:rsid w:val="00B23A48"/>
    <w:rsid w:val="00B23EAE"/>
    <w:rsid w:val="00B36C97"/>
    <w:rsid w:val="00B37777"/>
    <w:rsid w:val="00B4575A"/>
    <w:rsid w:val="00B55E06"/>
    <w:rsid w:val="00B564EC"/>
    <w:rsid w:val="00B575BA"/>
    <w:rsid w:val="00B71608"/>
    <w:rsid w:val="00B73D8A"/>
    <w:rsid w:val="00B76429"/>
    <w:rsid w:val="00B861BE"/>
    <w:rsid w:val="00B86471"/>
    <w:rsid w:val="00B930C3"/>
    <w:rsid w:val="00B932B1"/>
    <w:rsid w:val="00B956D4"/>
    <w:rsid w:val="00B97446"/>
    <w:rsid w:val="00B97766"/>
    <w:rsid w:val="00BA7432"/>
    <w:rsid w:val="00BB2764"/>
    <w:rsid w:val="00BB63FB"/>
    <w:rsid w:val="00BC1AA0"/>
    <w:rsid w:val="00BC2495"/>
    <w:rsid w:val="00BC349E"/>
    <w:rsid w:val="00BC7EB9"/>
    <w:rsid w:val="00BD2643"/>
    <w:rsid w:val="00BD56B1"/>
    <w:rsid w:val="00BD6558"/>
    <w:rsid w:val="00BE6474"/>
    <w:rsid w:val="00BF2F76"/>
    <w:rsid w:val="00BF3022"/>
    <w:rsid w:val="00BF3214"/>
    <w:rsid w:val="00BF5525"/>
    <w:rsid w:val="00BF5573"/>
    <w:rsid w:val="00C02841"/>
    <w:rsid w:val="00C15867"/>
    <w:rsid w:val="00C20D02"/>
    <w:rsid w:val="00C2296D"/>
    <w:rsid w:val="00C23155"/>
    <w:rsid w:val="00C27C93"/>
    <w:rsid w:val="00C40C41"/>
    <w:rsid w:val="00C45885"/>
    <w:rsid w:val="00C50F22"/>
    <w:rsid w:val="00C540F4"/>
    <w:rsid w:val="00C57971"/>
    <w:rsid w:val="00C63B7E"/>
    <w:rsid w:val="00C65BBE"/>
    <w:rsid w:val="00C65BD7"/>
    <w:rsid w:val="00C65D2E"/>
    <w:rsid w:val="00C66976"/>
    <w:rsid w:val="00C76BA4"/>
    <w:rsid w:val="00C80225"/>
    <w:rsid w:val="00C81B29"/>
    <w:rsid w:val="00C83A48"/>
    <w:rsid w:val="00C85865"/>
    <w:rsid w:val="00C85E85"/>
    <w:rsid w:val="00CA2EAE"/>
    <w:rsid w:val="00CA4AC1"/>
    <w:rsid w:val="00CB0316"/>
    <w:rsid w:val="00CB0B11"/>
    <w:rsid w:val="00CB0DBB"/>
    <w:rsid w:val="00CB2DC9"/>
    <w:rsid w:val="00CB426A"/>
    <w:rsid w:val="00CB5354"/>
    <w:rsid w:val="00CB6B58"/>
    <w:rsid w:val="00CB73B0"/>
    <w:rsid w:val="00CC07F4"/>
    <w:rsid w:val="00CC2107"/>
    <w:rsid w:val="00CC3C9E"/>
    <w:rsid w:val="00CC402E"/>
    <w:rsid w:val="00CC6A14"/>
    <w:rsid w:val="00CC70A3"/>
    <w:rsid w:val="00CD4442"/>
    <w:rsid w:val="00CD53C3"/>
    <w:rsid w:val="00CD574E"/>
    <w:rsid w:val="00CE04D4"/>
    <w:rsid w:val="00CE4C22"/>
    <w:rsid w:val="00CE76E5"/>
    <w:rsid w:val="00CF41EC"/>
    <w:rsid w:val="00CF5D04"/>
    <w:rsid w:val="00CF7B66"/>
    <w:rsid w:val="00CF7CBC"/>
    <w:rsid w:val="00D04DE4"/>
    <w:rsid w:val="00D0503A"/>
    <w:rsid w:val="00D063F1"/>
    <w:rsid w:val="00D14F22"/>
    <w:rsid w:val="00D1706E"/>
    <w:rsid w:val="00D303D6"/>
    <w:rsid w:val="00D323C3"/>
    <w:rsid w:val="00D411C4"/>
    <w:rsid w:val="00D4741C"/>
    <w:rsid w:val="00D541BD"/>
    <w:rsid w:val="00D549F4"/>
    <w:rsid w:val="00D54E72"/>
    <w:rsid w:val="00D57918"/>
    <w:rsid w:val="00D61DC8"/>
    <w:rsid w:val="00D631A9"/>
    <w:rsid w:val="00D64E55"/>
    <w:rsid w:val="00D662BE"/>
    <w:rsid w:val="00D73DC6"/>
    <w:rsid w:val="00D74C1A"/>
    <w:rsid w:val="00D754C1"/>
    <w:rsid w:val="00D77393"/>
    <w:rsid w:val="00D77A35"/>
    <w:rsid w:val="00D77EDD"/>
    <w:rsid w:val="00D81B3E"/>
    <w:rsid w:val="00D82434"/>
    <w:rsid w:val="00D87205"/>
    <w:rsid w:val="00D8729D"/>
    <w:rsid w:val="00D90C70"/>
    <w:rsid w:val="00D90E49"/>
    <w:rsid w:val="00D945D2"/>
    <w:rsid w:val="00D96ADE"/>
    <w:rsid w:val="00DA0CE2"/>
    <w:rsid w:val="00DA25D8"/>
    <w:rsid w:val="00DA766F"/>
    <w:rsid w:val="00DA7761"/>
    <w:rsid w:val="00DC6A10"/>
    <w:rsid w:val="00DD27B4"/>
    <w:rsid w:val="00DD2FA5"/>
    <w:rsid w:val="00DD74A5"/>
    <w:rsid w:val="00DE32E1"/>
    <w:rsid w:val="00DE657E"/>
    <w:rsid w:val="00DF4704"/>
    <w:rsid w:val="00E01912"/>
    <w:rsid w:val="00E01B4B"/>
    <w:rsid w:val="00E024AA"/>
    <w:rsid w:val="00E03AFA"/>
    <w:rsid w:val="00E06C53"/>
    <w:rsid w:val="00E12CFA"/>
    <w:rsid w:val="00E15C77"/>
    <w:rsid w:val="00E250F1"/>
    <w:rsid w:val="00E2698A"/>
    <w:rsid w:val="00E33BDA"/>
    <w:rsid w:val="00E33E4E"/>
    <w:rsid w:val="00E3550D"/>
    <w:rsid w:val="00E35C78"/>
    <w:rsid w:val="00E3685D"/>
    <w:rsid w:val="00E40408"/>
    <w:rsid w:val="00E40995"/>
    <w:rsid w:val="00E41FD5"/>
    <w:rsid w:val="00E44F7B"/>
    <w:rsid w:val="00E46926"/>
    <w:rsid w:val="00E50215"/>
    <w:rsid w:val="00E52838"/>
    <w:rsid w:val="00E55AED"/>
    <w:rsid w:val="00E564FF"/>
    <w:rsid w:val="00E614E0"/>
    <w:rsid w:val="00E6504B"/>
    <w:rsid w:val="00E72BE9"/>
    <w:rsid w:val="00E73F7F"/>
    <w:rsid w:val="00E823D1"/>
    <w:rsid w:val="00E84381"/>
    <w:rsid w:val="00E85409"/>
    <w:rsid w:val="00E9654A"/>
    <w:rsid w:val="00EA0285"/>
    <w:rsid w:val="00EA429F"/>
    <w:rsid w:val="00EA4F9E"/>
    <w:rsid w:val="00EA62C8"/>
    <w:rsid w:val="00EA63CA"/>
    <w:rsid w:val="00EA6D3B"/>
    <w:rsid w:val="00EB00AD"/>
    <w:rsid w:val="00EB136C"/>
    <w:rsid w:val="00EB283F"/>
    <w:rsid w:val="00EB3658"/>
    <w:rsid w:val="00EB480E"/>
    <w:rsid w:val="00EB5EC6"/>
    <w:rsid w:val="00EB7FC9"/>
    <w:rsid w:val="00EC6906"/>
    <w:rsid w:val="00ED1701"/>
    <w:rsid w:val="00ED27E8"/>
    <w:rsid w:val="00ED6BC3"/>
    <w:rsid w:val="00ED7137"/>
    <w:rsid w:val="00EE5B07"/>
    <w:rsid w:val="00EF06EA"/>
    <w:rsid w:val="00EF73F9"/>
    <w:rsid w:val="00F028CB"/>
    <w:rsid w:val="00F029E2"/>
    <w:rsid w:val="00F14983"/>
    <w:rsid w:val="00F21088"/>
    <w:rsid w:val="00F23E04"/>
    <w:rsid w:val="00F303B4"/>
    <w:rsid w:val="00F327E7"/>
    <w:rsid w:val="00F35746"/>
    <w:rsid w:val="00F447C7"/>
    <w:rsid w:val="00F459B4"/>
    <w:rsid w:val="00F5211B"/>
    <w:rsid w:val="00F554A9"/>
    <w:rsid w:val="00F5627F"/>
    <w:rsid w:val="00F602DC"/>
    <w:rsid w:val="00F676BC"/>
    <w:rsid w:val="00F716FD"/>
    <w:rsid w:val="00F76369"/>
    <w:rsid w:val="00F80355"/>
    <w:rsid w:val="00F86A85"/>
    <w:rsid w:val="00F87C43"/>
    <w:rsid w:val="00F96316"/>
    <w:rsid w:val="00FA08FC"/>
    <w:rsid w:val="00FA516D"/>
    <w:rsid w:val="00FA5722"/>
    <w:rsid w:val="00FB0C81"/>
    <w:rsid w:val="00FC2200"/>
    <w:rsid w:val="00FC2540"/>
    <w:rsid w:val="00FC5712"/>
    <w:rsid w:val="00FD14BB"/>
    <w:rsid w:val="00FD25F4"/>
    <w:rsid w:val="00FE4740"/>
    <w:rsid w:val="00FF0204"/>
    <w:rsid w:val="00FF2C7C"/>
    <w:rsid w:val="00FF3843"/>
    <w:rsid w:val="00FF39FD"/>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E91CF"/>
  <w15:docId w15:val="{F9354F7D-46E6-47E7-ACE1-044E5D7C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SubPara (a) Char"/>
    <w:basedOn w:val="Normal"/>
    <w:next w:val="Normal"/>
    <w:link w:val="Heading2Char1"/>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link w:val="Heading5Char"/>
    <w:uiPriority w:val="99"/>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semiHidden/>
    <w:unhideWhenUsed/>
    <w:rsid w:val="00FC2540"/>
    <w:rPr>
      <w:rFonts w:ascii="Tahoma" w:hAnsi="Tahoma" w:cs="Tahoma"/>
      <w:sz w:val="16"/>
      <w:szCs w:val="16"/>
    </w:rPr>
  </w:style>
  <w:style w:type="character" w:customStyle="1" w:styleId="BalloonTextChar">
    <w:name w:val="Balloon Text Char"/>
    <w:basedOn w:val="DefaultParagraphFont"/>
    <w:link w:val="BalloonText"/>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 Char1, Char1 Char Char,Char1,Char1 Char Char,Geneva 9,Font: Geneva 9,Boston 10,f,-E Fußnotentext,Fußnotentext Ursprung,-E Fußnotentext1,-E Fußnotentext2,-E Fußnotentext3,Fußnotentext Char1,Fußnotentext Char Char,fn,ft"/>
    <w:basedOn w:val="Normal"/>
    <w:link w:val="FootnoteTextChar"/>
    <w:uiPriority w:val="99"/>
    <w:unhideWhenUsed/>
    <w:qFormat/>
    <w:rsid w:val="006E126D"/>
    <w:rPr>
      <w:sz w:val="20"/>
      <w:szCs w:val="20"/>
    </w:rPr>
  </w:style>
  <w:style w:type="character" w:customStyle="1" w:styleId="FootnoteTextChar">
    <w:name w:val="Footnote Text Char"/>
    <w:aliases w:val="Fußnotentextf Char, Char1 Char, Char1 Char Char Char,Char1 Char,Char1 Char Char Char,Geneva 9 Char,Font: Geneva 9 Char,Boston 10 Char,f Char,-E Fußnotentext Char,Fußnotentext Ursprung Char,-E Fußnotentext1 Char,-E Fußnotentext2 Char"/>
    <w:basedOn w:val="DefaultParagraphFont"/>
    <w:link w:val="FootnoteText"/>
    <w:uiPriority w:val="99"/>
    <w:rsid w:val="006E126D"/>
    <w:rPr>
      <w:lang w:val="en-GB"/>
    </w:rPr>
  </w:style>
  <w:style w:type="character" w:styleId="FootnoteReference">
    <w:name w:val="footnote reference"/>
    <w:aliases w:val="Footnote text,16 Point,Superscript 6 Point,Footnote Text1,Footnote Text2,-E Fußnotenzeichen,number,Footnote reference number,Footnote symbol,note TESI,SUPERS,stylish,ftref,Footnote Reference Superscript,-E Fuﬂnotenzeichen,fr,4_G"/>
    <w:basedOn w:val="DefaultParagraphFont"/>
    <w:link w:val="CharCharCharCharCarChar"/>
    <w:uiPriority w:val="99"/>
    <w:unhideWhenUsed/>
    <w:qFormat/>
    <w:rsid w:val="006E126D"/>
    <w:rPr>
      <w:vertAlign w:val="superscript"/>
    </w:rPr>
  </w:style>
  <w:style w:type="character" w:customStyle="1" w:styleId="Heading2Char1">
    <w:name w:val="Heading 2 Char1"/>
    <w:aliases w:val="SubPara (a) Char1,Heading 2 Char3 Char,Heading 2 Char Char2 Char,Heading 2 Char1 Char Char1 Char,SubPara (a) Char Char Char1 Char,Heading 2 Char Char Char Char1 Char,Heading 2 Char1 Char Char Char Char1 Char,Heading 2 Char Char"/>
    <w:link w:val="Heading2"/>
    <w:rsid w:val="00D631A9"/>
    <w:rPr>
      <w:sz w:val="22"/>
      <w:szCs w:val="22"/>
      <w:lang w:val="en-CA"/>
    </w:rPr>
  </w:style>
  <w:style w:type="paragraph" w:customStyle="1" w:styleId="a--">
    <w:name w:val="a-(-)"/>
    <w:basedOn w:val="Normal"/>
    <w:rsid w:val="00D631A9"/>
    <w:pPr>
      <w:tabs>
        <w:tab w:val="left" w:pos="-720"/>
        <w:tab w:val="left" w:pos="0"/>
        <w:tab w:val="left" w:pos="720"/>
        <w:tab w:val="left" w:pos="1440"/>
        <w:tab w:val="left" w:pos="2160"/>
        <w:tab w:val="left" w:pos="2880"/>
        <w:tab w:val="left" w:pos="3600"/>
      </w:tabs>
      <w:suppressAutoHyphens/>
    </w:pPr>
    <w:rPr>
      <w:b/>
      <w:bCs/>
      <w:sz w:val="24"/>
      <w:szCs w:val="24"/>
      <w:lang w:val="en-GB" w:eastAsia="fr-FR"/>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link w:val="Heading3"/>
    <w:rsid w:val="00D631A9"/>
    <w:rPr>
      <w:sz w:val="22"/>
      <w:szCs w:val="22"/>
      <w:lang w:val="en-CA"/>
    </w:rPr>
  </w:style>
  <w:style w:type="character" w:customStyle="1" w:styleId="HeaderChar">
    <w:name w:val="Header Char"/>
    <w:link w:val="Header"/>
    <w:rsid w:val="00D631A9"/>
    <w:rPr>
      <w:sz w:val="22"/>
      <w:szCs w:val="22"/>
      <w:lang w:val="en-CA"/>
    </w:rPr>
  </w:style>
  <w:style w:type="paragraph" w:styleId="ListParagraph">
    <w:name w:val="List Paragraph"/>
    <w:basedOn w:val="Normal"/>
    <w:uiPriority w:val="34"/>
    <w:qFormat/>
    <w:rsid w:val="00D631A9"/>
    <w:pPr>
      <w:spacing w:after="200" w:line="276" w:lineRule="auto"/>
      <w:ind w:left="720"/>
      <w:contextualSpacing/>
      <w:jc w:val="left"/>
    </w:pPr>
    <w:rPr>
      <w:rFonts w:ascii="Calibri" w:hAnsi="Calibri" w:cs="Calibri"/>
    </w:rPr>
  </w:style>
  <w:style w:type="character" w:styleId="PageNumber">
    <w:name w:val="page number"/>
    <w:rsid w:val="00D631A9"/>
    <w:rPr>
      <w:sz w:val="22"/>
      <w:szCs w:val="22"/>
    </w:rPr>
  </w:style>
  <w:style w:type="paragraph" w:styleId="BodyText">
    <w:name w:val="Body Text"/>
    <w:basedOn w:val="Normal"/>
    <w:link w:val="BodyTextChar"/>
    <w:semiHidden/>
    <w:rsid w:val="00D631A9"/>
    <w:pPr>
      <w:spacing w:after="120"/>
    </w:pPr>
    <w:rPr>
      <w:lang w:val="en-GB"/>
    </w:rPr>
  </w:style>
  <w:style w:type="character" w:customStyle="1" w:styleId="BodyTextChar">
    <w:name w:val="Body Text Char"/>
    <w:basedOn w:val="DefaultParagraphFont"/>
    <w:link w:val="BodyText"/>
    <w:semiHidden/>
    <w:rsid w:val="00D631A9"/>
    <w:rPr>
      <w:sz w:val="22"/>
      <w:szCs w:val="22"/>
      <w:lang w:val="en-GB"/>
    </w:rPr>
  </w:style>
  <w:style w:type="paragraph" w:styleId="BodyText2">
    <w:name w:val="Body Text 2"/>
    <w:basedOn w:val="Normal"/>
    <w:link w:val="BodyText2Char"/>
    <w:semiHidden/>
    <w:rsid w:val="00D631A9"/>
    <w:pPr>
      <w:spacing w:after="120" w:line="480" w:lineRule="auto"/>
    </w:pPr>
    <w:rPr>
      <w:lang w:val="en-GB"/>
    </w:rPr>
  </w:style>
  <w:style w:type="character" w:customStyle="1" w:styleId="BodyText2Char">
    <w:name w:val="Body Text 2 Char"/>
    <w:basedOn w:val="DefaultParagraphFont"/>
    <w:link w:val="BodyText2"/>
    <w:semiHidden/>
    <w:rsid w:val="00D631A9"/>
    <w:rPr>
      <w:sz w:val="22"/>
      <w:szCs w:val="22"/>
      <w:lang w:val="en-GB"/>
    </w:rPr>
  </w:style>
  <w:style w:type="paragraph" w:styleId="BodyTextFirstIndent">
    <w:name w:val="Body Text First Indent"/>
    <w:basedOn w:val="BodyText"/>
    <w:link w:val="BodyTextFirstIndentChar"/>
    <w:semiHidden/>
    <w:rsid w:val="00D631A9"/>
    <w:pPr>
      <w:ind w:firstLine="210"/>
    </w:pPr>
  </w:style>
  <w:style w:type="character" w:customStyle="1" w:styleId="BodyTextFirstIndentChar">
    <w:name w:val="Body Text First Indent Char"/>
    <w:basedOn w:val="BodyTextChar"/>
    <w:link w:val="BodyTextFirstIndent"/>
    <w:semiHidden/>
    <w:rsid w:val="00D631A9"/>
    <w:rPr>
      <w:sz w:val="22"/>
      <w:szCs w:val="22"/>
      <w:lang w:val="en-GB"/>
    </w:rPr>
  </w:style>
  <w:style w:type="paragraph" w:styleId="BodyTextIndent">
    <w:name w:val="Body Text Indent"/>
    <w:basedOn w:val="Normal"/>
    <w:link w:val="BodyTextIndentChar"/>
    <w:semiHidden/>
    <w:rsid w:val="00D631A9"/>
    <w:pPr>
      <w:spacing w:after="120"/>
      <w:ind w:left="360"/>
    </w:pPr>
    <w:rPr>
      <w:lang w:val="en-GB"/>
    </w:rPr>
  </w:style>
  <w:style w:type="character" w:customStyle="1" w:styleId="BodyTextIndentChar">
    <w:name w:val="Body Text Indent Char"/>
    <w:basedOn w:val="DefaultParagraphFont"/>
    <w:link w:val="BodyTextIndent"/>
    <w:semiHidden/>
    <w:rsid w:val="00D631A9"/>
    <w:rPr>
      <w:sz w:val="22"/>
      <w:szCs w:val="22"/>
      <w:lang w:val="en-GB"/>
    </w:rPr>
  </w:style>
  <w:style w:type="paragraph" w:styleId="BodyTextFirstIndent2">
    <w:name w:val="Body Text First Indent 2"/>
    <w:basedOn w:val="BodyTextIndent"/>
    <w:link w:val="BodyTextFirstIndent2Char"/>
    <w:semiHidden/>
    <w:rsid w:val="00D631A9"/>
    <w:pPr>
      <w:ind w:firstLine="210"/>
    </w:pPr>
  </w:style>
  <w:style w:type="character" w:customStyle="1" w:styleId="BodyTextFirstIndent2Char">
    <w:name w:val="Body Text First Indent 2 Char"/>
    <w:basedOn w:val="BodyTextIndentChar"/>
    <w:link w:val="BodyTextFirstIndent2"/>
    <w:semiHidden/>
    <w:rsid w:val="00D631A9"/>
    <w:rPr>
      <w:sz w:val="22"/>
      <w:szCs w:val="22"/>
      <w:lang w:val="en-GB"/>
    </w:rPr>
  </w:style>
  <w:style w:type="paragraph" w:styleId="BodyTextIndent2">
    <w:name w:val="Body Text Indent 2"/>
    <w:basedOn w:val="Normal"/>
    <w:link w:val="BodyTextIndent2Char"/>
    <w:semiHidden/>
    <w:rsid w:val="00D631A9"/>
    <w:pPr>
      <w:spacing w:after="120" w:line="480" w:lineRule="auto"/>
      <w:ind w:left="360"/>
    </w:pPr>
    <w:rPr>
      <w:lang w:val="en-GB"/>
    </w:rPr>
  </w:style>
  <w:style w:type="character" w:customStyle="1" w:styleId="BodyTextIndent2Char">
    <w:name w:val="Body Text Indent 2 Char"/>
    <w:basedOn w:val="DefaultParagraphFont"/>
    <w:link w:val="BodyTextIndent2"/>
    <w:semiHidden/>
    <w:rsid w:val="00D631A9"/>
    <w:rPr>
      <w:sz w:val="22"/>
      <w:szCs w:val="22"/>
      <w:lang w:val="en-GB"/>
    </w:rPr>
  </w:style>
  <w:style w:type="paragraph" w:styleId="Closing">
    <w:name w:val="Closing"/>
    <w:basedOn w:val="Normal"/>
    <w:link w:val="ClosingChar"/>
    <w:semiHidden/>
    <w:rsid w:val="00D631A9"/>
    <w:pPr>
      <w:ind w:left="4320"/>
    </w:pPr>
    <w:rPr>
      <w:lang w:val="en-GB"/>
    </w:rPr>
  </w:style>
  <w:style w:type="character" w:customStyle="1" w:styleId="ClosingChar">
    <w:name w:val="Closing Char"/>
    <w:basedOn w:val="DefaultParagraphFont"/>
    <w:link w:val="Closing"/>
    <w:semiHidden/>
    <w:rsid w:val="00D631A9"/>
    <w:rPr>
      <w:sz w:val="22"/>
      <w:szCs w:val="22"/>
      <w:lang w:val="en-GB"/>
    </w:rPr>
  </w:style>
  <w:style w:type="paragraph" w:styleId="E-mailSignature">
    <w:name w:val="E-mail Signature"/>
    <w:basedOn w:val="Normal"/>
    <w:link w:val="E-mailSignatureChar"/>
    <w:semiHidden/>
    <w:rsid w:val="00D631A9"/>
    <w:rPr>
      <w:lang w:val="en-GB"/>
    </w:rPr>
  </w:style>
  <w:style w:type="character" w:customStyle="1" w:styleId="E-mailSignatureChar">
    <w:name w:val="E-mail Signature Char"/>
    <w:basedOn w:val="DefaultParagraphFont"/>
    <w:link w:val="E-mailSignature"/>
    <w:semiHidden/>
    <w:rsid w:val="00D631A9"/>
    <w:rPr>
      <w:sz w:val="22"/>
      <w:szCs w:val="22"/>
      <w:lang w:val="en-GB"/>
    </w:rPr>
  </w:style>
  <w:style w:type="character" w:styleId="Emphasis">
    <w:name w:val="Emphasis"/>
    <w:qFormat/>
    <w:rsid w:val="00D631A9"/>
    <w:rPr>
      <w:i/>
      <w:iCs/>
    </w:rPr>
  </w:style>
  <w:style w:type="paragraph" w:styleId="EnvelopeAddress">
    <w:name w:val="envelope address"/>
    <w:basedOn w:val="Normal"/>
    <w:semiHidden/>
    <w:rsid w:val="00D631A9"/>
    <w:pPr>
      <w:framePr w:w="7920" w:h="1980" w:hRule="exact" w:hSpace="180" w:wrap="auto" w:hAnchor="page" w:xAlign="center" w:yAlign="bottom"/>
      <w:ind w:left="2880"/>
    </w:pPr>
    <w:rPr>
      <w:rFonts w:ascii="Arial" w:hAnsi="Arial" w:cs="Arial"/>
      <w:szCs w:val="24"/>
      <w:lang w:val="en-GB"/>
    </w:rPr>
  </w:style>
  <w:style w:type="paragraph" w:styleId="EnvelopeReturn">
    <w:name w:val="envelope return"/>
    <w:basedOn w:val="Normal"/>
    <w:semiHidden/>
    <w:rsid w:val="00D631A9"/>
    <w:rPr>
      <w:rFonts w:ascii="Arial" w:hAnsi="Arial" w:cs="Arial"/>
      <w:sz w:val="20"/>
      <w:lang w:val="en-GB"/>
    </w:rPr>
  </w:style>
  <w:style w:type="character" w:styleId="FollowedHyperlink">
    <w:name w:val="FollowedHyperlink"/>
    <w:uiPriority w:val="99"/>
    <w:semiHidden/>
    <w:rsid w:val="00D631A9"/>
    <w:rPr>
      <w:color w:val="800080"/>
      <w:u w:val="single"/>
    </w:rPr>
  </w:style>
  <w:style w:type="character" w:styleId="HTMLAcronym">
    <w:name w:val="HTML Acronym"/>
    <w:basedOn w:val="DefaultParagraphFont"/>
    <w:semiHidden/>
    <w:rsid w:val="00D631A9"/>
  </w:style>
  <w:style w:type="paragraph" w:styleId="HTMLAddress">
    <w:name w:val="HTML Address"/>
    <w:basedOn w:val="Normal"/>
    <w:link w:val="HTMLAddressChar"/>
    <w:semiHidden/>
    <w:rsid w:val="00D631A9"/>
    <w:rPr>
      <w:i/>
      <w:iCs/>
      <w:lang w:val="en-GB"/>
    </w:rPr>
  </w:style>
  <w:style w:type="character" w:customStyle="1" w:styleId="HTMLAddressChar">
    <w:name w:val="HTML Address Char"/>
    <w:basedOn w:val="DefaultParagraphFont"/>
    <w:link w:val="HTMLAddress"/>
    <w:semiHidden/>
    <w:rsid w:val="00D631A9"/>
    <w:rPr>
      <w:i/>
      <w:iCs/>
      <w:sz w:val="22"/>
      <w:szCs w:val="22"/>
      <w:lang w:val="en-GB"/>
    </w:rPr>
  </w:style>
  <w:style w:type="character" w:styleId="HTMLCite">
    <w:name w:val="HTML Cite"/>
    <w:semiHidden/>
    <w:rsid w:val="00D631A9"/>
    <w:rPr>
      <w:i/>
      <w:iCs/>
    </w:rPr>
  </w:style>
  <w:style w:type="character" w:styleId="HTMLCode">
    <w:name w:val="HTML Code"/>
    <w:semiHidden/>
    <w:rsid w:val="00D631A9"/>
    <w:rPr>
      <w:rFonts w:ascii="Courier New" w:hAnsi="Courier New" w:cs="Courier New"/>
      <w:sz w:val="20"/>
      <w:szCs w:val="20"/>
    </w:rPr>
  </w:style>
  <w:style w:type="character" w:styleId="HTMLDefinition">
    <w:name w:val="HTML Definition"/>
    <w:semiHidden/>
    <w:rsid w:val="00D631A9"/>
    <w:rPr>
      <w:i/>
      <w:iCs/>
    </w:rPr>
  </w:style>
  <w:style w:type="character" w:styleId="HTMLKeyboard">
    <w:name w:val="HTML Keyboard"/>
    <w:semiHidden/>
    <w:rsid w:val="00D631A9"/>
    <w:rPr>
      <w:rFonts w:ascii="Courier New" w:hAnsi="Courier New" w:cs="Courier New"/>
      <w:sz w:val="20"/>
      <w:szCs w:val="20"/>
    </w:rPr>
  </w:style>
  <w:style w:type="paragraph" w:styleId="HTMLPreformatted">
    <w:name w:val="HTML Preformatted"/>
    <w:basedOn w:val="Normal"/>
    <w:link w:val="HTMLPreformattedChar"/>
    <w:semiHidden/>
    <w:rsid w:val="00D631A9"/>
    <w:rPr>
      <w:rFonts w:ascii="Courier New" w:hAnsi="Courier New" w:cs="Courier New"/>
      <w:sz w:val="20"/>
      <w:lang w:val="en-GB"/>
    </w:rPr>
  </w:style>
  <w:style w:type="character" w:customStyle="1" w:styleId="HTMLPreformattedChar">
    <w:name w:val="HTML Preformatted Char"/>
    <w:basedOn w:val="DefaultParagraphFont"/>
    <w:link w:val="HTMLPreformatted"/>
    <w:semiHidden/>
    <w:rsid w:val="00D631A9"/>
    <w:rPr>
      <w:rFonts w:ascii="Courier New" w:hAnsi="Courier New" w:cs="Courier New"/>
      <w:szCs w:val="22"/>
      <w:lang w:val="en-GB"/>
    </w:rPr>
  </w:style>
  <w:style w:type="character" w:styleId="HTMLSample">
    <w:name w:val="HTML Sample"/>
    <w:semiHidden/>
    <w:rsid w:val="00D631A9"/>
    <w:rPr>
      <w:rFonts w:ascii="Courier New" w:hAnsi="Courier New" w:cs="Courier New"/>
    </w:rPr>
  </w:style>
  <w:style w:type="character" w:styleId="HTMLTypewriter">
    <w:name w:val="HTML Typewriter"/>
    <w:semiHidden/>
    <w:rsid w:val="00D631A9"/>
    <w:rPr>
      <w:rFonts w:ascii="Courier New" w:hAnsi="Courier New" w:cs="Courier New"/>
      <w:sz w:val="20"/>
      <w:szCs w:val="20"/>
    </w:rPr>
  </w:style>
  <w:style w:type="character" w:styleId="HTMLVariable">
    <w:name w:val="HTML Variable"/>
    <w:semiHidden/>
    <w:rsid w:val="00D631A9"/>
    <w:rPr>
      <w:i/>
      <w:iCs/>
    </w:rPr>
  </w:style>
  <w:style w:type="character" w:styleId="Hyperlink">
    <w:name w:val="Hyperlink"/>
    <w:uiPriority w:val="99"/>
    <w:semiHidden/>
    <w:rsid w:val="00D631A9"/>
    <w:rPr>
      <w:color w:val="0000FF"/>
      <w:u w:val="single"/>
    </w:rPr>
  </w:style>
  <w:style w:type="character" w:styleId="LineNumber">
    <w:name w:val="line number"/>
    <w:basedOn w:val="DefaultParagraphFont"/>
    <w:semiHidden/>
    <w:rsid w:val="00D631A9"/>
  </w:style>
  <w:style w:type="paragraph" w:styleId="List">
    <w:name w:val="List"/>
    <w:basedOn w:val="Normal"/>
    <w:semiHidden/>
    <w:rsid w:val="00D631A9"/>
    <w:pPr>
      <w:ind w:left="360" w:hanging="360"/>
    </w:pPr>
    <w:rPr>
      <w:lang w:val="en-GB"/>
    </w:rPr>
  </w:style>
  <w:style w:type="paragraph" w:styleId="List2">
    <w:name w:val="List 2"/>
    <w:basedOn w:val="Normal"/>
    <w:semiHidden/>
    <w:rsid w:val="00D631A9"/>
    <w:pPr>
      <w:ind w:left="720" w:hanging="360"/>
    </w:pPr>
    <w:rPr>
      <w:lang w:val="en-GB"/>
    </w:rPr>
  </w:style>
  <w:style w:type="paragraph" w:styleId="List3">
    <w:name w:val="List 3"/>
    <w:basedOn w:val="Normal"/>
    <w:semiHidden/>
    <w:rsid w:val="00D631A9"/>
    <w:pPr>
      <w:ind w:left="1080" w:hanging="360"/>
    </w:pPr>
    <w:rPr>
      <w:lang w:val="en-GB"/>
    </w:rPr>
  </w:style>
  <w:style w:type="paragraph" w:styleId="List4">
    <w:name w:val="List 4"/>
    <w:basedOn w:val="Normal"/>
    <w:semiHidden/>
    <w:rsid w:val="00D631A9"/>
    <w:pPr>
      <w:ind w:left="1440" w:hanging="360"/>
    </w:pPr>
    <w:rPr>
      <w:lang w:val="en-GB"/>
    </w:rPr>
  </w:style>
  <w:style w:type="paragraph" w:styleId="List5">
    <w:name w:val="List 5"/>
    <w:basedOn w:val="Normal"/>
    <w:semiHidden/>
    <w:rsid w:val="00D631A9"/>
    <w:pPr>
      <w:ind w:left="1800" w:hanging="360"/>
    </w:pPr>
    <w:rPr>
      <w:lang w:val="en-GB"/>
    </w:rPr>
  </w:style>
  <w:style w:type="paragraph" w:styleId="ListBullet">
    <w:name w:val="List Bullet"/>
    <w:basedOn w:val="Normal"/>
    <w:autoRedefine/>
    <w:semiHidden/>
    <w:rsid w:val="00D631A9"/>
    <w:pPr>
      <w:tabs>
        <w:tab w:val="num" w:pos="360"/>
      </w:tabs>
      <w:ind w:left="360" w:hanging="360"/>
    </w:pPr>
    <w:rPr>
      <w:lang w:val="en-GB"/>
    </w:rPr>
  </w:style>
  <w:style w:type="paragraph" w:styleId="ListBullet2">
    <w:name w:val="List Bullet 2"/>
    <w:basedOn w:val="Normal"/>
    <w:autoRedefine/>
    <w:semiHidden/>
    <w:rsid w:val="00D631A9"/>
    <w:pPr>
      <w:tabs>
        <w:tab w:val="num" w:pos="720"/>
      </w:tabs>
      <w:ind w:left="720" w:hanging="360"/>
    </w:pPr>
    <w:rPr>
      <w:lang w:val="en-GB"/>
    </w:rPr>
  </w:style>
  <w:style w:type="paragraph" w:styleId="ListBullet3">
    <w:name w:val="List Bullet 3"/>
    <w:basedOn w:val="Normal"/>
    <w:autoRedefine/>
    <w:semiHidden/>
    <w:rsid w:val="00D631A9"/>
    <w:pPr>
      <w:tabs>
        <w:tab w:val="num" w:pos="1080"/>
      </w:tabs>
      <w:ind w:left="1080" w:hanging="360"/>
    </w:pPr>
    <w:rPr>
      <w:lang w:val="en-GB"/>
    </w:rPr>
  </w:style>
  <w:style w:type="paragraph" w:styleId="ListBullet4">
    <w:name w:val="List Bullet 4"/>
    <w:basedOn w:val="Normal"/>
    <w:autoRedefine/>
    <w:semiHidden/>
    <w:rsid w:val="00D631A9"/>
    <w:pPr>
      <w:tabs>
        <w:tab w:val="num" w:pos="1440"/>
      </w:tabs>
      <w:ind w:left="1440" w:hanging="360"/>
    </w:pPr>
    <w:rPr>
      <w:lang w:val="en-GB"/>
    </w:rPr>
  </w:style>
  <w:style w:type="paragraph" w:styleId="ListBullet5">
    <w:name w:val="List Bullet 5"/>
    <w:basedOn w:val="Normal"/>
    <w:autoRedefine/>
    <w:semiHidden/>
    <w:rsid w:val="00D631A9"/>
    <w:pPr>
      <w:tabs>
        <w:tab w:val="num" w:pos="1800"/>
      </w:tabs>
      <w:ind w:left="1800" w:hanging="360"/>
    </w:pPr>
    <w:rPr>
      <w:lang w:val="en-GB"/>
    </w:rPr>
  </w:style>
  <w:style w:type="paragraph" w:styleId="ListContinue">
    <w:name w:val="List Continue"/>
    <w:basedOn w:val="Normal"/>
    <w:semiHidden/>
    <w:rsid w:val="00D631A9"/>
    <w:pPr>
      <w:spacing w:after="120"/>
      <w:ind w:left="360"/>
    </w:pPr>
    <w:rPr>
      <w:lang w:val="en-GB"/>
    </w:rPr>
  </w:style>
  <w:style w:type="paragraph" w:styleId="ListContinue2">
    <w:name w:val="List Continue 2"/>
    <w:basedOn w:val="Normal"/>
    <w:semiHidden/>
    <w:rsid w:val="00D631A9"/>
    <w:pPr>
      <w:spacing w:after="120"/>
      <w:ind w:left="720"/>
    </w:pPr>
    <w:rPr>
      <w:lang w:val="en-GB"/>
    </w:rPr>
  </w:style>
  <w:style w:type="paragraph" w:styleId="ListContinue3">
    <w:name w:val="List Continue 3"/>
    <w:basedOn w:val="Normal"/>
    <w:semiHidden/>
    <w:rsid w:val="00D631A9"/>
    <w:pPr>
      <w:spacing w:after="120"/>
      <w:ind w:left="1080"/>
    </w:pPr>
    <w:rPr>
      <w:lang w:val="en-GB"/>
    </w:rPr>
  </w:style>
  <w:style w:type="paragraph" w:styleId="ListContinue4">
    <w:name w:val="List Continue 4"/>
    <w:basedOn w:val="Normal"/>
    <w:semiHidden/>
    <w:rsid w:val="00D631A9"/>
    <w:pPr>
      <w:spacing w:after="120"/>
      <w:ind w:left="1440"/>
    </w:pPr>
    <w:rPr>
      <w:lang w:val="en-GB"/>
    </w:rPr>
  </w:style>
  <w:style w:type="paragraph" w:styleId="ListContinue5">
    <w:name w:val="List Continue 5"/>
    <w:basedOn w:val="Normal"/>
    <w:semiHidden/>
    <w:rsid w:val="00D631A9"/>
    <w:pPr>
      <w:spacing w:after="120"/>
      <w:ind w:left="1800"/>
    </w:pPr>
    <w:rPr>
      <w:lang w:val="en-GB"/>
    </w:rPr>
  </w:style>
  <w:style w:type="paragraph" w:styleId="ListNumber">
    <w:name w:val="List Number"/>
    <w:basedOn w:val="Normal"/>
    <w:semiHidden/>
    <w:rsid w:val="00D631A9"/>
    <w:pPr>
      <w:tabs>
        <w:tab w:val="num" w:pos="360"/>
      </w:tabs>
      <w:ind w:left="360" w:hanging="360"/>
    </w:pPr>
    <w:rPr>
      <w:lang w:val="en-GB"/>
    </w:rPr>
  </w:style>
  <w:style w:type="paragraph" w:styleId="ListNumber2">
    <w:name w:val="List Number 2"/>
    <w:basedOn w:val="Normal"/>
    <w:semiHidden/>
    <w:rsid w:val="00D631A9"/>
    <w:pPr>
      <w:tabs>
        <w:tab w:val="num" w:pos="720"/>
      </w:tabs>
      <w:ind w:left="720" w:hanging="360"/>
    </w:pPr>
    <w:rPr>
      <w:lang w:val="en-GB"/>
    </w:rPr>
  </w:style>
  <w:style w:type="paragraph" w:styleId="ListNumber3">
    <w:name w:val="List Number 3"/>
    <w:basedOn w:val="Normal"/>
    <w:semiHidden/>
    <w:rsid w:val="00D631A9"/>
    <w:pPr>
      <w:tabs>
        <w:tab w:val="num" w:pos="1080"/>
      </w:tabs>
      <w:ind w:left="1080" w:hanging="360"/>
    </w:pPr>
    <w:rPr>
      <w:lang w:val="en-GB"/>
    </w:rPr>
  </w:style>
  <w:style w:type="paragraph" w:styleId="ListNumber4">
    <w:name w:val="List Number 4"/>
    <w:basedOn w:val="Normal"/>
    <w:semiHidden/>
    <w:rsid w:val="00D631A9"/>
    <w:pPr>
      <w:tabs>
        <w:tab w:val="num" w:pos="1440"/>
      </w:tabs>
      <w:ind w:left="1440" w:hanging="360"/>
    </w:pPr>
    <w:rPr>
      <w:lang w:val="en-GB"/>
    </w:rPr>
  </w:style>
  <w:style w:type="paragraph" w:styleId="ListNumber5">
    <w:name w:val="List Number 5"/>
    <w:basedOn w:val="Normal"/>
    <w:semiHidden/>
    <w:rsid w:val="00D631A9"/>
    <w:pPr>
      <w:tabs>
        <w:tab w:val="num" w:pos="1800"/>
      </w:tabs>
      <w:ind w:left="1800" w:hanging="360"/>
    </w:pPr>
    <w:rPr>
      <w:lang w:val="en-GB"/>
    </w:rPr>
  </w:style>
  <w:style w:type="paragraph" w:styleId="MessageHeader">
    <w:name w:val="Message Header"/>
    <w:basedOn w:val="Normal"/>
    <w:link w:val="MessageHeaderChar"/>
    <w:semiHidden/>
    <w:rsid w:val="00D631A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GB"/>
    </w:rPr>
  </w:style>
  <w:style w:type="character" w:customStyle="1" w:styleId="MessageHeaderChar">
    <w:name w:val="Message Header Char"/>
    <w:basedOn w:val="DefaultParagraphFont"/>
    <w:link w:val="MessageHeader"/>
    <w:semiHidden/>
    <w:rsid w:val="00D631A9"/>
    <w:rPr>
      <w:rFonts w:ascii="Arial" w:hAnsi="Arial" w:cs="Arial"/>
      <w:sz w:val="22"/>
      <w:szCs w:val="24"/>
      <w:shd w:val="pct20" w:color="auto" w:fill="auto"/>
      <w:lang w:val="en-GB"/>
    </w:rPr>
  </w:style>
  <w:style w:type="paragraph" w:styleId="NormalWeb">
    <w:name w:val="Normal (Web)"/>
    <w:basedOn w:val="Normal"/>
    <w:semiHidden/>
    <w:rsid w:val="00D631A9"/>
    <w:rPr>
      <w:szCs w:val="24"/>
      <w:lang w:val="en-GB"/>
    </w:rPr>
  </w:style>
  <w:style w:type="paragraph" w:styleId="NormalIndent">
    <w:name w:val="Normal Indent"/>
    <w:basedOn w:val="Normal"/>
    <w:semiHidden/>
    <w:rsid w:val="00D631A9"/>
    <w:pPr>
      <w:ind w:left="720"/>
    </w:pPr>
    <w:rPr>
      <w:lang w:val="en-GB"/>
    </w:rPr>
  </w:style>
  <w:style w:type="paragraph" w:styleId="NoteHeading">
    <w:name w:val="Note Heading"/>
    <w:basedOn w:val="Normal"/>
    <w:next w:val="Normal"/>
    <w:link w:val="NoteHeadingChar"/>
    <w:semiHidden/>
    <w:rsid w:val="00D631A9"/>
    <w:rPr>
      <w:lang w:val="en-GB"/>
    </w:rPr>
  </w:style>
  <w:style w:type="character" w:customStyle="1" w:styleId="NoteHeadingChar">
    <w:name w:val="Note Heading Char"/>
    <w:basedOn w:val="DefaultParagraphFont"/>
    <w:link w:val="NoteHeading"/>
    <w:semiHidden/>
    <w:rsid w:val="00D631A9"/>
    <w:rPr>
      <w:sz w:val="22"/>
      <w:szCs w:val="22"/>
      <w:lang w:val="en-GB"/>
    </w:rPr>
  </w:style>
  <w:style w:type="paragraph" w:styleId="Salutation">
    <w:name w:val="Salutation"/>
    <w:basedOn w:val="Normal"/>
    <w:next w:val="Normal"/>
    <w:link w:val="SalutationChar"/>
    <w:semiHidden/>
    <w:rsid w:val="00D631A9"/>
    <w:rPr>
      <w:lang w:val="en-GB"/>
    </w:rPr>
  </w:style>
  <w:style w:type="character" w:customStyle="1" w:styleId="SalutationChar">
    <w:name w:val="Salutation Char"/>
    <w:basedOn w:val="DefaultParagraphFont"/>
    <w:link w:val="Salutation"/>
    <w:semiHidden/>
    <w:rsid w:val="00D631A9"/>
    <w:rPr>
      <w:sz w:val="22"/>
      <w:szCs w:val="22"/>
      <w:lang w:val="en-GB"/>
    </w:rPr>
  </w:style>
  <w:style w:type="paragraph" w:styleId="Signature">
    <w:name w:val="Signature"/>
    <w:basedOn w:val="Normal"/>
    <w:link w:val="SignatureChar"/>
    <w:semiHidden/>
    <w:rsid w:val="00D631A9"/>
    <w:pPr>
      <w:ind w:left="4320"/>
    </w:pPr>
    <w:rPr>
      <w:lang w:val="en-GB"/>
    </w:rPr>
  </w:style>
  <w:style w:type="character" w:customStyle="1" w:styleId="SignatureChar">
    <w:name w:val="Signature Char"/>
    <w:basedOn w:val="DefaultParagraphFont"/>
    <w:link w:val="Signature"/>
    <w:semiHidden/>
    <w:rsid w:val="00D631A9"/>
    <w:rPr>
      <w:sz w:val="22"/>
      <w:szCs w:val="22"/>
      <w:lang w:val="en-GB"/>
    </w:rPr>
  </w:style>
  <w:style w:type="character" w:styleId="Strong">
    <w:name w:val="Strong"/>
    <w:qFormat/>
    <w:rsid w:val="00D631A9"/>
    <w:rPr>
      <w:b/>
      <w:bCs/>
    </w:rPr>
  </w:style>
  <w:style w:type="character" w:customStyle="1" w:styleId="Heading4Char">
    <w:name w:val="Heading 4 Char"/>
    <w:aliases w:val="Heading 11 Char,para 4 Char,Título 41 Char,heading 4 Char,Heading 41 Char,标题 41 Char"/>
    <w:link w:val="Heading4"/>
    <w:rsid w:val="00D631A9"/>
    <w:rPr>
      <w:sz w:val="22"/>
      <w:szCs w:val="22"/>
      <w:lang w:val="en-CA"/>
    </w:rPr>
  </w:style>
  <w:style w:type="character" w:customStyle="1" w:styleId="Heading5Char">
    <w:name w:val="Heading 5 Char"/>
    <w:link w:val="Heading5"/>
    <w:uiPriority w:val="99"/>
    <w:rsid w:val="00D631A9"/>
    <w:rPr>
      <w:sz w:val="22"/>
      <w:szCs w:val="22"/>
      <w:lang w:val="en-CA"/>
    </w:rPr>
  </w:style>
  <w:style w:type="character" w:customStyle="1" w:styleId="Heading6Char">
    <w:name w:val="Heading 6 Char"/>
    <w:link w:val="Heading6"/>
    <w:rsid w:val="00D631A9"/>
    <w:rPr>
      <w:rFonts w:ascii="Arial" w:hAnsi="Arial"/>
      <w:i/>
      <w:sz w:val="22"/>
      <w:szCs w:val="22"/>
      <w:lang w:val="en-CA"/>
    </w:rPr>
  </w:style>
  <w:style w:type="character" w:customStyle="1" w:styleId="Heading7Char">
    <w:name w:val="Heading 7 Char"/>
    <w:link w:val="Heading7"/>
    <w:rsid w:val="00D631A9"/>
    <w:rPr>
      <w:rFonts w:ascii="Arial" w:hAnsi="Arial"/>
      <w:sz w:val="22"/>
      <w:szCs w:val="22"/>
      <w:lang w:val="en-CA"/>
    </w:rPr>
  </w:style>
  <w:style w:type="character" w:customStyle="1" w:styleId="Heading8Char">
    <w:name w:val="Heading 8 Char"/>
    <w:link w:val="Heading8"/>
    <w:rsid w:val="00D631A9"/>
    <w:rPr>
      <w:b/>
      <w:sz w:val="22"/>
      <w:szCs w:val="22"/>
      <w:lang w:val="en-CA"/>
    </w:rPr>
  </w:style>
  <w:style w:type="character" w:customStyle="1" w:styleId="Heading9Char">
    <w:name w:val="Heading 9 Char"/>
    <w:link w:val="Heading9"/>
    <w:rsid w:val="00D631A9"/>
    <w:rPr>
      <w:rFonts w:ascii="Arial" w:hAnsi="Arial"/>
      <w:i/>
      <w:sz w:val="18"/>
      <w:szCs w:val="22"/>
      <w:lang w:val="en-CA"/>
    </w:rPr>
  </w:style>
  <w:style w:type="character" w:customStyle="1" w:styleId="FooterChar">
    <w:name w:val="Footer Char"/>
    <w:link w:val="Footer"/>
    <w:uiPriority w:val="99"/>
    <w:rsid w:val="00D631A9"/>
    <w:rPr>
      <w:sz w:val="22"/>
      <w:szCs w:val="22"/>
      <w:lang w:val="en-CA"/>
    </w:rPr>
  </w:style>
  <w:style w:type="character" w:customStyle="1" w:styleId="BodyText3Char">
    <w:name w:val="Body Text 3 Char"/>
    <w:link w:val="BodyText3"/>
    <w:semiHidden/>
    <w:rsid w:val="00D631A9"/>
    <w:rPr>
      <w:sz w:val="16"/>
      <w:szCs w:val="16"/>
      <w:lang w:val="en-CA"/>
    </w:rPr>
  </w:style>
  <w:style w:type="character" w:customStyle="1" w:styleId="BodyTextIndent3Char">
    <w:name w:val="Body Text Indent 3 Char"/>
    <w:link w:val="BodyTextIndent3"/>
    <w:semiHidden/>
    <w:rsid w:val="00D631A9"/>
    <w:rPr>
      <w:sz w:val="16"/>
      <w:szCs w:val="16"/>
      <w:lang w:val="en-CA"/>
    </w:rPr>
  </w:style>
  <w:style w:type="character" w:customStyle="1" w:styleId="PlainTextChar">
    <w:name w:val="Plain Text Char"/>
    <w:link w:val="PlainText"/>
    <w:rsid w:val="00D631A9"/>
    <w:rPr>
      <w:rFonts w:ascii="Courier New" w:hAnsi="Courier New" w:cs="Courier New"/>
      <w:szCs w:val="22"/>
      <w:lang w:val="en-CA"/>
    </w:rPr>
  </w:style>
  <w:style w:type="character" w:customStyle="1" w:styleId="SubtitleChar">
    <w:name w:val="Subtitle Char"/>
    <w:link w:val="Subtitle"/>
    <w:uiPriority w:val="99"/>
    <w:rsid w:val="00D631A9"/>
    <w:rPr>
      <w:rFonts w:ascii="Arial" w:hAnsi="Arial" w:cs="Arial"/>
      <w:sz w:val="22"/>
      <w:szCs w:val="22"/>
      <w:lang w:val="en-CA"/>
    </w:rPr>
  </w:style>
  <w:style w:type="character" w:customStyle="1" w:styleId="TitleChar">
    <w:name w:val="Title Char"/>
    <w:link w:val="Title"/>
    <w:uiPriority w:val="99"/>
    <w:rsid w:val="00D631A9"/>
    <w:rPr>
      <w:rFonts w:ascii="Arial" w:hAnsi="Arial" w:cs="Arial"/>
      <w:b/>
      <w:bCs/>
      <w:kern w:val="28"/>
      <w:sz w:val="22"/>
      <w:szCs w:val="22"/>
      <w:lang w:val="en-CA"/>
    </w:rPr>
  </w:style>
  <w:style w:type="character" w:customStyle="1" w:styleId="DateChar">
    <w:name w:val="Date Char"/>
    <w:link w:val="Date"/>
    <w:uiPriority w:val="99"/>
    <w:rsid w:val="00D631A9"/>
    <w:rPr>
      <w:sz w:val="22"/>
      <w:szCs w:val="22"/>
      <w:lang w:val="en-CA"/>
    </w:rPr>
  </w:style>
  <w:style w:type="character" w:customStyle="1" w:styleId="Heading1Char1Char">
    <w:name w:val="Heading 1 Char1 Char"/>
    <w:aliases w:val="Para (1) Char Char,Heading 1 Char Char Char,Heading 1 Char3 Char Char Char,Heading 1 Char Char1 Char Char Char,Heading 1 Char1 Char Char1 Char Char Char,Heading 1 Char Char Char Char1 Char1 Char Char"/>
    <w:rsid w:val="00D631A9"/>
    <w:rPr>
      <w:sz w:val="24"/>
      <w:lang w:val="en-GB" w:eastAsia="en-US" w:bidi="ar-SA"/>
    </w:rPr>
  </w:style>
  <w:style w:type="paragraph" w:customStyle="1" w:styleId="Heading">
    <w:name w:val="Heading"/>
    <w:basedOn w:val="Header"/>
    <w:next w:val="Header"/>
    <w:rsid w:val="00D631A9"/>
    <w:pPr>
      <w:tabs>
        <w:tab w:val="clear" w:pos="4320"/>
        <w:tab w:val="clear" w:pos="8640"/>
      </w:tabs>
    </w:pPr>
    <w:rPr>
      <w:b/>
      <w:sz w:val="24"/>
      <w:szCs w:val="20"/>
      <w:u w:val="single"/>
      <w:lang w:val="en-GB"/>
    </w:rPr>
  </w:style>
  <w:style w:type="paragraph" w:customStyle="1" w:styleId="ChapterNumber">
    <w:name w:val="ChapterNumber"/>
    <w:basedOn w:val="Normal"/>
    <w:next w:val="Normal"/>
    <w:rsid w:val="00D631A9"/>
    <w:pPr>
      <w:spacing w:after="360"/>
      <w:jc w:val="left"/>
    </w:pPr>
    <w:rPr>
      <w:sz w:val="24"/>
      <w:szCs w:val="20"/>
      <w:lang w:val="en-US" w:eastAsia="fr-FR"/>
    </w:rPr>
  </w:style>
  <w:style w:type="paragraph" w:customStyle="1" w:styleId="BankNormal">
    <w:name w:val="BankNormal"/>
    <w:basedOn w:val="Normal"/>
    <w:rsid w:val="00D631A9"/>
    <w:pPr>
      <w:spacing w:after="240"/>
      <w:jc w:val="left"/>
    </w:pPr>
    <w:rPr>
      <w:sz w:val="24"/>
      <w:szCs w:val="20"/>
      <w:lang w:val="en-US" w:eastAsia="fr-FR"/>
    </w:rPr>
  </w:style>
  <w:style w:type="paragraph" w:customStyle="1" w:styleId="subhead">
    <w:name w:val="subhead"/>
    <w:basedOn w:val="Normal"/>
    <w:next w:val="Normal"/>
    <w:rsid w:val="00D631A9"/>
    <w:pPr>
      <w:tabs>
        <w:tab w:val="left" w:pos="-720"/>
        <w:tab w:val="left" w:pos="0"/>
        <w:tab w:val="left" w:pos="720"/>
        <w:tab w:val="left" w:pos="1440"/>
        <w:tab w:val="left" w:pos="2160"/>
        <w:tab w:val="left" w:pos="2880"/>
        <w:tab w:val="left" w:pos="3600"/>
      </w:tabs>
      <w:jc w:val="center"/>
    </w:pPr>
    <w:rPr>
      <w:sz w:val="24"/>
      <w:szCs w:val="20"/>
      <w:lang w:val="en-US" w:eastAsia="fr-FR"/>
    </w:rPr>
  </w:style>
  <w:style w:type="paragraph" w:customStyle="1" w:styleId="a-a">
    <w:name w:val="a-(a)"/>
    <w:basedOn w:val="Normal"/>
    <w:next w:val="Normal"/>
    <w:rsid w:val="00D631A9"/>
    <w:pPr>
      <w:keepLines/>
      <w:tabs>
        <w:tab w:val="left" w:pos="-1440"/>
        <w:tab w:val="left" w:pos="-720"/>
        <w:tab w:val="left" w:pos="0"/>
        <w:tab w:val="left" w:pos="720"/>
        <w:tab w:val="left" w:pos="1440"/>
        <w:tab w:val="left" w:pos="2160"/>
        <w:tab w:val="left" w:pos="2880"/>
        <w:tab w:val="left" w:pos="3600"/>
      </w:tabs>
      <w:ind w:left="720" w:hanging="720"/>
    </w:pPr>
    <w:rPr>
      <w:b/>
      <w:sz w:val="24"/>
      <w:szCs w:val="20"/>
      <w:lang w:val="en-GB" w:eastAsia="fr-FR"/>
    </w:rPr>
  </w:style>
  <w:style w:type="paragraph" w:customStyle="1" w:styleId="a-agenda">
    <w:name w:val="a-agenda"/>
    <w:basedOn w:val="Normal"/>
    <w:next w:val="Normal"/>
    <w:rsid w:val="00D631A9"/>
    <w:pPr>
      <w:keepNext/>
      <w:keepLines/>
      <w:tabs>
        <w:tab w:val="left" w:pos="-1440"/>
        <w:tab w:val="left" w:pos="-720"/>
        <w:tab w:val="left" w:pos="0"/>
        <w:tab w:val="left" w:pos="720"/>
        <w:tab w:val="left" w:pos="1440"/>
        <w:tab w:val="left" w:pos="2160"/>
        <w:tab w:val="left" w:pos="2880"/>
        <w:tab w:val="left" w:pos="3600"/>
      </w:tabs>
    </w:pPr>
    <w:rPr>
      <w:b/>
      <w:caps/>
      <w:sz w:val="24"/>
      <w:szCs w:val="20"/>
      <w:lang w:val="en-GB" w:eastAsia="fr-FR"/>
    </w:rPr>
  </w:style>
  <w:style w:type="paragraph" w:customStyle="1" w:styleId="a-smalla">
    <w:name w:val="a-small(a)"/>
    <w:basedOn w:val="Normal"/>
    <w:next w:val="Normal"/>
    <w:rsid w:val="00D631A9"/>
    <w:pPr>
      <w:tabs>
        <w:tab w:val="left" w:pos="-720"/>
        <w:tab w:val="left" w:pos="0"/>
        <w:tab w:val="left" w:pos="720"/>
        <w:tab w:val="left" w:pos="1440"/>
        <w:tab w:val="left" w:pos="2160"/>
        <w:tab w:val="left" w:pos="2880"/>
        <w:tab w:val="left" w:pos="3600"/>
        <w:tab w:val="right" w:pos="9360"/>
      </w:tabs>
      <w:suppressAutoHyphens/>
      <w:ind w:left="1440" w:hanging="720"/>
    </w:pPr>
    <w:rPr>
      <w:sz w:val="24"/>
      <w:szCs w:val="20"/>
      <w:lang w:val="en-US" w:eastAsia="fr-FR"/>
    </w:rPr>
  </w:style>
  <w:style w:type="paragraph" w:customStyle="1" w:styleId="a-smalli">
    <w:name w:val="a-small(i)"/>
    <w:basedOn w:val="Normal"/>
    <w:next w:val="Normal"/>
    <w:rsid w:val="00D631A9"/>
    <w:pPr>
      <w:tabs>
        <w:tab w:val="left" w:pos="-720"/>
        <w:tab w:val="left" w:pos="0"/>
        <w:tab w:val="left" w:pos="720"/>
        <w:tab w:val="left" w:pos="1440"/>
        <w:tab w:val="left" w:pos="2160"/>
        <w:tab w:val="left" w:pos="2880"/>
        <w:tab w:val="left" w:pos="3600"/>
        <w:tab w:val="right" w:pos="9360"/>
      </w:tabs>
      <w:suppressAutoHyphens/>
      <w:ind w:left="2160" w:hanging="720"/>
    </w:pPr>
    <w:rPr>
      <w:sz w:val="24"/>
      <w:szCs w:val="20"/>
      <w:lang w:val="en-US" w:eastAsia="fr-FR"/>
    </w:rPr>
  </w:style>
  <w:style w:type="paragraph" w:customStyle="1" w:styleId="a-smalla0">
    <w:name w:val="a-small.a."/>
    <w:basedOn w:val="a-smalli"/>
    <w:next w:val="Normal"/>
    <w:rsid w:val="00D631A9"/>
    <w:pPr>
      <w:ind w:left="2880"/>
    </w:pPr>
  </w:style>
  <w:style w:type="character" w:customStyle="1" w:styleId="EquationCaption">
    <w:name w:val="_Equation Caption"/>
    <w:rsid w:val="00D631A9"/>
  </w:style>
  <w:style w:type="paragraph" w:customStyle="1" w:styleId="Style1">
    <w:name w:val="Style1"/>
    <w:basedOn w:val="Normal"/>
    <w:rsid w:val="00D631A9"/>
    <w:pPr>
      <w:spacing w:after="120"/>
      <w:jc w:val="left"/>
    </w:pPr>
    <w:rPr>
      <w:rFonts w:ascii="Symbol" w:hAnsi="Symbol"/>
      <w:sz w:val="24"/>
      <w:szCs w:val="20"/>
      <w:lang w:val="en-US" w:eastAsia="fr-FR"/>
    </w:rPr>
  </w:style>
  <w:style w:type="paragraph" w:customStyle="1" w:styleId="wfxRecipient">
    <w:name w:val="wfxRecipient"/>
    <w:basedOn w:val="Normal"/>
    <w:rsid w:val="00D631A9"/>
    <w:pPr>
      <w:spacing w:after="120"/>
      <w:jc w:val="left"/>
    </w:pPr>
    <w:rPr>
      <w:sz w:val="24"/>
      <w:szCs w:val="20"/>
      <w:lang w:val="en-US" w:eastAsia="fr-FR"/>
    </w:rPr>
  </w:style>
  <w:style w:type="paragraph" w:customStyle="1" w:styleId="wfxFaxNum">
    <w:name w:val="wfxFaxNum"/>
    <w:basedOn w:val="Normal"/>
    <w:rsid w:val="00D631A9"/>
    <w:pPr>
      <w:spacing w:after="120"/>
      <w:jc w:val="left"/>
    </w:pPr>
    <w:rPr>
      <w:sz w:val="24"/>
      <w:szCs w:val="20"/>
      <w:lang w:val="en-US" w:eastAsia="fr-FR"/>
    </w:rPr>
  </w:style>
  <w:style w:type="paragraph" w:customStyle="1" w:styleId="FaxBod">
    <w:name w:val="FaxBod"/>
    <w:basedOn w:val="Heading5"/>
    <w:rsid w:val="00D631A9"/>
    <w:pPr>
      <w:keepNext w:val="0"/>
      <w:numPr>
        <w:numId w:val="0"/>
      </w:numPr>
      <w:tabs>
        <w:tab w:val="left" w:pos="-540"/>
      </w:tabs>
      <w:ind w:left="450"/>
      <w:jc w:val="left"/>
      <w:outlineLvl w:val="9"/>
    </w:pPr>
    <w:rPr>
      <w:sz w:val="24"/>
      <w:szCs w:val="20"/>
      <w:lang w:val="en-US"/>
    </w:rPr>
  </w:style>
  <w:style w:type="paragraph" w:customStyle="1" w:styleId="xl34">
    <w:name w:val="xl3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5">
    <w:name w:val="xl3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36">
    <w:name w:val="xl3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7">
    <w:name w:val="xl37"/>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8">
    <w:name w:val="xl3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9">
    <w:name w:val="xl3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0">
    <w:name w:val="xl4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1">
    <w:name w:val="xl41"/>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2">
    <w:name w:val="xl42"/>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3">
    <w:name w:val="xl43"/>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fr-CA" w:eastAsia="fr-CA"/>
    </w:rPr>
  </w:style>
  <w:style w:type="paragraph" w:customStyle="1" w:styleId="xl44">
    <w:name w:val="xl4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5">
    <w:name w:val="xl4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6">
    <w:name w:val="xl4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7">
    <w:name w:val="xl47"/>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8">
    <w:name w:val="xl4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9">
    <w:name w:val="xl4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country">
    <w:name w:val="country"/>
    <w:basedOn w:val="Normal"/>
    <w:rsid w:val="00D631A9"/>
    <w:pPr>
      <w:widowControl w:val="0"/>
      <w:tabs>
        <w:tab w:val="left" w:pos="3600"/>
      </w:tabs>
      <w:autoSpaceDE w:val="0"/>
      <w:autoSpaceDN w:val="0"/>
      <w:adjustRightInd w:val="0"/>
      <w:jc w:val="left"/>
    </w:pPr>
    <w:rPr>
      <w:b/>
      <w:sz w:val="28"/>
      <w:szCs w:val="28"/>
      <w:lang w:val="en-US"/>
    </w:rPr>
  </w:style>
  <w:style w:type="paragraph" w:customStyle="1" w:styleId="Parastyle">
    <w:name w:val="Para style"/>
    <w:basedOn w:val="Normal"/>
    <w:rsid w:val="00D631A9"/>
    <w:pPr>
      <w:widowControl w:val="0"/>
      <w:numPr>
        <w:numId w:val="22"/>
      </w:numPr>
      <w:tabs>
        <w:tab w:val="left" w:pos="90"/>
        <w:tab w:val="left" w:pos="2590"/>
        <w:tab w:val="left" w:pos="7654"/>
        <w:tab w:val="right" w:pos="9964"/>
      </w:tabs>
      <w:autoSpaceDE w:val="0"/>
      <w:autoSpaceDN w:val="0"/>
      <w:adjustRightInd w:val="0"/>
      <w:spacing w:before="377"/>
      <w:jc w:val="left"/>
    </w:pPr>
    <w:rPr>
      <w:sz w:val="24"/>
      <w:szCs w:val="20"/>
      <w:lang w:val="en-US"/>
    </w:rPr>
  </w:style>
  <w:style w:type="paragraph" w:customStyle="1" w:styleId="xl50">
    <w:name w:val="xl5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76">
    <w:name w:val="xl7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8">
    <w:name w:val="xl7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9">
    <w:name w:val="xl7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1">
    <w:name w:val="xl81"/>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2">
    <w:name w:val="xl82"/>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3">
    <w:name w:val="xl83"/>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84">
    <w:name w:val="xl8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5">
    <w:name w:val="xl8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6">
    <w:name w:val="xl8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7">
    <w:name w:val="xl87"/>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8">
    <w:name w:val="xl8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0">
    <w:name w:val="xl9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1">
    <w:name w:val="xl91"/>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2">
    <w:name w:val="xl92"/>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val="en-US"/>
    </w:rPr>
  </w:style>
  <w:style w:type="paragraph" w:customStyle="1" w:styleId="xl93">
    <w:name w:val="xl93"/>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4">
    <w:name w:val="xl9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5">
    <w:name w:val="xl9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6">
    <w:name w:val="xl96"/>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7">
    <w:name w:val="xl97"/>
    <w:basedOn w:val="Normal"/>
    <w:rsid w:val="00D631A9"/>
    <w:pPr>
      <w:spacing w:before="100" w:beforeAutospacing="1" w:after="100" w:afterAutospacing="1"/>
      <w:jc w:val="left"/>
    </w:pPr>
    <w:rPr>
      <w:b/>
      <w:bCs/>
      <w:sz w:val="16"/>
      <w:szCs w:val="16"/>
      <w:lang w:val="en-US"/>
    </w:rPr>
  </w:style>
  <w:style w:type="paragraph" w:styleId="EndnoteText">
    <w:name w:val="endnote text"/>
    <w:basedOn w:val="Normal"/>
    <w:link w:val="EndnoteTextChar"/>
    <w:uiPriority w:val="99"/>
    <w:semiHidden/>
    <w:unhideWhenUsed/>
    <w:rsid w:val="00D631A9"/>
    <w:rPr>
      <w:sz w:val="20"/>
      <w:szCs w:val="20"/>
      <w:lang w:val="en-GB"/>
    </w:rPr>
  </w:style>
  <w:style w:type="character" w:customStyle="1" w:styleId="EndnoteTextChar">
    <w:name w:val="Endnote Text Char"/>
    <w:basedOn w:val="DefaultParagraphFont"/>
    <w:link w:val="EndnoteText"/>
    <w:uiPriority w:val="99"/>
    <w:semiHidden/>
    <w:rsid w:val="00D631A9"/>
    <w:rPr>
      <w:lang w:val="en-GB"/>
    </w:rPr>
  </w:style>
  <w:style w:type="character" w:styleId="EndnoteReference">
    <w:name w:val="endnote reference"/>
    <w:uiPriority w:val="99"/>
    <w:semiHidden/>
    <w:unhideWhenUsed/>
    <w:rsid w:val="00D631A9"/>
    <w:rPr>
      <w:vertAlign w:val="superscript"/>
    </w:rPr>
  </w:style>
  <w:style w:type="paragraph" w:customStyle="1" w:styleId="xl75">
    <w:name w:val="xl75"/>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eastAsia="en-CA"/>
    </w:rPr>
  </w:style>
  <w:style w:type="paragraph" w:customStyle="1" w:styleId="xl98">
    <w:name w:val="xl9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eastAsia="en-CA"/>
    </w:rPr>
  </w:style>
  <w:style w:type="paragraph" w:customStyle="1" w:styleId="xl99">
    <w:name w:val="xl99"/>
    <w:basedOn w:val="Normal"/>
    <w:rsid w:val="00D631A9"/>
    <w:pPr>
      <w:spacing w:before="100" w:beforeAutospacing="1" w:after="100" w:afterAutospacing="1"/>
      <w:jc w:val="left"/>
    </w:pPr>
    <w:rPr>
      <w:b/>
      <w:bCs/>
      <w:sz w:val="24"/>
      <w:szCs w:val="24"/>
      <w:lang w:eastAsia="en-CA"/>
    </w:rPr>
  </w:style>
  <w:style w:type="paragraph" w:customStyle="1" w:styleId="xl66">
    <w:name w:val="xl66"/>
    <w:basedOn w:val="Normal"/>
    <w:rsid w:val="00D631A9"/>
    <w:pPr>
      <w:spacing w:before="100" w:beforeAutospacing="1" w:after="100" w:afterAutospacing="1"/>
      <w:jc w:val="center"/>
      <w:textAlignment w:val="top"/>
    </w:pPr>
    <w:rPr>
      <w:sz w:val="16"/>
      <w:szCs w:val="16"/>
      <w:lang w:eastAsia="en-CA"/>
    </w:rPr>
  </w:style>
  <w:style w:type="paragraph" w:customStyle="1" w:styleId="xl67">
    <w:name w:val="xl67"/>
    <w:basedOn w:val="Normal"/>
    <w:rsid w:val="00D631A9"/>
    <w:pPr>
      <w:spacing w:before="100" w:beforeAutospacing="1" w:after="100" w:afterAutospacing="1"/>
      <w:jc w:val="left"/>
    </w:pPr>
    <w:rPr>
      <w:sz w:val="16"/>
      <w:szCs w:val="16"/>
      <w:lang w:eastAsia="en-CA"/>
    </w:rPr>
  </w:style>
  <w:style w:type="paragraph" w:customStyle="1" w:styleId="xl68">
    <w:name w:val="xl68"/>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69">
    <w:name w:val="xl69"/>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0">
    <w:name w:val="xl70"/>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1">
    <w:name w:val="xl71"/>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2">
    <w:name w:val="xl72"/>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eastAsia="en-CA"/>
    </w:rPr>
  </w:style>
  <w:style w:type="paragraph" w:customStyle="1" w:styleId="xl73">
    <w:name w:val="xl73"/>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74">
    <w:name w:val="xl74"/>
    <w:basedOn w:val="Normal"/>
    <w:rsid w:val="00D631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eastAsia="en-CA"/>
    </w:rPr>
  </w:style>
  <w:style w:type="paragraph" w:customStyle="1" w:styleId="font5">
    <w:name w:val="font5"/>
    <w:basedOn w:val="Normal"/>
    <w:rsid w:val="00D631A9"/>
    <w:pPr>
      <w:spacing w:before="100" w:beforeAutospacing="1" w:after="100" w:afterAutospacing="1"/>
      <w:jc w:val="left"/>
    </w:pPr>
    <w:rPr>
      <w:sz w:val="16"/>
      <w:szCs w:val="16"/>
      <w:lang w:eastAsia="en-CA"/>
    </w:rPr>
  </w:style>
  <w:style w:type="paragraph" w:customStyle="1" w:styleId="font6">
    <w:name w:val="font6"/>
    <w:basedOn w:val="Normal"/>
    <w:rsid w:val="00D631A9"/>
    <w:pPr>
      <w:spacing w:before="100" w:beforeAutospacing="1" w:after="100" w:afterAutospacing="1"/>
      <w:jc w:val="left"/>
    </w:pPr>
    <w:rPr>
      <w:sz w:val="16"/>
      <w:szCs w:val="16"/>
      <w:lang w:eastAsia="en-CA"/>
    </w:rPr>
  </w:style>
  <w:style w:type="paragraph" w:customStyle="1" w:styleId="xl63">
    <w:name w:val="xl63"/>
    <w:basedOn w:val="Normal"/>
    <w:rsid w:val="00D631A9"/>
    <w:pPr>
      <w:spacing w:before="100" w:beforeAutospacing="1" w:after="100" w:afterAutospacing="1"/>
      <w:jc w:val="center"/>
      <w:textAlignment w:val="top"/>
    </w:pPr>
    <w:rPr>
      <w:b/>
      <w:bCs/>
      <w:sz w:val="16"/>
      <w:szCs w:val="16"/>
      <w:lang w:eastAsia="en-CA"/>
    </w:rPr>
  </w:style>
  <w:style w:type="paragraph" w:customStyle="1" w:styleId="xl64">
    <w:name w:val="xl64"/>
    <w:basedOn w:val="Normal"/>
    <w:rsid w:val="00D631A9"/>
    <w:pPr>
      <w:spacing w:before="100" w:beforeAutospacing="1" w:after="100" w:afterAutospacing="1"/>
      <w:jc w:val="center"/>
      <w:textAlignment w:val="top"/>
    </w:pPr>
    <w:rPr>
      <w:b/>
      <w:bCs/>
      <w:sz w:val="16"/>
      <w:szCs w:val="16"/>
      <w:lang w:eastAsia="en-CA"/>
    </w:rPr>
  </w:style>
  <w:style w:type="paragraph" w:customStyle="1" w:styleId="xl65">
    <w:name w:val="xl65"/>
    <w:basedOn w:val="Normal"/>
    <w:rsid w:val="00D631A9"/>
    <w:pPr>
      <w:spacing w:before="100" w:beforeAutospacing="1" w:after="100" w:afterAutospacing="1"/>
      <w:jc w:val="left"/>
      <w:textAlignment w:val="top"/>
    </w:pPr>
    <w:rPr>
      <w:sz w:val="16"/>
      <w:szCs w:val="16"/>
      <w:lang w:eastAsia="en-CA"/>
    </w:rPr>
  </w:style>
  <w:style w:type="numbering" w:customStyle="1" w:styleId="NoList1">
    <w:name w:val="No List1"/>
    <w:next w:val="NoList"/>
    <w:uiPriority w:val="99"/>
    <w:semiHidden/>
    <w:unhideWhenUsed/>
    <w:rsid w:val="00D631A9"/>
  </w:style>
  <w:style w:type="paragraph" w:customStyle="1" w:styleId="Formatvorlage1">
    <w:name w:val="Formatvorlage1"/>
    <w:basedOn w:val="Heading1"/>
    <w:next w:val="Normal"/>
    <w:autoRedefine/>
    <w:qFormat/>
    <w:rsid w:val="00D631A9"/>
    <w:pPr>
      <w:numPr>
        <w:numId w:val="0"/>
      </w:numPr>
      <w:tabs>
        <w:tab w:val="num" w:pos="0"/>
      </w:tabs>
      <w:spacing w:after="120"/>
    </w:pPr>
    <w:rPr>
      <w:rFonts w:asciiTheme="minorHAnsi" w:hAnsiTheme="minorHAnsi"/>
      <w:bCs/>
      <w:sz w:val="24"/>
      <w:szCs w:val="24"/>
      <w:lang w:val="en-GB"/>
    </w:rPr>
  </w:style>
  <w:style w:type="paragraph" w:customStyle="1" w:styleId="CH4">
    <w:name w:val="CH4"/>
    <w:basedOn w:val="Normal"/>
    <w:next w:val="Normal"/>
    <w:rsid w:val="00D631A9"/>
    <w:pPr>
      <w:keepNext/>
      <w:keepLines/>
      <w:tabs>
        <w:tab w:val="right" w:pos="851"/>
        <w:tab w:val="left" w:pos="1247"/>
        <w:tab w:val="left" w:pos="1814"/>
        <w:tab w:val="left" w:pos="2381"/>
        <w:tab w:val="left" w:pos="2948"/>
        <w:tab w:val="left" w:pos="3515"/>
        <w:tab w:val="left" w:pos="4082"/>
      </w:tabs>
      <w:suppressAutoHyphens/>
      <w:spacing w:after="120"/>
      <w:ind w:left="1247" w:right="284" w:hanging="1247"/>
      <w:jc w:val="left"/>
    </w:pPr>
    <w:rPr>
      <w:b/>
      <w:sz w:val="20"/>
      <w:szCs w:val="20"/>
      <w:lang w:val="en-GB"/>
    </w:rPr>
  </w:style>
  <w:style w:type="paragraph" w:customStyle="1" w:styleId="Normalpool">
    <w:name w:val="Normal_pool"/>
    <w:link w:val="NormalpoolChar"/>
    <w:rsid w:val="00D631A9"/>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D631A9"/>
    <w:rPr>
      <w:lang w:val="fr-FR"/>
    </w:rPr>
  </w:style>
  <w:style w:type="paragraph" w:customStyle="1" w:styleId="msonormal0">
    <w:name w:val="msonormal"/>
    <w:basedOn w:val="Normal"/>
    <w:rsid w:val="00D631A9"/>
    <w:pPr>
      <w:spacing w:before="100" w:beforeAutospacing="1" w:after="100" w:afterAutospacing="1"/>
      <w:jc w:val="left"/>
    </w:pPr>
    <w:rPr>
      <w:sz w:val="24"/>
      <w:szCs w:val="24"/>
      <w:lang w:eastAsia="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D631A9"/>
    <w:pPr>
      <w:spacing w:after="160" w:line="240" w:lineRule="exact"/>
    </w:pPr>
    <w:rPr>
      <w:sz w:val="20"/>
      <w:szCs w:val="20"/>
      <w:vertAlign w:val="superscript"/>
      <w:lang w:val="en-US"/>
    </w:rPr>
  </w:style>
  <w:style w:type="paragraph" w:customStyle="1" w:styleId="BVIfnrChar">
    <w:name w:val="BVI fnr Char"/>
    <w:aliases w:val="BVI fnr Car Car Char,BVI fnr Car Char,BVI fnr Car Car Car Car Char,4_G Char Char"/>
    <w:basedOn w:val="Normal"/>
    <w:uiPriority w:val="99"/>
    <w:rsid w:val="00AB5070"/>
    <w:pPr>
      <w:spacing w:after="160" w:line="240" w:lineRule="exact"/>
      <w:jc w:val="lef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6120">
      <w:bodyDiv w:val="1"/>
      <w:marLeft w:val="0"/>
      <w:marRight w:val="0"/>
      <w:marTop w:val="0"/>
      <w:marBottom w:val="0"/>
      <w:divBdr>
        <w:top w:val="none" w:sz="0" w:space="0" w:color="auto"/>
        <w:left w:val="none" w:sz="0" w:space="0" w:color="auto"/>
        <w:bottom w:val="none" w:sz="0" w:space="0" w:color="auto"/>
        <w:right w:val="none" w:sz="0" w:space="0" w:color="auto"/>
      </w:divBdr>
    </w:div>
    <w:div w:id="486047432">
      <w:bodyDiv w:val="1"/>
      <w:marLeft w:val="0"/>
      <w:marRight w:val="0"/>
      <w:marTop w:val="0"/>
      <w:marBottom w:val="0"/>
      <w:divBdr>
        <w:top w:val="none" w:sz="0" w:space="0" w:color="auto"/>
        <w:left w:val="none" w:sz="0" w:space="0" w:color="auto"/>
        <w:bottom w:val="none" w:sz="0" w:space="0" w:color="auto"/>
        <w:right w:val="none" w:sz="0" w:space="0" w:color="auto"/>
      </w:divBdr>
    </w:div>
    <w:div w:id="514809259">
      <w:bodyDiv w:val="1"/>
      <w:marLeft w:val="0"/>
      <w:marRight w:val="0"/>
      <w:marTop w:val="0"/>
      <w:marBottom w:val="0"/>
      <w:divBdr>
        <w:top w:val="none" w:sz="0" w:space="0" w:color="auto"/>
        <w:left w:val="none" w:sz="0" w:space="0" w:color="auto"/>
        <w:bottom w:val="none" w:sz="0" w:space="0" w:color="auto"/>
        <w:right w:val="none" w:sz="0" w:space="0" w:color="auto"/>
      </w:divBdr>
    </w:div>
    <w:div w:id="540895765">
      <w:bodyDiv w:val="1"/>
      <w:marLeft w:val="0"/>
      <w:marRight w:val="0"/>
      <w:marTop w:val="0"/>
      <w:marBottom w:val="0"/>
      <w:divBdr>
        <w:top w:val="none" w:sz="0" w:space="0" w:color="auto"/>
        <w:left w:val="none" w:sz="0" w:space="0" w:color="auto"/>
        <w:bottom w:val="none" w:sz="0" w:space="0" w:color="auto"/>
        <w:right w:val="none" w:sz="0" w:space="0" w:color="auto"/>
      </w:divBdr>
    </w:div>
    <w:div w:id="570963946">
      <w:bodyDiv w:val="1"/>
      <w:marLeft w:val="0"/>
      <w:marRight w:val="0"/>
      <w:marTop w:val="0"/>
      <w:marBottom w:val="0"/>
      <w:divBdr>
        <w:top w:val="none" w:sz="0" w:space="0" w:color="auto"/>
        <w:left w:val="none" w:sz="0" w:space="0" w:color="auto"/>
        <w:bottom w:val="none" w:sz="0" w:space="0" w:color="auto"/>
        <w:right w:val="none" w:sz="0" w:space="0" w:color="auto"/>
      </w:divBdr>
    </w:div>
    <w:div w:id="706181957">
      <w:bodyDiv w:val="1"/>
      <w:marLeft w:val="0"/>
      <w:marRight w:val="0"/>
      <w:marTop w:val="0"/>
      <w:marBottom w:val="0"/>
      <w:divBdr>
        <w:top w:val="none" w:sz="0" w:space="0" w:color="auto"/>
        <w:left w:val="none" w:sz="0" w:space="0" w:color="auto"/>
        <w:bottom w:val="none" w:sz="0" w:space="0" w:color="auto"/>
        <w:right w:val="none" w:sz="0" w:space="0" w:color="auto"/>
      </w:divBdr>
    </w:div>
    <w:div w:id="774982699">
      <w:bodyDiv w:val="1"/>
      <w:marLeft w:val="0"/>
      <w:marRight w:val="0"/>
      <w:marTop w:val="0"/>
      <w:marBottom w:val="0"/>
      <w:divBdr>
        <w:top w:val="none" w:sz="0" w:space="0" w:color="auto"/>
        <w:left w:val="none" w:sz="0" w:space="0" w:color="auto"/>
        <w:bottom w:val="none" w:sz="0" w:space="0" w:color="auto"/>
        <w:right w:val="none" w:sz="0" w:space="0" w:color="auto"/>
      </w:divBdr>
    </w:div>
    <w:div w:id="872811141">
      <w:bodyDiv w:val="1"/>
      <w:marLeft w:val="0"/>
      <w:marRight w:val="0"/>
      <w:marTop w:val="0"/>
      <w:marBottom w:val="0"/>
      <w:divBdr>
        <w:top w:val="none" w:sz="0" w:space="0" w:color="auto"/>
        <w:left w:val="none" w:sz="0" w:space="0" w:color="auto"/>
        <w:bottom w:val="none" w:sz="0" w:space="0" w:color="auto"/>
        <w:right w:val="none" w:sz="0" w:space="0" w:color="auto"/>
      </w:divBdr>
    </w:div>
    <w:div w:id="1085149404">
      <w:bodyDiv w:val="1"/>
      <w:marLeft w:val="0"/>
      <w:marRight w:val="0"/>
      <w:marTop w:val="0"/>
      <w:marBottom w:val="0"/>
      <w:divBdr>
        <w:top w:val="none" w:sz="0" w:space="0" w:color="auto"/>
        <w:left w:val="none" w:sz="0" w:space="0" w:color="auto"/>
        <w:bottom w:val="none" w:sz="0" w:space="0" w:color="auto"/>
        <w:right w:val="none" w:sz="0" w:space="0" w:color="auto"/>
      </w:divBdr>
    </w:div>
    <w:div w:id="1214000576">
      <w:bodyDiv w:val="1"/>
      <w:marLeft w:val="0"/>
      <w:marRight w:val="0"/>
      <w:marTop w:val="0"/>
      <w:marBottom w:val="0"/>
      <w:divBdr>
        <w:top w:val="none" w:sz="0" w:space="0" w:color="auto"/>
        <w:left w:val="none" w:sz="0" w:space="0" w:color="auto"/>
        <w:bottom w:val="none" w:sz="0" w:space="0" w:color="auto"/>
        <w:right w:val="none" w:sz="0" w:space="0" w:color="auto"/>
      </w:divBdr>
    </w:div>
    <w:div w:id="1327902196">
      <w:bodyDiv w:val="1"/>
      <w:marLeft w:val="0"/>
      <w:marRight w:val="0"/>
      <w:marTop w:val="0"/>
      <w:marBottom w:val="0"/>
      <w:divBdr>
        <w:top w:val="none" w:sz="0" w:space="0" w:color="auto"/>
        <w:left w:val="none" w:sz="0" w:space="0" w:color="auto"/>
        <w:bottom w:val="none" w:sz="0" w:space="0" w:color="auto"/>
        <w:right w:val="none" w:sz="0" w:space="0" w:color="auto"/>
      </w:divBdr>
    </w:div>
    <w:div w:id="1339039610">
      <w:bodyDiv w:val="1"/>
      <w:marLeft w:val="0"/>
      <w:marRight w:val="0"/>
      <w:marTop w:val="0"/>
      <w:marBottom w:val="0"/>
      <w:divBdr>
        <w:top w:val="none" w:sz="0" w:space="0" w:color="auto"/>
        <w:left w:val="none" w:sz="0" w:space="0" w:color="auto"/>
        <w:bottom w:val="none" w:sz="0" w:space="0" w:color="auto"/>
        <w:right w:val="none" w:sz="0" w:space="0" w:color="auto"/>
      </w:divBdr>
    </w:div>
    <w:div w:id="1538080512">
      <w:bodyDiv w:val="1"/>
      <w:marLeft w:val="0"/>
      <w:marRight w:val="0"/>
      <w:marTop w:val="0"/>
      <w:marBottom w:val="0"/>
      <w:divBdr>
        <w:top w:val="none" w:sz="0" w:space="0" w:color="auto"/>
        <w:left w:val="none" w:sz="0" w:space="0" w:color="auto"/>
        <w:bottom w:val="none" w:sz="0" w:space="0" w:color="auto"/>
        <w:right w:val="none" w:sz="0" w:space="0" w:color="auto"/>
      </w:divBdr>
    </w:div>
    <w:div w:id="1594819403">
      <w:bodyDiv w:val="1"/>
      <w:marLeft w:val="0"/>
      <w:marRight w:val="0"/>
      <w:marTop w:val="0"/>
      <w:marBottom w:val="0"/>
      <w:divBdr>
        <w:top w:val="none" w:sz="0" w:space="0" w:color="auto"/>
        <w:left w:val="none" w:sz="0" w:space="0" w:color="auto"/>
        <w:bottom w:val="none" w:sz="0" w:space="0" w:color="auto"/>
        <w:right w:val="none" w:sz="0" w:space="0" w:color="auto"/>
      </w:divBdr>
    </w:div>
    <w:div w:id="185043752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395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customXml" Target="../customXml/item2.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4.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footer" Target="footer6.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UNEP/OzL.Pro/ExCom/88/12</Document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0C85-D5E6-4490-B7DF-B1D330328CE8}"/>
</file>

<file path=customXml/itemProps2.xml><?xml version="1.0" encoding="utf-8"?>
<ds:datastoreItem xmlns:ds="http://schemas.openxmlformats.org/officeDocument/2006/customXml" ds:itemID="{5FBACC7B-BD92-461A-9ADF-6546280C6759}"/>
</file>

<file path=customXml/itemProps3.xml><?xml version="1.0" encoding="utf-8"?>
<ds:datastoreItem xmlns:ds="http://schemas.openxmlformats.org/officeDocument/2006/customXml" ds:itemID="{CC8D8188-670B-4953-A002-EC8A86F545E6}"/>
</file>

<file path=customXml/itemProps4.xml><?xml version="1.0" encoding="utf-8"?>
<ds:datastoreItem xmlns:ds="http://schemas.openxmlformats.org/officeDocument/2006/customXml" ds:itemID="{737000EC-CBE5-49C4-BD23-2AF959205E69}"/>
</file>

<file path=docProps/app.xml><?xml version="1.0" encoding="utf-8"?>
<Properties xmlns="http://schemas.openxmlformats.org/officeDocument/2006/extended-properties" xmlns:vt="http://schemas.openxmlformats.org/officeDocument/2006/docPropsVTypes">
  <Template>Normal</Template>
  <TotalTime>2</TotalTime>
  <Pages>36</Pages>
  <Words>13441</Words>
  <Characters>61637</Characters>
  <Application>Microsoft Office Word</Application>
  <DocSecurity>0</DocSecurity>
  <Lines>513</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périodique global au 31 décembre 2020</vt:lpstr>
      <vt:lpstr>2020 Consolidated progress report</vt:lpstr>
    </vt:vector>
  </TitlesOfParts>
  <Company>UNMFS</Company>
  <LinksUpToDate>false</LinksUpToDate>
  <CharactersWithSpaces>74929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périodique global au 31 décembre 2020</dc:title>
  <dc:subject/>
  <dc:creator>Laura Duong</dc:creator>
  <cp:lastModifiedBy>HBE</cp:lastModifiedBy>
  <cp:revision>3</cp:revision>
  <cp:lastPrinted>2021-11-01T14:15:00Z</cp:lastPrinted>
  <dcterms:created xsi:type="dcterms:W3CDTF">2021-11-07T22:51:00Z</dcterms:created>
  <dcterms:modified xsi:type="dcterms:W3CDTF">2021-11-09T15:46:00Z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UNEP/OzL.Pro/ExCom/88/12</vt:lpwstr>
  </property>
  <property fmtid="{D5CDD505-2E9C-101B-9397-08002B2CF9AE}" pid="3" name="Revision date">
    <vt:lpwstr>10/28/2021</vt:lpwstr>
  </property>
  <property fmtid="{D5CDD505-2E9C-101B-9397-08002B2CF9AE}" pid="4" name="ContentTypeId">
    <vt:lpwstr>0x01010009F56DB39A5B9F46AA87ED0A960035E8</vt:lpwstr>
  </property>
</Properties>
</file>