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8" w:type="dxa"/>
        <w:tblInd w:w="-432" w:type="dxa"/>
        <w:tblLayout w:type="fixed"/>
        <w:tblLook w:val="0000" w:firstRow="0" w:lastRow="0" w:firstColumn="0" w:lastColumn="0" w:noHBand="0" w:noVBand="0"/>
      </w:tblPr>
      <w:tblGrid>
        <w:gridCol w:w="1938"/>
        <w:gridCol w:w="4672"/>
        <w:gridCol w:w="3318"/>
      </w:tblGrid>
      <w:tr w:rsidR="00441083" w14:paraId="0694C406" w14:textId="77777777" w:rsidTr="00630498">
        <w:trPr>
          <w:trHeight w:val="725"/>
        </w:trPr>
        <w:tc>
          <w:tcPr>
            <w:tcW w:w="6610" w:type="dxa"/>
            <w:gridSpan w:val="2"/>
            <w:tcBorders>
              <w:bottom w:val="single" w:sz="18" w:space="0" w:color="auto"/>
            </w:tcBorders>
          </w:tcPr>
          <w:p w14:paraId="79437999"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2C9CE290"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318" w:type="dxa"/>
            <w:tcBorders>
              <w:bottom w:val="single" w:sz="18" w:space="0" w:color="auto"/>
            </w:tcBorders>
          </w:tcPr>
          <w:p w14:paraId="19AC6B15"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4E6D5938" w14:textId="77777777" w:rsidTr="0063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9"/>
        </w:trPr>
        <w:tc>
          <w:tcPr>
            <w:tcW w:w="1938" w:type="dxa"/>
            <w:tcBorders>
              <w:top w:val="nil"/>
              <w:left w:val="nil"/>
              <w:bottom w:val="single" w:sz="36" w:space="0" w:color="auto"/>
              <w:right w:val="nil"/>
            </w:tcBorders>
          </w:tcPr>
          <w:p w14:paraId="1430C0EC" w14:textId="77777777" w:rsidR="00441083" w:rsidRDefault="00C6443E">
            <w:pPr>
              <w:spacing w:before="120"/>
            </w:pPr>
            <w:r>
              <w:rPr>
                <w:noProof/>
                <w:lang w:val="en-US"/>
              </w:rPr>
              <w:drawing>
                <wp:anchor distT="0" distB="0" distL="114300" distR="114300" simplePos="0" relativeHeight="251660288" behindDoc="0" locked="0" layoutInCell="1" allowOverlap="1" wp14:anchorId="4A9AE585" wp14:editId="3364090B">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US"/>
              </w:rPr>
              <w:drawing>
                <wp:anchor distT="0" distB="0" distL="114300" distR="114300" simplePos="0" relativeHeight="251661312" behindDoc="1" locked="0" layoutInCell="0" allowOverlap="1" wp14:anchorId="1FBBA9CA" wp14:editId="7D6D6619">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2" w:type="dxa"/>
            <w:tcBorders>
              <w:top w:val="nil"/>
              <w:left w:val="nil"/>
              <w:bottom w:val="single" w:sz="36" w:space="0" w:color="auto"/>
              <w:right w:val="nil"/>
            </w:tcBorders>
          </w:tcPr>
          <w:p w14:paraId="3590BC5E"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0C973D6A" w14:textId="77777777" w:rsidR="00441083" w:rsidRDefault="00E60D9C">
            <w:pPr>
              <w:rPr>
                <w:rFonts w:ascii="Univers" w:hAnsi="Univers"/>
                <w:b/>
                <w:sz w:val="32"/>
                <w:lang w:val="fr-CA"/>
              </w:rPr>
            </w:pPr>
            <w:r>
              <w:rPr>
                <w:rFonts w:ascii="Univers" w:hAnsi="Univers"/>
                <w:b/>
                <w:sz w:val="32"/>
                <w:lang w:val="fr-CA"/>
              </w:rPr>
              <w:t>Nations Unies pour</w:t>
            </w:r>
          </w:p>
          <w:p w14:paraId="211BC821" w14:textId="77777777" w:rsidR="00441083" w:rsidRDefault="00E60D9C">
            <w:pPr>
              <w:rPr>
                <w:rFonts w:ascii="Univers" w:hAnsi="Univers"/>
                <w:b/>
                <w:sz w:val="32"/>
                <w:lang w:val="fr-CA"/>
              </w:rPr>
            </w:pPr>
            <w:proofErr w:type="gramStart"/>
            <w:r>
              <w:rPr>
                <w:rFonts w:ascii="Univers" w:hAnsi="Univers"/>
                <w:b/>
                <w:sz w:val="32"/>
                <w:lang w:val="fr-CA"/>
              </w:rPr>
              <w:t>l’environnement</w:t>
            </w:r>
            <w:proofErr w:type="gramEnd"/>
          </w:p>
          <w:p w14:paraId="41D94B71" w14:textId="77777777" w:rsidR="00441083" w:rsidRDefault="00E60D9C">
            <w:pPr>
              <w:spacing w:before="720"/>
              <w:ind w:left="158"/>
              <w:rPr>
                <w:lang w:val="fr-FR"/>
              </w:rPr>
            </w:pPr>
            <w:r>
              <w:rPr>
                <w:lang w:val="fr-FR"/>
              </w:rPr>
              <w:t xml:space="preserve"> </w:t>
            </w:r>
          </w:p>
        </w:tc>
        <w:tc>
          <w:tcPr>
            <w:tcW w:w="3318" w:type="dxa"/>
            <w:tcBorders>
              <w:top w:val="nil"/>
              <w:left w:val="nil"/>
              <w:bottom w:val="single" w:sz="36" w:space="0" w:color="auto"/>
              <w:right w:val="nil"/>
            </w:tcBorders>
          </w:tcPr>
          <w:p w14:paraId="74FF0F42" w14:textId="77777777" w:rsidR="00441083" w:rsidRPr="00DD3433" w:rsidRDefault="00E60D9C">
            <w:pPr>
              <w:rPr>
                <w:lang w:val="fr-FR"/>
              </w:rPr>
            </w:pPr>
            <w:proofErr w:type="spellStart"/>
            <w:r w:rsidRPr="00DD3433">
              <w:rPr>
                <w:lang w:val="fr-FR"/>
              </w:rPr>
              <w:t>Distr</w:t>
            </w:r>
            <w:proofErr w:type="spellEnd"/>
            <w:r w:rsidRPr="00DD3433">
              <w:rPr>
                <w:lang w:val="fr-FR"/>
              </w:rPr>
              <w:t>.</w:t>
            </w:r>
          </w:p>
          <w:p w14:paraId="77F94172" w14:textId="77777777"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14:paraId="3050B6F7" w14:textId="77777777" w:rsidR="00441083" w:rsidRPr="00DD3433" w:rsidRDefault="00441083">
            <w:pPr>
              <w:rPr>
                <w:lang w:val="fr-FR"/>
              </w:rPr>
            </w:pPr>
          </w:p>
          <w:p w14:paraId="2387E1A5" w14:textId="0FE95FA9" w:rsidR="00441083" w:rsidRPr="00630498" w:rsidRDefault="00E60D9C">
            <w:pPr>
              <w:rPr>
                <w:lang w:val="en-CA"/>
              </w:rPr>
            </w:pPr>
            <w:r>
              <w:fldChar w:fldCharType="begin"/>
            </w:r>
            <w:r w:rsidRPr="00630498">
              <w:rPr>
                <w:lang w:val="en-CA"/>
              </w:rPr>
              <w:instrText xml:space="preserve"> DOCPROPERTY "Document number"  \* MERGEFORMAT </w:instrText>
            </w:r>
            <w:r>
              <w:fldChar w:fldCharType="separate"/>
            </w:r>
            <w:r w:rsidR="00630498" w:rsidRPr="00630498">
              <w:rPr>
                <w:lang w:val="en-CA"/>
              </w:rPr>
              <w:t>UNEP/</w:t>
            </w:r>
            <w:proofErr w:type="spellStart"/>
            <w:r w:rsidR="00630498" w:rsidRPr="00630498">
              <w:rPr>
                <w:lang w:val="en-CA"/>
              </w:rPr>
              <w:t>OzL.Pro</w:t>
            </w:r>
            <w:proofErr w:type="spellEnd"/>
            <w:r w:rsidR="00630498" w:rsidRPr="00630498">
              <w:rPr>
                <w:lang w:val="en-CA"/>
              </w:rPr>
              <w:t>/ExCom/88/23</w:t>
            </w:r>
            <w:r>
              <w:fldChar w:fldCharType="end"/>
            </w:r>
          </w:p>
          <w:p w14:paraId="2EE84E76" w14:textId="3E8A878B" w:rsidR="002F0B57" w:rsidRPr="002C06D4" w:rsidRDefault="002F0B57" w:rsidP="00C9547D">
            <w:pPr>
              <w:rPr>
                <w:lang w:val="en-US"/>
              </w:rPr>
            </w:pPr>
            <w:r>
              <w:fldChar w:fldCharType="begin"/>
            </w:r>
            <w:r w:rsidRPr="002C06D4">
              <w:rPr>
                <w:lang w:val="en-US"/>
              </w:rPr>
              <w:instrText xml:space="preserve"> DOCPROPERTY "Revision date" \@ "d MMMM YYYY"  \* MERGEFORMAT </w:instrText>
            </w:r>
            <w:r>
              <w:fldChar w:fldCharType="separate"/>
            </w:r>
            <w:r w:rsidR="00630498">
              <w:t>26</w:t>
            </w:r>
            <w:r w:rsidR="006B5F5C">
              <w:rPr>
                <w:lang w:val="en-US"/>
              </w:rPr>
              <w:t xml:space="preserve"> </w:t>
            </w:r>
            <w:proofErr w:type="spellStart"/>
            <w:r w:rsidR="006B5F5C">
              <w:rPr>
                <w:lang w:val="en-US"/>
              </w:rPr>
              <w:t>Octob</w:t>
            </w:r>
            <w:r w:rsidR="00630498">
              <w:rPr>
                <w:lang w:val="en-US"/>
              </w:rPr>
              <w:t>re</w:t>
            </w:r>
            <w:proofErr w:type="spellEnd"/>
            <w:r w:rsidR="006B5F5C">
              <w:rPr>
                <w:lang w:val="en-US"/>
              </w:rPr>
              <w:t xml:space="preserve"> 2021</w:t>
            </w:r>
            <w:r>
              <w:fldChar w:fldCharType="end"/>
            </w:r>
          </w:p>
          <w:p w14:paraId="2116BE57" w14:textId="77777777" w:rsidR="00441083" w:rsidRDefault="00FC5578">
            <w:pPr>
              <w:rPr>
                <w:caps/>
                <w:lang w:val="fr-FR"/>
              </w:rPr>
            </w:pPr>
            <w:r w:rsidRPr="002C06D4">
              <w:rPr>
                <w:caps/>
                <w:lang w:val="en-US"/>
              </w:rPr>
              <w:br/>
            </w:r>
            <w:r w:rsidR="00E60D9C">
              <w:rPr>
                <w:caps/>
                <w:lang w:val="fr-FR"/>
              </w:rPr>
              <w:t>FRANÇAIS</w:t>
            </w:r>
          </w:p>
          <w:p w14:paraId="0090CF4C" w14:textId="77777777" w:rsidR="00441083" w:rsidRDefault="00E60D9C">
            <w:r>
              <w:t xml:space="preserve">ORIGINAL: </w:t>
            </w:r>
            <w:r w:rsidR="0091161A">
              <w:t>ANGLAIS</w:t>
            </w:r>
          </w:p>
        </w:tc>
      </w:tr>
    </w:tbl>
    <w:p w14:paraId="514F8F86" w14:textId="77777777" w:rsidR="00441083" w:rsidRDefault="00E60D9C" w:rsidP="009F6617">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9F6617">
        <w:rPr>
          <w:lang w:val="fr-CA"/>
        </w:rPr>
        <w:t>huit</w:t>
      </w:r>
      <w:r w:rsidR="004C2C87">
        <w:rPr>
          <w:lang w:val="fr-CA"/>
        </w:rPr>
        <w:t>i</w:t>
      </w:r>
      <w:r w:rsidR="00E54871">
        <w:rPr>
          <w:lang w:val="fr-CA"/>
        </w:rPr>
        <w:t>ème</w:t>
      </w:r>
      <w:r w:rsidR="00FC5578" w:rsidRPr="00FC5578">
        <w:rPr>
          <w:lang w:val="fr-CA"/>
        </w:rPr>
        <w:t xml:space="preserve"> </w:t>
      </w:r>
      <w:r>
        <w:rPr>
          <w:lang w:val="fr-CA"/>
        </w:rPr>
        <w:t>réunion</w:t>
      </w:r>
    </w:p>
    <w:p w14:paraId="7441F333" w14:textId="77777777" w:rsidR="00441083" w:rsidRDefault="00E54871" w:rsidP="009F6617">
      <w:pPr>
        <w:jc w:val="left"/>
        <w:rPr>
          <w:lang w:val="fr-CA"/>
        </w:rPr>
      </w:pPr>
      <w:r>
        <w:rPr>
          <w:lang w:val="fr-CA"/>
        </w:rPr>
        <w:t>Montr</w:t>
      </w:r>
      <w:r w:rsidRPr="009F6617">
        <w:rPr>
          <w:lang w:val="fr-CA"/>
        </w:rPr>
        <w:t>é</w:t>
      </w:r>
      <w:r>
        <w:rPr>
          <w:lang w:val="fr-CA"/>
        </w:rPr>
        <w:t>al,</w:t>
      </w:r>
      <w:r w:rsidR="00FC5578">
        <w:rPr>
          <w:lang w:val="fr-CA"/>
        </w:rPr>
        <w:t xml:space="preserve"> </w:t>
      </w:r>
      <w:r w:rsidR="009F6617">
        <w:rPr>
          <w:lang w:val="fr-CA"/>
        </w:rPr>
        <w:t>15</w:t>
      </w:r>
      <w:r w:rsidR="00AC013C">
        <w:rPr>
          <w:lang w:val="fr-CA"/>
        </w:rPr>
        <w:t xml:space="preserve"> </w:t>
      </w:r>
      <w:r w:rsidR="00E60D9C">
        <w:rPr>
          <w:lang w:val="fr-CA"/>
        </w:rPr>
        <w:t xml:space="preserve">– </w:t>
      </w:r>
      <w:r w:rsidR="009F6617">
        <w:rPr>
          <w:lang w:val="fr-CA"/>
        </w:rPr>
        <w:t>19 novembre</w:t>
      </w:r>
      <w:r w:rsidR="004C2C87">
        <w:rPr>
          <w:lang w:val="fr-CA"/>
        </w:rPr>
        <w:t xml:space="preserve"> 20</w:t>
      </w:r>
      <w:r w:rsidR="002C06D4">
        <w:rPr>
          <w:lang w:val="fr-CA"/>
        </w:rPr>
        <w:t>2</w:t>
      </w:r>
      <w:r w:rsidR="004C2C87">
        <w:rPr>
          <w:lang w:val="fr-CA"/>
        </w:rPr>
        <w:t>1</w:t>
      </w:r>
      <w:r w:rsidR="002C06D4">
        <w:rPr>
          <w:rStyle w:val="FootnoteReference"/>
          <w:lang w:val="fr-CA"/>
        </w:rPr>
        <w:footnoteReference w:id="1"/>
      </w:r>
    </w:p>
    <w:p w14:paraId="211BDE78" w14:textId="449B7806" w:rsidR="00441083" w:rsidRDefault="00441083">
      <w:pPr>
        <w:jc w:val="left"/>
        <w:rPr>
          <w:lang w:val="fr-CA"/>
        </w:rPr>
      </w:pPr>
    </w:p>
    <w:p w14:paraId="1B585CF7" w14:textId="77777777" w:rsidR="006B5F5C" w:rsidRDefault="006B5F5C">
      <w:pPr>
        <w:jc w:val="left"/>
        <w:rPr>
          <w:lang w:val="fr-CA"/>
        </w:rPr>
      </w:pPr>
    </w:p>
    <w:p w14:paraId="43D12536" w14:textId="2B47DA8D" w:rsidR="006B5F5C" w:rsidRPr="00E23538" w:rsidRDefault="006B5F5C" w:rsidP="00066442">
      <w:pPr>
        <w:pStyle w:val="Title2"/>
        <w:spacing w:after="120"/>
        <w:rPr>
          <w:caps w:val="0"/>
          <w:szCs w:val="24"/>
          <w:lang w:val="fr-FR"/>
        </w:rPr>
      </w:pPr>
      <w:r w:rsidRPr="00D045FC">
        <w:rPr>
          <w:caps w:val="0"/>
          <w:szCs w:val="24"/>
          <w:lang w:val="fr-FR" w:bidi="fr-FR"/>
        </w:rPr>
        <w:t>PLANS D</w:t>
      </w:r>
      <w:r>
        <w:rPr>
          <w:caps w:val="0"/>
          <w:szCs w:val="24"/>
          <w:lang w:val="fr-FR" w:bidi="fr-FR"/>
        </w:rPr>
        <w:t>’</w:t>
      </w:r>
      <w:r w:rsidRPr="00D045FC">
        <w:rPr>
          <w:caps w:val="0"/>
          <w:szCs w:val="24"/>
          <w:lang w:val="fr-FR" w:bidi="fr-FR"/>
        </w:rPr>
        <w:t>ACTIVITÉS DES AGENCES BILATÉRALES POUR 2022</w:t>
      </w:r>
      <w:r w:rsidR="004F45C2">
        <w:rPr>
          <w:lang w:val="fr-FR" w:bidi="fr-FR"/>
        </w:rPr>
        <w:t>-</w:t>
      </w:r>
      <w:r w:rsidRPr="00D045FC">
        <w:rPr>
          <w:caps w:val="0"/>
          <w:szCs w:val="24"/>
          <w:lang w:val="fr-FR" w:bidi="fr-FR"/>
        </w:rPr>
        <w:t>2024</w:t>
      </w:r>
    </w:p>
    <w:p w14:paraId="4F4C1C95" w14:textId="5C11569C" w:rsidR="006B5F5C" w:rsidRPr="00D045FC" w:rsidRDefault="006B5F5C" w:rsidP="00066442">
      <w:pPr>
        <w:pStyle w:val="a--"/>
        <w:tabs>
          <w:tab w:val="clear" w:pos="-720"/>
          <w:tab w:val="clear" w:pos="0"/>
          <w:tab w:val="clear" w:pos="720"/>
          <w:tab w:val="clear" w:pos="1440"/>
          <w:tab w:val="clear" w:pos="2160"/>
          <w:tab w:val="clear" w:pos="2880"/>
          <w:tab w:val="clear" w:pos="3600"/>
        </w:tabs>
        <w:suppressAutoHyphens w:val="0"/>
        <w:spacing w:after="120"/>
      </w:pPr>
      <w:r w:rsidRPr="00D045FC">
        <w:rPr>
          <w:sz w:val="22"/>
          <w:szCs w:val="22"/>
          <w:lang w:val="fr-FR" w:bidi="fr-FR"/>
        </w:rPr>
        <w:t>Introduction</w:t>
      </w:r>
    </w:p>
    <w:p w14:paraId="35F158D8" w14:textId="77777777" w:rsidR="006B5F5C" w:rsidRPr="00E23538" w:rsidRDefault="006B5F5C" w:rsidP="00066442">
      <w:pPr>
        <w:pStyle w:val="Heading1"/>
        <w:spacing w:after="120"/>
        <w:rPr>
          <w:lang w:val="fr-FR"/>
        </w:rPr>
      </w:pPr>
      <w:r w:rsidRPr="00D045FC">
        <w:rPr>
          <w:lang w:val="fr-FR" w:bidi="fr-FR"/>
        </w:rPr>
        <w:t>Les agences bilatérales suivantes ont soumis des plans d</w:t>
      </w:r>
      <w:r>
        <w:rPr>
          <w:lang w:val="fr-FR" w:bidi="fr-FR"/>
        </w:rPr>
        <w:t>’</w:t>
      </w:r>
      <w:r w:rsidRPr="00D045FC">
        <w:rPr>
          <w:lang w:val="fr-FR" w:bidi="fr-FR"/>
        </w:rPr>
        <w:t>activités pour 2022-2024</w:t>
      </w:r>
      <w:r w:rsidRPr="00D045FC">
        <w:rPr>
          <w:rStyle w:val="FootnoteReference"/>
          <w:lang w:val="fr-FR" w:bidi="fr-FR"/>
        </w:rPr>
        <w:footnoteReference w:id="2"/>
      </w:r>
      <w:r w:rsidRPr="00D045FC">
        <w:rPr>
          <w:lang w:val="fr-FR" w:bidi="fr-FR"/>
        </w:rPr>
        <w:t xml:space="preserve"> à la 88</w:t>
      </w:r>
      <w:r w:rsidRPr="00D045FC">
        <w:rPr>
          <w:vertAlign w:val="superscript"/>
          <w:lang w:val="fr-FR" w:bidi="fr-FR"/>
        </w:rPr>
        <w:t>e</w:t>
      </w:r>
      <w:r>
        <w:rPr>
          <w:lang w:val="fr-FR" w:bidi="fr-FR"/>
        </w:rPr>
        <w:t> </w:t>
      </w:r>
      <w:r w:rsidRPr="00D045FC">
        <w:rPr>
          <w:lang w:val="fr-FR" w:bidi="fr-FR"/>
        </w:rPr>
        <w:t>réunion : Allemagne, Japon et Royaume-Uni de Grande-Bretagne et d</w:t>
      </w:r>
      <w:r>
        <w:rPr>
          <w:lang w:val="fr-FR" w:bidi="fr-FR"/>
        </w:rPr>
        <w:t>’</w:t>
      </w:r>
      <w:r w:rsidRPr="00D045FC">
        <w:rPr>
          <w:lang w:val="fr-FR" w:bidi="fr-FR"/>
        </w:rPr>
        <w:t>Irlande du Nord.</w:t>
      </w:r>
      <w:r w:rsidRPr="00D045FC">
        <w:rPr>
          <w:vertAlign w:val="superscript"/>
          <w:lang w:val="fr-FR" w:bidi="fr-FR"/>
        </w:rPr>
        <w:footnoteReference w:id="3"/>
      </w:r>
      <w:r w:rsidRPr="00D045FC">
        <w:rPr>
          <w:lang w:val="fr-FR" w:bidi="fr-FR"/>
        </w:rPr>
        <w:t xml:space="preserve"> Bien que l</w:t>
      </w:r>
      <w:r>
        <w:rPr>
          <w:lang w:val="fr-FR" w:bidi="fr-FR"/>
        </w:rPr>
        <w:t>’</w:t>
      </w:r>
      <w:r w:rsidRPr="00D045FC">
        <w:rPr>
          <w:lang w:val="fr-FR" w:bidi="fr-FR"/>
        </w:rPr>
        <w:t>Australie, l</w:t>
      </w:r>
      <w:r>
        <w:rPr>
          <w:lang w:val="fr-FR" w:bidi="fr-FR"/>
        </w:rPr>
        <w:t>’</w:t>
      </w:r>
      <w:r w:rsidRPr="00D045FC">
        <w:rPr>
          <w:lang w:val="fr-FR" w:bidi="fr-FR"/>
        </w:rPr>
        <w:t>Autriche et la France n</w:t>
      </w:r>
      <w:r>
        <w:rPr>
          <w:lang w:val="fr-FR" w:bidi="fr-FR"/>
        </w:rPr>
        <w:t>’</w:t>
      </w:r>
      <w:r w:rsidRPr="00D045FC">
        <w:rPr>
          <w:lang w:val="fr-FR" w:bidi="fr-FR"/>
        </w:rPr>
        <w:t>aient pas officiellement présenté de plan d</w:t>
      </w:r>
      <w:r>
        <w:rPr>
          <w:lang w:val="fr-FR" w:bidi="fr-FR"/>
        </w:rPr>
        <w:t>’</w:t>
      </w:r>
      <w:r w:rsidRPr="00D045FC">
        <w:rPr>
          <w:lang w:val="fr-FR" w:bidi="fr-FR"/>
        </w:rPr>
        <w:t>activités, le présent document contient un tableau de répartition des ressources pour ces pays sur la base des activités associées aux plans de gestion de l</w:t>
      </w:r>
      <w:r>
        <w:rPr>
          <w:lang w:val="fr-FR" w:bidi="fr-FR"/>
        </w:rPr>
        <w:t>’</w:t>
      </w:r>
      <w:r w:rsidRPr="00D045FC">
        <w:rPr>
          <w:lang w:val="fr-FR" w:bidi="fr-FR"/>
        </w:rPr>
        <w:t>élimination des HCFC (PGEH) approuvés en principe.</w:t>
      </w:r>
    </w:p>
    <w:p w14:paraId="06EA32B6" w14:textId="77777777" w:rsidR="006B5F5C" w:rsidRPr="00E23538" w:rsidRDefault="006B5F5C" w:rsidP="00066442">
      <w:pPr>
        <w:pStyle w:val="Heading1"/>
        <w:rPr>
          <w:lang w:val="fr-FR"/>
        </w:rPr>
      </w:pPr>
      <w:r w:rsidRPr="00D045FC">
        <w:rPr>
          <w:lang w:val="fr-FR" w:bidi="fr-FR"/>
        </w:rPr>
        <w:t>Les agences bilatérales concernées entendent mener des activités dans 15</w:t>
      </w:r>
      <w:r>
        <w:rPr>
          <w:lang w:val="fr-FR" w:bidi="fr-FR"/>
        </w:rPr>
        <w:t> </w:t>
      </w:r>
      <w:r w:rsidRPr="00D045FC">
        <w:rPr>
          <w:lang w:val="fr-FR" w:bidi="fr-FR"/>
        </w:rPr>
        <w:t>pays visés à l</w:t>
      </w:r>
      <w:r>
        <w:rPr>
          <w:lang w:val="fr-FR" w:bidi="fr-FR"/>
        </w:rPr>
        <w:t>’</w:t>
      </w:r>
      <w:r w:rsidRPr="00D045FC">
        <w:rPr>
          <w:lang w:val="fr-FR" w:bidi="fr-FR"/>
        </w:rPr>
        <w:t>Article</w:t>
      </w:r>
      <w:r>
        <w:rPr>
          <w:lang w:val="fr-FR" w:bidi="fr-FR"/>
        </w:rPr>
        <w:t> </w:t>
      </w:r>
      <w:r w:rsidRPr="00D045FC">
        <w:rPr>
          <w:lang w:val="fr-FR" w:bidi="fr-FR"/>
        </w:rPr>
        <w:t>5, à savoir</w:t>
      </w:r>
      <w:r>
        <w:rPr>
          <w:lang w:val="fr-FR" w:bidi="fr-FR"/>
        </w:rPr>
        <w:t> </w:t>
      </w:r>
      <w:r w:rsidRPr="00D045FC">
        <w:rPr>
          <w:lang w:val="fr-FR" w:bidi="fr-FR"/>
        </w:rPr>
        <w:t>: le Brésil, le Burkina Faso, la Chine, la Colombie, le Honduras, l’Inde, la République islamique d</w:t>
      </w:r>
      <w:r>
        <w:rPr>
          <w:lang w:val="fr-FR" w:bidi="fr-FR"/>
        </w:rPr>
        <w:t>’</w:t>
      </w:r>
      <w:r w:rsidRPr="00D045FC">
        <w:rPr>
          <w:lang w:val="fr-FR" w:bidi="fr-FR"/>
        </w:rPr>
        <w:t>Iran, le Kenya, le Lesotho, le Libéria, Maurice, la Mongolie, la Namibie, la Papouasie-Nouvelle-Guinée et les Seychelles</w:t>
      </w:r>
      <w:r>
        <w:rPr>
          <w:lang w:val="fr-FR" w:bidi="fr-FR"/>
        </w:rPr>
        <w:t> </w:t>
      </w:r>
      <w:r w:rsidRPr="00D045FC">
        <w:rPr>
          <w:lang w:val="fr-FR" w:bidi="fr-FR"/>
        </w:rPr>
        <w:t>; et une activité régionale pour les pays insulaires du Pacifique (PIC) d</w:t>
      </w:r>
      <w:r>
        <w:rPr>
          <w:lang w:val="fr-FR" w:bidi="fr-FR"/>
        </w:rPr>
        <w:t>’</w:t>
      </w:r>
      <w:r w:rsidRPr="00D045FC">
        <w:rPr>
          <w:lang w:val="fr-FR" w:bidi="fr-FR"/>
        </w:rPr>
        <w:t>une valeur de 5</w:t>
      </w:r>
      <w:r>
        <w:rPr>
          <w:lang w:val="fr-FR" w:bidi="fr-FR"/>
        </w:rPr>
        <w:t> 660 </w:t>
      </w:r>
      <w:r w:rsidRPr="00D045FC">
        <w:rPr>
          <w:lang w:val="fr-FR" w:bidi="fr-FR"/>
        </w:rPr>
        <w:t>768</w:t>
      </w:r>
      <w:r>
        <w:rPr>
          <w:lang w:val="fr-FR" w:bidi="fr-FR"/>
        </w:rPr>
        <w:t> </w:t>
      </w:r>
      <w:r w:rsidRPr="00D045FC">
        <w:rPr>
          <w:lang w:val="fr-FR" w:bidi="fr-FR"/>
        </w:rPr>
        <w:t>$ US. Un montant supplémentaire de 859</w:t>
      </w:r>
      <w:r>
        <w:rPr>
          <w:lang w:val="fr-FR" w:bidi="fr-FR"/>
        </w:rPr>
        <w:t> </w:t>
      </w:r>
      <w:r w:rsidRPr="00D045FC">
        <w:rPr>
          <w:lang w:val="fr-FR" w:bidi="fr-FR"/>
        </w:rPr>
        <w:t>226</w:t>
      </w:r>
      <w:r>
        <w:rPr>
          <w:lang w:val="fr-FR" w:bidi="fr-FR"/>
        </w:rPr>
        <w:t> </w:t>
      </w:r>
      <w:r w:rsidRPr="00D045FC">
        <w:rPr>
          <w:lang w:val="fr-FR" w:bidi="fr-FR"/>
        </w:rPr>
        <w:t>$ US serait demandé pour la période postérieure à 2024, comme indiqué au tableau</w:t>
      </w:r>
      <w:r>
        <w:rPr>
          <w:lang w:val="fr-FR" w:bidi="fr-FR"/>
        </w:rPr>
        <w:t> </w:t>
      </w:r>
      <w:r w:rsidRPr="00D045FC">
        <w:rPr>
          <w:lang w:val="fr-FR" w:bidi="fr-FR"/>
        </w:rPr>
        <w:t>1.</w:t>
      </w:r>
      <w:r w:rsidRPr="00D045FC">
        <w:rPr>
          <w:rStyle w:val="FootnoteReference"/>
          <w:lang w:val="fr-FR" w:bidi="fr-FR"/>
        </w:rPr>
        <w:footnoteReference w:id="4"/>
      </w:r>
      <w:r w:rsidRPr="00D045FC">
        <w:rPr>
          <w:lang w:val="fr-FR" w:bidi="fr-FR"/>
        </w:rPr>
        <w:t xml:space="preserve"> </w:t>
      </w:r>
    </w:p>
    <w:p w14:paraId="61A8143B" w14:textId="77777777" w:rsidR="006B5F5C" w:rsidRPr="00E23538" w:rsidRDefault="006B5F5C" w:rsidP="006B5F5C">
      <w:pPr>
        <w:keepNext/>
        <w:rPr>
          <w:b/>
          <w:lang w:val="fr-FR"/>
        </w:rPr>
      </w:pPr>
      <w:r w:rsidRPr="002D6F5A">
        <w:rPr>
          <w:b/>
          <w:lang w:val="fr-FR" w:bidi="fr-FR"/>
        </w:rPr>
        <w:lastRenderedPageBreak/>
        <w:t>Tableau</w:t>
      </w:r>
      <w:r>
        <w:rPr>
          <w:b/>
          <w:lang w:val="fr-FR" w:bidi="fr-FR"/>
        </w:rPr>
        <w:t> </w:t>
      </w:r>
      <w:r w:rsidRPr="002D6F5A">
        <w:rPr>
          <w:b/>
          <w:lang w:val="fr-FR" w:bidi="fr-FR"/>
        </w:rPr>
        <w:t>1</w:t>
      </w:r>
      <w:r>
        <w:rPr>
          <w:b/>
          <w:lang w:val="fr-FR" w:bidi="fr-FR"/>
        </w:rPr>
        <w:t> </w:t>
      </w:r>
      <w:r w:rsidRPr="002D6F5A">
        <w:rPr>
          <w:b/>
          <w:lang w:val="fr-FR" w:bidi="fr-FR"/>
        </w:rPr>
        <w:t>: Répartition des ressources prévues par les plans d</w:t>
      </w:r>
      <w:r>
        <w:rPr>
          <w:b/>
          <w:lang w:val="fr-FR" w:bidi="fr-FR"/>
        </w:rPr>
        <w:t>’</w:t>
      </w:r>
      <w:r w:rsidRPr="002D6F5A">
        <w:rPr>
          <w:b/>
          <w:lang w:val="fr-FR" w:bidi="fr-FR"/>
        </w:rPr>
        <w:t xml:space="preserve">activités des agences bilatérales pour 2022–2024 ($ </w:t>
      </w:r>
      <w:proofErr w:type="gramStart"/>
      <w:r w:rsidRPr="002D6F5A">
        <w:rPr>
          <w:b/>
          <w:lang w:val="fr-FR" w:bidi="fr-FR"/>
        </w:rPr>
        <w:t>US)*</w:t>
      </w:r>
      <w:proofErr w:type="gramEnd"/>
    </w:p>
    <w:tbl>
      <w:tblPr>
        <w:tblW w:w="9493" w:type="dxa"/>
        <w:tblLayout w:type="fixed"/>
        <w:tblLook w:val="04A0" w:firstRow="1" w:lastRow="0" w:firstColumn="1" w:lastColumn="0" w:noHBand="0" w:noVBand="1"/>
      </w:tblPr>
      <w:tblGrid>
        <w:gridCol w:w="3539"/>
        <w:gridCol w:w="1134"/>
        <w:gridCol w:w="1134"/>
        <w:gridCol w:w="1008"/>
        <w:gridCol w:w="1402"/>
        <w:gridCol w:w="1276"/>
      </w:tblGrid>
      <w:tr w:rsidR="006B5F5C" w:rsidRPr="00E71F76" w14:paraId="02DE02DF" w14:textId="77777777" w:rsidTr="00BD200B">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0A68" w14:textId="77777777" w:rsidR="006B5F5C" w:rsidRPr="00E71F76" w:rsidRDefault="006B5F5C" w:rsidP="006E3590">
            <w:pPr>
              <w:jc w:val="left"/>
              <w:rPr>
                <w:b/>
                <w:bCs/>
                <w:sz w:val="21"/>
                <w:szCs w:val="21"/>
                <w:lang w:eastAsia="en-CA"/>
              </w:rPr>
            </w:pPr>
            <w:r w:rsidRPr="00E71F76">
              <w:rPr>
                <w:b/>
                <w:sz w:val="21"/>
                <w:szCs w:val="21"/>
                <w:lang w:val="fr-FR" w:bidi="fr-FR"/>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24EBA1" w14:textId="77777777" w:rsidR="006B5F5C" w:rsidRPr="00E71F76" w:rsidRDefault="006B5F5C" w:rsidP="006E3590">
            <w:pPr>
              <w:jc w:val="center"/>
              <w:rPr>
                <w:b/>
                <w:bCs/>
                <w:sz w:val="21"/>
                <w:szCs w:val="21"/>
                <w:lang w:eastAsia="en-CA"/>
              </w:rPr>
            </w:pPr>
            <w:r w:rsidRPr="00E71F76">
              <w:rPr>
                <w:b/>
                <w:sz w:val="21"/>
                <w:szCs w:val="21"/>
                <w:lang w:val="fr-FR" w:bidi="fr-FR"/>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707400" w14:textId="77777777" w:rsidR="006B5F5C" w:rsidRPr="00E71F76" w:rsidRDefault="006B5F5C" w:rsidP="006E3590">
            <w:pPr>
              <w:jc w:val="center"/>
              <w:rPr>
                <w:b/>
                <w:bCs/>
                <w:sz w:val="21"/>
                <w:szCs w:val="21"/>
                <w:lang w:eastAsia="en-CA"/>
              </w:rPr>
            </w:pPr>
            <w:r w:rsidRPr="00E71F76">
              <w:rPr>
                <w:b/>
                <w:sz w:val="21"/>
                <w:szCs w:val="21"/>
                <w:lang w:val="fr-FR" w:bidi="fr-FR"/>
              </w:rPr>
              <w:t>2023</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11F0F26" w14:textId="77777777" w:rsidR="006B5F5C" w:rsidRPr="00E71F76" w:rsidRDefault="006B5F5C" w:rsidP="006E3590">
            <w:pPr>
              <w:jc w:val="center"/>
              <w:rPr>
                <w:b/>
                <w:bCs/>
                <w:sz w:val="21"/>
                <w:szCs w:val="21"/>
                <w:lang w:eastAsia="en-CA"/>
              </w:rPr>
            </w:pPr>
            <w:r w:rsidRPr="00E71F76">
              <w:rPr>
                <w:b/>
                <w:sz w:val="21"/>
                <w:szCs w:val="21"/>
                <w:lang w:val="fr-FR" w:bidi="fr-FR"/>
              </w:rPr>
              <w:t>2024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0F94F50E" w14:textId="77777777" w:rsidR="006B5F5C" w:rsidRPr="00E71F76" w:rsidRDefault="006B5F5C" w:rsidP="006E3590">
            <w:pPr>
              <w:jc w:val="center"/>
              <w:rPr>
                <w:b/>
                <w:bCs/>
                <w:sz w:val="21"/>
                <w:szCs w:val="21"/>
                <w:lang w:eastAsia="en-CA"/>
              </w:rPr>
            </w:pPr>
            <w:r w:rsidRPr="00E71F76">
              <w:rPr>
                <w:b/>
                <w:sz w:val="21"/>
                <w:szCs w:val="21"/>
                <w:lang w:val="fr-FR" w:bidi="fr-FR"/>
              </w:rPr>
              <w:t xml:space="preserve">Total </w:t>
            </w:r>
          </w:p>
          <w:p w14:paraId="6089E22A" w14:textId="77777777" w:rsidR="006B5F5C" w:rsidRPr="00E71F76" w:rsidRDefault="006B5F5C" w:rsidP="006E3590">
            <w:pPr>
              <w:jc w:val="center"/>
              <w:rPr>
                <w:b/>
                <w:bCs/>
                <w:sz w:val="21"/>
                <w:szCs w:val="21"/>
                <w:lang w:eastAsia="en-CA"/>
              </w:rPr>
            </w:pPr>
            <w:r w:rsidRPr="00E71F76">
              <w:rPr>
                <w:b/>
                <w:sz w:val="21"/>
                <w:szCs w:val="21"/>
                <w:lang w:val="fr-FR" w:bidi="fr-FR"/>
              </w:rPr>
              <w:t>(2022–2024)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B65B6C" w14:textId="77777777" w:rsidR="006B5F5C" w:rsidRPr="00E71F76" w:rsidRDefault="006B5F5C" w:rsidP="006E3590">
            <w:pPr>
              <w:jc w:val="center"/>
              <w:rPr>
                <w:b/>
                <w:bCs/>
                <w:sz w:val="21"/>
                <w:szCs w:val="21"/>
                <w:lang w:eastAsia="en-CA"/>
              </w:rPr>
            </w:pPr>
            <w:r w:rsidRPr="00E71F76">
              <w:rPr>
                <w:b/>
                <w:sz w:val="21"/>
                <w:szCs w:val="21"/>
                <w:lang w:val="fr-FR" w:bidi="fr-FR"/>
              </w:rPr>
              <w:t>Total après 2024</w:t>
            </w:r>
          </w:p>
        </w:tc>
      </w:tr>
      <w:tr w:rsidR="006B5F5C" w:rsidRPr="00E71F76" w14:paraId="7B516BBC" w14:textId="77777777" w:rsidTr="006E3590">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E72D" w14:textId="77777777" w:rsidR="006B5F5C" w:rsidRPr="00E71F76" w:rsidRDefault="006B5F5C" w:rsidP="006E3590">
            <w:pPr>
              <w:jc w:val="left"/>
              <w:rPr>
                <w:b/>
                <w:bCs/>
                <w:sz w:val="21"/>
                <w:szCs w:val="21"/>
                <w:lang w:eastAsia="en-CA"/>
              </w:rPr>
            </w:pPr>
            <w:r w:rsidRPr="00E71F76">
              <w:rPr>
                <w:b/>
                <w:sz w:val="21"/>
                <w:szCs w:val="21"/>
                <w:lang w:val="fr-FR" w:bidi="fr-FR"/>
              </w:rPr>
              <w:t>Activités relatives aux HCFC</w:t>
            </w:r>
          </w:p>
        </w:tc>
      </w:tr>
      <w:tr w:rsidR="006B5F5C" w:rsidRPr="00BD200B" w14:paraId="41777A12"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D9EF996" w14:textId="77777777" w:rsidR="006B5F5C" w:rsidRPr="00E71F76" w:rsidRDefault="006B5F5C" w:rsidP="006E3590">
            <w:pPr>
              <w:jc w:val="left"/>
              <w:rPr>
                <w:sz w:val="21"/>
                <w:szCs w:val="21"/>
                <w:lang w:eastAsia="en-CA"/>
              </w:rPr>
            </w:pPr>
            <w:r w:rsidRPr="00E71F76">
              <w:rPr>
                <w:sz w:val="21"/>
                <w:szCs w:val="21"/>
                <w:lang w:val="fr-FR" w:bidi="fr-FR"/>
              </w:rPr>
              <w:t>PGEH approuvés</w:t>
            </w:r>
          </w:p>
        </w:tc>
        <w:tc>
          <w:tcPr>
            <w:tcW w:w="1134" w:type="dxa"/>
            <w:tcBorders>
              <w:top w:val="nil"/>
              <w:left w:val="nil"/>
              <w:bottom w:val="single" w:sz="4" w:space="0" w:color="auto"/>
              <w:right w:val="single" w:sz="4" w:space="0" w:color="auto"/>
            </w:tcBorders>
            <w:shd w:val="clear" w:color="auto" w:fill="auto"/>
            <w:noWrap/>
            <w:vAlign w:val="center"/>
            <w:hideMark/>
          </w:tcPr>
          <w:p w14:paraId="56D9FE14" w14:textId="77777777" w:rsidR="006B5F5C" w:rsidRPr="00E71F76" w:rsidRDefault="006B5F5C" w:rsidP="006E3590">
            <w:pPr>
              <w:jc w:val="right"/>
              <w:rPr>
                <w:sz w:val="21"/>
                <w:szCs w:val="21"/>
                <w:lang w:eastAsia="en-CA"/>
              </w:rPr>
            </w:pPr>
            <w:r w:rsidRPr="00E71F76">
              <w:rPr>
                <w:sz w:val="21"/>
                <w:szCs w:val="21"/>
                <w:lang w:val="fr-FR" w:bidi="fr-FR"/>
              </w:rPr>
              <w:t>1</w:t>
            </w:r>
            <w:r>
              <w:rPr>
                <w:sz w:val="21"/>
                <w:szCs w:val="21"/>
                <w:lang w:val="fr-FR" w:bidi="fr-FR"/>
              </w:rPr>
              <w:t> 749 </w:t>
            </w:r>
            <w:r w:rsidRPr="00E71F76">
              <w:rPr>
                <w:sz w:val="21"/>
                <w:szCs w:val="21"/>
                <w:lang w:val="fr-FR" w:bidi="fr-FR"/>
              </w:rPr>
              <w:t>466</w:t>
            </w:r>
          </w:p>
        </w:tc>
        <w:tc>
          <w:tcPr>
            <w:tcW w:w="1134" w:type="dxa"/>
            <w:tcBorders>
              <w:top w:val="nil"/>
              <w:left w:val="nil"/>
              <w:bottom w:val="single" w:sz="4" w:space="0" w:color="auto"/>
              <w:right w:val="single" w:sz="4" w:space="0" w:color="auto"/>
            </w:tcBorders>
            <w:shd w:val="clear" w:color="auto" w:fill="auto"/>
            <w:noWrap/>
            <w:vAlign w:val="center"/>
            <w:hideMark/>
          </w:tcPr>
          <w:p w14:paraId="03F53896" w14:textId="77777777" w:rsidR="006B5F5C" w:rsidRPr="00BD200B" w:rsidRDefault="006B5F5C" w:rsidP="006E3590">
            <w:pPr>
              <w:jc w:val="right"/>
              <w:rPr>
                <w:sz w:val="21"/>
                <w:szCs w:val="21"/>
                <w:lang w:eastAsia="en-CA"/>
              </w:rPr>
            </w:pPr>
            <w:r w:rsidRPr="00BD200B">
              <w:rPr>
                <w:sz w:val="21"/>
                <w:szCs w:val="21"/>
                <w:lang w:val="fr-FR" w:bidi="fr-FR"/>
              </w:rPr>
              <w:t>2 568 040</w:t>
            </w:r>
          </w:p>
        </w:tc>
        <w:tc>
          <w:tcPr>
            <w:tcW w:w="1008" w:type="dxa"/>
            <w:tcBorders>
              <w:top w:val="nil"/>
              <w:left w:val="nil"/>
              <w:bottom w:val="single" w:sz="4" w:space="0" w:color="auto"/>
              <w:right w:val="single" w:sz="4" w:space="0" w:color="auto"/>
            </w:tcBorders>
            <w:shd w:val="clear" w:color="auto" w:fill="auto"/>
            <w:noWrap/>
            <w:vAlign w:val="center"/>
            <w:hideMark/>
          </w:tcPr>
          <w:p w14:paraId="71887482" w14:textId="77777777" w:rsidR="006B5F5C" w:rsidRPr="00BD200B" w:rsidRDefault="006B5F5C" w:rsidP="006E3590">
            <w:pPr>
              <w:jc w:val="right"/>
              <w:rPr>
                <w:sz w:val="21"/>
                <w:szCs w:val="21"/>
                <w:lang w:eastAsia="en-CA"/>
              </w:rPr>
            </w:pPr>
            <w:r w:rsidRPr="00BD200B">
              <w:rPr>
                <w:sz w:val="21"/>
                <w:szCs w:val="21"/>
                <w:lang w:val="fr-FR" w:bidi="fr-FR"/>
              </w:rPr>
              <w:t>183 512</w:t>
            </w:r>
          </w:p>
        </w:tc>
        <w:tc>
          <w:tcPr>
            <w:tcW w:w="1402" w:type="dxa"/>
            <w:tcBorders>
              <w:top w:val="nil"/>
              <w:left w:val="nil"/>
              <w:bottom w:val="single" w:sz="4" w:space="0" w:color="auto"/>
              <w:right w:val="single" w:sz="4" w:space="0" w:color="auto"/>
            </w:tcBorders>
            <w:shd w:val="clear" w:color="auto" w:fill="auto"/>
            <w:noWrap/>
            <w:vAlign w:val="center"/>
            <w:hideMark/>
          </w:tcPr>
          <w:p w14:paraId="1AEA8AE7" w14:textId="77777777" w:rsidR="006B5F5C" w:rsidRPr="00BD200B" w:rsidRDefault="006B5F5C" w:rsidP="006E3590">
            <w:pPr>
              <w:jc w:val="right"/>
              <w:rPr>
                <w:sz w:val="21"/>
                <w:szCs w:val="21"/>
                <w:lang w:eastAsia="en-CA"/>
              </w:rPr>
            </w:pPr>
            <w:r w:rsidRPr="00BD200B">
              <w:rPr>
                <w:sz w:val="21"/>
                <w:szCs w:val="21"/>
                <w:lang w:val="fr-FR" w:bidi="fr-FR"/>
              </w:rPr>
              <w:t>4 501 018</w:t>
            </w:r>
          </w:p>
        </w:tc>
        <w:tc>
          <w:tcPr>
            <w:tcW w:w="1276" w:type="dxa"/>
            <w:tcBorders>
              <w:top w:val="nil"/>
              <w:left w:val="nil"/>
              <w:bottom w:val="single" w:sz="4" w:space="0" w:color="auto"/>
              <w:right w:val="single" w:sz="4" w:space="0" w:color="auto"/>
            </w:tcBorders>
            <w:shd w:val="clear" w:color="auto" w:fill="auto"/>
            <w:noWrap/>
            <w:vAlign w:val="center"/>
            <w:hideMark/>
          </w:tcPr>
          <w:p w14:paraId="32DF7425" w14:textId="77777777" w:rsidR="006B5F5C" w:rsidRPr="00BD200B" w:rsidRDefault="006B5F5C" w:rsidP="006E3590">
            <w:pPr>
              <w:jc w:val="right"/>
              <w:rPr>
                <w:sz w:val="21"/>
                <w:szCs w:val="21"/>
                <w:lang w:eastAsia="en-CA"/>
              </w:rPr>
            </w:pPr>
            <w:r w:rsidRPr="00BD200B">
              <w:rPr>
                <w:sz w:val="21"/>
                <w:szCs w:val="21"/>
                <w:lang w:val="fr-FR" w:bidi="fr-FR"/>
              </w:rPr>
              <w:t>829 226</w:t>
            </w:r>
          </w:p>
        </w:tc>
      </w:tr>
      <w:tr w:rsidR="006B5F5C" w:rsidRPr="00BD200B" w14:paraId="42B068DE"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F92DB15" w14:textId="77777777" w:rsidR="006B5F5C" w:rsidRPr="00E71F76" w:rsidRDefault="006B5F5C" w:rsidP="006E3590">
            <w:pPr>
              <w:jc w:val="left"/>
              <w:rPr>
                <w:sz w:val="21"/>
                <w:szCs w:val="21"/>
                <w:lang w:eastAsia="en-CA"/>
              </w:rPr>
            </w:pPr>
            <w:r w:rsidRPr="00E71F76">
              <w:rPr>
                <w:sz w:val="21"/>
                <w:szCs w:val="21"/>
                <w:lang w:val="fr-FR" w:bidi="fr-FR"/>
              </w:rPr>
              <w:t>PGEH - phase</w:t>
            </w:r>
            <w:r>
              <w:rPr>
                <w:sz w:val="21"/>
                <w:szCs w:val="21"/>
                <w:lang w:val="fr-FR" w:bidi="fr-FR"/>
              </w:rPr>
              <w:t> </w:t>
            </w:r>
            <w:r w:rsidRPr="00E71F76">
              <w:rPr>
                <w:sz w:val="21"/>
                <w:szCs w:val="21"/>
                <w:lang w:val="fr-FR" w:bidi="fr-FR"/>
              </w:rPr>
              <w:t>III</w:t>
            </w:r>
          </w:p>
        </w:tc>
        <w:tc>
          <w:tcPr>
            <w:tcW w:w="1134" w:type="dxa"/>
            <w:tcBorders>
              <w:top w:val="nil"/>
              <w:left w:val="nil"/>
              <w:bottom w:val="single" w:sz="4" w:space="0" w:color="auto"/>
              <w:right w:val="single" w:sz="4" w:space="0" w:color="auto"/>
            </w:tcBorders>
            <w:shd w:val="clear" w:color="auto" w:fill="auto"/>
            <w:noWrap/>
            <w:vAlign w:val="center"/>
            <w:hideMark/>
          </w:tcPr>
          <w:p w14:paraId="5FEB8699"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134" w:type="dxa"/>
            <w:tcBorders>
              <w:top w:val="nil"/>
              <w:left w:val="nil"/>
              <w:bottom w:val="single" w:sz="4" w:space="0" w:color="auto"/>
              <w:right w:val="single" w:sz="4" w:space="0" w:color="auto"/>
            </w:tcBorders>
            <w:shd w:val="clear" w:color="auto" w:fill="auto"/>
            <w:noWrap/>
            <w:vAlign w:val="center"/>
            <w:hideMark/>
          </w:tcPr>
          <w:p w14:paraId="699790D8" w14:textId="77777777" w:rsidR="006B5F5C" w:rsidRPr="00BD200B" w:rsidRDefault="006B5F5C" w:rsidP="006E3590">
            <w:pPr>
              <w:jc w:val="right"/>
              <w:rPr>
                <w:sz w:val="21"/>
                <w:szCs w:val="21"/>
                <w:lang w:eastAsia="en-CA"/>
              </w:rPr>
            </w:pPr>
            <w:r w:rsidRPr="00BD200B">
              <w:rPr>
                <w:sz w:val="21"/>
                <w:szCs w:val="21"/>
                <w:lang w:val="fr-FR" w:bidi="fr-FR"/>
              </w:rPr>
              <w:t>422 650</w:t>
            </w:r>
          </w:p>
        </w:tc>
        <w:tc>
          <w:tcPr>
            <w:tcW w:w="1008" w:type="dxa"/>
            <w:tcBorders>
              <w:top w:val="nil"/>
              <w:left w:val="nil"/>
              <w:bottom w:val="single" w:sz="4" w:space="0" w:color="auto"/>
              <w:right w:val="single" w:sz="4" w:space="0" w:color="auto"/>
            </w:tcBorders>
            <w:shd w:val="clear" w:color="auto" w:fill="auto"/>
            <w:noWrap/>
            <w:vAlign w:val="center"/>
            <w:hideMark/>
          </w:tcPr>
          <w:p w14:paraId="769C9292" w14:textId="77777777" w:rsidR="006B5F5C" w:rsidRPr="00BD200B" w:rsidRDefault="006B5F5C" w:rsidP="006E3590">
            <w:pPr>
              <w:jc w:val="right"/>
              <w:rPr>
                <w:sz w:val="21"/>
                <w:szCs w:val="21"/>
                <w:lang w:eastAsia="en-CA"/>
              </w:rPr>
            </w:pPr>
            <w:r w:rsidRPr="00BD200B">
              <w:rPr>
                <w:sz w:val="21"/>
                <w:szCs w:val="21"/>
                <w:lang w:val="fr-FR" w:bidi="fr-FR"/>
              </w:rPr>
              <w:t> 0</w:t>
            </w:r>
          </w:p>
        </w:tc>
        <w:tc>
          <w:tcPr>
            <w:tcW w:w="1402" w:type="dxa"/>
            <w:tcBorders>
              <w:top w:val="nil"/>
              <w:left w:val="nil"/>
              <w:bottom w:val="single" w:sz="4" w:space="0" w:color="auto"/>
              <w:right w:val="single" w:sz="4" w:space="0" w:color="auto"/>
            </w:tcBorders>
            <w:shd w:val="clear" w:color="auto" w:fill="auto"/>
            <w:noWrap/>
            <w:vAlign w:val="center"/>
            <w:hideMark/>
          </w:tcPr>
          <w:p w14:paraId="6FAFDEA7" w14:textId="77777777" w:rsidR="006B5F5C" w:rsidRPr="00BD200B" w:rsidRDefault="006B5F5C" w:rsidP="006E3590">
            <w:pPr>
              <w:jc w:val="right"/>
              <w:rPr>
                <w:sz w:val="21"/>
                <w:szCs w:val="21"/>
                <w:lang w:eastAsia="en-CA"/>
              </w:rPr>
            </w:pPr>
            <w:r w:rsidRPr="00BD200B">
              <w:rPr>
                <w:sz w:val="21"/>
                <w:szCs w:val="21"/>
                <w:lang w:val="fr-FR" w:bidi="fr-FR"/>
              </w:rPr>
              <w:t>422 650</w:t>
            </w:r>
          </w:p>
        </w:tc>
        <w:tc>
          <w:tcPr>
            <w:tcW w:w="1276" w:type="dxa"/>
            <w:tcBorders>
              <w:top w:val="nil"/>
              <w:left w:val="nil"/>
              <w:bottom w:val="single" w:sz="4" w:space="0" w:color="auto"/>
              <w:right w:val="single" w:sz="4" w:space="0" w:color="auto"/>
            </w:tcBorders>
            <w:shd w:val="clear" w:color="auto" w:fill="auto"/>
            <w:noWrap/>
            <w:vAlign w:val="center"/>
            <w:hideMark/>
          </w:tcPr>
          <w:p w14:paraId="48FD90FF" w14:textId="77777777" w:rsidR="006B5F5C" w:rsidRPr="00BD200B" w:rsidRDefault="006B5F5C" w:rsidP="006E3590">
            <w:pPr>
              <w:jc w:val="right"/>
              <w:rPr>
                <w:sz w:val="21"/>
                <w:szCs w:val="21"/>
                <w:lang w:eastAsia="en-CA"/>
              </w:rPr>
            </w:pPr>
            <w:r w:rsidRPr="00BD200B">
              <w:rPr>
                <w:sz w:val="21"/>
                <w:szCs w:val="21"/>
                <w:lang w:val="fr-FR" w:bidi="fr-FR"/>
              </w:rPr>
              <w:t> 0</w:t>
            </w:r>
          </w:p>
        </w:tc>
      </w:tr>
      <w:tr w:rsidR="006B5F5C" w:rsidRPr="00BD200B" w14:paraId="5E0964CD"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4B3EB83" w14:textId="77777777" w:rsidR="006B5F5C" w:rsidRPr="00E71F76" w:rsidRDefault="006B5F5C" w:rsidP="006E3590">
            <w:pPr>
              <w:jc w:val="left"/>
              <w:rPr>
                <w:sz w:val="21"/>
                <w:szCs w:val="21"/>
                <w:lang w:eastAsia="en-CA"/>
              </w:rPr>
            </w:pPr>
            <w:r w:rsidRPr="00E71F76">
              <w:rPr>
                <w:sz w:val="21"/>
                <w:szCs w:val="21"/>
                <w:lang w:val="fr-FR" w:bidi="fr-FR"/>
              </w:rPr>
              <w:t>Vérification du PGEH</w:t>
            </w:r>
          </w:p>
        </w:tc>
        <w:tc>
          <w:tcPr>
            <w:tcW w:w="1134" w:type="dxa"/>
            <w:tcBorders>
              <w:top w:val="nil"/>
              <w:left w:val="nil"/>
              <w:bottom w:val="single" w:sz="4" w:space="0" w:color="auto"/>
              <w:right w:val="single" w:sz="4" w:space="0" w:color="auto"/>
            </w:tcBorders>
            <w:shd w:val="clear" w:color="auto" w:fill="auto"/>
            <w:noWrap/>
            <w:vAlign w:val="center"/>
            <w:hideMark/>
          </w:tcPr>
          <w:p w14:paraId="055EB26C"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134" w:type="dxa"/>
            <w:tcBorders>
              <w:top w:val="nil"/>
              <w:left w:val="nil"/>
              <w:bottom w:val="single" w:sz="4" w:space="0" w:color="auto"/>
              <w:right w:val="single" w:sz="4" w:space="0" w:color="auto"/>
            </w:tcBorders>
            <w:shd w:val="clear" w:color="auto" w:fill="auto"/>
            <w:noWrap/>
            <w:vAlign w:val="center"/>
            <w:hideMark/>
          </w:tcPr>
          <w:p w14:paraId="1CEF84B2" w14:textId="77777777" w:rsidR="006B5F5C" w:rsidRPr="00BD200B" w:rsidRDefault="006B5F5C" w:rsidP="006E3590">
            <w:pPr>
              <w:jc w:val="right"/>
              <w:rPr>
                <w:sz w:val="21"/>
                <w:szCs w:val="21"/>
                <w:lang w:eastAsia="en-CA"/>
              </w:rPr>
            </w:pPr>
            <w:r w:rsidRPr="00BD200B">
              <w:rPr>
                <w:sz w:val="21"/>
                <w:szCs w:val="21"/>
                <w:lang w:val="fr-FR" w:bidi="fr-FR"/>
              </w:rPr>
              <w:t>60 000</w:t>
            </w:r>
          </w:p>
        </w:tc>
        <w:tc>
          <w:tcPr>
            <w:tcW w:w="1008" w:type="dxa"/>
            <w:tcBorders>
              <w:top w:val="nil"/>
              <w:left w:val="nil"/>
              <w:bottom w:val="single" w:sz="4" w:space="0" w:color="auto"/>
              <w:right w:val="single" w:sz="4" w:space="0" w:color="auto"/>
            </w:tcBorders>
            <w:shd w:val="clear" w:color="auto" w:fill="auto"/>
            <w:noWrap/>
            <w:vAlign w:val="center"/>
            <w:hideMark/>
          </w:tcPr>
          <w:p w14:paraId="2BC261A1" w14:textId="77777777" w:rsidR="006B5F5C" w:rsidRPr="00BD200B" w:rsidRDefault="006B5F5C" w:rsidP="006E3590">
            <w:pPr>
              <w:jc w:val="right"/>
              <w:rPr>
                <w:sz w:val="21"/>
                <w:szCs w:val="21"/>
                <w:lang w:eastAsia="en-CA"/>
              </w:rPr>
            </w:pPr>
            <w:r w:rsidRPr="00BD200B">
              <w:rPr>
                <w:sz w:val="21"/>
                <w:szCs w:val="21"/>
                <w:lang w:val="fr-FR" w:bidi="fr-FR"/>
              </w:rPr>
              <w:t> 0</w:t>
            </w:r>
          </w:p>
        </w:tc>
        <w:tc>
          <w:tcPr>
            <w:tcW w:w="1402" w:type="dxa"/>
            <w:tcBorders>
              <w:top w:val="nil"/>
              <w:left w:val="nil"/>
              <w:bottom w:val="single" w:sz="4" w:space="0" w:color="auto"/>
              <w:right w:val="single" w:sz="4" w:space="0" w:color="auto"/>
            </w:tcBorders>
            <w:shd w:val="clear" w:color="auto" w:fill="auto"/>
            <w:noWrap/>
            <w:vAlign w:val="center"/>
            <w:hideMark/>
          </w:tcPr>
          <w:p w14:paraId="5B282378" w14:textId="77777777" w:rsidR="006B5F5C" w:rsidRPr="00BD200B" w:rsidRDefault="006B5F5C" w:rsidP="006E3590">
            <w:pPr>
              <w:jc w:val="right"/>
              <w:rPr>
                <w:sz w:val="21"/>
                <w:szCs w:val="21"/>
                <w:lang w:eastAsia="en-CA"/>
              </w:rPr>
            </w:pPr>
            <w:r w:rsidRPr="00BD200B">
              <w:rPr>
                <w:sz w:val="21"/>
                <w:szCs w:val="21"/>
                <w:lang w:val="fr-FR" w:bidi="fr-FR"/>
              </w:rPr>
              <w:t>60 000</w:t>
            </w:r>
          </w:p>
        </w:tc>
        <w:tc>
          <w:tcPr>
            <w:tcW w:w="1276" w:type="dxa"/>
            <w:tcBorders>
              <w:top w:val="nil"/>
              <w:left w:val="nil"/>
              <w:bottom w:val="single" w:sz="4" w:space="0" w:color="auto"/>
              <w:right w:val="single" w:sz="4" w:space="0" w:color="auto"/>
            </w:tcBorders>
            <w:shd w:val="clear" w:color="auto" w:fill="auto"/>
            <w:noWrap/>
            <w:vAlign w:val="center"/>
            <w:hideMark/>
          </w:tcPr>
          <w:p w14:paraId="2DE5A576" w14:textId="77777777" w:rsidR="006B5F5C" w:rsidRPr="00BD200B" w:rsidRDefault="006B5F5C" w:rsidP="006E3590">
            <w:pPr>
              <w:jc w:val="right"/>
              <w:rPr>
                <w:sz w:val="21"/>
                <w:szCs w:val="21"/>
                <w:lang w:eastAsia="en-CA"/>
              </w:rPr>
            </w:pPr>
            <w:r w:rsidRPr="00BD200B">
              <w:rPr>
                <w:sz w:val="21"/>
                <w:szCs w:val="21"/>
                <w:lang w:val="fr-FR" w:bidi="fr-FR"/>
              </w:rPr>
              <w:t> </w:t>
            </w:r>
          </w:p>
        </w:tc>
      </w:tr>
      <w:tr w:rsidR="006B5F5C" w:rsidRPr="00E71F76" w14:paraId="06B08EB6"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96CEA82" w14:textId="77777777" w:rsidR="006B5F5C" w:rsidRPr="00E23538" w:rsidRDefault="006B5F5C" w:rsidP="006E3590">
            <w:pPr>
              <w:jc w:val="left"/>
              <w:rPr>
                <w:b/>
                <w:bCs/>
                <w:sz w:val="21"/>
                <w:szCs w:val="21"/>
                <w:lang w:val="fr-FR" w:eastAsia="en-CA"/>
              </w:rPr>
            </w:pPr>
            <w:r w:rsidRPr="00E71F76">
              <w:rPr>
                <w:b/>
                <w:sz w:val="21"/>
                <w:szCs w:val="21"/>
                <w:lang w:val="fr-FR" w:bidi="fr-FR"/>
              </w:rPr>
              <w:t>Sous-total des activités liées aux HCFC</w:t>
            </w:r>
          </w:p>
        </w:tc>
        <w:tc>
          <w:tcPr>
            <w:tcW w:w="1134" w:type="dxa"/>
            <w:tcBorders>
              <w:top w:val="nil"/>
              <w:left w:val="nil"/>
              <w:bottom w:val="single" w:sz="4" w:space="0" w:color="auto"/>
              <w:right w:val="single" w:sz="4" w:space="0" w:color="auto"/>
            </w:tcBorders>
            <w:shd w:val="clear" w:color="auto" w:fill="auto"/>
            <w:noWrap/>
            <w:vAlign w:val="center"/>
            <w:hideMark/>
          </w:tcPr>
          <w:p w14:paraId="526D557E" w14:textId="77777777" w:rsidR="006B5F5C" w:rsidRPr="00E71F76" w:rsidRDefault="006B5F5C" w:rsidP="006E3590">
            <w:pPr>
              <w:jc w:val="right"/>
              <w:rPr>
                <w:b/>
                <w:bCs/>
                <w:sz w:val="21"/>
                <w:szCs w:val="21"/>
                <w:lang w:eastAsia="en-CA"/>
              </w:rPr>
            </w:pPr>
            <w:r w:rsidRPr="00E71F76">
              <w:rPr>
                <w:b/>
                <w:sz w:val="21"/>
                <w:szCs w:val="21"/>
                <w:lang w:val="fr-FR" w:bidi="fr-FR"/>
              </w:rPr>
              <w:t>1</w:t>
            </w:r>
            <w:r>
              <w:rPr>
                <w:b/>
                <w:sz w:val="21"/>
                <w:szCs w:val="21"/>
                <w:lang w:val="fr-FR" w:bidi="fr-FR"/>
              </w:rPr>
              <w:t> 749 </w:t>
            </w:r>
            <w:r w:rsidRPr="00E71F76">
              <w:rPr>
                <w:b/>
                <w:sz w:val="21"/>
                <w:szCs w:val="21"/>
                <w:lang w:val="fr-FR" w:bidi="fr-FR"/>
              </w:rPr>
              <w:t>466</w:t>
            </w:r>
          </w:p>
        </w:tc>
        <w:tc>
          <w:tcPr>
            <w:tcW w:w="1134" w:type="dxa"/>
            <w:tcBorders>
              <w:top w:val="nil"/>
              <w:left w:val="nil"/>
              <w:bottom w:val="single" w:sz="4" w:space="0" w:color="auto"/>
              <w:right w:val="single" w:sz="4" w:space="0" w:color="auto"/>
            </w:tcBorders>
            <w:shd w:val="clear" w:color="auto" w:fill="auto"/>
            <w:noWrap/>
            <w:vAlign w:val="center"/>
            <w:hideMark/>
          </w:tcPr>
          <w:p w14:paraId="47759B90" w14:textId="77777777" w:rsidR="006B5F5C" w:rsidRPr="00E71F76" w:rsidRDefault="006B5F5C" w:rsidP="006E3590">
            <w:pPr>
              <w:jc w:val="right"/>
              <w:rPr>
                <w:b/>
                <w:bCs/>
                <w:sz w:val="21"/>
                <w:szCs w:val="21"/>
                <w:lang w:eastAsia="en-CA"/>
              </w:rPr>
            </w:pPr>
            <w:r w:rsidRPr="00E71F76">
              <w:rPr>
                <w:b/>
                <w:sz w:val="21"/>
                <w:szCs w:val="21"/>
                <w:lang w:val="fr-FR" w:bidi="fr-FR"/>
              </w:rPr>
              <w:t>3</w:t>
            </w:r>
            <w:r>
              <w:rPr>
                <w:b/>
                <w:sz w:val="21"/>
                <w:szCs w:val="21"/>
                <w:lang w:val="fr-FR" w:bidi="fr-FR"/>
              </w:rPr>
              <w:t> 050 </w:t>
            </w:r>
            <w:r w:rsidRPr="00E71F76">
              <w:rPr>
                <w:b/>
                <w:sz w:val="21"/>
                <w:szCs w:val="21"/>
                <w:lang w:val="fr-FR" w:bidi="fr-FR"/>
              </w:rPr>
              <w:t>690</w:t>
            </w:r>
          </w:p>
        </w:tc>
        <w:tc>
          <w:tcPr>
            <w:tcW w:w="1008" w:type="dxa"/>
            <w:tcBorders>
              <w:top w:val="nil"/>
              <w:left w:val="nil"/>
              <w:bottom w:val="single" w:sz="4" w:space="0" w:color="auto"/>
              <w:right w:val="single" w:sz="4" w:space="0" w:color="auto"/>
            </w:tcBorders>
            <w:shd w:val="clear" w:color="auto" w:fill="auto"/>
            <w:noWrap/>
            <w:vAlign w:val="center"/>
            <w:hideMark/>
          </w:tcPr>
          <w:p w14:paraId="05DDC685" w14:textId="77777777" w:rsidR="006B5F5C" w:rsidRPr="00E71F76" w:rsidRDefault="006B5F5C" w:rsidP="006E3590">
            <w:pPr>
              <w:jc w:val="right"/>
              <w:rPr>
                <w:b/>
                <w:bCs/>
                <w:sz w:val="21"/>
                <w:szCs w:val="21"/>
                <w:lang w:eastAsia="en-CA"/>
              </w:rPr>
            </w:pPr>
            <w:r w:rsidRPr="00E71F76">
              <w:rPr>
                <w:b/>
                <w:sz w:val="21"/>
                <w:szCs w:val="21"/>
                <w:lang w:val="fr-FR" w:bidi="fr-FR"/>
              </w:rPr>
              <w:t>183</w:t>
            </w:r>
            <w:r>
              <w:rPr>
                <w:b/>
                <w:sz w:val="21"/>
                <w:szCs w:val="21"/>
                <w:lang w:val="fr-FR" w:bidi="fr-FR"/>
              </w:rPr>
              <w:t> </w:t>
            </w:r>
            <w:r w:rsidRPr="00E71F76">
              <w:rPr>
                <w:b/>
                <w:sz w:val="21"/>
                <w:szCs w:val="21"/>
                <w:lang w:val="fr-FR" w:bidi="fr-FR"/>
              </w:rPr>
              <w:t>512</w:t>
            </w:r>
          </w:p>
        </w:tc>
        <w:tc>
          <w:tcPr>
            <w:tcW w:w="1402" w:type="dxa"/>
            <w:tcBorders>
              <w:top w:val="nil"/>
              <w:left w:val="nil"/>
              <w:bottom w:val="single" w:sz="4" w:space="0" w:color="auto"/>
              <w:right w:val="single" w:sz="4" w:space="0" w:color="auto"/>
            </w:tcBorders>
            <w:shd w:val="clear" w:color="auto" w:fill="auto"/>
            <w:noWrap/>
            <w:vAlign w:val="center"/>
            <w:hideMark/>
          </w:tcPr>
          <w:p w14:paraId="2815A2AD" w14:textId="77777777" w:rsidR="006B5F5C" w:rsidRPr="00E71F76" w:rsidRDefault="006B5F5C" w:rsidP="006E3590">
            <w:pPr>
              <w:jc w:val="right"/>
              <w:rPr>
                <w:b/>
                <w:bCs/>
                <w:sz w:val="21"/>
                <w:szCs w:val="21"/>
                <w:lang w:eastAsia="en-CA"/>
              </w:rPr>
            </w:pPr>
            <w:r w:rsidRPr="00E71F76">
              <w:rPr>
                <w:b/>
                <w:sz w:val="21"/>
                <w:szCs w:val="21"/>
                <w:lang w:val="fr-FR" w:bidi="fr-FR"/>
              </w:rPr>
              <w:t>4</w:t>
            </w:r>
            <w:r>
              <w:rPr>
                <w:b/>
                <w:sz w:val="21"/>
                <w:szCs w:val="21"/>
                <w:lang w:val="fr-FR" w:bidi="fr-FR"/>
              </w:rPr>
              <w:t> 983 </w:t>
            </w:r>
            <w:r w:rsidRPr="00E71F76">
              <w:rPr>
                <w:b/>
                <w:sz w:val="21"/>
                <w:szCs w:val="21"/>
                <w:lang w:val="fr-FR" w:bidi="fr-FR"/>
              </w:rPr>
              <w:t>668</w:t>
            </w:r>
          </w:p>
        </w:tc>
        <w:tc>
          <w:tcPr>
            <w:tcW w:w="1276" w:type="dxa"/>
            <w:tcBorders>
              <w:top w:val="nil"/>
              <w:left w:val="nil"/>
              <w:bottom w:val="single" w:sz="4" w:space="0" w:color="auto"/>
              <w:right w:val="single" w:sz="4" w:space="0" w:color="auto"/>
            </w:tcBorders>
            <w:shd w:val="clear" w:color="auto" w:fill="auto"/>
            <w:noWrap/>
            <w:vAlign w:val="center"/>
            <w:hideMark/>
          </w:tcPr>
          <w:p w14:paraId="610E8FD3" w14:textId="77777777" w:rsidR="006B5F5C" w:rsidRPr="00E71F76" w:rsidRDefault="006B5F5C" w:rsidP="006E3590">
            <w:pPr>
              <w:jc w:val="right"/>
              <w:rPr>
                <w:b/>
                <w:bCs/>
                <w:sz w:val="21"/>
                <w:szCs w:val="21"/>
                <w:lang w:eastAsia="en-CA"/>
              </w:rPr>
            </w:pPr>
            <w:r w:rsidRPr="00E71F76">
              <w:rPr>
                <w:b/>
                <w:sz w:val="21"/>
                <w:szCs w:val="21"/>
                <w:lang w:val="fr-FR" w:bidi="fr-FR"/>
              </w:rPr>
              <w:t>829</w:t>
            </w:r>
            <w:r>
              <w:rPr>
                <w:b/>
                <w:sz w:val="21"/>
                <w:szCs w:val="21"/>
                <w:lang w:val="fr-FR" w:bidi="fr-FR"/>
              </w:rPr>
              <w:t> </w:t>
            </w:r>
            <w:r w:rsidRPr="00E71F76">
              <w:rPr>
                <w:b/>
                <w:sz w:val="21"/>
                <w:szCs w:val="21"/>
                <w:lang w:val="fr-FR" w:bidi="fr-FR"/>
              </w:rPr>
              <w:t>226</w:t>
            </w:r>
          </w:p>
        </w:tc>
      </w:tr>
      <w:tr w:rsidR="006B5F5C" w:rsidRPr="00E71F76" w14:paraId="73FD616A" w14:textId="77777777" w:rsidTr="006E3590">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F95AA" w14:textId="77777777" w:rsidR="006B5F5C" w:rsidRPr="00E71F76" w:rsidRDefault="006B5F5C" w:rsidP="006E3590">
            <w:pPr>
              <w:jc w:val="left"/>
              <w:rPr>
                <w:b/>
                <w:bCs/>
                <w:sz w:val="21"/>
                <w:szCs w:val="21"/>
                <w:lang w:eastAsia="en-CA"/>
              </w:rPr>
            </w:pPr>
            <w:r w:rsidRPr="00E71F76">
              <w:rPr>
                <w:b/>
                <w:sz w:val="21"/>
                <w:szCs w:val="21"/>
                <w:lang w:val="fr-FR" w:bidi="fr-FR"/>
              </w:rPr>
              <w:t>Activités relatives aux HFC </w:t>
            </w:r>
          </w:p>
        </w:tc>
      </w:tr>
      <w:tr w:rsidR="006B5F5C" w:rsidRPr="00E71F76" w14:paraId="63558E74"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A8F045C" w14:textId="77777777" w:rsidR="006B5F5C" w:rsidRPr="00E23538" w:rsidRDefault="006B5F5C" w:rsidP="006E3590">
            <w:pPr>
              <w:jc w:val="left"/>
              <w:rPr>
                <w:sz w:val="21"/>
                <w:szCs w:val="21"/>
                <w:lang w:val="fr-FR" w:eastAsia="en-CA"/>
              </w:rPr>
            </w:pPr>
            <w:r w:rsidRPr="00E71F76">
              <w:rPr>
                <w:sz w:val="21"/>
                <w:szCs w:val="21"/>
                <w:lang w:val="fr-FR" w:bidi="fr-FR"/>
              </w:rPr>
              <w:t>Plans de mise en œuvre de l’Amendement de Kigali sur les HFC (KIP) — PRP</w:t>
            </w:r>
          </w:p>
        </w:tc>
        <w:tc>
          <w:tcPr>
            <w:tcW w:w="1134" w:type="dxa"/>
            <w:tcBorders>
              <w:top w:val="nil"/>
              <w:left w:val="nil"/>
              <w:bottom w:val="single" w:sz="4" w:space="0" w:color="auto"/>
              <w:right w:val="single" w:sz="4" w:space="0" w:color="auto"/>
            </w:tcBorders>
            <w:shd w:val="clear" w:color="auto" w:fill="auto"/>
            <w:noWrap/>
            <w:vAlign w:val="center"/>
            <w:hideMark/>
          </w:tcPr>
          <w:p w14:paraId="3BA72A25" w14:textId="77777777" w:rsidR="006B5F5C" w:rsidRPr="00E71F76" w:rsidRDefault="006B5F5C" w:rsidP="006E3590">
            <w:pPr>
              <w:jc w:val="right"/>
              <w:rPr>
                <w:sz w:val="21"/>
                <w:szCs w:val="21"/>
                <w:lang w:eastAsia="en-CA"/>
              </w:rPr>
            </w:pPr>
            <w:r w:rsidRPr="00E71F76">
              <w:rPr>
                <w:b/>
                <w:sz w:val="21"/>
                <w:szCs w:val="21"/>
                <w:lang w:val="fr-FR" w:bidi="fr-FR"/>
              </w:rPr>
              <w:t>277</w:t>
            </w:r>
            <w:r>
              <w:rPr>
                <w:b/>
                <w:sz w:val="21"/>
                <w:szCs w:val="21"/>
                <w:lang w:val="fr-FR" w:bidi="fr-FR"/>
              </w:rPr>
              <w:t> </w:t>
            </w:r>
            <w:r w:rsidRPr="00E71F76">
              <w:rPr>
                <w:b/>
                <w:sz w:val="21"/>
                <w:szCs w:val="21"/>
                <w:lang w:val="fr-FR" w:bidi="fr-FR"/>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708966D"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008" w:type="dxa"/>
            <w:tcBorders>
              <w:top w:val="nil"/>
              <w:left w:val="nil"/>
              <w:bottom w:val="single" w:sz="4" w:space="0" w:color="auto"/>
              <w:right w:val="single" w:sz="4" w:space="0" w:color="auto"/>
            </w:tcBorders>
            <w:shd w:val="clear" w:color="auto" w:fill="auto"/>
            <w:noWrap/>
            <w:vAlign w:val="center"/>
            <w:hideMark/>
          </w:tcPr>
          <w:p w14:paraId="3F7F83ED"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402" w:type="dxa"/>
            <w:tcBorders>
              <w:top w:val="nil"/>
              <w:left w:val="nil"/>
              <w:bottom w:val="single" w:sz="4" w:space="0" w:color="auto"/>
              <w:right w:val="single" w:sz="4" w:space="0" w:color="auto"/>
            </w:tcBorders>
            <w:shd w:val="clear" w:color="auto" w:fill="auto"/>
            <w:noWrap/>
            <w:vAlign w:val="center"/>
            <w:hideMark/>
          </w:tcPr>
          <w:p w14:paraId="19F4FB02" w14:textId="77777777" w:rsidR="006B5F5C" w:rsidRPr="00E71F76" w:rsidRDefault="006B5F5C" w:rsidP="006E3590">
            <w:pPr>
              <w:jc w:val="right"/>
              <w:rPr>
                <w:sz w:val="21"/>
                <w:szCs w:val="21"/>
                <w:lang w:eastAsia="en-CA"/>
              </w:rPr>
            </w:pPr>
            <w:r w:rsidRPr="00E71F76">
              <w:rPr>
                <w:b/>
                <w:sz w:val="21"/>
                <w:szCs w:val="21"/>
                <w:lang w:val="fr-FR" w:bidi="fr-FR"/>
              </w:rPr>
              <w:t>277</w:t>
            </w:r>
            <w:r>
              <w:rPr>
                <w:b/>
                <w:sz w:val="21"/>
                <w:szCs w:val="21"/>
                <w:lang w:val="fr-FR" w:bidi="fr-FR"/>
              </w:rPr>
              <w:t> </w:t>
            </w:r>
            <w:r w:rsidRPr="00E71F76">
              <w:rPr>
                <w:b/>
                <w:sz w:val="21"/>
                <w:szCs w:val="21"/>
                <w:lang w:val="fr-FR" w:bidi="fr-FR"/>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64E4262" w14:textId="77777777" w:rsidR="006B5F5C" w:rsidRPr="00E71F76" w:rsidRDefault="006B5F5C" w:rsidP="006E3590">
            <w:pPr>
              <w:jc w:val="right"/>
              <w:rPr>
                <w:sz w:val="21"/>
                <w:szCs w:val="21"/>
                <w:lang w:eastAsia="en-CA"/>
              </w:rPr>
            </w:pPr>
            <w:r w:rsidRPr="00E71F76">
              <w:rPr>
                <w:sz w:val="21"/>
                <w:szCs w:val="21"/>
                <w:lang w:val="fr-FR" w:bidi="fr-FR"/>
              </w:rPr>
              <w:t> 0</w:t>
            </w:r>
          </w:p>
        </w:tc>
      </w:tr>
      <w:tr w:rsidR="006B5F5C" w:rsidRPr="00E71F76" w14:paraId="4F04205F"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446E4B6" w14:textId="77777777" w:rsidR="006B5F5C" w:rsidRPr="00E71F76" w:rsidRDefault="006B5F5C" w:rsidP="006E3590">
            <w:pPr>
              <w:jc w:val="left"/>
              <w:rPr>
                <w:sz w:val="21"/>
                <w:szCs w:val="21"/>
                <w:lang w:eastAsia="en-CA"/>
              </w:rPr>
            </w:pPr>
            <w:r w:rsidRPr="00E71F76">
              <w:rPr>
                <w:sz w:val="21"/>
                <w:szCs w:val="21"/>
                <w:lang w:val="fr-FR" w:bidi="fr-FR"/>
              </w:rPr>
              <w:t>KIP</w:t>
            </w:r>
          </w:p>
        </w:tc>
        <w:tc>
          <w:tcPr>
            <w:tcW w:w="1134" w:type="dxa"/>
            <w:tcBorders>
              <w:top w:val="nil"/>
              <w:left w:val="nil"/>
              <w:bottom w:val="single" w:sz="4" w:space="0" w:color="auto"/>
              <w:right w:val="single" w:sz="4" w:space="0" w:color="auto"/>
            </w:tcBorders>
            <w:shd w:val="clear" w:color="auto" w:fill="auto"/>
            <w:noWrap/>
            <w:vAlign w:val="center"/>
            <w:hideMark/>
          </w:tcPr>
          <w:p w14:paraId="0EC0FB87"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134" w:type="dxa"/>
            <w:tcBorders>
              <w:top w:val="nil"/>
              <w:left w:val="nil"/>
              <w:bottom w:val="single" w:sz="4" w:space="0" w:color="auto"/>
              <w:right w:val="single" w:sz="4" w:space="0" w:color="auto"/>
            </w:tcBorders>
            <w:shd w:val="clear" w:color="auto" w:fill="auto"/>
            <w:noWrap/>
            <w:vAlign w:val="center"/>
            <w:hideMark/>
          </w:tcPr>
          <w:p w14:paraId="1C7E229E" w14:textId="77777777" w:rsidR="006B5F5C" w:rsidRPr="00E71F76" w:rsidRDefault="006B5F5C" w:rsidP="006E3590">
            <w:pPr>
              <w:jc w:val="right"/>
              <w:rPr>
                <w:sz w:val="21"/>
                <w:szCs w:val="21"/>
                <w:lang w:eastAsia="en-CA"/>
              </w:rPr>
            </w:pPr>
            <w:r w:rsidRPr="00E71F76">
              <w:rPr>
                <w:sz w:val="21"/>
                <w:szCs w:val="21"/>
                <w:lang w:val="fr-FR" w:bidi="fr-FR"/>
              </w:rPr>
              <w:t>0 </w:t>
            </w:r>
          </w:p>
        </w:tc>
        <w:tc>
          <w:tcPr>
            <w:tcW w:w="1008" w:type="dxa"/>
            <w:tcBorders>
              <w:top w:val="nil"/>
              <w:left w:val="nil"/>
              <w:bottom w:val="single" w:sz="4" w:space="0" w:color="auto"/>
              <w:right w:val="single" w:sz="4" w:space="0" w:color="auto"/>
            </w:tcBorders>
            <w:shd w:val="clear" w:color="auto" w:fill="auto"/>
            <w:noWrap/>
            <w:vAlign w:val="center"/>
            <w:hideMark/>
          </w:tcPr>
          <w:p w14:paraId="2E02C032" w14:textId="77777777" w:rsidR="006B5F5C" w:rsidRPr="00E71F76" w:rsidRDefault="006B5F5C" w:rsidP="006E3590">
            <w:pPr>
              <w:jc w:val="right"/>
              <w:rPr>
                <w:sz w:val="21"/>
                <w:szCs w:val="21"/>
                <w:lang w:eastAsia="en-CA"/>
              </w:rPr>
            </w:pPr>
            <w:r w:rsidRPr="00E71F76">
              <w:rPr>
                <w:b/>
                <w:sz w:val="21"/>
                <w:szCs w:val="21"/>
                <w:lang w:val="fr-FR" w:bidi="fr-FR"/>
              </w:rPr>
              <w:t>400</w:t>
            </w:r>
            <w:r>
              <w:rPr>
                <w:b/>
                <w:sz w:val="21"/>
                <w:szCs w:val="21"/>
                <w:lang w:val="fr-FR" w:bidi="fr-FR"/>
              </w:rPr>
              <w:t> </w:t>
            </w:r>
            <w:r w:rsidRPr="00E71F76">
              <w:rPr>
                <w:b/>
                <w:sz w:val="21"/>
                <w:szCs w:val="21"/>
                <w:lang w:val="fr-FR" w:bidi="fr-FR"/>
              </w:rPr>
              <w:t>000</w:t>
            </w:r>
          </w:p>
        </w:tc>
        <w:tc>
          <w:tcPr>
            <w:tcW w:w="1402" w:type="dxa"/>
            <w:tcBorders>
              <w:top w:val="nil"/>
              <w:left w:val="nil"/>
              <w:bottom w:val="single" w:sz="4" w:space="0" w:color="auto"/>
              <w:right w:val="single" w:sz="4" w:space="0" w:color="auto"/>
            </w:tcBorders>
            <w:shd w:val="clear" w:color="auto" w:fill="auto"/>
            <w:noWrap/>
            <w:vAlign w:val="center"/>
            <w:hideMark/>
          </w:tcPr>
          <w:p w14:paraId="3A940BDE" w14:textId="77777777" w:rsidR="006B5F5C" w:rsidRPr="00E71F76" w:rsidRDefault="006B5F5C" w:rsidP="006E3590">
            <w:pPr>
              <w:jc w:val="right"/>
              <w:rPr>
                <w:sz w:val="21"/>
                <w:szCs w:val="21"/>
                <w:lang w:eastAsia="en-CA"/>
              </w:rPr>
            </w:pPr>
            <w:r w:rsidRPr="00E71F76">
              <w:rPr>
                <w:b/>
                <w:sz w:val="21"/>
                <w:szCs w:val="21"/>
                <w:lang w:val="fr-FR" w:bidi="fr-FR"/>
              </w:rPr>
              <w:t>400</w:t>
            </w:r>
            <w:r>
              <w:rPr>
                <w:b/>
                <w:sz w:val="21"/>
                <w:szCs w:val="21"/>
                <w:lang w:val="fr-FR" w:bidi="fr-FR"/>
              </w:rPr>
              <w:t> </w:t>
            </w:r>
            <w:r w:rsidRPr="00E71F76">
              <w:rPr>
                <w:b/>
                <w:sz w:val="21"/>
                <w:szCs w:val="21"/>
                <w:lang w:val="fr-FR" w:bidi="fr-FR"/>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C9804FC" w14:textId="77777777" w:rsidR="006B5F5C" w:rsidRPr="00E71F76" w:rsidRDefault="006B5F5C" w:rsidP="006E3590">
            <w:pPr>
              <w:jc w:val="right"/>
              <w:rPr>
                <w:sz w:val="21"/>
                <w:szCs w:val="21"/>
                <w:lang w:eastAsia="en-CA"/>
              </w:rPr>
            </w:pPr>
            <w:r w:rsidRPr="00E71F76">
              <w:rPr>
                <w:sz w:val="21"/>
                <w:szCs w:val="21"/>
                <w:lang w:val="fr-FR" w:bidi="fr-FR"/>
              </w:rPr>
              <w:t> 0</w:t>
            </w:r>
          </w:p>
        </w:tc>
      </w:tr>
      <w:tr w:rsidR="006B5F5C" w:rsidRPr="00E71F76" w14:paraId="514F67CB"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C5ABAC5" w14:textId="77777777" w:rsidR="006B5F5C" w:rsidRPr="00E23538" w:rsidRDefault="006B5F5C" w:rsidP="006E3590">
            <w:pPr>
              <w:jc w:val="left"/>
              <w:rPr>
                <w:b/>
                <w:bCs/>
                <w:sz w:val="21"/>
                <w:szCs w:val="21"/>
                <w:lang w:val="fr-FR" w:eastAsia="en-CA"/>
              </w:rPr>
            </w:pPr>
            <w:r w:rsidRPr="00E71F76">
              <w:rPr>
                <w:b/>
                <w:sz w:val="21"/>
                <w:szCs w:val="21"/>
                <w:lang w:val="fr-FR" w:bidi="fr-FR"/>
              </w:rPr>
              <w:t>Sous-total des activités relatives aux HFC</w:t>
            </w:r>
          </w:p>
        </w:tc>
        <w:tc>
          <w:tcPr>
            <w:tcW w:w="1134" w:type="dxa"/>
            <w:tcBorders>
              <w:top w:val="nil"/>
              <w:left w:val="nil"/>
              <w:bottom w:val="single" w:sz="4" w:space="0" w:color="auto"/>
              <w:right w:val="single" w:sz="4" w:space="0" w:color="auto"/>
            </w:tcBorders>
            <w:shd w:val="clear" w:color="auto" w:fill="auto"/>
            <w:noWrap/>
            <w:vAlign w:val="center"/>
            <w:hideMark/>
          </w:tcPr>
          <w:p w14:paraId="6FBC04BC" w14:textId="77777777" w:rsidR="006B5F5C" w:rsidRPr="00E71F76" w:rsidRDefault="006B5F5C" w:rsidP="006E3590">
            <w:pPr>
              <w:jc w:val="right"/>
              <w:rPr>
                <w:b/>
                <w:bCs/>
                <w:sz w:val="21"/>
                <w:szCs w:val="21"/>
                <w:lang w:eastAsia="en-CA"/>
              </w:rPr>
            </w:pPr>
            <w:r w:rsidRPr="00E71F76">
              <w:rPr>
                <w:b/>
                <w:sz w:val="21"/>
                <w:szCs w:val="21"/>
                <w:lang w:val="fr-FR" w:bidi="fr-FR"/>
              </w:rPr>
              <w:t>277</w:t>
            </w:r>
            <w:r>
              <w:rPr>
                <w:b/>
                <w:sz w:val="21"/>
                <w:szCs w:val="21"/>
                <w:lang w:val="fr-FR" w:bidi="fr-FR"/>
              </w:rPr>
              <w:t> </w:t>
            </w:r>
            <w:r w:rsidRPr="00E71F76">
              <w:rPr>
                <w:b/>
                <w:sz w:val="21"/>
                <w:szCs w:val="21"/>
                <w:lang w:val="fr-FR" w:bidi="fr-FR"/>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B0E932A"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008" w:type="dxa"/>
            <w:tcBorders>
              <w:top w:val="nil"/>
              <w:left w:val="nil"/>
              <w:bottom w:val="single" w:sz="4" w:space="0" w:color="auto"/>
              <w:right w:val="single" w:sz="4" w:space="0" w:color="auto"/>
            </w:tcBorders>
            <w:shd w:val="clear" w:color="auto" w:fill="auto"/>
            <w:noWrap/>
            <w:vAlign w:val="center"/>
            <w:hideMark/>
          </w:tcPr>
          <w:p w14:paraId="19307745" w14:textId="77777777" w:rsidR="006B5F5C" w:rsidRPr="00E71F76" w:rsidRDefault="006B5F5C" w:rsidP="006E3590">
            <w:pPr>
              <w:jc w:val="right"/>
              <w:rPr>
                <w:b/>
                <w:bCs/>
                <w:sz w:val="21"/>
                <w:szCs w:val="21"/>
                <w:lang w:eastAsia="en-CA"/>
              </w:rPr>
            </w:pPr>
            <w:r w:rsidRPr="00E71F76">
              <w:rPr>
                <w:b/>
                <w:sz w:val="21"/>
                <w:szCs w:val="21"/>
                <w:lang w:val="fr-FR" w:bidi="fr-FR"/>
              </w:rPr>
              <w:t>400</w:t>
            </w:r>
            <w:r>
              <w:rPr>
                <w:b/>
                <w:sz w:val="21"/>
                <w:szCs w:val="21"/>
                <w:lang w:val="fr-FR" w:bidi="fr-FR"/>
              </w:rPr>
              <w:t> </w:t>
            </w:r>
            <w:r w:rsidRPr="00E71F76">
              <w:rPr>
                <w:b/>
                <w:sz w:val="21"/>
                <w:szCs w:val="21"/>
                <w:lang w:val="fr-FR" w:bidi="fr-FR"/>
              </w:rPr>
              <w:t>000</w:t>
            </w:r>
          </w:p>
        </w:tc>
        <w:tc>
          <w:tcPr>
            <w:tcW w:w="1402" w:type="dxa"/>
            <w:tcBorders>
              <w:top w:val="nil"/>
              <w:left w:val="nil"/>
              <w:bottom w:val="single" w:sz="4" w:space="0" w:color="auto"/>
              <w:right w:val="single" w:sz="4" w:space="0" w:color="auto"/>
            </w:tcBorders>
            <w:shd w:val="clear" w:color="auto" w:fill="auto"/>
            <w:noWrap/>
            <w:vAlign w:val="center"/>
            <w:hideMark/>
          </w:tcPr>
          <w:p w14:paraId="735C50B4" w14:textId="77777777" w:rsidR="006B5F5C" w:rsidRPr="00E71F76" w:rsidRDefault="006B5F5C" w:rsidP="006E3590">
            <w:pPr>
              <w:jc w:val="right"/>
              <w:rPr>
                <w:b/>
                <w:bCs/>
                <w:sz w:val="21"/>
                <w:szCs w:val="21"/>
                <w:lang w:eastAsia="en-CA"/>
              </w:rPr>
            </w:pPr>
            <w:r w:rsidRPr="00E71F76">
              <w:rPr>
                <w:b/>
                <w:sz w:val="21"/>
                <w:szCs w:val="21"/>
                <w:lang w:val="fr-FR" w:bidi="fr-FR"/>
              </w:rPr>
              <w:t>677</w:t>
            </w:r>
            <w:r>
              <w:rPr>
                <w:b/>
                <w:sz w:val="21"/>
                <w:szCs w:val="21"/>
                <w:lang w:val="fr-FR" w:bidi="fr-FR"/>
              </w:rPr>
              <w:t> </w:t>
            </w:r>
            <w:r w:rsidRPr="00E71F76">
              <w:rPr>
                <w:b/>
                <w:sz w:val="21"/>
                <w:szCs w:val="21"/>
                <w:lang w:val="fr-FR" w:bidi="fr-FR"/>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79103E6" w14:textId="77777777" w:rsidR="006B5F5C" w:rsidRPr="00E71F76" w:rsidRDefault="006B5F5C" w:rsidP="006E3590">
            <w:pPr>
              <w:jc w:val="right"/>
              <w:rPr>
                <w:b/>
                <w:bCs/>
                <w:sz w:val="21"/>
                <w:szCs w:val="21"/>
                <w:lang w:eastAsia="en-CA"/>
              </w:rPr>
            </w:pPr>
            <w:r w:rsidRPr="00E71F76">
              <w:rPr>
                <w:b/>
                <w:sz w:val="21"/>
                <w:szCs w:val="21"/>
                <w:lang w:val="fr-FR" w:bidi="fr-FR"/>
              </w:rPr>
              <w:t>0</w:t>
            </w:r>
          </w:p>
        </w:tc>
      </w:tr>
      <w:tr w:rsidR="006B5F5C" w:rsidRPr="00E71F76" w14:paraId="1451388C"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E4DBD65" w14:textId="77777777" w:rsidR="006B5F5C" w:rsidRPr="00E71F76" w:rsidRDefault="006B5F5C" w:rsidP="006E3590">
            <w:pPr>
              <w:jc w:val="left"/>
              <w:rPr>
                <w:b/>
                <w:bCs/>
                <w:sz w:val="21"/>
                <w:szCs w:val="21"/>
                <w:lang w:eastAsia="en-CA"/>
              </w:rPr>
            </w:pPr>
            <w:r w:rsidRPr="00E71F76">
              <w:rPr>
                <w:b/>
                <w:sz w:val="21"/>
                <w:szCs w:val="21"/>
                <w:lang w:val="fr-FR" w:bidi="fr-FR"/>
              </w:rPr>
              <w:t>Activités standard</w:t>
            </w:r>
          </w:p>
        </w:tc>
        <w:tc>
          <w:tcPr>
            <w:tcW w:w="1134" w:type="dxa"/>
            <w:tcBorders>
              <w:top w:val="nil"/>
              <w:left w:val="nil"/>
              <w:bottom w:val="single" w:sz="4" w:space="0" w:color="auto"/>
              <w:right w:val="single" w:sz="4" w:space="0" w:color="auto"/>
            </w:tcBorders>
            <w:shd w:val="clear" w:color="auto" w:fill="auto"/>
            <w:noWrap/>
            <w:vAlign w:val="center"/>
            <w:hideMark/>
          </w:tcPr>
          <w:p w14:paraId="3767C60D" w14:textId="77777777" w:rsidR="006B5F5C" w:rsidRPr="00E71F76" w:rsidRDefault="006B5F5C" w:rsidP="006E3590">
            <w:pPr>
              <w:jc w:val="left"/>
              <w:rPr>
                <w:sz w:val="21"/>
                <w:szCs w:val="21"/>
                <w:lang w:eastAsia="en-CA"/>
              </w:rPr>
            </w:pPr>
            <w:r w:rsidRPr="00E71F76">
              <w:rPr>
                <w:sz w:val="21"/>
                <w:szCs w:val="21"/>
                <w:lang w:val="fr-FR" w:bidi="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25AC07" w14:textId="77777777" w:rsidR="006B5F5C" w:rsidRPr="00E71F76" w:rsidRDefault="006B5F5C" w:rsidP="006E3590">
            <w:pPr>
              <w:jc w:val="left"/>
              <w:rPr>
                <w:sz w:val="21"/>
                <w:szCs w:val="21"/>
                <w:lang w:eastAsia="en-CA"/>
              </w:rPr>
            </w:pPr>
            <w:r w:rsidRPr="00E71F76">
              <w:rPr>
                <w:sz w:val="21"/>
                <w:szCs w:val="21"/>
                <w:lang w:val="fr-FR" w:bidi="fr-FR"/>
              </w:rPr>
              <w:t> </w:t>
            </w:r>
          </w:p>
        </w:tc>
        <w:tc>
          <w:tcPr>
            <w:tcW w:w="1008" w:type="dxa"/>
            <w:tcBorders>
              <w:top w:val="nil"/>
              <w:left w:val="nil"/>
              <w:bottom w:val="single" w:sz="4" w:space="0" w:color="auto"/>
              <w:right w:val="single" w:sz="4" w:space="0" w:color="auto"/>
            </w:tcBorders>
            <w:shd w:val="clear" w:color="auto" w:fill="auto"/>
            <w:noWrap/>
            <w:vAlign w:val="center"/>
            <w:hideMark/>
          </w:tcPr>
          <w:p w14:paraId="77455112" w14:textId="77777777" w:rsidR="006B5F5C" w:rsidRPr="00E71F76" w:rsidRDefault="006B5F5C" w:rsidP="006E3590">
            <w:pPr>
              <w:jc w:val="left"/>
              <w:rPr>
                <w:sz w:val="21"/>
                <w:szCs w:val="21"/>
                <w:lang w:eastAsia="en-CA"/>
              </w:rPr>
            </w:pPr>
            <w:r w:rsidRPr="00E71F76">
              <w:rPr>
                <w:sz w:val="21"/>
                <w:szCs w:val="21"/>
                <w:lang w:val="fr-FR" w:bidi="fr-FR"/>
              </w:rPr>
              <w:t> </w:t>
            </w:r>
          </w:p>
        </w:tc>
        <w:tc>
          <w:tcPr>
            <w:tcW w:w="1402" w:type="dxa"/>
            <w:tcBorders>
              <w:top w:val="nil"/>
              <w:left w:val="nil"/>
              <w:bottom w:val="single" w:sz="4" w:space="0" w:color="auto"/>
              <w:right w:val="single" w:sz="4" w:space="0" w:color="auto"/>
            </w:tcBorders>
            <w:shd w:val="clear" w:color="auto" w:fill="auto"/>
            <w:noWrap/>
            <w:vAlign w:val="center"/>
            <w:hideMark/>
          </w:tcPr>
          <w:p w14:paraId="39441926" w14:textId="77777777" w:rsidR="006B5F5C" w:rsidRPr="00E71F76" w:rsidRDefault="006B5F5C" w:rsidP="006E3590">
            <w:pPr>
              <w:jc w:val="left"/>
              <w:rPr>
                <w:sz w:val="21"/>
                <w:szCs w:val="21"/>
                <w:lang w:eastAsia="en-CA"/>
              </w:rPr>
            </w:pPr>
            <w:r w:rsidRPr="00E71F76">
              <w:rPr>
                <w:sz w:val="21"/>
                <w:szCs w:val="21"/>
                <w:lang w:val="fr-FR" w:bidi="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859928" w14:textId="77777777" w:rsidR="006B5F5C" w:rsidRPr="00E71F76" w:rsidRDefault="006B5F5C" w:rsidP="006E3590">
            <w:pPr>
              <w:jc w:val="left"/>
              <w:rPr>
                <w:sz w:val="21"/>
                <w:szCs w:val="21"/>
                <w:lang w:eastAsia="en-CA"/>
              </w:rPr>
            </w:pPr>
            <w:r w:rsidRPr="00E71F76">
              <w:rPr>
                <w:sz w:val="21"/>
                <w:szCs w:val="21"/>
                <w:lang w:val="fr-FR" w:bidi="fr-FR"/>
              </w:rPr>
              <w:t> </w:t>
            </w:r>
          </w:p>
        </w:tc>
      </w:tr>
      <w:tr w:rsidR="006B5F5C" w:rsidRPr="00E71F76" w14:paraId="55B62048"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AF3225D" w14:textId="77777777" w:rsidR="006B5F5C" w:rsidRPr="00E71F76" w:rsidRDefault="006B5F5C" w:rsidP="006E3590">
            <w:pPr>
              <w:jc w:val="left"/>
              <w:rPr>
                <w:sz w:val="21"/>
                <w:szCs w:val="21"/>
                <w:lang w:eastAsia="en-CA"/>
              </w:rPr>
            </w:pPr>
            <w:r w:rsidRPr="00E71F76">
              <w:rPr>
                <w:sz w:val="21"/>
                <w:szCs w:val="21"/>
                <w:lang w:val="fr-FR" w:bidi="fr-FR"/>
              </w:rPr>
              <w:t>Renforcement des institutions</w:t>
            </w:r>
          </w:p>
        </w:tc>
        <w:tc>
          <w:tcPr>
            <w:tcW w:w="1134" w:type="dxa"/>
            <w:tcBorders>
              <w:top w:val="nil"/>
              <w:left w:val="nil"/>
              <w:bottom w:val="single" w:sz="4" w:space="0" w:color="auto"/>
              <w:right w:val="single" w:sz="4" w:space="0" w:color="auto"/>
            </w:tcBorders>
            <w:shd w:val="clear" w:color="auto" w:fill="auto"/>
            <w:noWrap/>
            <w:vAlign w:val="center"/>
            <w:hideMark/>
          </w:tcPr>
          <w:p w14:paraId="2C79F28C"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134" w:type="dxa"/>
            <w:tcBorders>
              <w:top w:val="nil"/>
              <w:left w:val="nil"/>
              <w:bottom w:val="single" w:sz="4" w:space="0" w:color="auto"/>
              <w:right w:val="single" w:sz="4" w:space="0" w:color="auto"/>
            </w:tcBorders>
            <w:shd w:val="clear" w:color="auto" w:fill="auto"/>
            <w:noWrap/>
            <w:vAlign w:val="center"/>
            <w:hideMark/>
          </w:tcPr>
          <w:p w14:paraId="5D5AB781"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008" w:type="dxa"/>
            <w:tcBorders>
              <w:top w:val="nil"/>
              <w:left w:val="nil"/>
              <w:bottom w:val="single" w:sz="4" w:space="0" w:color="auto"/>
              <w:right w:val="single" w:sz="4" w:space="0" w:color="auto"/>
            </w:tcBorders>
            <w:shd w:val="clear" w:color="auto" w:fill="auto"/>
            <w:noWrap/>
            <w:vAlign w:val="center"/>
            <w:hideMark/>
          </w:tcPr>
          <w:p w14:paraId="7C3EB71C" w14:textId="77777777" w:rsidR="006B5F5C" w:rsidRPr="00E71F76" w:rsidRDefault="006B5F5C" w:rsidP="006E3590">
            <w:pPr>
              <w:jc w:val="right"/>
              <w:rPr>
                <w:sz w:val="21"/>
                <w:szCs w:val="21"/>
                <w:lang w:eastAsia="en-CA"/>
              </w:rPr>
            </w:pPr>
            <w:r w:rsidRPr="00E71F76">
              <w:rPr>
                <w:sz w:val="21"/>
                <w:szCs w:val="21"/>
                <w:lang w:val="fr-FR" w:bidi="fr-FR"/>
              </w:rPr>
              <w:t> 0</w:t>
            </w:r>
          </w:p>
        </w:tc>
        <w:tc>
          <w:tcPr>
            <w:tcW w:w="1402" w:type="dxa"/>
            <w:tcBorders>
              <w:top w:val="nil"/>
              <w:left w:val="nil"/>
              <w:bottom w:val="single" w:sz="4" w:space="0" w:color="auto"/>
              <w:right w:val="single" w:sz="4" w:space="0" w:color="auto"/>
            </w:tcBorders>
            <w:shd w:val="clear" w:color="auto" w:fill="auto"/>
            <w:noWrap/>
            <w:vAlign w:val="center"/>
            <w:hideMark/>
          </w:tcPr>
          <w:p w14:paraId="0D03B8EB" w14:textId="77777777" w:rsidR="006B5F5C" w:rsidRPr="00E71F76" w:rsidRDefault="006B5F5C" w:rsidP="006E3590">
            <w:pPr>
              <w:jc w:val="right"/>
              <w:rPr>
                <w:sz w:val="21"/>
                <w:szCs w:val="21"/>
                <w:lang w:eastAsia="en-CA"/>
              </w:rPr>
            </w:pPr>
            <w:r w:rsidRPr="00E71F76">
              <w:rPr>
                <w:sz w:val="21"/>
                <w:szCs w:val="21"/>
                <w:lang w:val="fr-FR" w:bidi="fr-FR"/>
              </w:rPr>
              <w:t>0</w:t>
            </w:r>
          </w:p>
        </w:tc>
        <w:tc>
          <w:tcPr>
            <w:tcW w:w="1276" w:type="dxa"/>
            <w:tcBorders>
              <w:top w:val="nil"/>
              <w:left w:val="nil"/>
              <w:bottom w:val="single" w:sz="4" w:space="0" w:color="auto"/>
              <w:right w:val="single" w:sz="4" w:space="0" w:color="auto"/>
            </w:tcBorders>
            <w:shd w:val="clear" w:color="auto" w:fill="auto"/>
            <w:noWrap/>
            <w:vAlign w:val="center"/>
            <w:hideMark/>
          </w:tcPr>
          <w:p w14:paraId="62D9B9B4" w14:textId="77777777" w:rsidR="006B5F5C" w:rsidRPr="00E71F76" w:rsidRDefault="006B5F5C" w:rsidP="006E3590">
            <w:pPr>
              <w:jc w:val="right"/>
              <w:rPr>
                <w:sz w:val="21"/>
                <w:szCs w:val="21"/>
                <w:lang w:eastAsia="en-CA"/>
              </w:rPr>
            </w:pPr>
            <w:r w:rsidRPr="00E71F76">
              <w:rPr>
                <w:b/>
                <w:sz w:val="21"/>
                <w:szCs w:val="21"/>
                <w:lang w:val="fr-FR" w:bidi="fr-FR"/>
              </w:rPr>
              <w:t>30</w:t>
            </w:r>
            <w:r>
              <w:rPr>
                <w:b/>
                <w:sz w:val="21"/>
                <w:szCs w:val="21"/>
                <w:lang w:val="fr-FR" w:bidi="fr-FR"/>
              </w:rPr>
              <w:t> </w:t>
            </w:r>
            <w:r w:rsidRPr="00E71F76">
              <w:rPr>
                <w:b/>
                <w:sz w:val="21"/>
                <w:szCs w:val="21"/>
                <w:lang w:val="fr-FR" w:bidi="fr-FR"/>
              </w:rPr>
              <w:t>000</w:t>
            </w:r>
          </w:p>
        </w:tc>
      </w:tr>
      <w:tr w:rsidR="006B5F5C" w:rsidRPr="00E71F76" w14:paraId="3D90E390"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7014797" w14:textId="77777777" w:rsidR="006B5F5C" w:rsidRPr="00E23538" w:rsidRDefault="006B5F5C" w:rsidP="006E3590">
            <w:pPr>
              <w:jc w:val="left"/>
              <w:rPr>
                <w:b/>
                <w:bCs/>
                <w:sz w:val="21"/>
                <w:szCs w:val="21"/>
                <w:lang w:val="fr-FR" w:eastAsia="en-CA"/>
              </w:rPr>
            </w:pPr>
            <w:r w:rsidRPr="00E71F76">
              <w:rPr>
                <w:b/>
                <w:sz w:val="21"/>
                <w:szCs w:val="21"/>
                <w:lang w:val="fr-FR" w:bidi="fr-FR"/>
              </w:rPr>
              <w:t>Sous-total des activités standard</w:t>
            </w:r>
          </w:p>
        </w:tc>
        <w:tc>
          <w:tcPr>
            <w:tcW w:w="1134" w:type="dxa"/>
            <w:tcBorders>
              <w:top w:val="nil"/>
              <w:left w:val="nil"/>
              <w:bottom w:val="single" w:sz="4" w:space="0" w:color="auto"/>
              <w:right w:val="single" w:sz="4" w:space="0" w:color="auto"/>
            </w:tcBorders>
            <w:shd w:val="clear" w:color="auto" w:fill="auto"/>
            <w:noWrap/>
            <w:vAlign w:val="center"/>
            <w:hideMark/>
          </w:tcPr>
          <w:p w14:paraId="1724591B"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7B0DD7"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008" w:type="dxa"/>
            <w:tcBorders>
              <w:top w:val="nil"/>
              <w:left w:val="nil"/>
              <w:bottom w:val="single" w:sz="4" w:space="0" w:color="auto"/>
              <w:right w:val="single" w:sz="4" w:space="0" w:color="auto"/>
            </w:tcBorders>
            <w:shd w:val="clear" w:color="auto" w:fill="auto"/>
            <w:noWrap/>
            <w:vAlign w:val="center"/>
            <w:hideMark/>
          </w:tcPr>
          <w:p w14:paraId="53CED150"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402" w:type="dxa"/>
            <w:tcBorders>
              <w:top w:val="nil"/>
              <w:left w:val="nil"/>
              <w:bottom w:val="single" w:sz="4" w:space="0" w:color="auto"/>
              <w:right w:val="single" w:sz="4" w:space="0" w:color="auto"/>
            </w:tcBorders>
            <w:shd w:val="clear" w:color="auto" w:fill="auto"/>
            <w:noWrap/>
            <w:vAlign w:val="center"/>
            <w:hideMark/>
          </w:tcPr>
          <w:p w14:paraId="4040CC98"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0F5B797" w14:textId="77777777" w:rsidR="006B5F5C" w:rsidRPr="00E71F76" w:rsidRDefault="006B5F5C" w:rsidP="006E3590">
            <w:pPr>
              <w:jc w:val="right"/>
              <w:rPr>
                <w:b/>
                <w:bCs/>
                <w:sz w:val="21"/>
                <w:szCs w:val="21"/>
                <w:lang w:eastAsia="en-CA"/>
              </w:rPr>
            </w:pPr>
            <w:r w:rsidRPr="00E71F76">
              <w:rPr>
                <w:b/>
                <w:sz w:val="21"/>
                <w:szCs w:val="21"/>
                <w:lang w:val="fr-FR" w:bidi="fr-FR"/>
              </w:rPr>
              <w:t>30</w:t>
            </w:r>
            <w:r>
              <w:rPr>
                <w:b/>
                <w:sz w:val="21"/>
                <w:szCs w:val="21"/>
                <w:lang w:val="fr-FR" w:bidi="fr-FR"/>
              </w:rPr>
              <w:t> </w:t>
            </w:r>
            <w:r w:rsidRPr="00E71F76">
              <w:rPr>
                <w:b/>
                <w:sz w:val="21"/>
                <w:szCs w:val="21"/>
                <w:lang w:val="fr-FR" w:bidi="fr-FR"/>
              </w:rPr>
              <w:t>000</w:t>
            </w:r>
          </w:p>
        </w:tc>
      </w:tr>
      <w:tr w:rsidR="006B5F5C" w:rsidRPr="00E71F76" w14:paraId="0F75A2FD" w14:textId="77777777" w:rsidTr="00BD200B">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A76DEA1" w14:textId="77777777" w:rsidR="006B5F5C" w:rsidRPr="00E71F76" w:rsidRDefault="006B5F5C" w:rsidP="006E3590">
            <w:pPr>
              <w:jc w:val="left"/>
              <w:rPr>
                <w:b/>
                <w:bCs/>
                <w:sz w:val="21"/>
                <w:szCs w:val="21"/>
                <w:lang w:eastAsia="en-CA"/>
              </w:rPr>
            </w:pPr>
            <w:r w:rsidRPr="00E71F76">
              <w:rPr>
                <w:b/>
                <w:sz w:val="21"/>
                <w:szCs w:val="21"/>
                <w:lang w:val="fr-FR" w:bidi="fr-F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3D47C617" w14:textId="77777777" w:rsidR="006B5F5C" w:rsidRPr="00E71F76" w:rsidRDefault="006B5F5C" w:rsidP="006E3590">
            <w:pPr>
              <w:jc w:val="right"/>
              <w:rPr>
                <w:b/>
                <w:bCs/>
                <w:sz w:val="21"/>
                <w:szCs w:val="21"/>
                <w:lang w:eastAsia="en-CA"/>
              </w:rPr>
            </w:pPr>
            <w:r w:rsidRPr="00E71F76">
              <w:rPr>
                <w:b/>
                <w:sz w:val="21"/>
                <w:szCs w:val="21"/>
                <w:lang w:val="fr-FR" w:bidi="fr-FR"/>
              </w:rPr>
              <w:t>2</w:t>
            </w:r>
            <w:r>
              <w:rPr>
                <w:b/>
                <w:sz w:val="21"/>
                <w:szCs w:val="21"/>
                <w:lang w:val="fr-FR" w:bidi="fr-FR"/>
              </w:rPr>
              <w:t> 026 </w:t>
            </w:r>
            <w:r w:rsidRPr="00E71F76">
              <w:rPr>
                <w:b/>
                <w:sz w:val="21"/>
                <w:szCs w:val="21"/>
                <w:lang w:val="fr-FR" w:bidi="fr-FR"/>
              </w:rPr>
              <w:t>566</w:t>
            </w:r>
          </w:p>
        </w:tc>
        <w:tc>
          <w:tcPr>
            <w:tcW w:w="1134" w:type="dxa"/>
            <w:tcBorders>
              <w:top w:val="nil"/>
              <w:left w:val="nil"/>
              <w:bottom w:val="single" w:sz="4" w:space="0" w:color="auto"/>
              <w:right w:val="single" w:sz="4" w:space="0" w:color="auto"/>
            </w:tcBorders>
            <w:shd w:val="clear" w:color="auto" w:fill="auto"/>
            <w:noWrap/>
            <w:vAlign w:val="center"/>
            <w:hideMark/>
          </w:tcPr>
          <w:p w14:paraId="05874716" w14:textId="77777777" w:rsidR="006B5F5C" w:rsidRPr="00E71F76" w:rsidRDefault="006B5F5C" w:rsidP="006E3590">
            <w:pPr>
              <w:jc w:val="right"/>
              <w:rPr>
                <w:b/>
                <w:bCs/>
                <w:sz w:val="21"/>
                <w:szCs w:val="21"/>
                <w:lang w:eastAsia="en-CA"/>
              </w:rPr>
            </w:pPr>
            <w:r w:rsidRPr="00E71F76">
              <w:rPr>
                <w:b/>
                <w:sz w:val="21"/>
                <w:szCs w:val="21"/>
                <w:lang w:val="fr-FR" w:bidi="fr-FR"/>
              </w:rPr>
              <w:t>3</w:t>
            </w:r>
            <w:r>
              <w:rPr>
                <w:b/>
                <w:sz w:val="21"/>
                <w:szCs w:val="21"/>
                <w:lang w:val="fr-FR" w:bidi="fr-FR"/>
              </w:rPr>
              <w:t> 050 </w:t>
            </w:r>
            <w:r w:rsidRPr="00E71F76">
              <w:rPr>
                <w:b/>
                <w:sz w:val="21"/>
                <w:szCs w:val="21"/>
                <w:lang w:val="fr-FR" w:bidi="fr-FR"/>
              </w:rPr>
              <w:t>690</w:t>
            </w:r>
          </w:p>
        </w:tc>
        <w:tc>
          <w:tcPr>
            <w:tcW w:w="1008" w:type="dxa"/>
            <w:tcBorders>
              <w:top w:val="nil"/>
              <w:left w:val="nil"/>
              <w:bottom w:val="single" w:sz="4" w:space="0" w:color="auto"/>
              <w:right w:val="single" w:sz="4" w:space="0" w:color="auto"/>
            </w:tcBorders>
            <w:shd w:val="clear" w:color="auto" w:fill="auto"/>
            <w:noWrap/>
            <w:vAlign w:val="center"/>
            <w:hideMark/>
          </w:tcPr>
          <w:p w14:paraId="31BECB98" w14:textId="77777777" w:rsidR="006B5F5C" w:rsidRPr="00E71F76" w:rsidRDefault="006B5F5C" w:rsidP="006E3590">
            <w:pPr>
              <w:jc w:val="right"/>
              <w:rPr>
                <w:b/>
                <w:bCs/>
                <w:sz w:val="21"/>
                <w:szCs w:val="21"/>
                <w:lang w:eastAsia="en-CA"/>
              </w:rPr>
            </w:pPr>
            <w:r w:rsidRPr="00E71F76">
              <w:rPr>
                <w:b/>
                <w:sz w:val="21"/>
                <w:szCs w:val="21"/>
                <w:lang w:val="fr-FR" w:bidi="fr-FR"/>
              </w:rPr>
              <w:t>583</w:t>
            </w:r>
            <w:r>
              <w:rPr>
                <w:b/>
                <w:sz w:val="21"/>
                <w:szCs w:val="21"/>
                <w:lang w:val="fr-FR" w:bidi="fr-FR"/>
              </w:rPr>
              <w:t> </w:t>
            </w:r>
            <w:r w:rsidRPr="00E71F76">
              <w:rPr>
                <w:b/>
                <w:sz w:val="21"/>
                <w:szCs w:val="21"/>
                <w:lang w:val="fr-FR" w:bidi="fr-FR"/>
              </w:rPr>
              <w:t>512</w:t>
            </w:r>
          </w:p>
        </w:tc>
        <w:tc>
          <w:tcPr>
            <w:tcW w:w="1402" w:type="dxa"/>
            <w:tcBorders>
              <w:top w:val="nil"/>
              <w:left w:val="nil"/>
              <w:bottom w:val="single" w:sz="4" w:space="0" w:color="auto"/>
              <w:right w:val="single" w:sz="4" w:space="0" w:color="auto"/>
            </w:tcBorders>
            <w:shd w:val="clear" w:color="auto" w:fill="auto"/>
            <w:noWrap/>
            <w:vAlign w:val="center"/>
            <w:hideMark/>
          </w:tcPr>
          <w:p w14:paraId="7F954D52" w14:textId="77777777" w:rsidR="006B5F5C" w:rsidRPr="00E71F76" w:rsidRDefault="006B5F5C" w:rsidP="006E3590">
            <w:pPr>
              <w:jc w:val="right"/>
              <w:rPr>
                <w:b/>
                <w:bCs/>
                <w:sz w:val="21"/>
                <w:szCs w:val="21"/>
                <w:lang w:eastAsia="en-CA"/>
              </w:rPr>
            </w:pPr>
            <w:r w:rsidRPr="00E71F76">
              <w:rPr>
                <w:b/>
                <w:sz w:val="21"/>
                <w:szCs w:val="21"/>
                <w:lang w:val="fr-FR" w:bidi="fr-FR"/>
              </w:rPr>
              <w:t>5</w:t>
            </w:r>
            <w:r>
              <w:rPr>
                <w:b/>
                <w:sz w:val="21"/>
                <w:szCs w:val="21"/>
                <w:lang w:val="fr-FR" w:bidi="fr-FR"/>
              </w:rPr>
              <w:t> 660 </w:t>
            </w:r>
            <w:r w:rsidRPr="00E71F76">
              <w:rPr>
                <w:b/>
                <w:sz w:val="21"/>
                <w:szCs w:val="21"/>
                <w:lang w:val="fr-FR" w:bidi="fr-FR"/>
              </w:rPr>
              <w:t>768</w:t>
            </w:r>
          </w:p>
        </w:tc>
        <w:tc>
          <w:tcPr>
            <w:tcW w:w="1276" w:type="dxa"/>
            <w:tcBorders>
              <w:top w:val="nil"/>
              <w:left w:val="nil"/>
              <w:bottom w:val="single" w:sz="4" w:space="0" w:color="auto"/>
              <w:right w:val="single" w:sz="4" w:space="0" w:color="auto"/>
            </w:tcBorders>
            <w:shd w:val="clear" w:color="auto" w:fill="auto"/>
            <w:noWrap/>
            <w:vAlign w:val="center"/>
            <w:hideMark/>
          </w:tcPr>
          <w:p w14:paraId="1DC45174" w14:textId="77777777" w:rsidR="006B5F5C" w:rsidRPr="00E71F76" w:rsidRDefault="006B5F5C" w:rsidP="006E3590">
            <w:pPr>
              <w:jc w:val="right"/>
              <w:rPr>
                <w:b/>
                <w:bCs/>
                <w:sz w:val="21"/>
                <w:szCs w:val="21"/>
                <w:lang w:eastAsia="en-CA"/>
              </w:rPr>
            </w:pPr>
            <w:r w:rsidRPr="00E71F76">
              <w:rPr>
                <w:b/>
                <w:sz w:val="21"/>
                <w:szCs w:val="21"/>
                <w:lang w:val="fr-FR" w:bidi="fr-FR"/>
              </w:rPr>
              <w:t>859</w:t>
            </w:r>
            <w:r>
              <w:rPr>
                <w:b/>
                <w:sz w:val="21"/>
                <w:szCs w:val="21"/>
                <w:lang w:val="fr-FR" w:bidi="fr-FR"/>
              </w:rPr>
              <w:t> </w:t>
            </w:r>
            <w:r w:rsidRPr="00E71F76">
              <w:rPr>
                <w:b/>
                <w:sz w:val="21"/>
                <w:szCs w:val="21"/>
                <w:lang w:val="fr-FR" w:bidi="fr-FR"/>
              </w:rPr>
              <w:t>226</w:t>
            </w:r>
          </w:p>
        </w:tc>
      </w:tr>
    </w:tbl>
    <w:p w14:paraId="2EFA8134" w14:textId="77777777" w:rsidR="006B5F5C" w:rsidRPr="00E23538" w:rsidRDefault="006B5F5C" w:rsidP="006B5F5C">
      <w:pPr>
        <w:rPr>
          <w:sz w:val="20"/>
          <w:szCs w:val="20"/>
          <w:lang w:val="fr-FR"/>
        </w:rPr>
      </w:pPr>
      <w:r w:rsidRPr="002D6F5A">
        <w:rPr>
          <w:sz w:val="20"/>
          <w:szCs w:val="20"/>
          <w:lang w:val="fr-FR" w:bidi="fr-FR"/>
        </w:rPr>
        <w:t>* Y compris les coûts d</w:t>
      </w:r>
      <w:r>
        <w:rPr>
          <w:sz w:val="20"/>
          <w:szCs w:val="20"/>
          <w:lang w:val="fr-FR" w:bidi="fr-FR"/>
        </w:rPr>
        <w:t>’</w:t>
      </w:r>
      <w:r w:rsidRPr="002D6F5A">
        <w:rPr>
          <w:sz w:val="20"/>
          <w:szCs w:val="20"/>
          <w:lang w:val="fr-FR" w:bidi="fr-FR"/>
        </w:rPr>
        <w:t>appui d</w:t>
      </w:r>
      <w:r>
        <w:rPr>
          <w:sz w:val="20"/>
          <w:szCs w:val="20"/>
          <w:lang w:val="fr-FR" w:bidi="fr-FR"/>
        </w:rPr>
        <w:t>’</w:t>
      </w:r>
      <w:r w:rsidRPr="002D6F5A">
        <w:rPr>
          <w:sz w:val="20"/>
          <w:szCs w:val="20"/>
          <w:lang w:val="fr-FR" w:bidi="fr-FR"/>
        </w:rPr>
        <w:t>agence.</w:t>
      </w:r>
    </w:p>
    <w:p w14:paraId="5B3B71B2" w14:textId="77777777" w:rsidR="006B5F5C" w:rsidRPr="00E23538" w:rsidRDefault="006B5F5C" w:rsidP="006B5F5C">
      <w:pPr>
        <w:pStyle w:val="a--"/>
        <w:keepNext/>
        <w:tabs>
          <w:tab w:val="clear" w:pos="-720"/>
          <w:tab w:val="clear" w:pos="0"/>
          <w:tab w:val="clear" w:pos="720"/>
          <w:tab w:val="clear" w:pos="1440"/>
          <w:tab w:val="clear" w:pos="2160"/>
          <w:tab w:val="clear" w:pos="2880"/>
          <w:tab w:val="clear" w:pos="3600"/>
        </w:tabs>
        <w:suppressAutoHyphens w:val="0"/>
        <w:rPr>
          <w:sz w:val="22"/>
          <w:szCs w:val="22"/>
          <w:lang w:val="fr-FR"/>
        </w:rPr>
      </w:pPr>
    </w:p>
    <w:p w14:paraId="12859049" w14:textId="77777777" w:rsidR="006B5F5C" w:rsidRPr="002D6F5A" w:rsidRDefault="006B5F5C" w:rsidP="00066442">
      <w:pPr>
        <w:pStyle w:val="a--"/>
        <w:keepNext/>
        <w:tabs>
          <w:tab w:val="clear" w:pos="-720"/>
          <w:tab w:val="clear" w:pos="0"/>
          <w:tab w:val="clear" w:pos="720"/>
          <w:tab w:val="clear" w:pos="1440"/>
          <w:tab w:val="clear" w:pos="2160"/>
          <w:tab w:val="clear" w:pos="2880"/>
          <w:tab w:val="clear" w:pos="3600"/>
        </w:tabs>
        <w:suppressAutoHyphens w:val="0"/>
        <w:spacing w:after="240"/>
        <w:rPr>
          <w:sz w:val="22"/>
          <w:szCs w:val="22"/>
          <w:lang w:val="en-CA"/>
        </w:rPr>
      </w:pPr>
      <w:r w:rsidRPr="002D6F5A">
        <w:rPr>
          <w:sz w:val="22"/>
          <w:szCs w:val="22"/>
          <w:lang w:val="fr-FR" w:bidi="fr-FR"/>
        </w:rPr>
        <w:t>OBSERVATIONS</w:t>
      </w:r>
    </w:p>
    <w:p w14:paraId="0B06D0DD" w14:textId="77777777" w:rsidR="006B5F5C" w:rsidRPr="00E23538" w:rsidRDefault="006B5F5C" w:rsidP="00066442">
      <w:pPr>
        <w:pStyle w:val="Heading1"/>
        <w:rPr>
          <w:lang w:val="fr-FR"/>
        </w:rPr>
      </w:pPr>
      <w:r w:rsidRPr="002D6F5A">
        <w:rPr>
          <w:lang w:val="fr-FR" w:bidi="fr-FR"/>
        </w:rPr>
        <w:t>Le Secrétariat a examiné les plans d’activités de chacune des agences bilatérales, formulé des observations sur plusieurs activités proposées et évalué la valeur des activités par rapport aux contributions annuelles annoncées.</w:t>
      </w:r>
      <w:r w:rsidRPr="002D6F5A">
        <w:rPr>
          <w:rStyle w:val="FootnoteReference"/>
          <w:lang w:val="fr-FR" w:bidi="fr-FR"/>
        </w:rPr>
        <w:footnoteReference w:id="5"/>
      </w:r>
      <w:r w:rsidRPr="002D6F5A">
        <w:rPr>
          <w:lang w:val="fr-FR" w:bidi="fr-FR"/>
        </w:rPr>
        <w:t xml:space="preserve"> </w:t>
      </w:r>
    </w:p>
    <w:p w14:paraId="29567526" w14:textId="7F030D35" w:rsidR="006B5F5C" w:rsidRPr="00894085" w:rsidRDefault="006B5F5C" w:rsidP="00066442">
      <w:pPr>
        <w:spacing w:after="240"/>
        <w:rPr>
          <w:b/>
          <w:bCs/>
        </w:rPr>
      </w:pPr>
      <w:r w:rsidRPr="002D6F5A">
        <w:rPr>
          <w:b/>
          <w:lang w:val="fr-FR" w:bidi="fr-FR"/>
        </w:rPr>
        <w:t>Australie</w:t>
      </w:r>
    </w:p>
    <w:p w14:paraId="74D90273" w14:textId="20C5F7AA" w:rsidR="006B5F5C" w:rsidRPr="00E23538" w:rsidRDefault="006B5F5C" w:rsidP="00066442">
      <w:pPr>
        <w:pStyle w:val="Heading1"/>
        <w:rPr>
          <w:lang w:val="fr-FR"/>
        </w:rPr>
      </w:pPr>
      <w:r w:rsidRPr="002D6F5A">
        <w:rPr>
          <w:lang w:val="fr-FR" w:bidi="fr-FR"/>
        </w:rPr>
        <w:t>Le tableau</w:t>
      </w:r>
      <w:r>
        <w:rPr>
          <w:lang w:val="fr-FR" w:bidi="fr-FR"/>
        </w:rPr>
        <w:t> </w:t>
      </w:r>
      <w:r w:rsidRPr="002D6F5A">
        <w:rPr>
          <w:lang w:val="fr-FR" w:bidi="fr-FR"/>
        </w:rPr>
        <w:t>2 présente la répartition des ressources prévue par le plan d</w:t>
      </w:r>
      <w:r>
        <w:rPr>
          <w:lang w:val="fr-FR" w:bidi="fr-FR"/>
        </w:rPr>
        <w:t>’</w:t>
      </w:r>
      <w:r w:rsidRPr="002D6F5A">
        <w:rPr>
          <w:lang w:val="fr-FR" w:bidi="fr-FR"/>
        </w:rPr>
        <w:t>activités de l’Australie pour 2022-2024. En supposant que le niveau des contributions annoncées soit similaire à celui de la période</w:t>
      </w:r>
      <w:r>
        <w:rPr>
          <w:lang w:val="fr-FR" w:bidi="fr-FR"/>
        </w:rPr>
        <w:t> </w:t>
      </w:r>
      <w:r w:rsidRPr="002D6F5A">
        <w:rPr>
          <w:lang w:val="fr-FR" w:bidi="fr-FR"/>
        </w:rPr>
        <w:t>2018-2020, 20 % de la contribution annuelle annoncée par l</w:t>
      </w:r>
      <w:r>
        <w:rPr>
          <w:lang w:val="fr-FR" w:bidi="fr-FR"/>
        </w:rPr>
        <w:t>’</w:t>
      </w:r>
      <w:r w:rsidRPr="002D6F5A">
        <w:rPr>
          <w:lang w:val="fr-FR" w:bidi="fr-FR"/>
        </w:rPr>
        <w:t>Australie pour 2022 s</w:t>
      </w:r>
      <w:r>
        <w:rPr>
          <w:lang w:val="fr-FR" w:bidi="fr-FR"/>
        </w:rPr>
        <w:t>’</w:t>
      </w:r>
      <w:r w:rsidRPr="002D6F5A">
        <w:rPr>
          <w:lang w:val="fr-FR" w:bidi="fr-FR"/>
        </w:rPr>
        <w:t>élève à 1</w:t>
      </w:r>
      <w:r>
        <w:rPr>
          <w:lang w:val="fr-FR" w:bidi="fr-FR"/>
        </w:rPr>
        <w:t> 177 </w:t>
      </w:r>
      <w:r w:rsidRPr="002D6F5A">
        <w:rPr>
          <w:lang w:val="fr-FR" w:bidi="fr-FR"/>
        </w:rPr>
        <w:t>933</w:t>
      </w:r>
      <w:r>
        <w:rPr>
          <w:lang w:val="fr-FR" w:bidi="fr-FR"/>
        </w:rPr>
        <w:t> </w:t>
      </w:r>
      <w:r w:rsidRPr="002D6F5A">
        <w:rPr>
          <w:lang w:val="fr-FR" w:bidi="fr-FR"/>
        </w:rPr>
        <w:t>$ US.</w:t>
      </w:r>
    </w:p>
    <w:p w14:paraId="443FF934" w14:textId="77777777" w:rsidR="006B5F5C" w:rsidRPr="00E23538" w:rsidRDefault="006B5F5C" w:rsidP="006B5F5C">
      <w:pPr>
        <w:pStyle w:val="subhead"/>
        <w:keepNext/>
        <w:jc w:val="both"/>
        <w:rPr>
          <w:b/>
          <w:sz w:val="22"/>
          <w:szCs w:val="22"/>
          <w:lang w:val="fr-FR"/>
        </w:rPr>
      </w:pPr>
      <w:r w:rsidRPr="002D6F5A">
        <w:rPr>
          <w:b/>
          <w:sz w:val="22"/>
          <w:szCs w:val="22"/>
          <w:lang w:val="fr-FR" w:bidi="fr-FR"/>
        </w:rPr>
        <w:t>Tableau</w:t>
      </w:r>
      <w:r>
        <w:rPr>
          <w:b/>
          <w:sz w:val="22"/>
          <w:szCs w:val="22"/>
          <w:lang w:val="fr-FR" w:bidi="fr-FR"/>
        </w:rPr>
        <w:t> </w:t>
      </w:r>
      <w:r w:rsidRPr="002D6F5A">
        <w:rPr>
          <w:b/>
          <w:sz w:val="22"/>
          <w:szCs w:val="22"/>
          <w:lang w:val="fr-FR" w:bidi="fr-FR"/>
        </w:rPr>
        <w:t>2</w:t>
      </w:r>
      <w:r>
        <w:rPr>
          <w:b/>
          <w:sz w:val="22"/>
          <w:szCs w:val="22"/>
          <w:lang w:val="fr-FR" w:bidi="fr-FR"/>
        </w:rPr>
        <w:t> </w:t>
      </w:r>
      <w:r w:rsidRPr="002D6F5A">
        <w:rPr>
          <w:b/>
          <w:sz w:val="22"/>
          <w:szCs w:val="22"/>
          <w:lang w:val="fr-FR" w:bidi="fr-FR"/>
        </w:rPr>
        <w:t>: Allocation de ressources pour l</w:t>
      </w:r>
      <w:r>
        <w:rPr>
          <w:b/>
          <w:sz w:val="22"/>
          <w:szCs w:val="22"/>
          <w:lang w:val="fr-FR" w:bidi="fr-FR"/>
        </w:rPr>
        <w:t>’</w:t>
      </w:r>
      <w:r w:rsidRPr="002D6F5A">
        <w:rPr>
          <w:b/>
          <w:sz w:val="22"/>
          <w:szCs w:val="22"/>
          <w:lang w:val="fr-FR" w:bidi="fr-FR"/>
        </w:rPr>
        <w:t xml:space="preserve">Australie ($ </w:t>
      </w:r>
      <w:proofErr w:type="gramStart"/>
      <w:r w:rsidRPr="002D6F5A">
        <w:rPr>
          <w:b/>
          <w:sz w:val="22"/>
          <w:szCs w:val="22"/>
          <w:lang w:val="fr-FR" w:bidi="fr-FR"/>
        </w:rPr>
        <w:t>US)*</w:t>
      </w:r>
      <w:proofErr w:type="gramEnd"/>
    </w:p>
    <w:tbl>
      <w:tblPr>
        <w:tblW w:w="9356" w:type="dxa"/>
        <w:tblInd w:w="-5" w:type="dxa"/>
        <w:tblLayout w:type="fixed"/>
        <w:tblLook w:val="04A0" w:firstRow="1" w:lastRow="0" w:firstColumn="1" w:lastColumn="0" w:noHBand="0" w:noVBand="1"/>
      </w:tblPr>
      <w:tblGrid>
        <w:gridCol w:w="2410"/>
        <w:gridCol w:w="1389"/>
        <w:gridCol w:w="1389"/>
        <w:gridCol w:w="1389"/>
        <w:gridCol w:w="1389"/>
        <w:gridCol w:w="1390"/>
      </w:tblGrid>
      <w:tr w:rsidR="006B5F5C" w:rsidRPr="002D6F5A" w14:paraId="57139C52" w14:textId="77777777" w:rsidTr="006E3590">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0A71" w14:textId="77777777" w:rsidR="006B5F5C" w:rsidRPr="002D6F5A" w:rsidRDefault="006B5F5C" w:rsidP="006E3590">
            <w:pPr>
              <w:jc w:val="left"/>
              <w:rPr>
                <w:b/>
                <w:bCs/>
                <w:sz w:val="21"/>
                <w:szCs w:val="21"/>
                <w:lang w:eastAsia="en-CA"/>
              </w:rPr>
            </w:pPr>
            <w:r w:rsidRPr="002D6F5A">
              <w:rPr>
                <w:b/>
                <w:sz w:val="21"/>
                <w:szCs w:val="21"/>
                <w:lang w:val="fr-FR" w:bidi="fr-FR"/>
              </w:rPr>
              <w:t>Description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17C586FE" w14:textId="77777777" w:rsidR="006B5F5C" w:rsidRPr="002D6F5A" w:rsidRDefault="006B5F5C" w:rsidP="006E3590">
            <w:pPr>
              <w:jc w:val="center"/>
              <w:rPr>
                <w:b/>
                <w:bCs/>
                <w:sz w:val="21"/>
                <w:szCs w:val="21"/>
                <w:lang w:eastAsia="en-CA"/>
              </w:rPr>
            </w:pPr>
            <w:r w:rsidRPr="002D6F5A">
              <w:rPr>
                <w:b/>
                <w:sz w:val="21"/>
                <w:szCs w:val="21"/>
                <w:lang w:val="fr-FR" w:bidi="fr-FR"/>
              </w:rPr>
              <w:t>2022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FD86E02" w14:textId="77777777" w:rsidR="006B5F5C" w:rsidRPr="002D6F5A" w:rsidRDefault="006B5F5C" w:rsidP="006E3590">
            <w:pPr>
              <w:jc w:val="center"/>
              <w:rPr>
                <w:b/>
                <w:bCs/>
                <w:sz w:val="21"/>
                <w:szCs w:val="21"/>
                <w:lang w:eastAsia="en-CA"/>
              </w:rPr>
            </w:pPr>
            <w:r w:rsidRPr="002D6F5A">
              <w:rPr>
                <w:b/>
                <w:sz w:val="21"/>
                <w:szCs w:val="21"/>
                <w:lang w:val="fr-FR" w:bidi="fr-FR"/>
              </w:rPr>
              <w:t>2023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D00EAE2" w14:textId="77777777" w:rsidR="006B5F5C" w:rsidRPr="002D6F5A" w:rsidRDefault="006B5F5C" w:rsidP="006E3590">
            <w:pPr>
              <w:jc w:val="center"/>
              <w:rPr>
                <w:b/>
                <w:bCs/>
                <w:sz w:val="21"/>
                <w:szCs w:val="21"/>
                <w:lang w:eastAsia="en-CA"/>
              </w:rPr>
            </w:pPr>
            <w:r w:rsidRPr="002D6F5A">
              <w:rPr>
                <w:b/>
                <w:sz w:val="21"/>
                <w:szCs w:val="21"/>
                <w:lang w:val="fr-FR" w:bidi="fr-FR"/>
              </w:rPr>
              <w:t>2024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3FEE18" w14:textId="77777777" w:rsidR="006B5F5C" w:rsidRPr="002D6F5A" w:rsidRDefault="006B5F5C" w:rsidP="006E3590">
            <w:pPr>
              <w:jc w:val="center"/>
              <w:rPr>
                <w:b/>
                <w:bCs/>
                <w:sz w:val="21"/>
                <w:szCs w:val="21"/>
                <w:lang w:eastAsia="en-CA"/>
              </w:rPr>
            </w:pPr>
            <w:r w:rsidRPr="002D6F5A">
              <w:rPr>
                <w:b/>
                <w:sz w:val="21"/>
                <w:szCs w:val="21"/>
                <w:lang w:val="fr-FR" w:bidi="fr-FR"/>
              </w:rPr>
              <w:t xml:space="preserve">Total </w:t>
            </w:r>
          </w:p>
          <w:p w14:paraId="5A9DCA49" w14:textId="77777777" w:rsidR="006B5F5C" w:rsidRPr="002D6F5A" w:rsidRDefault="006B5F5C" w:rsidP="006E3590">
            <w:pPr>
              <w:jc w:val="center"/>
              <w:rPr>
                <w:b/>
                <w:bCs/>
                <w:sz w:val="21"/>
                <w:szCs w:val="21"/>
                <w:lang w:eastAsia="en-CA"/>
              </w:rPr>
            </w:pPr>
            <w:r w:rsidRPr="002D6F5A">
              <w:rPr>
                <w:b/>
                <w:sz w:val="21"/>
                <w:szCs w:val="21"/>
                <w:lang w:val="fr-FR" w:bidi="fr-FR"/>
              </w:rPr>
              <w:t>(2022–2024)</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2663BDE" w14:textId="77777777" w:rsidR="006B5F5C" w:rsidRPr="002D6F5A" w:rsidRDefault="006B5F5C" w:rsidP="006E3590">
            <w:pPr>
              <w:jc w:val="center"/>
              <w:rPr>
                <w:b/>
                <w:bCs/>
                <w:sz w:val="21"/>
                <w:szCs w:val="21"/>
                <w:lang w:eastAsia="en-CA"/>
              </w:rPr>
            </w:pPr>
            <w:r w:rsidRPr="002D6F5A">
              <w:rPr>
                <w:b/>
                <w:sz w:val="21"/>
                <w:szCs w:val="21"/>
                <w:lang w:val="fr-FR" w:bidi="fr-FR"/>
              </w:rPr>
              <w:t>Total après 2024</w:t>
            </w:r>
          </w:p>
        </w:tc>
      </w:tr>
      <w:tr w:rsidR="006B5F5C" w:rsidRPr="002D6F5A" w14:paraId="6F5FB33D" w14:textId="77777777" w:rsidTr="006E3590">
        <w:trPr>
          <w:trHeight w:val="99"/>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660EC8D" w14:textId="77777777" w:rsidR="006B5F5C" w:rsidRPr="002D6F5A" w:rsidRDefault="006B5F5C" w:rsidP="006E3590">
            <w:pPr>
              <w:jc w:val="left"/>
              <w:rPr>
                <w:b/>
                <w:bCs/>
                <w:sz w:val="21"/>
                <w:szCs w:val="21"/>
                <w:lang w:eastAsia="en-CA"/>
              </w:rPr>
            </w:pPr>
            <w:r w:rsidRPr="002D6F5A">
              <w:rPr>
                <w:b/>
                <w:sz w:val="21"/>
                <w:szCs w:val="21"/>
                <w:lang w:val="fr-FR" w:bidi="fr-FR"/>
              </w:rPr>
              <w:t>Activités relatives aux HCFC</w:t>
            </w:r>
          </w:p>
        </w:tc>
      </w:tr>
      <w:tr w:rsidR="006B5F5C" w:rsidRPr="002D6F5A" w14:paraId="728EF18B" w14:textId="77777777" w:rsidTr="006E3590">
        <w:trPr>
          <w:trHeight w:val="14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56C1914" w14:textId="77777777" w:rsidR="006B5F5C" w:rsidRPr="002D6F5A" w:rsidRDefault="006B5F5C" w:rsidP="006E3590">
            <w:pPr>
              <w:keepNext/>
              <w:jc w:val="left"/>
              <w:rPr>
                <w:sz w:val="21"/>
                <w:szCs w:val="21"/>
                <w:lang w:eastAsia="en-CA"/>
              </w:rPr>
            </w:pPr>
            <w:r w:rsidRPr="002D6F5A">
              <w:rPr>
                <w:sz w:val="21"/>
                <w:szCs w:val="21"/>
                <w:lang w:val="fr-FR" w:bidi="fr-FR"/>
              </w:rPr>
              <w:t>PGEH approuvés</w:t>
            </w:r>
          </w:p>
        </w:tc>
        <w:tc>
          <w:tcPr>
            <w:tcW w:w="1389" w:type="dxa"/>
            <w:tcBorders>
              <w:top w:val="nil"/>
              <w:left w:val="nil"/>
              <w:bottom w:val="single" w:sz="4" w:space="0" w:color="auto"/>
              <w:right w:val="single" w:sz="4" w:space="0" w:color="auto"/>
            </w:tcBorders>
            <w:shd w:val="clear" w:color="auto" w:fill="auto"/>
            <w:noWrap/>
          </w:tcPr>
          <w:p w14:paraId="5F0B0016" w14:textId="77777777" w:rsidR="006B5F5C" w:rsidRPr="002D6F5A" w:rsidRDefault="006B5F5C" w:rsidP="006E3590">
            <w:pPr>
              <w:jc w:val="right"/>
              <w:rPr>
                <w:sz w:val="21"/>
                <w:szCs w:val="21"/>
                <w:lang w:eastAsia="en-CA"/>
              </w:rPr>
            </w:pPr>
            <w:r w:rsidRPr="002D6F5A">
              <w:rPr>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tcPr>
          <w:p w14:paraId="440F3471" w14:textId="77777777" w:rsidR="006B5F5C" w:rsidRPr="002D6F5A" w:rsidRDefault="006B5F5C" w:rsidP="006E3590">
            <w:pPr>
              <w:jc w:val="right"/>
              <w:rPr>
                <w:sz w:val="21"/>
                <w:szCs w:val="21"/>
                <w:lang w:eastAsia="en-CA"/>
              </w:rPr>
            </w:pPr>
            <w:r w:rsidRPr="002D6F5A">
              <w:rPr>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tcPr>
          <w:p w14:paraId="165BB4D6" w14:textId="77777777" w:rsidR="006B5F5C" w:rsidRPr="002D6F5A" w:rsidRDefault="006B5F5C" w:rsidP="006E3590">
            <w:pPr>
              <w:jc w:val="right"/>
              <w:rPr>
                <w:sz w:val="21"/>
                <w:szCs w:val="21"/>
                <w:lang w:eastAsia="en-CA"/>
              </w:rPr>
            </w:pPr>
            <w:r w:rsidRPr="002D6F5A">
              <w:rPr>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tcPr>
          <w:p w14:paraId="57352ACA" w14:textId="77777777" w:rsidR="006B5F5C" w:rsidRPr="002D6F5A" w:rsidRDefault="006B5F5C" w:rsidP="006E3590">
            <w:pPr>
              <w:jc w:val="right"/>
              <w:rPr>
                <w:sz w:val="21"/>
                <w:szCs w:val="21"/>
                <w:lang w:eastAsia="en-CA"/>
              </w:rPr>
            </w:pPr>
            <w:r w:rsidRPr="002D6F5A">
              <w:rPr>
                <w:sz w:val="21"/>
                <w:szCs w:val="21"/>
                <w:lang w:val="fr-FR" w:bidi="fr-FR"/>
              </w:rPr>
              <w:t>0</w:t>
            </w:r>
          </w:p>
        </w:tc>
        <w:tc>
          <w:tcPr>
            <w:tcW w:w="1390" w:type="dxa"/>
            <w:tcBorders>
              <w:top w:val="nil"/>
              <w:left w:val="nil"/>
              <w:bottom w:val="single" w:sz="4" w:space="0" w:color="auto"/>
              <w:right w:val="single" w:sz="4" w:space="0" w:color="auto"/>
            </w:tcBorders>
            <w:shd w:val="clear" w:color="auto" w:fill="auto"/>
            <w:noWrap/>
          </w:tcPr>
          <w:p w14:paraId="2DB7784D" w14:textId="77777777" w:rsidR="006B5F5C" w:rsidRPr="002D6F5A" w:rsidRDefault="006B5F5C" w:rsidP="006E3590">
            <w:pPr>
              <w:jc w:val="right"/>
              <w:rPr>
                <w:sz w:val="21"/>
                <w:szCs w:val="21"/>
                <w:lang w:eastAsia="en-CA"/>
              </w:rPr>
            </w:pPr>
            <w:r w:rsidRPr="002D6F5A">
              <w:rPr>
                <w:b/>
                <w:sz w:val="21"/>
                <w:szCs w:val="21"/>
                <w:lang w:val="fr-FR" w:bidi="fr-FR"/>
              </w:rPr>
              <w:t>152</w:t>
            </w:r>
            <w:r>
              <w:rPr>
                <w:b/>
                <w:sz w:val="21"/>
                <w:szCs w:val="21"/>
                <w:lang w:val="fr-FR" w:bidi="fr-FR"/>
              </w:rPr>
              <w:t> </w:t>
            </w:r>
            <w:r w:rsidRPr="002D6F5A">
              <w:rPr>
                <w:b/>
                <w:sz w:val="21"/>
                <w:szCs w:val="21"/>
                <w:lang w:val="fr-FR" w:bidi="fr-FR"/>
              </w:rPr>
              <w:t>497</w:t>
            </w:r>
          </w:p>
        </w:tc>
      </w:tr>
      <w:tr w:rsidR="006B5F5C" w:rsidRPr="002D6F5A" w14:paraId="3B067526" w14:textId="77777777" w:rsidTr="006E3590">
        <w:trPr>
          <w:trHeight w:val="58"/>
        </w:trPr>
        <w:tc>
          <w:tcPr>
            <w:tcW w:w="2410" w:type="dxa"/>
            <w:tcBorders>
              <w:top w:val="nil"/>
              <w:left w:val="single" w:sz="4" w:space="0" w:color="auto"/>
              <w:bottom w:val="single" w:sz="4" w:space="0" w:color="auto"/>
              <w:right w:val="single" w:sz="4" w:space="0" w:color="auto"/>
            </w:tcBorders>
            <w:shd w:val="clear" w:color="auto" w:fill="auto"/>
            <w:noWrap/>
            <w:hideMark/>
          </w:tcPr>
          <w:p w14:paraId="70D55DF3" w14:textId="77777777" w:rsidR="006B5F5C" w:rsidRPr="002D6F5A" w:rsidRDefault="006B5F5C" w:rsidP="006E3590">
            <w:pPr>
              <w:jc w:val="left"/>
              <w:rPr>
                <w:b/>
                <w:bCs/>
                <w:sz w:val="21"/>
                <w:szCs w:val="21"/>
                <w:lang w:eastAsia="en-CA"/>
              </w:rPr>
            </w:pPr>
            <w:r w:rsidRPr="002D6F5A">
              <w:rPr>
                <w:b/>
                <w:sz w:val="21"/>
                <w:szCs w:val="21"/>
                <w:lang w:val="fr-FR" w:bidi="fr-FR"/>
              </w:rPr>
              <w:t>Total</w:t>
            </w:r>
          </w:p>
        </w:tc>
        <w:tc>
          <w:tcPr>
            <w:tcW w:w="1389" w:type="dxa"/>
            <w:tcBorders>
              <w:top w:val="nil"/>
              <w:left w:val="nil"/>
              <w:bottom w:val="single" w:sz="4" w:space="0" w:color="auto"/>
              <w:right w:val="single" w:sz="4" w:space="0" w:color="auto"/>
            </w:tcBorders>
            <w:shd w:val="clear" w:color="auto" w:fill="auto"/>
            <w:noWrap/>
          </w:tcPr>
          <w:p w14:paraId="4482283E" w14:textId="77777777" w:rsidR="006B5F5C" w:rsidRPr="002D6F5A" w:rsidRDefault="006B5F5C" w:rsidP="006E3590">
            <w:pPr>
              <w:jc w:val="right"/>
              <w:rPr>
                <w:b/>
                <w:sz w:val="21"/>
                <w:szCs w:val="21"/>
                <w:lang w:eastAsia="en-CA"/>
              </w:rPr>
            </w:pPr>
            <w:r w:rsidRPr="002D6F5A">
              <w:rPr>
                <w:b/>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tcPr>
          <w:p w14:paraId="504E9AD4" w14:textId="77777777" w:rsidR="006B5F5C" w:rsidRPr="002D6F5A" w:rsidRDefault="006B5F5C" w:rsidP="006E3590">
            <w:pPr>
              <w:jc w:val="right"/>
              <w:rPr>
                <w:b/>
                <w:sz w:val="21"/>
                <w:szCs w:val="21"/>
                <w:lang w:eastAsia="en-CA"/>
              </w:rPr>
            </w:pPr>
            <w:r w:rsidRPr="002D6F5A">
              <w:rPr>
                <w:b/>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tcPr>
          <w:p w14:paraId="72969BB7" w14:textId="77777777" w:rsidR="006B5F5C" w:rsidRPr="002D6F5A" w:rsidRDefault="006B5F5C" w:rsidP="006E3590">
            <w:pPr>
              <w:jc w:val="right"/>
              <w:rPr>
                <w:b/>
                <w:sz w:val="21"/>
                <w:szCs w:val="21"/>
                <w:lang w:eastAsia="en-CA"/>
              </w:rPr>
            </w:pPr>
            <w:r w:rsidRPr="002D6F5A">
              <w:rPr>
                <w:b/>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tcPr>
          <w:p w14:paraId="16E0C07B" w14:textId="77777777" w:rsidR="006B5F5C" w:rsidRPr="002D6F5A" w:rsidRDefault="006B5F5C" w:rsidP="006E3590">
            <w:pPr>
              <w:jc w:val="right"/>
              <w:rPr>
                <w:b/>
                <w:sz w:val="21"/>
                <w:szCs w:val="21"/>
                <w:lang w:eastAsia="en-CA"/>
              </w:rPr>
            </w:pPr>
            <w:r w:rsidRPr="002D6F5A">
              <w:rPr>
                <w:b/>
                <w:sz w:val="21"/>
                <w:szCs w:val="21"/>
                <w:lang w:val="fr-FR" w:bidi="fr-FR"/>
              </w:rPr>
              <w:t>0</w:t>
            </w:r>
          </w:p>
        </w:tc>
        <w:tc>
          <w:tcPr>
            <w:tcW w:w="1390" w:type="dxa"/>
            <w:tcBorders>
              <w:top w:val="nil"/>
              <w:left w:val="nil"/>
              <w:bottom w:val="single" w:sz="4" w:space="0" w:color="auto"/>
              <w:right w:val="single" w:sz="4" w:space="0" w:color="auto"/>
            </w:tcBorders>
            <w:shd w:val="clear" w:color="auto" w:fill="auto"/>
            <w:noWrap/>
          </w:tcPr>
          <w:p w14:paraId="4744F20B" w14:textId="77777777" w:rsidR="006B5F5C" w:rsidRPr="002D6F5A" w:rsidRDefault="006B5F5C" w:rsidP="006E3590">
            <w:pPr>
              <w:jc w:val="right"/>
              <w:rPr>
                <w:b/>
                <w:sz w:val="21"/>
                <w:szCs w:val="21"/>
                <w:lang w:eastAsia="en-CA"/>
              </w:rPr>
            </w:pPr>
            <w:r w:rsidRPr="002D6F5A">
              <w:rPr>
                <w:b/>
                <w:sz w:val="21"/>
                <w:szCs w:val="21"/>
                <w:lang w:val="fr-FR" w:bidi="fr-FR"/>
              </w:rPr>
              <w:t>152</w:t>
            </w:r>
            <w:r>
              <w:rPr>
                <w:b/>
                <w:sz w:val="21"/>
                <w:szCs w:val="21"/>
                <w:lang w:val="fr-FR" w:bidi="fr-FR"/>
              </w:rPr>
              <w:t> </w:t>
            </w:r>
            <w:r w:rsidRPr="002D6F5A">
              <w:rPr>
                <w:b/>
                <w:sz w:val="21"/>
                <w:szCs w:val="21"/>
                <w:lang w:val="fr-FR" w:bidi="fr-FR"/>
              </w:rPr>
              <w:t>497</w:t>
            </w:r>
          </w:p>
        </w:tc>
      </w:tr>
    </w:tbl>
    <w:p w14:paraId="01C914E4" w14:textId="77777777" w:rsidR="006B5F5C" w:rsidRPr="00E23538" w:rsidRDefault="006B5F5C" w:rsidP="006B5F5C">
      <w:pPr>
        <w:rPr>
          <w:sz w:val="20"/>
          <w:szCs w:val="20"/>
          <w:lang w:val="fr-FR"/>
        </w:rPr>
      </w:pPr>
      <w:r w:rsidRPr="002D6F5A">
        <w:rPr>
          <w:sz w:val="20"/>
          <w:szCs w:val="20"/>
          <w:lang w:val="fr-FR" w:bidi="fr-FR"/>
        </w:rPr>
        <w:t>* Y compris les coûts d</w:t>
      </w:r>
      <w:r>
        <w:rPr>
          <w:sz w:val="20"/>
          <w:szCs w:val="20"/>
          <w:lang w:val="fr-FR" w:bidi="fr-FR"/>
        </w:rPr>
        <w:t>’</w:t>
      </w:r>
      <w:r w:rsidRPr="002D6F5A">
        <w:rPr>
          <w:sz w:val="20"/>
          <w:szCs w:val="20"/>
          <w:lang w:val="fr-FR" w:bidi="fr-FR"/>
        </w:rPr>
        <w:t>appui d</w:t>
      </w:r>
      <w:r>
        <w:rPr>
          <w:sz w:val="20"/>
          <w:szCs w:val="20"/>
          <w:lang w:val="fr-FR" w:bidi="fr-FR"/>
        </w:rPr>
        <w:t>’</w:t>
      </w:r>
      <w:r w:rsidRPr="002D6F5A">
        <w:rPr>
          <w:sz w:val="20"/>
          <w:szCs w:val="20"/>
          <w:lang w:val="fr-FR" w:bidi="fr-FR"/>
        </w:rPr>
        <w:t>agence.</w:t>
      </w:r>
    </w:p>
    <w:p w14:paraId="1A331964" w14:textId="77777777" w:rsidR="006B5F5C" w:rsidRPr="00E23538" w:rsidRDefault="006B5F5C" w:rsidP="006B5F5C">
      <w:pPr>
        <w:rPr>
          <w:b/>
          <w:bCs/>
          <w:lang w:val="fr-FR"/>
        </w:rPr>
      </w:pPr>
    </w:p>
    <w:p w14:paraId="3561CB67" w14:textId="77777777" w:rsidR="006B5F5C" w:rsidRPr="00894085" w:rsidRDefault="006B5F5C" w:rsidP="00066442">
      <w:pPr>
        <w:spacing w:after="240"/>
        <w:rPr>
          <w:b/>
          <w:bCs/>
        </w:rPr>
      </w:pPr>
      <w:r w:rsidRPr="00894085">
        <w:rPr>
          <w:b/>
          <w:lang w:val="fr-FR" w:bidi="fr-FR"/>
        </w:rPr>
        <w:t>Autriche</w:t>
      </w:r>
    </w:p>
    <w:p w14:paraId="03C4F022" w14:textId="30AD4056" w:rsidR="006B5F5C" w:rsidRPr="00E23538" w:rsidRDefault="006B5F5C" w:rsidP="00066442">
      <w:pPr>
        <w:pStyle w:val="Heading1"/>
        <w:rPr>
          <w:lang w:val="fr-FR"/>
        </w:rPr>
      </w:pPr>
      <w:r w:rsidRPr="005569B8">
        <w:rPr>
          <w:lang w:val="fr-FR" w:bidi="fr-FR"/>
        </w:rPr>
        <w:t>Le tableau</w:t>
      </w:r>
      <w:r>
        <w:rPr>
          <w:lang w:val="fr-FR" w:bidi="fr-FR"/>
        </w:rPr>
        <w:t> </w:t>
      </w:r>
      <w:r w:rsidRPr="005569B8">
        <w:rPr>
          <w:lang w:val="fr-FR" w:bidi="fr-FR"/>
        </w:rPr>
        <w:t>3 présente la répartition des ressources prévue par le plan d</w:t>
      </w:r>
      <w:r>
        <w:rPr>
          <w:lang w:val="fr-FR" w:bidi="fr-FR"/>
        </w:rPr>
        <w:t>’</w:t>
      </w:r>
      <w:r w:rsidRPr="005569B8">
        <w:rPr>
          <w:lang w:val="fr-FR" w:bidi="fr-FR"/>
        </w:rPr>
        <w:t>activités de l’Autriche pour 2022-2024. En supposant que le niveau des contributions annoncées soit similaire à celui de la période</w:t>
      </w:r>
      <w:r>
        <w:rPr>
          <w:lang w:val="fr-FR" w:bidi="fr-FR"/>
        </w:rPr>
        <w:t> </w:t>
      </w:r>
      <w:r w:rsidRPr="005569B8">
        <w:rPr>
          <w:lang w:val="fr-FR" w:bidi="fr-FR"/>
        </w:rPr>
        <w:t>2018-2020, 20 % de la contribution annuelle annoncée par l</w:t>
      </w:r>
      <w:r>
        <w:rPr>
          <w:lang w:val="fr-FR" w:bidi="fr-FR"/>
        </w:rPr>
        <w:t>’</w:t>
      </w:r>
      <w:r w:rsidRPr="005569B8">
        <w:rPr>
          <w:lang w:val="fr-FR" w:bidi="fr-FR"/>
        </w:rPr>
        <w:t>Autriche pour 2022 s</w:t>
      </w:r>
      <w:r>
        <w:rPr>
          <w:lang w:val="fr-FR" w:bidi="fr-FR"/>
        </w:rPr>
        <w:t>’</w:t>
      </w:r>
      <w:r w:rsidRPr="005569B8">
        <w:rPr>
          <w:lang w:val="fr-FR" w:bidi="fr-FR"/>
        </w:rPr>
        <w:t xml:space="preserve">élève à </w:t>
      </w:r>
      <w:r w:rsidRPr="005569B8">
        <w:rPr>
          <w:lang w:val="fr-FR" w:bidi="fr-FR"/>
        </w:rPr>
        <w:lastRenderedPageBreak/>
        <w:t>362</w:t>
      </w:r>
      <w:r>
        <w:rPr>
          <w:lang w:val="fr-FR" w:bidi="fr-FR"/>
        </w:rPr>
        <w:t> </w:t>
      </w:r>
      <w:r w:rsidRPr="005569B8">
        <w:rPr>
          <w:lang w:val="fr-FR" w:bidi="fr-FR"/>
        </w:rPr>
        <w:t>900</w:t>
      </w:r>
      <w:r>
        <w:rPr>
          <w:lang w:val="fr-FR" w:bidi="fr-FR"/>
        </w:rPr>
        <w:t> </w:t>
      </w:r>
      <w:r w:rsidRPr="005569B8">
        <w:rPr>
          <w:lang w:val="fr-FR" w:bidi="fr-FR"/>
        </w:rPr>
        <w:t>$</w:t>
      </w:r>
      <w:r w:rsidR="00BE6BA2">
        <w:rPr>
          <w:lang w:val="fr-FR" w:bidi="fr-FR"/>
        </w:rPr>
        <w:t> </w:t>
      </w:r>
      <w:r w:rsidRPr="005569B8">
        <w:rPr>
          <w:lang w:val="fr-FR" w:bidi="fr-FR"/>
        </w:rPr>
        <w:t>US ou 1</w:t>
      </w:r>
      <w:r>
        <w:rPr>
          <w:lang w:val="fr-FR" w:bidi="fr-FR"/>
        </w:rPr>
        <w:t> 088 </w:t>
      </w:r>
      <w:r w:rsidRPr="005569B8">
        <w:rPr>
          <w:lang w:val="fr-FR" w:bidi="fr-FR"/>
        </w:rPr>
        <w:t>700</w:t>
      </w:r>
      <w:r>
        <w:rPr>
          <w:lang w:val="fr-FR" w:bidi="fr-FR"/>
        </w:rPr>
        <w:t> </w:t>
      </w:r>
      <w:r w:rsidRPr="005569B8">
        <w:rPr>
          <w:lang w:val="fr-FR" w:bidi="fr-FR"/>
        </w:rPr>
        <w:t>$ US pour la période triennale</w:t>
      </w:r>
      <w:r>
        <w:rPr>
          <w:lang w:val="fr-FR" w:bidi="fr-FR"/>
        </w:rPr>
        <w:t> </w:t>
      </w:r>
      <w:r w:rsidRPr="005569B8">
        <w:rPr>
          <w:lang w:val="fr-FR" w:bidi="fr-FR"/>
        </w:rPr>
        <w:t>2021-2023. Compte tenu de la soumission à la 88</w:t>
      </w:r>
      <w:r w:rsidRPr="005569B8">
        <w:rPr>
          <w:vertAlign w:val="superscript"/>
          <w:lang w:val="fr-FR" w:bidi="fr-FR"/>
        </w:rPr>
        <w:t>e</w:t>
      </w:r>
      <w:r>
        <w:rPr>
          <w:lang w:val="fr-FR" w:bidi="fr-FR"/>
        </w:rPr>
        <w:t> </w:t>
      </w:r>
      <w:r w:rsidRPr="005569B8">
        <w:rPr>
          <w:lang w:val="fr-FR" w:bidi="fr-FR"/>
        </w:rPr>
        <w:t>réunion (391</w:t>
      </w:r>
      <w:r>
        <w:rPr>
          <w:lang w:val="fr-FR" w:bidi="fr-FR"/>
        </w:rPr>
        <w:t> </w:t>
      </w:r>
      <w:r w:rsidRPr="005569B8">
        <w:rPr>
          <w:lang w:val="fr-FR" w:bidi="fr-FR"/>
        </w:rPr>
        <w:t>833 $ US) si elle est approuvée comme prévu, et des valeurs ajustées des plans d</w:t>
      </w:r>
      <w:r>
        <w:rPr>
          <w:lang w:val="fr-FR" w:bidi="fr-FR"/>
        </w:rPr>
        <w:t>’</w:t>
      </w:r>
      <w:r w:rsidRPr="005569B8">
        <w:rPr>
          <w:lang w:val="fr-FR" w:bidi="fr-FR"/>
        </w:rPr>
        <w:t>activités pour 2023 (783</w:t>
      </w:r>
      <w:r>
        <w:rPr>
          <w:lang w:val="fr-FR" w:bidi="fr-FR"/>
        </w:rPr>
        <w:t> </w:t>
      </w:r>
      <w:r w:rsidRPr="005569B8">
        <w:rPr>
          <w:lang w:val="fr-FR" w:bidi="fr-FR"/>
        </w:rPr>
        <w:t>667 $ US), l</w:t>
      </w:r>
      <w:r>
        <w:rPr>
          <w:lang w:val="fr-FR" w:bidi="fr-FR"/>
        </w:rPr>
        <w:t>’</w:t>
      </w:r>
      <w:r w:rsidRPr="005569B8">
        <w:rPr>
          <w:lang w:val="fr-FR" w:bidi="fr-FR"/>
        </w:rPr>
        <w:t>Autriche dépasserait de 86</w:t>
      </w:r>
      <w:r>
        <w:rPr>
          <w:lang w:val="fr-FR" w:bidi="fr-FR"/>
        </w:rPr>
        <w:t> </w:t>
      </w:r>
      <w:r w:rsidRPr="005569B8">
        <w:rPr>
          <w:lang w:val="fr-FR" w:bidi="fr-FR"/>
        </w:rPr>
        <w:t>800</w:t>
      </w:r>
      <w:r>
        <w:rPr>
          <w:lang w:val="fr-FR" w:bidi="fr-FR"/>
        </w:rPr>
        <w:t> </w:t>
      </w:r>
      <w:r w:rsidRPr="005569B8">
        <w:rPr>
          <w:lang w:val="fr-FR" w:bidi="fr-FR"/>
        </w:rPr>
        <w:t>$ US les 20 % de la contribution annoncée pour la période triennale</w:t>
      </w:r>
      <w:r>
        <w:rPr>
          <w:lang w:val="fr-FR" w:bidi="fr-FR"/>
        </w:rPr>
        <w:t> </w:t>
      </w:r>
      <w:r w:rsidRPr="005569B8">
        <w:rPr>
          <w:lang w:val="fr-FR" w:bidi="fr-FR"/>
        </w:rPr>
        <w:t>2021</w:t>
      </w:r>
      <w:r>
        <w:rPr>
          <w:lang w:val="fr-FR" w:bidi="fr-FR"/>
        </w:rPr>
        <w:noBreakHyphen/>
      </w:r>
      <w:r w:rsidRPr="005569B8">
        <w:rPr>
          <w:lang w:val="fr-FR" w:bidi="fr-FR"/>
        </w:rPr>
        <w:t xml:space="preserve">2023. La </w:t>
      </w:r>
      <w:proofErr w:type="spellStart"/>
      <w:r w:rsidRPr="005569B8">
        <w:rPr>
          <w:lang w:val="fr-FR" w:bidi="fr-FR"/>
        </w:rPr>
        <w:t>surprogrammation</w:t>
      </w:r>
      <w:proofErr w:type="spellEnd"/>
      <w:r w:rsidRPr="005569B8">
        <w:rPr>
          <w:lang w:val="fr-FR" w:bidi="fr-FR"/>
        </w:rPr>
        <w:t xml:space="preserve"> potentielle a été portée à l</w:t>
      </w:r>
      <w:r>
        <w:rPr>
          <w:lang w:val="fr-FR" w:bidi="fr-FR"/>
        </w:rPr>
        <w:t>’</w:t>
      </w:r>
      <w:r w:rsidRPr="005569B8">
        <w:rPr>
          <w:lang w:val="fr-FR" w:bidi="fr-FR"/>
        </w:rPr>
        <w:t>attention du Gouvernement autrichien et sera traitée une fois que les Parties auront convenu du niveau de reconstitution du Fonds multilatéral pour la période triennale</w:t>
      </w:r>
      <w:r>
        <w:rPr>
          <w:lang w:val="fr-FR" w:bidi="fr-FR"/>
        </w:rPr>
        <w:t> </w:t>
      </w:r>
      <w:r w:rsidRPr="005569B8">
        <w:rPr>
          <w:lang w:val="fr-FR" w:bidi="fr-FR"/>
        </w:rPr>
        <w:t>2021-2023.</w:t>
      </w:r>
    </w:p>
    <w:p w14:paraId="353D074B" w14:textId="77777777" w:rsidR="006B5F5C" w:rsidRPr="00E23538" w:rsidRDefault="006B5F5C" w:rsidP="006B5F5C">
      <w:pPr>
        <w:pStyle w:val="Heading1"/>
        <w:keepNext/>
        <w:numPr>
          <w:ilvl w:val="0"/>
          <w:numId w:val="0"/>
        </w:numPr>
        <w:spacing w:after="0"/>
        <w:rPr>
          <w:b/>
          <w:lang w:val="fr-FR"/>
        </w:rPr>
      </w:pPr>
      <w:r w:rsidRPr="005569B8">
        <w:rPr>
          <w:b/>
          <w:lang w:val="fr-FR" w:bidi="fr-FR"/>
        </w:rPr>
        <w:t>Tableau</w:t>
      </w:r>
      <w:r>
        <w:rPr>
          <w:b/>
          <w:lang w:val="fr-FR" w:bidi="fr-FR"/>
        </w:rPr>
        <w:t> </w:t>
      </w:r>
      <w:r w:rsidRPr="005569B8">
        <w:rPr>
          <w:b/>
          <w:lang w:val="fr-FR" w:bidi="fr-FR"/>
        </w:rPr>
        <w:t>3</w:t>
      </w:r>
      <w:r>
        <w:rPr>
          <w:b/>
          <w:lang w:val="fr-FR" w:bidi="fr-FR"/>
        </w:rPr>
        <w:t> </w:t>
      </w:r>
      <w:r w:rsidRPr="005569B8">
        <w:rPr>
          <w:b/>
          <w:lang w:val="fr-FR" w:bidi="fr-FR"/>
        </w:rPr>
        <w:t>: Répartition des ressources pour l</w:t>
      </w:r>
      <w:r>
        <w:rPr>
          <w:b/>
          <w:lang w:val="fr-FR" w:bidi="fr-FR"/>
        </w:rPr>
        <w:t>’</w:t>
      </w:r>
      <w:r w:rsidRPr="005569B8">
        <w:rPr>
          <w:b/>
          <w:lang w:val="fr-FR" w:bidi="fr-FR"/>
        </w:rPr>
        <w:t xml:space="preserve">Australie ($ </w:t>
      </w:r>
      <w:proofErr w:type="gramStart"/>
      <w:r w:rsidRPr="005569B8">
        <w:rPr>
          <w:b/>
          <w:lang w:val="fr-FR" w:bidi="fr-FR"/>
        </w:rPr>
        <w:t>US)*</w:t>
      </w:r>
      <w:proofErr w:type="gramEnd"/>
    </w:p>
    <w:tbl>
      <w:tblPr>
        <w:tblW w:w="9356" w:type="dxa"/>
        <w:tblInd w:w="-5" w:type="dxa"/>
        <w:tblLayout w:type="fixed"/>
        <w:tblLook w:val="04A0" w:firstRow="1" w:lastRow="0" w:firstColumn="1" w:lastColumn="0" w:noHBand="0" w:noVBand="1"/>
      </w:tblPr>
      <w:tblGrid>
        <w:gridCol w:w="2552"/>
        <w:gridCol w:w="1360"/>
        <w:gridCol w:w="1361"/>
        <w:gridCol w:w="1361"/>
        <w:gridCol w:w="1361"/>
        <w:gridCol w:w="1361"/>
      </w:tblGrid>
      <w:tr w:rsidR="006B5F5C" w:rsidRPr="005569B8" w14:paraId="6130A710" w14:textId="77777777" w:rsidTr="006E3590">
        <w:trPr>
          <w:trHeight w:val="261"/>
          <w:tblHead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91E8" w14:textId="77777777" w:rsidR="006B5F5C" w:rsidRPr="005569B8" w:rsidRDefault="006B5F5C" w:rsidP="006E3590">
            <w:pPr>
              <w:jc w:val="left"/>
              <w:rPr>
                <w:b/>
                <w:bCs/>
                <w:sz w:val="21"/>
                <w:szCs w:val="21"/>
                <w:lang w:eastAsia="en-CA"/>
              </w:rPr>
            </w:pPr>
            <w:r w:rsidRPr="005569B8">
              <w:rPr>
                <w:b/>
                <w:sz w:val="21"/>
                <w:szCs w:val="21"/>
                <w:lang w:val="fr-FR" w:bidi="fr-FR"/>
              </w:rPr>
              <w:t>Description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7E3139A" w14:textId="77777777" w:rsidR="006B5F5C" w:rsidRPr="005569B8" w:rsidRDefault="006B5F5C" w:rsidP="006E3590">
            <w:pPr>
              <w:jc w:val="center"/>
              <w:rPr>
                <w:b/>
                <w:bCs/>
                <w:sz w:val="21"/>
                <w:szCs w:val="21"/>
                <w:lang w:eastAsia="en-CA"/>
              </w:rPr>
            </w:pPr>
            <w:r w:rsidRPr="005569B8">
              <w:rPr>
                <w:b/>
                <w:sz w:val="21"/>
                <w:szCs w:val="21"/>
                <w:lang w:val="fr-FR" w:bidi="fr-FR"/>
              </w:rPr>
              <w:t>2022</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D73B5C3" w14:textId="77777777" w:rsidR="006B5F5C" w:rsidRPr="005569B8" w:rsidRDefault="006B5F5C" w:rsidP="006E3590">
            <w:pPr>
              <w:jc w:val="center"/>
              <w:rPr>
                <w:b/>
                <w:bCs/>
                <w:sz w:val="21"/>
                <w:szCs w:val="21"/>
                <w:lang w:eastAsia="en-CA"/>
              </w:rPr>
            </w:pPr>
            <w:r w:rsidRPr="005569B8">
              <w:rPr>
                <w:b/>
                <w:sz w:val="21"/>
                <w:szCs w:val="21"/>
                <w:lang w:val="fr-FR" w:bidi="fr-FR"/>
              </w:rPr>
              <w:t>2023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B10F5BC" w14:textId="77777777" w:rsidR="006B5F5C" w:rsidRPr="005569B8" w:rsidRDefault="006B5F5C" w:rsidP="006E3590">
            <w:pPr>
              <w:jc w:val="center"/>
              <w:rPr>
                <w:b/>
                <w:bCs/>
                <w:sz w:val="21"/>
                <w:szCs w:val="21"/>
                <w:lang w:eastAsia="en-CA"/>
              </w:rPr>
            </w:pPr>
            <w:r w:rsidRPr="005569B8">
              <w:rPr>
                <w:b/>
                <w:sz w:val="21"/>
                <w:szCs w:val="21"/>
                <w:lang w:val="fr-FR" w:bidi="fr-FR"/>
              </w:rPr>
              <w:t>2024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4B00125" w14:textId="77777777" w:rsidR="006B5F5C" w:rsidRPr="005569B8" w:rsidRDefault="006B5F5C" w:rsidP="006E3590">
            <w:pPr>
              <w:jc w:val="center"/>
              <w:rPr>
                <w:b/>
                <w:bCs/>
                <w:sz w:val="21"/>
                <w:szCs w:val="21"/>
                <w:lang w:eastAsia="en-CA"/>
              </w:rPr>
            </w:pPr>
            <w:r w:rsidRPr="005569B8">
              <w:rPr>
                <w:b/>
                <w:sz w:val="21"/>
                <w:szCs w:val="21"/>
                <w:lang w:val="fr-FR" w:bidi="fr-FR"/>
              </w:rPr>
              <w:t xml:space="preserve">Total </w:t>
            </w:r>
          </w:p>
          <w:p w14:paraId="5F28A5BB" w14:textId="77777777" w:rsidR="006B5F5C" w:rsidRPr="005569B8" w:rsidRDefault="006B5F5C" w:rsidP="006E3590">
            <w:pPr>
              <w:jc w:val="center"/>
              <w:rPr>
                <w:b/>
                <w:bCs/>
                <w:sz w:val="21"/>
                <w:szCs w:val="21"/>
                <w:lang w:eastAsia="en-CA"/>
              </w:rPr>
            </w:pPr>
            <w:r w:rsidRPr="005569B8">
              <w:rPr>
                <w:b/>
                <w:sz w:val="21"/>
                <w:szCs w:val="21"/>
                <w:lang w:val="fr-FR" w:bidi="fr-FR"/>
              </w:rPr>
              <w:t>(2022–2024)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56AE71A" w14:textId="77777777" w:rsidR="006B5F5C" w:rsidRPr="005569B8" w:rsidRDefault="006B5F5C" w:rsidP="006E3590">
            <w:pPr>
              <w:jc w:val="center"/>
              <w:rPr>
                <w:b/>
                <w:bCs/>
                <w:sz w:val="21"/>
                <w:szCs w:val="21"/>
                <w:lang w:eastAsia="en-CA"/>
              </w:rPr>
            </w:pPr>
            <w:r w:rsidRPr="005569B8">
              <w:rPr>
                <w:b/>
                <w:sz w:val="21"/>
                <w:szCs w:val="21"/>
                <w:lang w:val="fr-FR" w:bidi="fr-FR"/>
              </w:rPr>
              <w:t>Total après 2024</w:t>
            </w:r>
          </w:p>
        </w:tc>
      </w:tr>
      <w:tr w:rsidR="006B5F5C" w:rsidRPr="005569B8" w14:paraId="06655BE5" w14:textId="77777777" w:rsidTr="006E3590">
        <w:trPr>
          <w:trHeight w:val="107"/>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E9C1" w14:textId="77777777" w:rsidR="006B5F5C" w:rsidRPr="005569B8" w:rsidRDefault="006B5F5C" w:rsidP="006E3590">
            <w:pPr>
              <w:jc w:val="left"/>
              <w:rPr>
                <w:b/>
                <w:bCs/>
                <w:sz w:val="21"/>
                <w:szCs w:val="21"/>
                <w:lang w:eastAsia="en-CA"/>
              </w:rPr>
            </w:pPr>
            <w:r w:rsidRPr="005569B8">
              <w:rPr>
                <w:b/>
                <w:sz w:val="21"/>
                <w:szCs w:val="21"/>
                <w:lang w:val="fr-FR" w:bidi="fr-FR"/>
              </w:rPr>
              <w:t>Activités relatives aux HCFC</w:t>
            </w:r>
          </w:p>
        </w:tc>
      </w:tr>
      <w:tr w:rsidR="006B5F5C" w:rsidRPr="005569B8" w14:paraId="4AF479E1" w14:textId="77777777" w:rsidTr="006E3590">
        <w:trPr>
          <w:trHeight w:val="8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9831E4E" w14:textId="77777777" w:rsidR="006B5F5C" w:rsidRPr="005569B8" w:rsidRDefault="006B5F5C" w:rsidP="006E3590">
            <w:pPr>
              <w:jc w:val="left"/>
              <w:rPr>
                <w:sz w:val="21"/>
                <w:szCs w:val="21"/>
                <w:lang w:eastAsia="en-CA"/>
              </w:rPr>
            </w:pPr>
            <w:r w:rsidRPr="005569B8">
              <w:rPr>
                <w:sz w:val="21"/>
                <w:szCs w:val="21"/>
                <w:lang w:val="fr-FR" w:bidi="fr-FR"/>
              </w:rPr>
              <w:t>PGEH approuvés</w:t>
            </w:r>
          </w:p>
        </w:tc>
        <w:tc>
          <w:tcPr>
            <w:tcW w:w="1360" w:type="dxa"/>
            <w:tcBorders>
              <w:top w:val="nil"/>
              <w:left w:val="nil"/>
              <w:bottom w:val="single" w:sz="4" w:space="0" w:color="auto"/>
              <w:right w:val="single" w:sz="4" w:space="0" w:color="auto"/>
            </w:tcBorders>
            <w:shd w:val="clear" w:color="auto" w:fill="auto"/>
            <w:noWrap/>
            <w:vAlign w:val="center"/>
          </w:tcPr>
          <w:p w14:paraId="362E866E" w14:textId="77777777" w:rsidR="006B5F5C" w:rsidRPr="005569B8" w:rsidRDefault="006B5F5C" w:rsidP="006E3590">
            <w:pPr>
              <w:jc w:val="right"/>
              <w:rPr>
                <w:sz w:val="21"/>
                <w:szCs w:val="21"/>
                <w:lang w:eastAsia="en-CA"/>
              </w:rPr>
            </w:pPr>
            <w:r w:rsidRPr="005569B8">
              <w:rPr>
                <w:sz w:val="21"/>
                <w:szCs w:val="21"/>
                <w:lang w:val="fr-FR" w:bidi="fr-FR"/>
              </w:rPr>
              <w:t>0</w:t>
            </w:r>
          </w:p>
        </w:tc>
        <w:tc>
          <w:tcPr>
            <w:tcW w:w="1361" w:type="dxa"/>
            <w:tcBorders>
              <w:top w:val="nil"/>
              <w:left w:val="nil"/>
              <w:bottom w:val="single" w:sz="4" w:space="0" w:color="auto"/>
              <w:right w:val="single" w:sz="4" w:space="0" w:color="auto"/>
            </w:tcBorders>
            <w:shd w:val="clear" w:color="auto" w:fill="auto"/>
            <w:noWrap/>
            <w:vAlign w:val="center"/>
          </w:tcPr>
          <w:p w14:paraId="31E7F99C" w14:textId="77777777" w:rsidR="006B5F5C" w:rsidRPr="005569B8" w:rsidRDefault="006B5F5C" w:rsidP="006E3590">
            <w:pPr>
              <w:jc w:val="right"/>
              <w:rPr>
                <w:sz w:val="21"/>
                <w:szCs w:val="21"/>
                <w:lang w:eastAsia="en-CA"/>
              </w:rPr>
            </w:pPr>
            <w:r w:rsidRPr="005569B8">
              <w:rPr>
                <w:b/>
                <w:sz w:val="21"/>
                <w:szCs w:val="21"/>
                <w:lang w:val="fr-FR" w:bidi="fr-FR"/>
              </w:rPr>
              <w:t>783</w:t>
            </w:r>
            <w:r>
              <w:rPr>
                <w:b/>
                <w:sz w:val="21"/>
                <w:szCs w:val="21"/>
                <w:lang w:val="fr-FR" w:bidi="fr-FR"/>
              </w:rPr>
              <w:t> </w:t>
            </w:r>
            <w:r w:rsidRPr="005569B8">
              <w:rPr>
                <w:b/>
                <w:sz w:val="21"/>
                <w:szCs w:val="21"/>
                <w:lang w:val="fr-FR" w:bidi="fr-FR"/>
              </w:rPr>
              <w:t>667</w:t>
            </w:r>
          </w:p>
        </w:tc>
        <w:tc>
          <w:tcPr>
            <w:tcW w:w="1361" w:type="dxa"/>
            <w:tcBorders>
              <w:top w:val="nil"/>
              <w:left w:val="nil"/>
              <w:bottom w:val="single" w:sz="4" w:space="0" w:color="auto"/>
              <w:right w:val="single" w:sz="4" w:space="0" w:color="auto"/>
            </w:tcBorders>
            <w:shd w:val="clear" w:color="auto" w:fill="auto"/>
            <w:noWrap/>
            <w:vAlign w:val="center"/>
            <w:hideMark/>
          </w:tcPr>
          <w:p w14:paraId="2B5FB2BC" w14:textId="77777777" w:rsidR="006B5F5C" w:rsidRPr="005569B8" w:rsidRDefault="006B5F5C" w:rsidP="006E3590">
            <w:pPr>
              <w:jc w:val="right"/>
              <w:rPr>
                <w:sz w:val="21"/>
                <w:szCs w:val="21"/>
                <w:lang w:eastAsia="en-CA"/>
              </w:rPr>
            </w:pPr>
            <w:r w:rsidRPr="005569B8">
              <w:rPr>
                <w:sz w:val="21"/>
                <w:szCs w:val="21"/>
                <w:lang w:val="fr-FR" w:bidi="fr-FR"/>
              </w:rPr>
              <w:t>0</w:t>
            </w:r>
          </w:p>
        </w:tc>
        <w:tc>
          <w:tcPr>
            <w:tcW w:w="1361" w:type="dxa"/>
            <w:tcBorders>
              <w:top w:val="nil"/>
              <w:left w:val="nil"/>
              <w:bottom w:val="single" w:sz="4" w:space="0" w:color="auto"/>
              <w:right w:val="single" w:sz="4" w:space="0" w:color="auto"/>
            </w:tcBorders>
            <w:shd w:val="clear" w:color="auto" w:fill="auto"/>
            <w:noWrap/>
            <w:vAlign w:val="center"/>
            <w:hideMark/>
          </w:tcPr>
          <w:p w14:paraId="1158A0B4" w14:textId="77777777" w:rsidR="006B5F5C" w:rsidRPr="005569B8" w:rsidRDefault="006B5F5C" w:rsidP="006E3590">
            <w:pPr>
              <w:jc w:val="right"/>
              <w:rPr>
                <w:sz w:val="21"/>
                <w:szCs w:val="21"/>
                <w:lang w:eastAsia="en-CA"/>
              </w:rPr>
            </w:pPr>
            <w:r w:rsidRPr="005569B8">
              <w:rPr>
                <w:b/>
                <w:sz w:val="21"/>
                <w:szCs w:val="21"/>
                <w:lang w:val="fr-FR" w:bidi="fr-FR"/>
              </w:rPr>
              <w:t>783</w:t>
            </w:r>
            <w:r>
              <w:rPr>
                <w:b/>
                <w:sz w:val="21"/>
                <w:szCs w:val="21"/>
                <w:lang w:val="fr-FR" w:bidi="fr-FR"/>
              </w:rPr>
              <w:t> </w:t>
            </w:r>
            <w:r w:rsidRPr="005569B8">
              <w:rPr>
                <w:b/>
                <w:sz w:val="21"/>
                <w:szCs w:val="21"/>
                <w:lang w:val="fr-FR" w:bidi="fr-FR"/>
              </w:rPr>
              <w:t>667</w:t>
            </w:r>
          </w:p>
        </w:tc>
        <w:tc>
          <w:tcPr>
            <w:tcW w:w="1361" w:type="dxa"/>
            <w:tcBorders>
              <w:top w:val="nil"/>
              <w:left w:val="nil"/>
              <w:bottom w:val="single" w:sz="4" w:space="0" w:color="auto"/>
              <w:right w:val="single" w:sz="4" w:space="0" w:color="auto"/>
            </w:tcBorders>
            <w:shd w:val="clear" w:color="auto" w:fill="auto"/>
            <w:noWrap/>
            <w:vAlign w:val="center"/>
            <w:hideMark/>
          </w:tcPr>
          <w:p w14:paraId="1019DB08" w14:textId="77777777" w:rsidR="006B5F5C" w:rsidRPr="005569B8" w:rsidRDefault="006B5F5C" w:rsidP="006E3590">
            <w:pPr>
              <w:jc w:val="right"/>
              <w:rPr>
                <w:sz w:val="21"/>
                <w:szCs w:val="21"/>
                <w:lang w:eastAsia="en-CA"/>
              </w:rPr>
            </w:pPr>
            <w:r w:rsidRPr="005569B8">
              <w:rPr>
                <w:sz w:val="21"/>
                <w:szCs w:val="21"/>
                <w:lang w:val="fr-FR" w:bidi="fr-FR"/>
              </w:rPr>
              <w:t>0</w:t>
            </w:r>
          </w:p>
        </w:tc>
      </w:tr>
      <w:tr w:rsidR="006B5F5C" w:rsidRPr="005569B8" w14:paraId="52F8DD1A" w14:textId="77777777" w:rsidTr="006E3590">
        <w:trPr>
          <w:trHeight w:val="5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FF47A84" w14:textId="77777777" w:rsidR="006B5F5C" w:rsidRPr="005569B8" w:rsidRDefault="006B5F5C" w:rsidP="006E3590">
            <w:pPr>
              <w:jc w:val="left"/>
              <w:rPr>
                <w:b/>
                <w:bCs/>
                <w:sz w:val="21"/>
                <w:szCs w:val="21"/>
                <w:lang w:eastAsia="en-CA"/>
              </w:rPr>
            </w:pPr>
            <w:r w:rsidRPr="005569B8">
              <w:rPr>
                <w:b/>
                <w:sz w:val="21"/>
                <w:szCs w:val="21"/>
                <w:lang w:val="fr-FR" w:bidi="fr-FR"/>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010CE243" w14:textId="77777777" w:rsidR="006B5F5C" w:rsidRPr="005569B8" w:rsidRDefault="006B5F5C" w:rsidP="006E3590">
            <w:pPr>
              <w:jc w:val="right"/>
              <w:rPr>
                <w:b/>
                <w:bCs/>
                <w:sz w:val="21"/>
                <w:szCs w:val="21"/>
                <w:lang w:eastAsia="en-CA"/>
              </w:rPr>
            </w:pPr>
            <w:r w:rsidRPr="005569B8">
              <w:rPr>
                <w:b/>
                <w:sz w:val="21"/>
                <w:szCs w:val="21"/>
                <w:lang w:val="fr-FR" w:bidi="fr-FR"/>
              </w:rPr>
              <w:t>0</w:t>
            </w:r>
          </w:p>
        </w:tc>
        <w:tc>
          <w:tcPr>
            <w:tcW w:w="1361" w:type="dxa"/>
            <w:tcBorders>
              <w:top w:val="nil"/>
              <w:left w:val="nil"/>
              <w:bottom w:val="single" w:sz="4" w:space="0" w:color="auto"/>
              <w:right w:val="single" w:sz="4" w:space="0" w:color="auto"/>
            </w:tcBorders>
            <w:shd w:val="clear" w:color="auto" w:fill="auto"/>
            <w:noWrap/>
            <w:vAlign w:val="center"/>
            <w:hideMark/>
          </w:tcPr>
          <w:p w14:paraId="6650E2AE" w14:textId="77777777" w:rsidR="006B5F5C" w:rsidRPr="005569B8" w:rsidRDefault="006B5F5C" w:rsidP="006E3590">
            <w:pPr>
              <w:jc w:val="right"/>
              <w:rPr>
                <w:b/>
                <w:sz w:val="21"/>
                <w:szCs w:val="21"/>
                <w:lang w:eastAsia="en-CA"/>
              </w:rPr>
            </w:pPr>
            <w:r w:rsidRPr="005569B8">
              <w:rPr>
                <w:b/>
                <w:sz w:val="21"/>
                <w:szCs w:val="21"/>
                <w:lang w:val="fr-FR" w:bidi="fr-FR"/>
              </w:rPr>
              <w:t>783</w:t>
            </w:r>
            <w:r>
              <w:rPr>
                <w:b/>
                <w:sz w:val="21"/>
                <w:szCs w:val="21"/>
                <w:lang w:val="fr-FR" w:bidi="fr-FR"/>
              </w:rPr>
              <w:t> </w:t>
            </w:r>
            <w:r w:rsidRPr="005569B8">
              <w:rPr>
                <w:b/>
                <w:sz w:val="21"/>
                <w:szCs w:val="21"/>
                <w:lang w:val="fr-FR" w:bidi="fr-FR"/>
              </w:rPr>
              <w:t>667</w:t>
            </w:r>
          </w:p>
        </w:tc>
        <w:tc>
          <w:tcPr>
            <w:tcW w:w="1361" w:type="dxa"/>
            <w:tcBorders>
              <w:top w:val="nil"/>
              <w:left w:val="nil"/>
              <w:bottom w:val="single" w:sz="4" w:space="0" w:color="auto"/>
              <w:right w:val="single" w:sz="4" w:space="0" w:color="auto"/>
            </w:tcBorders>
            <w:shd w:val="clear" w:color="auto" w:fill="auto"/>
            <w:noWrap/>
            <w:vAlign w:val="center"/>
            <w:hideMark/>
          </w:tcPr>
          <w:p w14:paraId="48150BD9" w14:textId="77777777" w:rsidR="006B5F5C" w:rsidRPr="005569B8" w:rsidRDefault="006B5F5C" w:rsidP="006E3590">
            <w:pPr>
              <w:jc w:val="right"/>
              <w:rPr>
                <w:b/>
                <w:sz w:val="21"/>
                <w:szCs w:val="21"/>
                <w:lang w:eastAsia="en-CA"/>
              </w:rPr>
            </w:pPr>
            <w:r w:rsidRPr="005569B8">
              <w:rPr>
                <w:b/>
                <w:sz w:val="21"/>
                <w:szCs w:val="21"/>
                <w:lang w:val="fr-FR" w:bidi="fr-FR"/>
              </w:rPr>
              <w:t>0</w:t>
            </w:r>
          </w:p>
        </w:tc>
        <w:tc>
          <w:tcPr>
            <w:tcW w:w="1361" w:type="dxa"/>
            <w:tcBorders>
              <w:top w:val="nil"/>
              <w:left w:val="nil"/>
              <w:bottom w:val="single" w:sz="4" w:space="0" w:color="auto"/>
              <w:right w:val="single" w:sz="4" w:space="0" w:color="auto"/>
            </w:tcBorders>
            <w:shd w:val="clear" w:color="auto" w:fill="auto"/>
            <w:noWrap/>
            <w:vAlign w:val="center"/>
            <w:hideMark/>
          </w:tcPr>
          <w:p w14:paraId="6A745294" w14:textId="77777777" w:rsidR="006B5F5C" w:rsidRPr="005569B8" w:rsidRDefault="006B5F5C" w:rsidP="006E3590">
            <w:pPr>
              <w:jc w:val="right"/>
              <w:rPr>
                <w:b/>
                <w:sz w:val="21"/>
                <w:szCs w:val="21"/>
                <w:lang w:eastAsia="en-CA"/>
              </w:rPr>
            </w:pPr>
            <w:r w:rsidRPr="005569B8">
              <w:rPr>
                <w:b/>
                <w:sz w:val="21"/>
                <w:szCs w:val="21"/>
                <w:lang w:val="fr-FR" w:bidi="fr-FR"/>
              </w:rPr>
              <w:t>783</w:t>
            </w:r>
            <w:r>
              <w:rPr>
                <w:b/>
                <w:sz w:val="21"/>
                <w:szCs w:val="21"/>
                <w:lang w:val="fr-FR" w:bidi="fr-FR"/>
              </w:rPr>
              <w:t> </w:t>
            </w:r>
            <w:r w:rsidRPr="005569B8">
              <w:rPr>
                <w:b/>
                <w:sz w:val="21"/>
                <w:szCs w:val="21"/>
                <w:lang w:val="fr-FR" w:bidi="fr-FR"/>
              </w:rPr>
              <w:t>667</w:t>
            </w:r>
          </w:p>
        </w:tc>
        <w:tc>
          <w:tcPr>
            <w:tcW w:w="1361" w:type="dxa"/>
            <w:tcBorders>
              <w:top w:val="nil"/>
              <w:left w:val="nil"/>
              <w:bottom w:val="single" w:sz="4" w:space="0" w:color="auto"/>
              <w:right w:val="single" w:sz="4" w:space="0" w:color="auto"/>
            </w:tcBorders>
            <w:shd w:val="clear" w:color="auto" w:fill="auto"/>
            <w:noWrap/>
            <w:vAlign w:val="center"/>
            <w:hideMark/>
          </w:tcPr>
          <w:p w14:paraId="0B90F44D" w14:textId="77777777" w:rsidR="006B5F5C" w:rsidRPr="005569B8" w:rsidRDefault="006B5F5C" w:rsidP="006E3590">
            <w:pPr>
              <w:jc w:val="right"/>
              <w:rPr>
                <w:b/>
                <w:bCs/>
                <w:sz w:val="21"/>
                <w:szCs w:val="21"/>
                <w:lang w:eastAsia="en-CA"/>
              </w:rPr>
            </w:pPr>
            <w:r w:rsidRPr="005569B8">
              <w:rPr>
                <w:b/>
                <w:sz w:val="21"/>
                <w:szCs w:val="21"/>
                <w:lang w:val="fr-FR" w:bidi="fr-FR"/>
              </w:rPr>
              <w:t>0</w:t>
            </w:r>
          </w:p>
        </w:tc>
      </w:tr>
    </w:tbl>
    <w:p w14:paraId="304711F4" w14:textId="77777777" w:rsidR="006B5F5C" w:rsidRPr="00E23538" w:rsidRDefault="006B5F5C" w:rsidP="006B5F5C">
      <w:pPr>
        <w:rPr>
          <w:sz w:val="20"/>
          <w:szCs w:val="20"/>
          <w:lang w:val="fr-FR"/>
        </w:rPr>
      </w:pPr>
      <w:r w:rsidRPr="005569B8">
        <w:rPr>
          <w:sz w:val="20"/>
          <w:szCs w:val="20"/>
          <w:lang w:val="fr-FR" w:bidi="fr-FR"/>
        </w:rPr>
        <w:t>* Y compris les coûts d</w:t>
      </w:r>
      <w:r>
        <w:rPr>
          <w:sz w:val="20"/>
          <w:szCs w:val="20"/>
          <w:lang w:val="fr-FR" w:bidi="fr-FR"/>
        </w:rPr>
        <w:t>’</w:t>
      </w:r>
      <w:r w:rsidRPr="005569B8">
        <w:rPr>
          <w:sz w:val="20"/>
          <w:szCs w:val="20"/>
          <w:lang w:val="fr-FR" w:bidi="fr-FR"/>
        </w:rPr>
        <w:t>appui d</w:t>
      </w:r>
      <w:r>
        <w:rPr>
          <w:sz w:val="20"/>
          <w:szCs w:val="20"/>
          <w:lang w:val="fr-FR" w:bidi="fr-FR"/>
        </w:rPr>
        <w:t>’</w:t>
      </w:r>
      <w:r w:rsidRPr="005569B8">
        <w:rPr>
          <w:sz w:val="20"/>
          <w:szCs w:val="20"/>
          <w:lang w:val="fr-FR" w:bidi="fr-FR"/>
        </w:rPr>
        <w:t>agence.</w:t>
      </w:r>
    </w:p>
    <w:p w14:paraId="31887982" w14:textId="77777777" w:rsidR="006B5F5C" w:rsidRPr="00E23538" w:rsidRDefault="006B5F5C" w:rsidP="006B5F5C">
      <w:pPr>
        <w:rPr>
          <w:b/>
          <w:bCs/>
          <w:lang w:val="fr-FR"/>
        </w:rPr>
      </w:pPr>
    </w:p>
    <w:p w14:paraId="5BAA4F16" w14:textId="77777777" w:rsidR="006B5F5C" w:rsidRPr="00894085" w:rsidRDefault="006B5F5C" w:rsidP="00066442">
      <w:pPr>
        <w:spacing w:after="240"/>
        <w:rPr>
          <w:b/>
          <w:bCs/>
        </w:rPr>
      </w:pPr>
      <w:r w:rsidRPr="00894085">
        <w:rPr>
          <w:b/>
          <w:lang w:val="fr-FR" w:bidi="fr-FR"/>
        </w:rPr>
        <w:t>France</w:t>
      </w:r>
    </w:p>
    <w:p w14:paraId="7B53F7E5" w14:textId="77777777" w:rsidR="006B5F5C" w:rsidRPr="00E23538" w:rsidRDefault="006B5F5C" w:rsidP="00066442">
      <w:pPr>
        <w:pStyle w:val="Heading1"/>
        <w:rPr>
          <w:lang w:val="fr-FR"/>
        </w:rPr>
      </w:pPr>
      <w:r w:rsidRPr="002D6131">
        <w:rPr>
          <w:lang w:val="fr-FR" w:bidi="fr-FR"/>
        </w:rPr>
        <w:t>Le tableau</w:t>
      </w:r>
      <w:r>
        <w:rPr>
          <w:lang w:val="fr-FR" w:bidi="fr-FR"/>
        </w:rPr>
        <w:t> </w:t>
      </w:r>
      <w:r w:rsidRPr="002D6131">
        <w:rPr>
          <w:lang w:val="fr-FR" w:bidi="fr-FR"/>
        </w:rPr>
        <w:t>4 présente la répartition des ressources prévue par le plan d</w:t>
      </w:r>
      <w:r>
        <w:rPr>
          <w:lang w:val="fr-FR" w:bidi="fr-FR"/>
        </w:rPr>
        <w:t>’</w:t>
      </w:r>
      <w:r w:rsidRPr="002D6131">
        <w:rPr>
          <w:lang w:val="fr-FR" w:bidi="fr-FR"/>
        </w:rPr>
        <w:t>activités de la France pour 2022–2024. En supposant que le niveau des contributions annoncées soit similaire à celui de la période</w:t>
      </w:r>
      <w:r>
        <w:rPr>
          <w:lang w:val="fr-FR" w:bidi="fr-FR"/>
        </w:rPr>
        <w:t> </w:t>
      </w:r>
      <w:r w:rsidRPr="002D6131">
        <w:rPr>
          <w:lang w:val="fr-FR" w:bidi="fr-FR"/>
        </w:rPr>
        <w:t>2018-2020, 20 % de la contribution annuelle annoncée par la France pour 2022 s</w:t>
      </w:r>
      <w:r>
        <w:rPr>
          <w:lang w:val="fr-FR" w:bidi="fr-FR"/>
        </w:rPr>
        <w:t>’</w:t>
      </w:r>
      <w:r w:rsidRPr="002D6131">
        <w:rPr>
          <w:lang w:val="fr-FR" w:bidi="fr-FR"/>
        </w:rPr>
        <w:t>élève à 2</w:t>
      </w:r>
      <w:r>
        <w:rPr>
          <w:lang w:val="fr-FR" w:bidi="fr-FR"/>
        </w:rPr>
        <w:t> 449 </w:t>
      </w:r>
      <w:r w:rsidRPr="002D6131">
        <w:rPr>
          <w:lang w:val="fr-FR" w:bidi="fr-FR"/>
        </w:rPr>
        <w:t>100</w:t>
      </w:r>
      <w:r>
        <w:rPr>
          <w:lang w:val="fr-FR" w:bidi="fr-FR"/>
        </w:rPr>
        <w:t> </w:t>
      </w:r>
      <w:r w:rsidRPr="002D6131">
        <w:rPr>
          <w:lang w:val="fr-FR" w:bidi="fr-FR"/>
        </w:rPr>
        <w:t xml:space="preserve">$ US. </w:t>
      </w:r>
    </w:p>
    <w:p w14:paraId="5F59F384" w14:textId="77777777" w:rsidR="006B5F5C" w:rsidRPr="00E23538" w:rsidRDefault="006B5F5C" w:rsidP="006B5F5C">
      <w:pPr>
        <w:pStyle w:val="Heading1"/>
        <w:numPr>
          <w:ilvl w:val="0"/>
          <w:numId w:val="0"/>
        </w:numPr>
        <w:spacing w:after="0"/>
        <w:rPr>
          <w:b/>
          <w:lang w:val="fr-FR"/>
        </w:rPr>
      </w:pPr>
      <w:r w:rsidRPr="002D6131">
        <w:rPr>
          <w:b/>
          <w:lang w:val="fr-FR" w:bidi="fr-FR"/>
        </w:rPr>
        <w:t>Tableau</w:t>
      </w:r>
      <w:r>
        <w:rPr>
          <w:b/>
          <w:lang w:val="fr-FR" w:bidi="fr-FR"/>
        </w:rPr>
        <w:t> </w:t>
      </w:r>
      <w:r w:rsidRPr="002D6131">
        <w:rPr>
          <w:b/>
          <w:lang w:val="fr-FR" w:bidi="fr-FR"/>
        </w:rPr>
        <w:t>4</w:t>
      </w:r>
      <w:r>
        <w:rPr>
          <w:b/>
          <w:lang w:val="fr-FR" w:bidi="fr-FR"/>
        </w:rPr>
        <w:t> </w:t>
      </w:r>
      <w:r w:rsidRPr="002D6131">
        <w:rPr>
          <w:b/>
          <w:lang w:val="fr-FR" w:bidi="fr-FR"/>
        </w:rPr>
        <w:t xml:space="preserve">: Répartition des ressources pour la France ($ </w:t>
      </w:r>
      <w:proofErr w:type="gramStart"/>
      <w:r w:rsidRPr="002D6131">
        <w:rPr>
          <w:b/>
          <w:lang w:val="fr-FR" w:bidi="fr-FR"/>
        </w:rPr>
        <w:t>US)*</w:t>
      </w:r>
      <w:proofErr w:type="gramEnd"/>
    </w:p>
    <w:tbl>
      <w:tblPr>
        <w:tblW w:w="9356" w:type="dxa"/>
        <w:tblInd w:w="-5" w:type="dxa"/>
        <w:tblLayout w:type="fixed"/>
        <w:tblLook w:val="04A0" w:firstRow="1" w:lastRow="0" w:firstColumn="1" w:lastColumn="0" w:noHBand="0" w:noVBand="1"/>
      </w:tblPr>
      <w:tblGrid>
        <w:gridCol w:w="2410"/>
        <w:gridCol w:w="1389"/>
        <w:gridCol w:w="1389"/>
        <w:gridCol w:w="1389"/>
        <w:gridCol w:w="1389"/>
        <w:gridCol w:w="1390"/>
      </w:tblGrid>
      <w:tr w:rsidR="006B5F5C" w:rsidRPr="002D6131" w14:paraId="1CDA2FBB" w14:textId="77777777" w:rsidTr="006E3590">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FB61" w14:textId="77777777" w:rsidR="006B5F5C" w:rsidRPr="002D6131" w:rsidRDefault="006B5F5C" w:rsidP="006E3590">
            <w:pPr>
              <w:jc w:val="left"/>
              <w:rPr>
                <w:b/>
                <w:bCs/>
                <w:sz w:val="21"/>
                <w:szCs w:val="21"/>
                <w:lang w:eastAsia="en-CA"/>
              </w:rPr>
            </w:pPr>
            <w:r w:rsidRPr="002D6131">
              <w:rPr>
                <w:b/>
                <w:sz w:val="21"/>
                <w:szCs w:val="21"/>
                <w:lang w:val="fr-FR" w:bidi="fr-FR"/>
              </w:rPr>
              <w:t>Description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3BB6558" w14:textId="77777777" w:rsidR="006B5F5C" w:rsidRPr="002D6131" w:rsidRDefault="006B5F5C" w:rsidP="006E3590">
            <w:pPr>
              <w:jc w:val="center"/>
              <w:rPr>
                <w:b/>
                <w:bCs/>
                <w:sz w:val="21"/>
                <w:szCs w:val="21"/>
                <w:lang w:eastAsia="en-CA"/>
              </w:rPr>
            </w:pPr>
            <w:r w:rsidRPr="002D6131">
              <w:rPr>
                <w:b/>
                <w:sz w:val="21"/>
                <w:szCs w:val="21"/>
                <w:lang w:val="fr-FR" w:bidi="fr-FR"/>
              </w:rPr>
              <w:t>2022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2BC826" w14:textId="77777777" w:rsidR="006B5F5C" w:rsidRPr="002D6131" w:rsidRDefault="006B5F5C" w:rsidP="006E3590">
            <w:pPr>
              <w:jc w:val="center"/>
              <w:rPr>
                <w:b/>
                <w:bCs/>
                <w:sz w:val="21"/>
                <w:szCs w:val="21"/>
                <w:lang w:eastAsia="en-CA"/>
              </w:rPr>
            </w:pPr>
            <w:r w:rsidRPr="002D6131">
              <w:rPr>
                <w:b/>
                <w:sz w:val="21"/>
                <w:szCs w:val="21"/>
                <w:lang w:val="fr-FR" w:bidi="fr-FR"/>
              </w:rPr>
              <w:t>2023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5AA11DA" w14:textId="77777777" w:rsidR="006B5F5C" w:rsidRPr="002D6131" w:rsidRDefault="006B5F5C" w:rsidP="006E3590">
            <w:pPr>
              <w:jc w:val="center"/>
              <w:rPr>
                <w:b/>
                <w:bCs/>
                <w:sz w:val="21"/>
                <w:szCs w:val="21"/>
                <w:lang w:eastAsia="en-CA"/>
              </w:rPr>
            </w:pPr>
            <w:r w:rsidRPr="002D6131">
              <w:rPr>
                <w:b/>
                <w:sz w:val="21"/>
                <w:szCs w:val="21"/>
                <w:lang w:val="fr-FR" w:bidi="fr-FR"/>
              </w:rPr>
              <w:t>2024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87BACF0" w14:textId="77777777" w:rsidR="006B5F5C" w:rsidRPr="002D6131" w:rsidRDefault="006B5F5C" w:rsidP="006E3590">
            <w:pPr>
              <w:jc w:val="center"/>
              <w:rPr>
                <w:b/>
                <w:bCs/>
                <w:sz w:val="21"/>
                <w:szCs w:val="21"/>
                <w:lang w:eastAsia="en-CA"/>
              </w:rPr>
            </w:pPr>
            <w:r w:rsidRPr="002D6131">
              <w:rPr>
                <w:b/>
                <w:sz w:val="21"/>
                <w:szCs w:val="21"/>
                <w:lang w:val="fr-FR" w:bidi="fr-FR"/>
              </w:rPr>
              <w:t xml:space="preserve">Total </w:t>
            </w:r>
          </w:p>
          <w:p w14:paraId="3BA65DBC" w14:textId="77777777" w:rsidR="006B5F5C" w:rsidRPr="002D6131" w:rsidRDefault="006B5F5C" w:rsidP="006E3590">
            <w:pPr>
              <w:jc w:val="center"/>
              <w:rPr>
                <w:b/>
                <w:bCs/>
                <w:sz w:val="21"/>
                <w:szCs w:val="21"/>
                <w:lang w:eastAsia="en-CA"/>
              </w:rPr>
            </w:pPr>
            <w:r w:rsidRPr="002D6131">
              <w:rPr>
                <w:b/>
                <w:sz w:val="21"/>
                <w:szCs w:val="21"/>
                <w:lang w:val="fr-FR" w:bidi="fr-FR"/>
              </w:rPr>
              <w:t>(2022–2024)</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866DA86" w14:textId="77777777" w:rsidR="006B5F5C" w:rsidRPr="002D6131" w:rsidRDefault="006B5F5C" w:rsidP="006E3590">
            <w:pPr>
              <w:jc w:val="center"/>
              <w:rPr>
                <w:b/>
                <w:bCs/>
                <w:sz w:val="21"/>
                <w:szCs w:val="21"/>
                <w:lang w:eastAsia="en-CA"/>
              </w:rPr>
            </w:pPr>
            <w:r w:rsidRPr="002D6131">
              <w:rPr>
                <w:b/>
                <w:sz w:val="21"/>
                <w:szCs w:val="21"/>
                <w:lang w:val="fr-FR" w:bidi="fr-FR"/>
              </w:rPr>
              <w:t>Total après 2024</w:t>
            </w:r>
          </w:p>
        </w:tc>
      </w:tr>
      <w:tr w:rsidR="006B5F5C" w:rsidRPr="002D6131" w14:paraId="5530FDD8" w14:textId="77777777" w:rsidTr="006E3590">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E5E2" w14:textId="77777777" w:rsidR="006B5F5C" w:rsidRPr="002D6131" w:rsidRDefault="006B5F5C" w:rsidP="006E3590">
            <w:pPr>
              <w:jc w:val="left"/>
              <w:rPr>
                <w:b/>
                <w:bCs/>
                <w:sz w:val="21"/>
                <w:szCs w:val="21"/>
                <w:lang w:eastAsia="en-CA"/>
              </w:rPr>
            </w:pPr>
            <w:r w:rsidRPr="002D6131">
              <w:rPr>
                <w:b/>
                <w:sz w:val="21"/>
                <w:szCs w:val="21"/>
                <w:lang w:val="fr-FR" w:bidi="fr-FR"/>
              </w:rPr>
              <w:t>Activités relatives aux HCFC</w:t>
            </w:r>
          </w:p>
        </w:tc>
      </w:tr>
      <w:tr w:rsidR="006B5F5C" w:rsidRPr="002D6131" w14:paraId="44949E08" w14:textId="77777777" w:rsidTr="006E3590">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387334A" w14:textId="77777777" w:rsidR="006B5F5C" w:rsidRPr="002D6131" w:rsidRDefault="006B5F5C" w:rsidP="006E3590">
            <w:pPr>
              <w:jc w:val="left"/>
              <w:rPr>
                <w:sz w:val="21"/>
                <w:szCs w:val="21"/>
                <w:lang w:eastAsia="en-CA"/>
              </w:rPr>
            </w:pPr>
            <w:r w:rsidRPr="002D6131">
              <w:rPr>
                <w:sz w:val="21"/>
                <w:szCs w:val="21"/>
                <w:lang w:val="fr-FR" w:bidi="fr-FR"/>
              </w:rPr>
              <w:t>PGEH approuvés</w:t>
            </w:r>
          </w:p>
        </w:tc>
        <w:tc>
          <w:tcPr>
            <w:tcW w:w="1389" w:type="dxa"/>
            <w:tcBorders>
              <w:top w:val="nil"/>
              <w:left w:val="nil"/>
              <w:bottom w:val="single" w:sz="4" w:space="0" w:color="auto"/>
              <w:right w:val="single" w:sz="4" w:space="0" w:color="auto"/>
            </w:tcBorders>
            <w:shd w:val="clear" w:color="auto" w:fill="auto"/>
            <w:noWrap/>
            <w:vAlign w:val="center"/>
            <w:hideMark/>
          </w:tcPr>
          <w:p w14:paraId="04C78656" w14:textId="77777777" w:rsidR="006B5F5C" w:rsidRPr="002D6131" w:rsidRDefault="006B5F5C" w:rsidP="006E3590">
            <w:pPr>
              <w:jc w:val="right"/>
              <w:rPr>
                <w:sz w:val="21"/>
                <w:szCs w:val="21"/>
                <w:lang w:eastAsia="en-CA"/>
              </w:rPr>
            </w:pPr>
            <w:r w:rsidRPr="002D6131">
              <w:rPr>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vAlign w:val="center"/>
            <w:hideMark/>
          </w:tcPr>
          <w:p w14:paraId="75794CA8" w14:textId="77777777" w:rsidR="006B5F5C" w:rsidRPr="002D6131" w:rsidRDefault="006B5F5C" w:rsidP="006E3590">
            <w:pPr>
              <w:jc w:val="right"/>
              <w:rPr>
                <w:sz w:val="21"/>
                <w:szCs w:val="21"/>
                <w:lang w:eastAsia="en-CA"/>
              </w:rPr>
            </w:pPr>
            <w:r w:rsidRPr="002D6131">
              <w:rPr>
                <w:b/>
                <w:sz w:val="21"/>
                <w:szCs w:val="21"/>
                <w:lang w:val="fr-FR" w:bidi="fr-FR"/>
              </w:rPr>
              <w:t>671</w:t>
            </w:r>
            <w:r>
              <w:rPr>
                <w:b/>
                <w:sz w:val="21"/>
                <w:szCs w:val="21"/>
                <w:lang w:val="fr-FR" w:bidi="fr-FR"/>
              </w:rPr>
              <w:t> </w:t>
            </w:r>
            <w:r w:rsidRPr="002D6131">
              <w:rPr>
                <w:b/>
                <w:sz w:val="21"/>
                <w:szCs w:val="21"/>
                <w:lang w:val="fr-FR" w:bidi="fr-FR"/>
              </w:rPr>
              <w:t>075</w:t>
            </w:r>
          </w:p>
        </w:tc>
        <w:tc>
          <w:tcPr>
            <w:tcW w:w="1389" w:type="dxa"/>
            <w:tcBorders>
              <w:top w:val="nil"/>
              <w:left w:val="nil"/>
              <w:bottom w:val="single" w:sz="4" w:space="0" w:color="auto"/>
              <w:right w:val="single" w:sz="4" w:space="0" w:color="auto"/>
            </w:tcBorders>
            <w:shd w:val="clear" w:color="auto" w:fill="auto"/>
            <w:noWrap/>
            <w:vAlign w:val="center"/>
          </w:tcPr>
          <w:p w14:paraId="497ECACF" w14:textId="77777777" w:rsidR="006B5F5C" w:rsidRPr="002D6131" w:rsidRDefault="006B5F5C" w:rsidP="006E3590">
            <w:pPr>
              <w:jc w:val="right"/>
              <w:rPr>
                <w:sz w:val="21"/>
                <w:szCs w:val="21"/>
                <w:lang w:eastAsia="en-CA"/>
              </w:rPr>
            </w:pPr>
            <w:r w:rsidRPr="002D6131">
              <w:rPr>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vAlign w:val="center"/>
            <w:hideMark/>
          </w:tcPr>
          <w:p w14:paraId="203731C1" w14:textId="77777777" w:rsidR="006B5F5C" w:rsidRPr="002D6131" w:rsidRDefault="006B5F5C" w:rsidP="006E3590">
            <w:pPr>
              <w:jc w:val="right"/>
              <w:rPr>
                <w:sz w:val="21"/>
                <w:szCs w:val="21"/>
                <w:lang w:eastAsia="en-CA"/>
              </w:rPr>
            </w:pPr>
            <w:r w:rsidRPr="002D6131">
              <w:rPr>
                <w:b/>
                <w:sz w:val="21"/>
                <w:szCs w:val="21"/>
                <w:lang w:val="fr-FR" w:bidi="fr-FR"/>
              </w:rPr>
              <w:t>671</w:t>
            </w:r>
            <w:r>
              <w:rPr>
                <w:b/>
                <w:sz w:val="21"/>
                <w:szCs w:val="21"/>
                <w:lang w:val="fr-FR" w:bidi="fr-FR"/>
              </w:rPr>
              <w:t> </w:t>
            </w:r>
            <w:r w:rsidRPr="002D6131">
              <w:rPr>
                <w:b/>
                <w:sz w:val="21"/>
                <w:szCs w:val="21"/>
                <w:lang w:val="fr-FR" w:bidi="fr-FR"/>
              </w:rPr>
              <w:t>075</w:t>
            </w:r>
          </w:p>
        </w:tc>
        <w:tc>
          <w:tcPr>
            <w:tcW w:w="1390" w:type="dxa"/>
            <w:tcBorders>
              <w:top w:val="nil"/>
              <w:left w:val="nil"/>
              <w:bottom w:val="single" w:sz="4" w:space="0" w:color="auto"/>
              <w:right w:val="single" w:sz="4" w:space="0" w:color="auto"/>
            </w:tcBorders>
            <w:shd w:val="clear" w:color="auto" w:fill="auto"/>
            <w:noWrap/>
            <w:vAlign w:val="center"/>
            <w:hideMark/>
          </w:tcPr>
          <w:p w14:paraId="007C88B1" w14:textId="77777777" w:rsidR="006B5F5C" w:rsidRPr="002D6131" w:rsidRDefault="006B5F5C" w:rsidP="006E3590">
            <w:pPr>
              <w:jc w:val="right"/>
              <w:rPr>
                <w:sz w:val="21"/>
                <w:szCs w:val="21"/>
                <w:lang w:eastAsia="en-CA"/>
              </w:rPr>
            </w:pPr>
            <w:r w:rsidRPr="002D6131">
              <w:rPr>
                <w:b/>
                <w:sz w:val="21"/>
                <w:szCs w:val="21"/>
                <w:lang w:val="fr-FR" w:bidi="fr-FR"/>
              </w:rPr>
              <w:t>99</w:t>
            </w:r>
            <w:r>
              <w:rPr>
                <w:b/>
                <w:sz w:val="21"/>
                <w:szCs w:val="21"/>
                <w:lang w:val="fr-FR" w:bidi="fr-FR"/>
              </w:rPr>
              <w:t> </w:t>
            </w:r>
            <w:r w:rsidRPr="002D6131">
              <w:rPr>
                <w:b/>
                <w:sz w:val="21"/>
                <w:szCs w:val="21"/>
                <w:lang w:val="fr-FR" w:bidi="fr-FR"/>
              </w:rPr>
              <w:t>685</w:t>
            </w:r>
          </w:p>
        </w:tc>
      </w:tr>
      <w:tr w:rsidR="006B5F5C" w:rsidRPr="002D6131" w14:paraId="39E86277" w14:textId="77777777" w:rsidTr="006E3590">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47F676F" w14:textId="77777777" w:rsidR="006B5F5C" w:rsidRPr="002D6131" w:rsidRDefault="006B5F5C" w:rsidP="006E3590">
            <w:pPr>
              <w:jc w:val="left"/>
              <w:rPr>
                <w:b/>
                <w:bCs/>
                <w:sz w:val="21"/>
                <w:szCs w:val="21"/>
                <w:lang w:eastAsia="en-CA"/>
              </w:rPr>
            </w:pPr>
            <w:r w:rsidRPr="002D6131">
              <w:rPr>
                <w:b/>
                <w:sz w:val="21"/>
                <w:szCs w:val="21"/>
                <w:lang w:val="fr-FR" w:bidi="fr-FR"/>
              </w:rPr>
              <w:t>Total</w:t>
            </w:r>
          </w:p>
        </w:tc>
        <w:tc>
          <w:tcPr>
            <w:tcW w:w="1389" w:type="dxa"/>
            <w:tcBorders>
              <w:top w:val="nil"/>
              <w:left w:val="nil"/>
              <w:bottom w:val="single" w:sz="4" w:space="0" w:color="auto"/>
              <w:right w:val="single" w:sz="4" w:space="0" w:color="auto"/>
            </w:tcBorders>
            <w:shd w:val="clear" w:color="auto" w:fill="auto"/>
            <w:noWrap/>
            <w:vAlign w:val="center"/>
            <w:hideMark/>
          </w:tcPr>
          <w:p w14:paraId="76AFDA0C" w14:textId="77777777" w:rsidR="006B5F5C" w:rsidRPr="002D6131" w:rsidRDefault="006B5F5C" w:rsidP="006E3590">
            <w:pPr>
              <w:jc w:val="right"/>
              <w:rPr>
                <w:b/>
                <w:bCs/>
                <w:sz w:val="21"/>
                <w:szCs w:val="21"/>
                <w:lang w:eastAsia="en-CA"/>
              </w:rPr>
            </w:pPr>
            <w:r w:rsidRPr="002D6131">
              <w:rPr>
                <w:b/>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vAlign w:val="center"/>
            <w:hideMark/>
          </w:tcPr>
          <w:p w14:paraId="534CFE90" w14:textId="77777777" w:rsidR="006B5F5C" w:rsidRPr="002D6131" w:rsidRDefault="006B5F5C" w:rsidP="006E3590">
            <w:pPr>
              <w:jc w:val="right"/>
              <w:rPr>
                <w:b/>
                <w:bCs/>
                <w:sz w:val="21"/>
                <w:szCs w:val="21"/>
                <w:lang w:eastAsia="en-CA"/>
              </w:rPr>
            </w:pPr>
            <w:r w:rsidRPr="002D6131">
              <w:rPr>
                <w:b/>
                <w:sz w:val="21"/>
                <w:szCs w:val="21"/>
                <w:lang w:val="fr-FR" w:bidi="fr-FR"/>
              </w:rPr>
              <w:t>671</w:t>
            </w:r>
            <w:r>
              <w:rPr>
                <w:b/>
                <w:sz w:val="21"/>
                <w:szCs w:val="21"/>
                <w:lang w:val="fr-FR" w:bidi="fr-FR"/>
              </w:rPr>
              <w:t> </w:t>
            </w:r>
            <w:r w:rsidRPr="002D6131">
              <w:rPr>
                <w:b/>
                <w:sz w:val="21"/>
                <w:szCs w:val="21"/>
                <w:lang w:val="fr-FR" w:bidi="fr-FR"/>
              </w:rPr>
              <w:t>075</w:t>
            </w:r>
          </w:p>
        </w:tc>
        <w:tc>
          <w:tcPr>
            <w:tcW w:w="1389" w:type="dxa"/>
            <w:tcBorders>
              <w:top w:val="nil"/>
              <w:left w:val="nil"/>
              <w:bottom w:val="single" w:sz="4" w:space="0" w:color="auto"/>
              <w:right w:val="single" w:sz="4" w:space="0" w:color="auto"/>
            </w:tcBorders>
            <w:shd w:val="clear" w:color="auto" w:fill="auto"/>
            <w:noWrap/>
            <w:vAlign w:val="center"/>
          </w:tcPr>
          <w:p w14:paraId="4BCEAC0F" w14:textId="77777777" w:rsidR="006B5F5C" w:rsidRPr="002D6131" w:rsidRDefault="006B5F5C" w:rsidP="006E3590">
            <w:pPr>
              <w:jc w:val="right"/>
              <w:rPr>
                <w:b/>
                <w:bCs/>
                <w:sz w:val="21"/>
                <w:szCs w:val="21"/>
                <w:lang w:eastAsia="en-CA"/>
              </w:rPr>
            </w:pPr>
            <w:r w:rsidRPr="002D6131">
              <w:rPr>
                <w:b/>
                <w:sz w:val="21"/>
                <w:szCs w:val="21"/>
                <w:lang w:val="fr-FR" w:bidi="fr-FR"/>
              </w:rPr>
              <w:t>0</w:t>
            </w:r>
          </w:p>
        </w:tc>
        <w:tc>
          <w:tcPr>
            <w:tcW w:w="1389" w:type="dxa"/>
            <w:tcBorders>
              <w:top w:val="nil"/>
              <w:left w:val="nil"/>
              <w:bottom w:val="single" w:sz="4" w:space="0" w:color="auto"/>
              <w:right w:val="single" w:sz="4" w:space="0" w:color="auto"/>
            </w:tcBorders>
            <w:shd w:val="clear" w:color="auto" w:fill="auto"/>
            <w:noWrap/>
            <w:vAlign w:val="center"/>
            <w:hideMark/>
          </w:tcPr>
          <w:p w14:paraId="52AB9BCE" w14:textId="77777777" w:rsidR="006B5F5C" w:rsidRPr="002D6131" w:rsidRDefault="006B5F5C" w:rsidP="006E3590">
            <w:pPr>
              <w:jc w:val="right"/>
              <w:rPr>
                <w:b/>
                <w:bCs/>
                <w:sz w:val="21"/>
                <w:szCs w:val="21"/>
                <w:lang w:eastAsia="en-CA"/>
              </w:rPr>
            </w:pPr>
            <w:r w:rsidRPr="002D6131">
              <w:rPr>
                <w:b/>
                <w:sz w:val="21"/>
                <w:szCs w:val="21"/>
                <w:lang w:val="fr-FR" w:bidi="fr-FR"/>
              </w:rPr>
              <w:t>671</w:t>
            </w:r>
            <w:r>
              <w:rPr>
                <w:b/>
                <w:sz w:val="21"/>
                <w:szCs w:val="21"/>
                <w:lang w:val="fr-FR" w:bidi="fr-FR"/>
              </w:rPr>
              <w:t> </w:t>
            </w:r>
            <w:r w:rsidRPr="002D6131">
              <w:rPr>
                <w:b/>
                <w:sz w:val="21"/>
                <w:szCs w:val="21"/>
                <w:lang w:val="fr-FR" w:bidi="fr-FR"/>
              </w:rPr>
              <w:t>075</w:t>
            </w:r>
          </w:p>
        </w:tc>
        <w:tc>
          <w:tcPr>
            <w:tcW w:w="1390" w:type="dxa"/>
            <w:tcBorders>
              <w:top w:val="nil"/>
              <w:left w:val="nil"/>
              <w:bottom w:val="single" w:sz="4" w:space="0" w:color="auto"/>
              <w:right w:val="single" w:sz="4" w:space="0" w:color="auto"/>
            </w:tcBorders>
            <w:shd w:val="clear" w:color="auto" w:fill="auto"/>
            <w:noWrap/>
            <w:vAlign w:val="center"/>
            <w:hideMark/>
          </w:tcPr>
          <w:p w14:paraId="1C851E4E" w14:textId="77777777" w:rsidR="006B5F5C" w:rsidRPr="002D6131" w:rsidRDefault="006B5F5C" w:rsidP="006E3590">
            <w:pPr>
              <w:jc w:val="right"/>
              <w:rPr>
                <w:b/>
                <w:bCs/>
                <w:sz w:val="21"/>
                <w:szCs w:val="21"/>
                <w:lang w:eastAsia="en-CA"/>
              </w:rPr>
            </w:pPr>
            <w:r w:rsidRPr="002D6131">
              <w:rPr>
                <w:b/>
                <w:sz w:val="21"/>
                <w:szCs w:val="21"/>
                <w:lang w:val="fr-FR" w:bidi="fr-FR"/>
              </w:rPr>
              <w:t>99</w:t>
            </w:r>
            <w:r>
              <w:rPr>
                <w:b/>
                <w:sz w:val="21"/>
                <w:szCs w:val="21"/>
                <w:lang w:val="fr-FR" w:bidi="fr-FR"/>
              </w:rPr>
              <w:t> </w:t>
            </w:r>
            <w:r w:rsidRPr="002D6131">
              <w:rPr>
                <w:b/>
                <w:sz w:val="21"/>
                <w:szCs w:val="21"/>
                <w:lang w:val="fr-FR" w:bidi="fr-FR"/>
              </w:rPr>
              <w:t>685</w:t>
            </w:r>
          </w:p>
        </w:tc>
      </w:tr>
    </w:tbl>
    <w:p w14:paraId="26632737" w14:textId="6EEAE473" w:rsidR="006B5F5C" w:rsidRPr="00E23538" w:rsidRDefault="006B5F5C" w:rsidP="00066442">
      <w:pPr>
        <w:spacing w:after="120"/>
        <w:rPr>
          <w:sz w:val="18"/>
          <w:szCs w:val="18"/>
          <w:lang w:val="fr-FR"/>
        </w:rPr>
      </w:pPr>
      <w:r w:rsidRPr="002D6131">
        <w:rPr>
          <w:sz w:val="20"/>
          <w:szCs w:val="20"/>
          <w:lang w:val="fr-FR" w:bidi="fr-FR"/>
        </w:rPr>
        <w:t>* Y compris les coûts d</w:t>
      </w:r>
      <w:r>
        <w:rPr>
          <w:sz w:val="20"/>
          <w:szCs w:val="20"/>
          <w:lang w:val="fr-FR" w:bidi="fr-FR"/>
        </w:rPr>
        <w:t>’</w:t>
      </w:r>
      <w:r w:rsidRPr="002D6131">
        <w:rPr>
          <w:sz w:val="20"/>
          <w:szCs w:val="20"/>
          <w:lang w:val="fr-FR" w:bidi="fr-FR"/>
        </w:rPr>
        <w:t>appui d</w:t>
      </w:r>
      <w:r>
        <w:rPr>
          <w:sz w:val="20"/>
          <w:szCs w:val="20"/>
          <w:lang w:val="fr-FR" w:bidi="fr-FR"/>
        </w:rPr>
        <w:t>’</w:t>
      </w:r>
      <w:r w:rsidRPr="002D6131">
        <w:rPr>
          <w:sz w:val="20"/>
          <w:szCs w:val="20"/>
          <w:lang w:val="fr-FR" w:bidi="fr-FR"/>
        </w:rPr>
        <w:t>agence.</w:t>
      </w:r>
    </w:p>
    <w:p w14:paraId="036009EA" w14:textId="6B5F4990" w:rsidR="006B5F5C" w:rsidRPr="00894085" w:rsidRDefault="006B5F5C" w:rsidP="00066442">
      <w:pPr>
        <w:spacing w:after="120"/>
        <w:rPr>
          <w:iCs/>
        </w:rPr>
      </w:pPr>
      <w:r w:rsidRPr="00894085">
        <w:rPr>
          <w:b/>
          <w:lang w:val="fr-FR" w:bidi="fr-FR"/>
        </w:rPr>
        <w:t>Allemagne</w:t>
      </w:r>
    </w:p>
    <w:p w14:paraId="166906CA" w14:textId="49CD9548" w:rsidR="006B5F5C" w:rsidRDefault="006B5F5C" w:rsidP="00066442">
      <w:pPr>
        <w:pStyle w:val="Heading1"/>
        <w:rPr>
          <w:lang w:val="fr-FR" w:bidi="fr-FR"/>
        </w:rPr>
      </w:pPr>
      <w:r w:rsidRPr="002D6131">
        <w:rPr>
          <w:lang w:val="fr-FR" w:bidi="fr-FR"/>
        </w:rPr>
        <w:t>Le tableau</w:t>
      </w:r>
      <w:r>
        <w:rPr>
          <w:lang w:val="fr-FR" w:bidi="fr-FR"/>
        </w:rPr>
        <w:t> </w:t>
      </w:r>
      <w:r w:rsidRPr="002D6131">
        <w:rPr>
          <w:lang w:val="fr-FR" w:bidi="fr-FR"/>
        </w:rPr>
        <w:t>5 présente la répartition des ressources prévue par le plan d</w:t>
      </w:r>
      <w:r>
        <w:rPr>
          <w:lang w:val="fr-FR" w:bidi="fr-FR"/>
        </w:rPr>
        <w:t>’</w:t>
      </w:r>
      <w:r w:rsidRPr="002D6131">
        <w:rPr>
          <w:lang w:val="fr-FR" w:bidi="fr-FR"/>
        </w:rPr>
        <w:t xml:space="preserve">activités de l’Allemagne pour 2022–2024. </w:t>
      </w:r>
    </w:p>
    <w:p w14:paraId="56363060" w14:textId="77777777" w:rsidR="006B5F5C" w:rsidRPr="00E23538" w:rsidRDefault="006B5F5C" w:rsidP="00066442">
      <w:pPr>
        <w:pStyle w:val="subhead"/>
        <w:jc w:val="both"/>
        <w:rPr>
          <w:b/>
          <w:sz w:val="22"/>
          <w:szCs w:val="22"/>
          <w:lang w:val="fr-FR"/>
        </w:rPr>
      </w:pPr>
      <w:r w:rsidRPr="002D6131">
        <w:rPr>
          <w:b/>
          <w:sz w:val="22"/>
          <w:szCs w:val="22"/>
          <w:lang w:val="fr-FR" w:bidi="fr-FR"/>
        </w:rPr>
        <w:t>Tableau</w:t>
      </w:r>
      <w:r>
        <w:rPr>
          <w:b/>
          <w:sz w:val="22"/>
          <w:szCs w:val="22"/>
          <w:lang w:val="fr-FR" w:bidi="fr-FR"/>
        </w:rPr>
        <w:t> </w:t>
      </w:r>
      <w:r w:rsidRPr="002D6131">
        <w:rPr>
          <w:b/>
          <w:sz w:val="22"/>
          <w:szCs w:val="22"/>
          <w:lang w:val="fr-FR" w:bidi="fr-FR"/>
        </w:rPr>
        <w:t>5</w:t>
      </w:r>
      <w:r>
        <w:rPr>
          <w:b/>
          <w:sz w:val="22"/>
          <w:szCs w:val="22"/>
          <w:lang w:val="fr-FR" w:bidi="fr-FR"/>
        </w:rPr>
        <w:t> </w:t>
      </w:r>
      <w:r w:rsidRPr="002D6131">
        <w:rPr>
          <w:b/>
          <w:sz w:val="22"/>
          <w:szCs w:val="22"/>
          <w:lang w:val="fr-FR" w:bidi="fr-FR"/>
        </w:rPr>
        <w:t>: Répartition des ressources pour l</w:t>
      </w:r>
      <w:r>
        <w:rPr>
          <w:b/>
          <w:sz w:val="22"/>
          <w:szCs w:val="22"/>
          <w:lang w:val="fr-FR" w:bidi="fr-FR"/>
        </w:rPr>
        <w:t>’</w:t>
      </w:r>
      <w:r w:rsidRPr="002D6131">
        <w:rPr>
          <w:b/>
          <w:sz w:val="22"/>
          <w:szCs w:val="22"/>
          <w:lang w:val="fr-FR" w:bidi="fr-FR"/>
        </w:rPr>
        <w:t xml:space="preserve">Allemagne ($ </w:t>
      </w:r>
      <w:proofErr w:type="gramStart"/>
      <w:r w:rsidRPr="002D6131">
        <w:rPr>
          <w:b/>
          <w:sz w:val="22"/>
          <w:szCs w:val="22"/>
          <w:lang w:val="fr-FR" w:bidi="fr-FR"/>
        </w:rPr>
        <w:t>US)*</w:t>
      </w:r>
      <w:proofErr w:type="gramEnd"/>
    </w:p>
    <w:tbl>
      <w:tblPr>
        <w:tblW w:w="9498" w:type="dxa"/>
        <w:tblInd w:w="-5" w:type="dxa"/>
        <w:tblLayout w:type="fixed"/>
        <w:tblLook w:val="04A0" w:firstRow="1" w:lastRow="0" w:firstColumn="1" w:lastColumn="0" w:noHBand="0" w:noVBand="1"/>
      </w:tblPr>
      <w:tblGrid>
        <w:gridCol w:w="3261"/>
        <w:gridCol w:w="1134"/>
        <w:gridCol w:w="1275"/>
        <w:gridCol w:w="1219"/>
        <w:gridCol w:w="1304"/>
        <w:gridCol w:w="1305"/>
      </w:tblGrid>
      <w:tr w:rsidR="006B5F5C" w:rsidRPr="00E71F76" w14:paraId="7AF765ED" w14:textId="77777777" w:rsidTr="00BE6BA2">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77EAA72B" w14:textId="77777777" w:rsidR="006B5F5C" w:rsidRPr="00E71F76" w:rsidRDefault="006B5F5C" w:rsidP="00066442">
            <w:pPr>
              <w:jc w:val="left"/>
              <w:rPr>
                <w:b/>
                <w:bCs/>
                <w:sz w:val="21"/>
                <w:szCs w:val="21"/>
                <w:lang w:eastAsia="en-CA"/>
              </w:rPr>
            </w:pPr>
            <w:r w:rsidRPr="00E71F76">
              <w:rPr>
                <w:b/>
                <w:sz w:val="21"/>
                <w:szCs w:val="21"/>
                <w:lang w:val="fr-FR" w:bidi="fr-FR"/>
              </w:rPr>
              <w:t>Description</w:t>
            </w:r>
          </w:p>
        </w:tc>
        <w:tc>
          <w:tcPr>
            <w:tcW w:w="1134" w:type="dxa"/>
            <w:tcBorders>
              <w:top w:val="single" w:sz="4" w:space="0" w:color="auto"/>
              <w:left w:val="nil"/>
              <w:bottom w:val="single" w:sz="4" w:space="0" w:color="auto"/>
              <w:right w:val="single" w:sz="4" w:space="0" w:color="auto"/>
            </w:tcBorders>
            <w:shd w:val="clear" w:color="auto" w:fill="auto"/>
            <w:hideMark/>
          </w:tcPr>
          <w:p w14:paraId="001C03BA" w14:textId="77777777" w:rsidR="006B5F5C" w:rsidRPr="00E71F76" w:rsidRDefault="006B5F5C" w:rsidP="00066442">
            <w:pPr>
              <w:jc w:val="center"/>
              <w:rPr>
                <w:b/>
                <w:bCs/>
                <w:sz w:val="21"/>
                <w:szCs w:val="21"/>
                <w:lang w:eastAsia="en-CA"/>
              </w:rPr>
            </w:pPr>
            <w:r w:rsidRPr="00E71F76">
              <w:rPr>
                <w:b/>
                <w:sz w:val="21"/>
                <w:szCs w:val="21"/>
                <w:lang w:val="fr-FR" w:bidi="fr-FR"/>
              </w:rPr>
              <w:t>2022</w:t>
            </w:r>
          </w:p>
        </w:tc>
        <w:tc>
          <w:tcPr>
            <w:tcW w:w="1275" w:type="dxa"/>
            <w:tcBorders>
              <w:top w:val="single" w:sz="4" w:space="0" w:color="auto"/>
              <w:left w:val="nil"/>
              <w:bottom w:val="single" w:sz="4" w:space="0" w:color="auto"/>
              <w:right w:val="single" w:sz="4" w:space="0" w:color="auto"/>
            </w:tcBorders>
            <w:shd w:val="clear" w:color="auto" w:fill="auto"/>
            <w:hideMark/>
          </w:tcPr>
          <w:p w14:paraId="4DC7A7A6" w14:textId="77777777" w:rsidR="006B5F5C" w:rsidRPr="00E71F76" w:rsidRDefault="006B5F5C" w:rsidP="00066442">
            <w:pPr>
              <w:jc w:val="center"/>
              <w:rPr>
                <w:b/>
                <w:bCs/>
                <w:sz w:val="21"/>
                <w:szCs w:val="21"/>
                <w:lang w:eastAsia="en-CA"/>
              </w:rPr>
            </w:pPr>
            <w:r w:rsidRPr="00E71F76">
              <w:rPr>
                <w:b/>
                <w:sz w:val="21"/>
                <w:szCs w:val="21"/>
                <w:lang w:val="fr-FR" w:bidi="fr-FR"/>
              </w:rPr>
              <w:t>2023</w:t>
            </w:r>
          </w:p>
        </w:tc>
        <w:tc>
          <w:tcPr>
            <w:tcW w:w="1219" w:type="dxa"/>
            <w:tcBorders>
              <w:top w:val="single" w:sz="4" w:space="0" w:color="auto"/>
              <w:left w:val="nil"/>
              <w:bottom w:val="single" w:sz="4" w:space="0" w:color="auto"/>
              <w:right w:val="single" w:sz="4" w:space="0" w:color="auto"/>
            </w:tcBorders>
            <w:shd w:val="clear" w:color="auto" w:fill="auto"/>
            <w:hideMark/>
          </w:tcPr>
          <w:p w14:paraId="7F77642B" w14:textId="77777777" w:rsidR="006B5F5C" w:rsidRPr="00E71F76" w:rsidRDefault="006B5F5C" w:rsidP="00066442">
            <w:pPr>
              <w:jc w:val="center"/>
              <w:rPr>
                <w:b/>
                <w:bCs/>
                <w:sz w:val="21"/>
                <w:szCs w:val="21"/>
                <w:lang w:eastAsia="en-CA"/>
              </w:rPr>
            </w:pPr>
            <w:r w:rsidRPr="00E71F76">
              <w:rPr>
                <w:b/>
                <w:sz w:val="21"/>
                <w:szCs w:val="21"/>
                <w:lang w:val="fr-FR" w:bidi="fr-FR"/>
              </w:rPr>
              <w:t>2024</w:t>
            </w:r>
          </w:p>
        </w:tc>
        <w:tc>
          <w:tcPr>
            <w:tcW w:w="1304" w:type="dxa"/>
            <w:tcBorders>
              <w:top w:val="single" w:sz="4" w:space="0" w:color="auto"/>
              <w:left w:val="nil"/>
              <w:bottom w:val="single" w:sz="4" w:space="0" w:color="auto"/>
              <w:right w:val="single" w:sz="4" w:space="0" w:color="auto"/>
            </w:tcBorders>
            <w:shd w:val="clear" w:color="auto" w:fill="auto"/>
            <w:hideMark/>
          </w:tcPr>
          <w:p w14:paraId="224ABE2F" w14:textId="77777777" w:rsidR="006B5F5C" w:rsidRPr="00E71F76" w:rsidRDefault="006B5F5C" w:rsidP="00066442">
            <w:pPr>
              <w:jc w:val="center"/>
              <w:rPr>
                <w:b/>
                <w:bCs/>
                <w:sz w:val="21"/>
                <w:szCs w:val="21"/>
                <w:lang w:eastAsia="en-CA"/>
              </w:rPr>
            </w:pPr>
            <w:r w:rsidRPr="00E71F76">
              <w:rPr>
                <w:b/>
                <w:sz w:val="21"/>
                <w:szCs w:val="21"/>
                <w:lang w:val="fr-FR" w:bidi="fr-FR"/>
              </w:rPr>
              <w:t xml:space="preserve">Total </w:t>
            </w:r>
          </w:p>
          <w:p w14:paraId="286ECE98" w14:textId="77777777" w:rsidR="006B5F5C" w:rsidRPr="00E71F76" w:rsidRDefault="006B5F5C" w:rsidP="00066442">
            <w:pPr>
              <w:jc w:val="center"/>
              <w:rPr>
                <w:b/>
                <w:bCs/>
                <w:sz w:val="21"/>
                <w:szCs w:val="21"/>
                <w:lang w:eastAsia="en-CA"/>
              </w:rPr>
            </w:pPr>
            <w:r w:rsidRPr="00E71F76">
              <w:rPr>
                <w:b/>
                <w:sz w:val="21"/>
                <w:szCs w:val="21"/>
                <w:lang w:val="fr-FR" w:bidi="fr-FR"/>
              </w:rPr>
              <w:t>(2022–2024)</w:t>
            </w:r>
          </w:p>
        </w:tc>
        <w:tc>
          <w:tcPr>
            <w:tcW w:w="1305" w:type="dxa"/>
            <w:tcBorders>
              <w:top w:val="single" w:sz="4" w:space="0" w:color="auto"/>
              <w:left w:val="nil"/>
              <w:bottom w:val="single" w:sz="4" w:space="0" w:color="auto"/>
              <w:right w:val="single" w:sz="4" w:space="0" w:color="auto"/>
            </w:tcBorders>
            <w:shd w:val="clear" w:color="auto" w:fill="auto"/>
            <w:hideMark/>
          </w:tcPr>
          <w:p w14:paraId="3DF85591" w14:textId="77777777" w:rsidR="006B5F5C" w:rsidRPr="00E71F76" w:rsidRDefault="006B5F5C" w:rsidP="00066442">
            <w:pPr>
              <w:jc w:val="center"/>
              <w:rPr>
                <w:b/>
                <w:bCs/>
                <w:sz w:val="21"/>
                <w:szCs w:val="21"/>
                <w:lang w:eastAsia="en-CA"/>
              </w:rPr>
            </w:pPr>
            <w:r w:rsidRPr="00E71F76">
              <w:rPr>
                <w:b/>
                <w:sz w:val="21"/>
                <w:szCs w:val="21"/>
                <w:lang w:val="fr-FR" w:bidi="fr-FR"/>
              </w:rPr>
              <w:t>Total après 2024</w:t>
            </w:r>
          </w:p>
        </w:tc>
      </w:tr>
      <w:tr w:rsidR="006B5F5C" w:rsidRPr="00E71F76" w14:paraId="3C283C68" w14:textId="77777777" w:rsidTr="006E3590">
        <w:trPr>
          <w:trHeight w:val="6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00E3587" w14:textId="77777777" w:rsidR="006B5F5C" w:rsidRPr="00E71F76" w:rsidRDefault="006B5F5C" w:rsidP="00066442">
            <w:pPr>
              <w:jc w:val="left"/>
              <w:rPr>
                <w:b/>
                <w:bCs/>
                <w:sz w:val="21"/>
                <w:szCs w:val="21"/>
                <w:lang w:eastAsia="en-CA"/>
              </w:rPr>
            </w:pPr>
            <w:r w:rsidRPr="00E71F76">
              <w:rPr>
                <w:b/>
                <w:sz w:val="21"/>
                <w:szCs w:val="21"/>
                <w:lang w:val="fr-FR" w:bidi="fr-FR"/>
              </w:rPr>
              <w:t>Activités relatives aux HCFC</w:t>
            </w:r>
          </w:p>
        </w:tc>
      </w:tr>
      <w:tr w:rsidR="006B5F5C" w:rsidRPr="00E71F76" w14:paraId="2D45954E" w14:textId="77777777" w:rsidTr="00BE6BA2">
        <w:trPr>
          <w:trHeight w:val="93"/>
        </w:trPr>
        <w:tc>
          <w:tcPr>
            <w:tcW w:w="3261" w:type="dxa"/>
            <w:tcBorders>
              <w:top w:val="nil"/>
              <w:left w:val="single" w:sz="4" w:space="0" w:color="auto"/>
              <w:bottom w:val="single" w:sz="4" w:space="0" w:color="auto"/>
              <w:right w:val="single" w:sz="4" w:space="0" w:color="auto"/>
            </w:tcBorders>
            <w:shd w:val="clear" w:color="auto" w:fill="auto"/>
            <w:noWrap/>
            <w:hideMark/>
          </w:tcPr>
          <w:p w14:paraId="6EA23CBE" w14:textId="77777777" w:rsidR="006B5F5C" w:rsidRPr="00E71F76" w:rsidRDefault="006B5F5C" w:rsidP="00066442">
            <w:pPr>
              <w:jc w:val="left"/>
              <w:rPr>
                <w:sz w:val="21"/>
                <w:szCs w:val="21"/>
                <w:lang w:eastAsia="en-CA"/>
              </w:rPr>
            </w:pPr>
            <w:r w:rsidRPr="00E71F76">
              <w:rPr>
                <w:sz w:val="21"/>
                <w:szCs w:val="21"/>
                <w:lang w:val="fr-FR" w:bidi="fr-FR"/>
              </w:rPr>
              <w:t>PGEH approuvés</w:t>
            </w:r>
          </w:p>
        </w:tc>
        <w:tc>
          <w:tcPr>
            <w:tcW w:w="1134" w:type="dxa"/>
            <w:tcBorders>
              <w:top w:val="nil"/>
              <w:left w:val="nil"/>
              <w:bottom w:val="single" w:sz="4" w:space="0" w:color="auto"/>
              <w:right w:val="single" w:sz="4" w:space="0" w:color="auto"/>
            </w:tcBorders>
            <w:shd w:val="clear" w:color="auto" w:fill="auto"/>
            <w:noWrap/>
            <w:hideMark/>
          </w:tcPr>
          <w:p w14:paraId="61014021" w14:textId="77777777" w:rsidR="006B5F5C" w:rsidRPr="00E71F76" w:rsidRDefault="006B5F5C" w:rsidP="00066442">
            <w:pPr>
              <w:jc w:val="right"/>
              <w:rPr>
                <w:sz w:val="21"/>
                <w:szCs w:val="21"/>
                <w:lang w:eastAsia="en-CA"/>
              </w:rPr>
            </w:pPr>
            <w:r w:rsidRPr="00E71F76">
              <w:rPr>
                <w:sz w:val="21"/>
                <w:szCs w:val="21"/>
                <w:lang w:val="fr-FR" w:bidi="fr-FR"/>
              </w:rPr>
              <w:t>1</w:t>
            </w:r>
            <w:r>
              <w:rPr>
                <w:sz w:val="21"/>
                <w:szCs w:val="21"/>
                <w:lang w:val="fr-FR" w:bidi="fr-FR"/>
              </w:rPr>
              <w:t> 749 </w:t>
            </w:r>
            <w:r w:rsidRPr="00E71F76">
              <w:rPr>
                <w:sz w:val="21"/>
                <w:szCs w:val="21"/>
                <w:lang w:val="fr-FR" w:bidi="fr-FR"/>
              </w:rPr>
              <w:t>466</w:t>
            </w:r>
          </w:p>
        </w:tc>
        <w:tc>
          <w:tcPr>
            <w:tcW w:w="1275" w:type="dxa"/>
            <w:tcBorders>
              <w:top w:val="nil"/>
              <w:left w:val="nil"/>
              <w:bottom w:val="single" w:sz="4" w:space="0" w:color="auto"/>
              <w:right w:val="single" w:sz="4" w:space="0" w:color="auto"/>
            </w:tcBorders>
            <w:shd w:val="clear" w:color="auto" w:fill="auto"/>
            <w:noWrap/>
            <w:hideMark/>
          </w:tcPr>
          <w:p w14:paraId="08061C9D" w14:textId="77777777" w:rsidR="006B5F5C" w:rsidRPr="00E71F76" w:rsidRDefault="006B5F5C" w:rsidP="00066442">
            <w:pPr>
              <w:jc w:val="right"/>
              <w:rPr>
                <w:sz w:val="21"/>
                <w:szCs w:val="21"/>
                <w:lang w:eastAsia="en-CA"/>
              </w:rPr>
            </w:pPr>
            <w:r w:rsidRPr="00E71F76">
              <w:rPr>
                <w:b/>
                <w:sz w:val="21"/>
                <w:szCs w:val="21"/>
                <w:lang w:val="fr-FR" w:bidi="fr-FR"/>
              </w:rPr>
              <w:t>1</w:t>
            </w:r>
            <w:r>
              <w:rPr>
                <w:b/>
                <w:sz w:val="21"/>
                <w:szCs w:val="21"/>
                <w:lang w:val="fr-FR" w:bidi="fr-FR"/>
              </w:rPr>
              <w:t> 045 </w:t>
            </w:r>
            <w:r w:rsidRPr="00E71F76">
              <w:rPr>
                <w:b/>
                <w:sz w:val="21"/>
                <w:szCs w:val="21"/>
                <w:lang w:val="fr-FR" w:bidi="fr-FR"/>
              </w:rPr>
              <w:t>498</w:t>
            </w:r>
          </w:p>
        </w:tc>
        <w:tc>
          <w:tcPr>
            <w:tcW w:w="1219" w:type="dxa"/>
            <w:tcBorders>
              <w:top w:val="nil"/>
              <w:left w:val="nil"/>
              <w:bottom w:val="single" w:sz="4" w:space="0" w:color="auto"/>
              <w:right w:val="single" w:sz="4" w:space="0" w:color="auto"/>
            </w:tcBorders>
            <w:shd w:val="clear" w:color="auto" w:fill="auto"/>
            <w:noWrap/>
            <w:hideMark/>
          </w:tcPr>
          <w:p w14:paraId="6D8478B7" w14:textId="77777777" w:rsidR="006B5F5C" w:rsidRPr="00E71F76" w:rsidRDefault="006B5F5C" w:rsidP="00066442">
            <w:pPr>
              <w:jc w:val="right"/>
              <w:rPr>
                <w:sz w:val="21"/>
                <w:szCs w:val="21"/>
                <w:lang w:eastAsia="en-CA"/>
              </w:rPr>
            </w:pPr>
            <w:r w:rsidRPr="00E71F76">
              <w:rPr>
                <w:sz w:val="21"/>
                <w:szCs w:val="21"/>
                <w:lang w:val="fr-FR" w:bidi="fr-FR"/>
              </w:rPr>
              <w:t>183</w:t>
            </w:r>
            <w:r>
              <w:rPr>
                <w:sz w:val="21"/>
                <w:szCs w:val="21"/>
                <w:lang w:val="fr-FR" w:bidi="fr-FR"/>
              </w:rPr>
              <w:t> </w:t>
            </w:r>
            <w:r w:rsidRPr="00E71F76">
              <w:rPr>
                <w:sz w:val="21"/>
                <w:szCs w:val="21"/>
                <w:lang w:val="fr-FR" w:bidi="fr-FR"/>
              </w:rPr>
              <w:t>512</w:t>
            </w:r>
          </w:p>
        </w:tc>
        <w:tc>
          <w:tcPr>
            <w:tcW w:w="1304" w:type="dxa"/>
            <w:tcBorders>
              <w:top w:val="nil"/>
              <w:left w:val="nil"/>
              <w:bottom w:val="single" w:sz="4" w:space="0" w:color="auto"/>
              <w:right w:val="single" w:sz="4" w:space="0" w:color="auto"/>
            </w:tcBorders>
            <w:shd w:val="clear" w:color="auto" w:fill="auto"/>
            <w:noWrap/>
            <w:hideMark/>
          </w:tcPr>
          <w:p w14:paraId="0E1801D7" w14:textId="77777777" w:rsidR="006B5F5C" w:rsidRPr="00E71F76" w:rsidRDefault="006B5F5C" w:rsidP="00066442">
            <w:pPr>
              <w:jc w:val="right"/>
              <w:rPr>
                <w:sz w:val="21"/>
                <w:szCs w:val="21"/>
                <w:lang w:eastAsia="en-CA"/>
              </w:rPr>
            </w:pPr>
            <w:r w:rsidRPr="00E71F76">
              <w:rPr>
                <w:b/>
                <w:sz w:val="21"/>
                <w:szCs w:val="21"/>
                <w:lang w:val="fr-FR" w:bidi="fr-FR"/>
              </w:rPr>
              <w:t>2</w:t>
            </w:r>
            <w:r>
              <w:rPr>
                <w:b/>
                <w:sz w:val="21"/>
                <w:szCs w:val="21"/>
                <w:lang w:val="fr-FR" w:bidi="fr-FR"/>
              </w:rPr>
              <w:t> 978 </w:t>
            </w:r>
            <w:r w:rsidRPr="00E71F76">
              <w:rPr>
                <w:b/>
                <w:sz w:val="21"/>
                <w:szCs w:val="21"/>
                <w:lang w:val="fr-FR" w:bidi="fr-FR"/>
              </w:rPr>
              <w:t>476</w:t>
            </w:r>
          </w:p>
        </w:tc>
        <w:tc>
          <w:tcPr>
            <w:tcW w:w="1305" w:type="dxa"/>
            <w:tcBorders>
              <w:top w:val="nil"/>
              <w:left w:val="nil"/>
              <w:bottom w:val="single" w:sz="4" w:space="0" w:color="auto"/>
              <w:right w:val="single" w:sz="4" w:space="0" w:color="auto"/>
            </w:tcBorders>
            <w:shd w:val="clear" w:color="auto" w:fill="auto"/>
            <w:noWrap/>
            <w:hideMark/>
          </w:tcPr>
          <w:p w14:paraId="4A0B443C" w14:textId="77777777" w:rsidR="006B5F5C" w:rsidRPr="00E71F76" w:rsidRDefault="006B5F5C" w:rsidP="00066442">
            <w:pPr>
              <w:jc w:val="right"/>
              <w:rPr>
                <w:sz w:val="21"/>
                <w:szCs w:val="21"/>
                <w:lang w:eastAsia="en-CA"/>
              </w:rPr>
            </w:pPr>
            <w:r w:rsidRPr="00E71F76">
              <w:rPr>
                <w:b/>
                <w:sz w:val="21"/>
                <w:szCs w:val="21"/>
                <w:lang w:val="fr-FR" w:bidi="fr-FR"/>
              </w:rPr>
              <w:t>577</w:t>
            </w:r>
            <w:r>
              <w:rPr>
                <w:b/>
                <w:sz w:val="21"/>
                <w:szCs w:val="21"/>
                <w:lang w:val="fr-FR" w:bidi="fr-FR"/>
              </w:rPr>
              <w:t> </w:t>
            </w:r>
            <w:r w:rsidRPr="00E71F76">
              <w:rPr>
                <w:b/>
                <w:sz w:val="21"/>
                <w:szCs w:val="21"/>
                <w:lang w:val="fr-FR" w:bidi="fr-FR"/>
              </w:rPr>
              <w:t>044</w:t>
            </w:r>
          </w:p>
        </w:tc>
      </w:tr>
      <w:tr w:rsidR="006B5F5C" w:rsidRPr="00E71F76" w14:paraId="4624F1BA" w14:textId="77777777" w:rsidTr="00BE6BA2">
        <w:trPr>
          <w:trHeight w:val="124"/>
        </w:trPr>
        <w:tc>
          <w:tcPr>
            <w:tcW w:w="3261" w:type="dxa"/>
            <w:tcBorders>
              <w:top w:val="nil"/>
              <w:left w:val="single" w:sz="4" w:space="0" w:color="auto"/>
              <w:bottom w:val="single" w:sz="4" w:space="0" w:color="auto"/>
              <w:right w:val="single" w:sz="4" w:space="0" w:color="auto"/>
            </w:tcBorders>
            <w:shd w:val="clear" w:color="auto" w:fill="auto"/>
            <w:noWrap/>
            <w:hideMark/>
          </w:tcPr>
          <w:p w14:paraId="617D8D34" w14:textId="77777777" w:rsidR="006B5F5C" w:rsidRPr="00E71F76" w:rsidRDefault="006B5F5C" w:rsidP="00066442">
            <w:pPr>
              <w:jc w:val="left"/>
              <w:rPr>
                <w:sz w:val="21"/>
                <w:szCs w:val="21"/>
                <w:lang w:eastAsia="en-CA"/>
              </w:rPr>
            </w:pPr>
            <w:r w:rsidRPr="00E71F76">
              <w:rPr>
                <w:sz w:val="21"/>
                <w:szCs w:val="21"/>
                <w:lang w:val="fr-FR" w:bidi="fr-FR"/>
              </w:rPr>
              <w:t>PGEH - phase</w:t>
            </w:r>
            <w:r>
              <w:rPr>
                <w:sz w:val="21"/>
                <w:szCs w:val="21"/>
                <w:lang w:val="fr-FR" w:bidi="fr-FR"/>
              </w:rPr>
              <w:t> </w:t>
            </w:r>
            <w:r w:rsidRPr="00E71F76">
              <w:rPr>
                <w:sz w:val="21"/>
                <w:szCs w:val="21"/>
                <w:lang w:val="fr-FR" w:bidi="fr-FR"/>
              </w:rPr>
              <w:t>III</w:t>
            </w:r>
          </w:p>
        </w:tc>
        <w:tc>
          <w:tcPr>
            <w:tcW w:w="1134" w:type="dxa"/>
            <w:tcBorders>
              <w:top w:val="nil"/>
              <w:left w:val="nil"/>
              <w:bottom w:val="single" w:sz="4" w:space="0" w:color="auto"/>
              <w:right w:val="single" w:sz="4" w:space="0" w:color="auto"/>
            </w:tcBorders>
            <w:shd w:val="clear" w:color="auto" w:fill="auto"/>
            <w:noWrap/>
            <w:hideMark/>
          </w:tcPr>
          <w:p w14:paraId="289EE2C0"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75" w:type="dxa"/>
            <w:tcBorders>
              <w:top w:val="nil"/>
              <w:left w:val="nil"/>
              <w:bottom w:val="single" w:sz="4" w:space="0" w:color="auto"/>
              <w:right w:val="single" w:sz="4" w:space="0" w:color="auto"/>
            </w:tcBorders>
            <w:shd w:val="clear" w:color="auto" w:fill="auto"/>
            <w:noWrap/>
            <w:hideMark/>
          </w:tcPr>
          <w:p w14:paraId="726DB7F0" w14:textId="77777777" w:rsidR="006B5F5C" w:rsidRPr="00E71F76" w:rsidRDefault="006B5F5C" w:rsidP="00066442">
            <w:pPr>
              <w:jc w:val="right"/>
              <w:rPr>
                <w:sz w:val="21"/>
                <w:szCs w:val="21"/>
                <w:lang w:eastAsia="en-CA"/>
              </w:rPr>
            </w:pPr>
            <w:r w:rsidRPr="00E71F76">
              <w:rPr>
                <w:b/>
                <w:sz w:val="21"/>
                <w:szCs w:val="21"/>
                <w:lang w:val="fr-FR" w:bidi="fr-FR"/>
              </w:rPr>
              <w:t>422</w:t>
            </w:r>
            <w:r>
              <w:rPr>
                <w:b/>
                <w:sz w:val="21"/>
                <w:szCs w:val="21"/>
                <w:lang w:val="fr-FR" w:bidi="fr-FR"/>
              </w:rPr>
              <w:t> </w:t>
            </w:r>
            <w:r w:rsidRPr="00E71F76">
              <w:rPr>
                <w:b/>
                <w:sz w:val="21"/>
                <w:szCs w:val="21"/>
                <w:lang w:val="fr-FR" w:bidi="fr-FR"/>
              </w:rPr>
              <w:t>650</w:t>
            </w:r>
          </w:p>
        </w:tc>
        <w:tc>
          <w:tcPr>
            <w:tcW w:w="1219" w:type="dxa"/>
            <w:tcBorders>
              <w:top w:val="nil"/>
              <w:left w:val="nil"/>
              <w:bottom w:val="single" w:sz="4" w:space="0" w:color="auto"/>
              <w:right w:val="single" w:sz="4" w:space="0" w:color="auto"/>
            </w:tcBorders>
            <w:shd w:val="clear" w:color="auto" w:fill="auto"/>
            <w:noWrap/>
            <w:hideMark/>
          </w:tcPr>
          <w:p w14:paraId="76366A5F" w14:textId="77777777" w:rsidR="006B5F5C" w:rsidRPr="00E71F76" w:rsidRDefault="006B5F5C" w:rsidP="00066442">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hideMark/>
          </w:tcPr>
          <w:p w14:paraId="209BA5D7" w14:textId="77777777" w:rsidR="006B5F5C" w:rsidRPr="00E71F76" w:rsidRDefault="006B5F5C" w:rsidP="00066442">
            <w:pPr>
              <w:jc w:val="right"/>
              <w:rPr>
                <w:sz w:val="21"/>
                <w:szCs w:val="21"/>
                <w:lang w:eastAsia="en-CA"/>
              </w:rPr>
            </w:pPr>
            <w:r w:rsidRPr="00E71F76">
              <w:rPr>
                <w:b/>
                <w:sz w:val="21"/>
                <w:szCs w:val="21"/>
                <w:lang w:val="fr-FR" w:bidi="fr-FR"/>
              </w:rPr>
              <w:t>422</w:t>
            </w:r>
            <w:r>
              <w:rPr>
                <w:b/>
                <w:sz w:val="21"/>
                <w:szCs w:val="21"/>
                <w:lang w:val="fr-FR" w:bidi="fr-FR"/>
              </w:rPr>
              <w:t> </w:t>
            </w:r>
            <w:r w:rsidRPr="00E71F76">
              <w:rPr>
                <w:b/>
                <w:sz w:val="21"/>
                <w:szCs w:val="21"/>
                <w:lang w:val="fr-FR" w:bidi="fr-FR"/>
              </w:rPr>
              <w:t>650</w:t>
            </w:r>
          </w:p>
        </w:tc>
        <w:tc>
          <w:tcPr>
            <w:tcW w:w="1305" w:type="dxa"/>
            <w:tcBorders>
              <w:top w:val="nil"/>
              <w:left w:val="nil"/>
              <w:bottom w:val="single" w:sz="4" w:space="0" w:color="auto"/>
              <w:right w:val="single" w:sz="4" w:space="0" w:color="auto"/>
            </w:tcBorders>
            <w:shd w:val="clear" w:color="auto" w:fill="auto"/>
            <w:noWrap/>
            <w:hideMark/>
          </w:tcPr>
          <w:p w14:paraId="0E35EF2B" w14:textId="77777777" w:rsidR="006B5F5C" w:rsidRPr="00E71F76" w:rsidRDefault="006B5F5C" w:rsidP="00066442">
            <w:pPr>
              <w:jc w:val="right"/>
              <w:rPr>
                <w:sz w:val="21"/>
                <w:szCs w:val="21"/>
                <w:lang w:eastAsia="en-CA"/>
              </w:rPr>
            </w:pPr>
            <w:r w:rsidRPr="00E71F76">
              <w:rPr>
                <w:sz w:val="21"/>
                <w:szCs w:val="21"/>
                <w:lang w:val="fr-FR" w:bidi="fr-FR"/>
              </w:rPr>
              <w:t>0</w:t>
            </w:r>
          </w:p>
        </w:tc>
      </w:tr>
      <w:tr w:rsidR="006B5F5C" w:rsidRPr="00E71F76" w14:paraId="24D6B3DE"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125A53C0" w14:textId="77777777" w:rsidR="006B5F5C" w:rsidRPr="00E71F76" w:rsidRDefault="006B5F5C" w:rsidP="00066442">
            <w:pPr>
              <w:jc w:val="left"/>
              <w:rPr>
                <w:sz w:val="21"/>
                <w:szCs w:val="21"/>
                <w:lang w:eastAsia="en-CA"/>
              </w:rPr>
            </w:pPr>
            <w:r w:rsidRPr="00E71F76">
              <w:rPr>
                <w:sz w:val="21"/>
                <w:szCs w:val="21"/>
                <w:lang w:val="fr-FR" w:bidi="fr-FR"/>
              </w:rPr>
              <w:t>Vérification du PGEH</w:t>
            </w:r>
          </w:p>
        </w:tc>
        <w:tc>
          <w:tcPr>
            <w:tcW w:w="1134" w:type="dxa"/>
            <w:tcBorders>
              <w:top w:val="nil"/>
              <w:left w:val="nil"/>
              <w:bottom w:val="single" w:sz="4" w:space="0" w:color="auto"/>
              <w:right w:val="single" w:sz="4" w:space="0" w:color="auto"/>
            </w:tcBorders>
            <w:shd w:val="clear" w:color="auto" w:fill="auto"/>
            <w:noWrap/>
            <w:hideMark/>
          </w:tcPr>
          <w:p w14:paraId="2E4BA4CC"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75" w:type="dxa"/>
            <w:tcBorders>
              <w:top w:val="nil"/>
              <w:left w:val="nil"/>
              <w:bottom w:val="single" w:sz="4" w:space="0" w:color="auto"/>
              <w:right w:val="single" w:sz="4" w:space="0" w:color="auto"/>
            </w:tcBorders>
            <w:shd w:val="clear" w:color="auto" w:fill="auto"/>
            <w:noWrap/>
            <w:hideMark/>
          </w:tcPr>
          <w:p w14:paraId="26FDFADB" w14:textId="77777777" w:rsidR="006B5F5C" w:rsidRPr="00E71F76" w:rsidRDefault="006B5F5C" w:rsidP="00066442">
            <w:pPr>
              <w:jc w:val="right"/>
              <w:rPr>
                <w:sz w:val="21"/>
                <w:szCs w:val="21"/>
                <w:lang w:eastAsia="en-CA"/>
              </w:rPr>
            </w:pPr>
            <w:r w:rsidRPr="00E71F76">
              <w:rPr>
                <w:sz w:val="21"/>
                <w:szCs w:val="21"/>
                <w:lang w:val="fr-FR" w:bidi="fr-FR"/>
              </w:rPr>
              <w:t>60</w:t>
            </w:r>
            <w:r>
              <w:rPr>
                <w:sz w:val="21"/>
                <w:szCs w:val="21"/>
                <w:lang w:val="fr-FR" w:bidi="fr-FR"/>
              </w:rPr>
              <w:t> </w:t>
            </w:r>
            <w:r w:rsidRPr="00E71F76">
              <w:rPr>
                <w:sz w:val="21"/>
                <w:szCs w:val="21"/>
                <w:lang w:val="fr-FR" w:bidi="fr-FR"/>
              </w:rPr>
              <w:t>000</w:t>
            </w:r>
          </w:p>
        </w:tc>
        <w:tc>
          <w:tcPr>
            <w:tcW w:w="1219" w:type="dxa"/>
            <w:tcBorders>
              <w:top w:val="nil"/>
              <w:left w:val="nil"/>
              <w:bottom w:val="single" w:sz="4" w:space="0" w:color="auto"/>
              <w:right w:val="single" w:sz="4" w:space="0" w:color="auto"/>
            </w:tcBorders>
            <w:shd w:val="clear" w:color="auto" w:fill="auto"/>
            <w:noWrap/>
            <w:hideMark/>
          </w:tcPr>
          <w:p w14:paraId="788D67BD" w14:textId="77777777" w:rsidR="006B5F5C" w:rsidRPr="00E71F76" w:rsidRDefault="006B5F5C" w:rsidP="00066442">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hideMark/>
          </w:tcPr>
          <w:p w14:paraId="63D1C91A" w14:textId="77777777" w:rsidR="006B5F5C" w:rsidRPr="00E71F76" w:rsidRDefault="006B5F5C" w:rsidP="00066442">
            <w:pPr>
              <w:jc w:val="right"/>
              <w:rPr>
                <w:sz w:val="21"/>
                <w:szCs w:val="21"/>
                <w:lang w:eastAsia="en-CA"/>
              </w:rPr>
            </w:pPr>
            <w:r w:rsidRPr="00E71F76">
              <w:rPr>
                <w:sz w:val="21"/>
                <w:szCs w:val="21"/>
                <w:lang w:val="fr-FR" w:bidi="fr-FR"/>
              </w:rPr>
              <w:t>60</w:t>
            </w:r>
            <w:r>
              <w:rPr>
                <w:sz w:val="21"/>
                <w:szCs w:val="21"/>
                <w:lang w:val="fr-FR" w:bidi="fr-FR"/>
              </w:rPr>
              <w:t> </w:t>
            </w:r>
            <w:r w:rsidRPr="00E71F76">
              <w:rPr>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hideMark/>
          </w:tcPr>
          <w:p w14:paraId="021CC5A3" w14:textId="77777777" w:rsidR="006B5F5C" w:rsidRPr="00E71F76" w:rsidRDefault="006B5F5C" w:rsidP="00066442">
            <w:pPr>
              <w:jc w:val="right"/>
              <w:rPr>
                <w:sz w:val="21"/>
                <w:szCs w:val="21"/>
                <w:lang w:eastAsia="en-CA"/>
              </w:rPr>
            </w:pPr>
            <w:r w:rsidRPr="00E71F76">
              <w:rPr>
                <w:sz w:val="21"/>
                <w:szCs w:val="21"/>
                <w:lang w:val="fr-FR" w:bidi="fr-FR"/>
              </w:rPr>
              <w:t>0</w:t>
            </w:r>
          </w:p>
        </w:tc>
      </w:tr>
      <w:tr w:rsidR="006B5F5C" w:rsidRPr="00E71F76" w14:paraId="13919CDE"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5BBF0139" w14:textId="77777777" w:rsidR="006B5F5C" w:rsidRPr="00E23538" w:rsidRDefault="006B5F5C" w:rsidP="00066442">
            <w:pPr>
              <w:jc w:val="left"/>
              <w:rPr>
                <w:b/>
                <w:bCs/>
                <w:sz w:val="21"/>
                <w:szCs w:val="21"/>
                <w:lang w:val="fr-FR" w:eastAsia="en-CA"/>
              </w:rPr>
            </w:pPr>
            <w:r w:rsidRPr="00E71F76">
              <w:rPr>
                <w:b/>
                <w:sz w:val="21"/>
                <w:szCs w:val="21"/>
                <w:lang w:val="fr-FR" w:bidi="fr-FR"/>
              </w:rPr>
              <w:t>Sous-total des activités liées aux HCFC</w:t>
            </w:r>
          </w:p>
        </w:tc>
        <w:tc>
          <w:tcPr>
            <w:tcW w:w="1134" w:type="dxa"/>
            <w:tcBorders>
              <w:top w:val="nil"/>
              <w:left w:val="nil"/>
              <w:bottom w:val="single" w:sz="4" w:space="0" w:color="auto"/>
              <w:right w:val="single" w:sz="4" w:space="0" w:color="auto"/>
            </w:tcBorders>
            <w:shd w:val="clear" w:color="auto" w:fill="auto"/>
            <w:noWrap/>
            <w:hideMark/>
          </w:tcPr>
          <w:p w14:paraId="499ED3AE" w14:textId="77777777" w:rsidR="006B5F5C" w:rsidRPr="00E71F76" w:rsidRDefault="006B5F5C" w:rsidP="00066442">
            <w:pPr>
              <w:jc w:val="right"/>
              <w:rPr>
                <w:b/>
                <w:bCs/>
                <w:sz w:val="21"/>
                <w:szCs w:val="21"/>
                <w:lang w:eastAsia="en-CA"/>
              </w:rPr>
            </w:pPr>
            <w:r w:rsidRPr="00E71F76">
              <w:rPr>
                <w:b/>
                <w:sz w:val="21"/>
                <w:szCs w:val="21"/>
                <w:lang w:val="fr-FR" w:bidi="fr-FR"/>
              </w:rPr>
              <w:t>1</w:t>
            </w:r>
            <w:r>
              <w:rPr>
                <w:b/>
                <w:sz w:val="21"/>
                <w:szCs w:val="21"/>
                <w:lang w:val="fr-FR" w:bidi="fr-FR"/>
              </w:rPr>
              <w:t> 749 </w:t>
            </w:r>
            <w:r w:rsidRPr="00E71F76">
              <w:rPr>
                <w:b/>
                <w:sz w:val="21"/>
                <w:szCs w:val="21"/>
                <w:lang w:val="fr-FR" w:bidi="fr-FR"/>
              </w:rPr>
              <w:t>466</w:t>
            </w:r>
          </w:p>
        </w:tc>
        <w:tc>
          <w:tcPr>
            <w:tcW w:w="1275" w:type="dxa"/>
            <w:tcBorders>
              <w:top w:val="nil"/>
              <w:left w:val="nil"/>
              <w:bottom w:val="single" w:sz="4" w:space="0" w:color="auto"/>
              <w:right w:val="single" w:sz="4" w:space="0" w:color="auto"/>
            </w:tcBorders>
            <w:shd w:val="clear" w:color="auto" w:fill="auto"/>
            <w:noWrap/>
            <w:hideMark/>
          </w:tcPr>
          <w:p w14:paraId="6D2B8A3B" w14:textId="77777777" w:rsidR="006B5F5C" w:rsidRPr="00E71F76" w:rsidRDefault="006B5F5C" w:rsidP="00066442">
            <w:pPr>
              <w:jc w:val="right"/>
              <w:rPr>
                <w:b/>
                <w:bCs/>
                <w:sz w:val="21"/>
                <w:szCs w:val="21"/>
                <w:lang w:eastAsia="en-CA"/>
              </w:rPr>
            </w:pPr>
            <w:r w:rsidRPr="00E71F76">
              <w:rPr>
                <w:b/>
                <w:sz w:val="21"/>
                <w:szCs w:val="21"/>
                <w:lang w:val="fr-FR" w:bidi="fr-FR"/>
              </w:rPr>
              <w:t>1</w:t>
            </w:r>
            <w:r>
              <w:rPr>
                <w:b/>
                <w:sz w:val="21"/>
                <w:szCs w:val="21"/>
                <w:lang w:val="fr-FR" w:bidi="fr-FR"/>
              </w:rPr>
              <w:t> 528 </w:t>
            </w:r>
            <w:r w:rsidRPr="00E71F76">
              <w:rPr>
                <w:b/>
                <w:sz w:val="21"/>
                <w:szCs w:val="21"/>
                <w:lang w:val="fr-FR" w:bidi="fr-FR"/>
              </w:rPr>
              <w:t>148</w:t>
            </w:r>
          </w:p>
        </w:tc>
        <w:tc>
          <w:tcPr>
            <w:tcW w:w="1219" w:type="dxa"/>
            <w:tcBorders>
              <w:top w:val="nil"/>
              <w:left w:val="nil"/>
              <w:bottom w:val="single" w:sz="4" w:space="0" w:color="auto"/>
              <w:right w:val="single" w:sz="4" w:space="0" w:color="auto"/>
            </w:tcBorders>
            <w:shd w:val="clear" w:color="auto" w:fill="auto"/>
            <w:noWrap/>
            <w:hideMark/>
          </w:tcPr>
          <w:p w14:paraId="3A62F956" w14:textId="77777777" w:rsidR="006B5F5C" w:rsidRPr="00E71F76" w:rsidRDefault="006B5F5C" w:rsidP="00066442">
            <w:pPr>
              <w:jc w:val="right"/>
              <w:rPr>
                <w:b/>
                <w:bCs/>
                <w:sz w:val="21"/>
                <w:szCs w:val="21"/>
                <w:lang w:eastAsia="en-CA"/>
              </w:rPr>
            </w:pPr>
            <w:r w:rsidRPr="00E71F76">
              <w:rPr>
                <w:b/>
                <w:sz w:val="21"/>
                <w:szCs w:val="21"/>
                <w:lang w:val="fr-FR" w:bidi="fr-FR"/>
              </w:rPr>
              <w:t>183</w:t>
            </w:r>
            <w:r>
              <w:rPr>
                <w:b/>
                <w:sz w:val="21"/>
                <w:szCs w:val="21"/>
                <w:lang w:val="fr-FR" w:bidi="fr-FR"/>
              </w:rPr>
              <w:t> </w:t>
            </w:r>
            <w:r w:rsidRPr="00E71F76">
              <w:rPr>
                <w:b/>
                <w:sz w:val="21"/>
                <w:szCs w:val="21"/>
                <w:lang w:val="fr-FR" w:bidi="fr-FR"/>
              </w:rPr>
              <w:t>512</w:t>
            </w:r>
          </w:p>
        </w:tc>
        <w:tc>
          <w:tcPr>
            <w:tcW w:w="1304" w:type="dxa"/>
            <w:tcBorders>
              <w:top w:val="nil"/>
              <w:left w:val="nil"/>
              <w:bottom w:val="single" w:sz="4" w:space="0" w:color="auto"/>
              <w:right w:val="single" w:sz="4" w:space="0" w:color="auto"/>
            </w:tcBorders>
            <w:shd w:val="clear" w:color="auto" w:fill="auto"/>
            <w:noWrap/>
            <w:hideMark/>
          </w:tcPr>
          <w:p w14:paraId="0204347C" w14:textId="77777777" w:rsidR="006B5F5C" w:rsidRPr="00E71F76" w:rsidRDefault="006B5F5C" w:rsidP="00066442">
            <w:pPr>
              <w:jc w:val="right"/>
              <w:rPr>
                <w:b/>
                <w:bCs/>
                <w:sz w:val="21"/>
                <w:szCs w:val="21"/>
                <w:lang w:eastAsia="en-CA"/>
              </w:rPr>
            </w:pPr>
            <w:r w:rsidRPr="00E71F76">
              <w:rPr>
                <w:b/>
                <w:sz w:val="21"/>
                <w:szCs w:val="21"/>
                <w:lang w:val="fr-FR" w:bidi="fr-FR"/>
              </w:rPr>
              <w:t>3</w:t>
            </w:r>
            <w:r>
              <w:rPr>
                <w:b/>
                <w:sz w:val="21"/>
                <w:szCs w:val="21"/>
                <w:lang w:val="fr-FR" w:bidi="fr-FR"/>
              </w:rPr>
              <w:t> 461 </w:t>
            </w:r>
            <w:r w:rsidRPr="00E71F76">
              <w:rPr>
                <w:b/>
                <w:sz w:val="21"/>
                <w:szCs w:val="21"/>
                <w:lang w:val="fr-FR" w:bidi="fr-FR"/>
              </w:rPr>
              <w:t>126</w:t>
            </w:r>
          </w:p>
        </w:tc>
        <w:tc>
          <w:tcPr>
            <w:tcW w:w="1305" w:type="dxa"/>
            <w:tcBorders>
              <w:top w:val="nil"/>
              <w:left w:val="nil"/>
              <w:bottom w:val="single" w:sz="4" w:space="0" w:color="auto"/>
              <w:right w:val="single" w:sz="4" w:space="0" w:color="auto"/>
            </w:tcBorders>
            <w:shd w:val="clear" w:color="auto" w:fill="auto"/>
            <w:noWrap/>
            <w:hideMark/>
          </w:tcPr>
          <w:p w14:paraId="765E1D29" w14:textId="77777777" w:rsidR="006B5F5C" w:rsidRPr="00E71F76" w:rsidRDefault="006B5F5C" w:rsidP="00066442">
            <w:pPr>
              <w:jc w:val="right"/>
              <w:rPr>
                <w:b/>
                <w:bCs/>
                <w:sz w:val="21"/>
                <w:szCs w:val="21"/>
                <w:lang w:eastAsia="en-CA"/>
              </w:rPr>
            </w:pPr>
            <w:r w:rsidRPr="00E71F76">
              <w:rPr>
                <w:b/>
                <w:sz w:val="21"/>
                <w:szCs w:val="21"/>
                <w:lang w:val="fr-FR" w:bidi="fr-FR"/>
              </w:rPr>
              <w:t>577</w:t>
            </w:r>
            <w:r>
              <w:rPr>
                <w:b/>
                <w:sz w:val="21"/>
                <w:szCs w:val="21"/>
                <w:lang w:val="fr-FR" w:bidi="fr-FR"/>
              </w:rPr>
              <w:t> </w:t>
            </w:r>
            <w:r w:rsidRPr="00E71F76">
              <w:rPr>
                <w:b/>
                <w:sz w:val="21"/>
                <w:szCs w:val="21"/>
                <w:lang w:val="fr-FR" w:bidi="fr-FR"/>
              </w:rPr>
              <w:t>044</w:t>
            </w:r>
          </w:p>
        </w:tc>
      </w:tr>
      <w:tr w:rsidR="006B5F5C" w:rsidRPr="00E71F76" w14:paraId="129508F3" w14:textId="77777777" w:rsidTr="006E3590">
        <w:trPr>
          <w:trHeight w:val="58"/>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43BBB80" w14:textId="77777777" w:rsidR="006B5F5C" w:rsidRPr="00E71F76" w:rsidRDefault="006B5F5C" w:rsidP="00066442">
            <w:pPr>
              <w:jc w:val="left"/>
              <w:rPr>
                <w:b/>
                <w:bCs/>
                <w:sz w:val="21"/>
                <w:szCs w:val="21"/>
                <w:lang w:eastAsia="en-CA"/>
              </w:rPr>
            </w:pPr>
            <w:r w:rsidRPr="00E71F76">
              <w:rPr>
                <w:b/>
                <w:sz w:val="21"/>
                <w:szCs w:val="21"/>
                <w:lang w:val="fr-FR" w:bidi="fr-FR"/>
              </w:rPr>
              <w:t>Activités relatives aux HFC </w:t>
            </w:r>
          </w:p>
        </w:tc>
      </w:tr>
      <w:tr w:rsidR="006B5F5C" w:rsidRPr="00E71F76" w14:paraId="5A600D78"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7A8517E2" w14:textId="77777777" w:rsidR="006B5F5C" w:rsidRPr="00E71F76" w:rsidRDefault="006B5F5C" w:rsidP="00066442">
            <w:pPr>
              <w:jc w:val="left"/>
              <w:rPr>
                <w:sz w:val="21"/>
                <w:szCs w:val="21"/>
                <w:lang w:eastAsia="en-CA"/>
              </w:rPr>
            </w:pPr>
            <w:r w:rsidRPr="00E71F76">
              <w:rPr>
                <w:sz w:val="21"/>
                <w:szCs w:val="21"/>
                <w:lang w:val="fr-FR" w:bidi="fr-FR"/>
              </w:rPr>
              <w:t>KIP — PRP</w:t>
            </w:r>
          </w:p>
        </w:tc>
        <w:tc>
          <w:tcPr>
            <w:tcW w:w="1134" w:type="dxa"/>
            <w:tcBorders>
              <w:top w:val="nil"/>
              <w:left w:val="nil"/>
              <w:bottom w:val="single" w:sz="4" w:space="0" w:color="auto"/>
              <w:right w:val="single" w:sz="4" w:space="0" w:color="auto"/>
            </w:tcBorders>
            <w:shd w:val="clear" w:color="auto" w:fill="auto"/>
            <w:noWrap/>
            <w:hideMark/>
          </w:tcPr>
          <w:p w14:paraId="5EF22F7D" w14:textId="77777777" w:rsidR="006B5F5C" w:rsidRPr="00E71F76" w:rsidRDefault="006B5F5C" w:rsidP="00066442">
            <w:pPr>
              <w:jc w:val="right"/>
              <w:rPr>
                <w:sz w:val="21"/>
                <w:szCs w:val="21"/>
                <w:lang w:eastAsia="en-CA"/>
              </w:rPr>
            </w:pPr>
            <w:r w:rsidRPr="00E71F76">
              <w:rPr>
                <w:b/>
                <w:sz w:val="21"/>
                <w:szCs w:val="21"/>
                <w:lang w:val="fr-FR" w:bidi="fr-FR"/>
              </w:rPr>
              <w:t>85</w:t>
            </w:r>
            <w:r>
              <w:rPr>
                <w:b/>
                <w:sz w:val="21"/>
                <w:szCs w:val="21"/>
                <w:lang w:val="fr-FR" w:bidi="fr-FR"/>
              </w:rPr>
              <w:t> </w:t>
            </w:r>
            <w:r w:rsidRPr="00E71F76">
              <w:rPr>
                <w:b/>
                <w:sz w:val="21"/>
                <w:szCs w:val="21"/>
                <w:lang w:val="fr-FR" w:bidi="fr-FR"/>
              </w:rPr>
              <w:t>000</w:t>
            </w:r>
          </w:p>
        </w:tc>
        <w:tc>
          <w:tcPr>
            <w:tcW w:w="1275" w:type="dxa"/>
            <w:tcBorders>
              <w:top w:val="nil"/>
              <w:left w:val="nil"/>
              <w:bottom w:val="single" w:sz="4" w:space="0" w:color="auto"/>
              <w:right w:val="single" w:sz="4" w:space="0" w:color="auto"/>
            </w:tcBorders>
            <w:shd w:val="clear" w:color="auto" w:fill="auto"/>
            <w:noWrap/>
            <w:hideMark/>
          </w:tcPr>
          <w:p w14:paraId="0C14A7F4"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hideMark/>
          </w:tcPr>
          <w:p w14:paraId="0F7BF171" w14:textId="77777777" w:rsidR="006B5F5C" w:rsidRPr="00E71F76" w:rsidRDefault="006B5F5C" w:rsidP="00066442">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hideMark/>
          </w:tcPr>
          <w:p w14:paraId="20EA3F90" w14:textId="77777777" w:rsidR="006B5F5C" w:rsidRPr="00E71F76" w:rsidRDefault="006B5F5C" w:rsidP="00066442">
            <w:pPr>
              <w:jc w:val="right"/>
              <w:rPr>
                <w:sz w:val="21"/>
                <w:szCs w:val="21"/>
                <w:lang w:eastAsia="en-CA"/>
              </w:rPr>
            </w:pPr>
            <w:r w:rsidRPr="00E71F76">
              <w:rPr>
                <w:b/>
                <w:sz w:val="21"/>
                <w:szCs w:val="21"/>
                <w:lang w:val="fr-FR" w:bidi="fr-FR"/>
              </w:rPr>
              <w:t>85</w:t>
            </w:r>
            <w:r>
              <w:rPr>
                <w:b/>
                <w:sz w:val="21"/>
                <w:szCs w:val="21"/>
                <w:lang w:val="fr-FR" w:bidi="fr-FR"/>
              </w:rPr>
              <w:t> </w:t>
            </w:r>
            <w:r w:rsidRPr="00E71F76">
              <w:rPr>
                <w:b/>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hideMark/>
          </w:tcPr>
          <w:p w14:paraId="5595440A" w14:textId="77777777" w:rsidR="006B5F5C" w:rsidRPr="00E71F76" w:rsidRDefault="006B5F5C" w:rsidP="00066442">
            <w:pPr>
              <w:jc w:val="right"/>
              <w:rPr>
                <w:sz w:val="21"/>
                <w:szCs w:val="21"/>
                <w:lang w:eastAsia="en-CA"/>
              </w:rPr>
            </w:pPr>
            <w:r w:rsidRPr="00E71F76">
              <w:rPr>
                <w:sz w:val="21"/>
                <w:szCs w:val="21"/>
                <w:lang w:val="fr-FR" w:bidi="fr-FR"/>
              </w:rPr>
              <w:t>0</w:t>
            </w:r>
          </w:p>
        </w:tc>
      </w:tr>
      <w:tr w:rsidR="006B5F5C" w:rsidRPr="00E71F76" w14:paraId="73C0095F"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31F1ACA1" w14:textId="77777777" w:rsidR="006B5F5C" w:rsidRPr="00E71F76" w:rsidRDefault="006B5F5C" w:rsidP="00066442">
            <w:pPr>
              <w:jc w:val="left"/>
              <w:rPr>
                <w:sz w:val="21"/>
                <w:szCs w:val="21"/>
                <w:lang w:eastAsia="en-CA"/>
              </w:rPr>
            </w:pPr>
            <w:r w:rsidRPr="00E71F76">
              <w:rPr>
                <w:sz w:val="21"/>
                <w:szCs w:val="21"/>
                <w:lang w:val="fr-FR" w:bidi="fr-FR"/>
              </w:rPr>
              <w:t>KIP</w:t>
            </w:r>
          </w:p>
        </w:tc>
        <w:tc>
          <w:tcPr>
            <w:tcW w:w="1134" w:type="dxa"/>
            <w:tcBorders>
              <w:top w:val="nil"/>
              <w:left w:val="nil"/>
              <w:bottom w:val="single" w:sz="4" w:space="0" w:color="auto"/>
              <w:right w:val="single" w:sz="4" w:space="0" w:color="auto"/>
            </w:tcBorders>
            <w:shd w:val="clear" w:color="auto" w:fill="auto"/>
            <w:noWrap/>
            <w:hideMark/>
          </w:tcPr>
          <w:p w14:paraId="1F7875E1"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75" w:type="dxa"/>
            <w:tcBorders>
              <w:top w:val="nil"/>
              <w:left w:val="nil"/>
              <w:bottom w:val="single" w:sz="4" w:space="0" w:color="auto"/>
              <w:right w:val="single" w:sz="4" w:space="0" w:color="auto"/>
            </w:tcBorders>
            <w:shd w:val="clear" w:color="auto" w:fill="auto"/>
            <w:noWrap/>
            <w:hideMark/>
          </w:tcPr>
          <w:p w14:paraId="6B4F06F6"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hideMark/>
          </w:tcPr>
          <w:p w14:paraId="51CAFD7B" w14:textId="77777777" w:rsidR="006B5F5C" w:rsidRPr="00E71F76" w:rsidRDefault="006B5F5C" w:rsidP="00066442">
            <w:pPr>
              <w:jc w:val="right"/>
              <w:rPr>
                <w:sz w:val="21"/>
                <w:szCs w:val="21"/>
                <w:lang w:eastAsia="en-CA"/>
              </w:rPr>
            </w:pPr>
            <w:r w:rsidRPr="00E71F76">
              <w:rPr>
                <w:b/>
                <w:sz w:val="21"/>
                <w:szCs w:val="21"/>
                <w:lang w:val="fr-FR" w:bidi="fr-FR"/>
              </w:rPr>
              <w:t>400</w:t>
            </w:r>
            <w:r>
              <w:rPr>
                <w:b/>
                <w:sz w:val="21"/>
                <w:szCs w:val="21"/>
                <w:lang w:val="fr-FR" w:bidi="fr-FR"/>
              </w:rPr>
              <w:t> </w:t>
            </w:r>
            <w:r w:rsidRPr="00E71F76">
              <w:rPr>
                <w:b/>
                <w:sz w:val="21"/>
                <w:szCs w:val="21"/>
                <w:lang w:val="fr-FR" w:bidi="fr-FR"/>
              </w:rPr>
              <w:t>000</w:t>
            </w:r>
          </w:p>
        </w:tc>
        <w:tc>
          <w:tcPr>
            <w:tcW w:w="1304" w:type="dxa"/>
            <w:tcBorders>
              <w:top w:val="nil"/>
              <w:left w:val="nil"/>
              <w:bottom w:val="single" w:sz="4" w:space="0" w:color="auto"/>
              <w:right w:val="single" w:sz="4" w:space="0" w:color="auto"/>
            </w:tcBorders>
            <w:shd w:val="clear" w:color="auto" w:fill="auto"/>
            <w:noWrap/>
            <w:hideMark/>
          </w:tcPr>
          <w:p w14:paraId="736B4A19" w14:textId="77777777" w:rsidR="006B5F5C" w:rsidRPr="00E71F76" w:rsidRDefault="006B5F5C" w:rsidP="00066442">
            <w:pPr>
              <w:jc w:val="right"/>
              <w:rPr>
                <w:sz w:val="21"/>
                <w:szCs w:val="21"/>
                <w:lang w:eastAsia="en-CA"/>
              </w:rPr>
            </w:pPr>
            <w:r w:rsidRPr="00E71F76">
              <w:rPr>
                <w:b/>
                <w:sz w:val="21"/>
                <w:szCs w:val="21"/>
                <w:lang w:val="fr-FR" w:bidi="fr-FR"/>
              </w:rPr>
              <w:t>400</w:t>
            </w:r>
            <w:r>
              <w:rPr>
                <w:b/>
                <w:sz w:val="21"/>
                <w:szCs w:val="21"/>
                <w:lang w:val="fr-FR" w:bidi="fr-FR"/>
              </w:rPr>
              <w:t> </w:t>
            </w:r>
            <w:r w:rsidRPr="00E71F76">
              <w:rPr>
                <w:b/>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hideMark/>
          </w:tcPr>
          <w:p w14:paraId="760688EE" w14:textId="77777777" w:rsidR="006B5F5C" w:rsidRPr="00E71F76" w:rsidRDefault="006B5F5C" w:rsidP="00066442">
            <w:pPr>
              <w:jc w:val="right"/>
              <w:rPr>
                <w:sz w:val="21"/>
                <w:szCs w:val="21"/>
                <w:lang w:eastAsia="en-CA"/>
              </w:rPr>
            </w:pPr>
            <w:r w:rsidRPr="00E71F76">
              <w:rPr>
                <w:sz w:val="21"/>
                <w:szCs w:val="21"/>
                <w:lang w:val="fr-FR" w:bidi="fr-FR"/>
              </w:rPr>
              <w:t>0</w:t>
            </w:r>
          </w:p>
        </w:tc>
      </w:tr>
      <w:tr w:rsidR="006B5F5C" w:rsidRPr="00E71F76" w14:paraId="15576BF3"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2934658B" w14:textId="77777777" w:rsidR="006B5F5C" w:rsidRPr="00E23538" w:rsidRDefault="006B5F5C" w:rsidP="00066442">
            <w:pPr>
              <w:jc w:val="left"/>
              <w:rPr>
                <w:b/>
                <w:bCs/>
                <w:sz w:val="21"/>
                <w:szCs w:val="21"/>
                <w:lang w:val="fr-FR" w:eastAsia="en-CA"/>
              </w:rPr>
            </w:pPr>
            <w:r w:rsidRPr="00E71F76">
              <w:rPr>
                <w:b/>
                <w:sz w:val="21"/>
                <w:szCs w:val="21"/>
                <w:lang w:val="fr-FR" w:bidi="fr-FR"/>
              </w:rPr>
              <w:t>Sous-total des activités relatives aux HFC</w:t>
            </w:r>
          </w:p>
        </w:tc>
        <w:tc>
          <w:tcPr>
            <w:tcW w:w="1134" w:type="dxa"/>
            <w:tcBorders>
              <w:top w:val="nil"/>
              <w:left w:val="nil"/>
              <w:bottom w:val="single" w:sz="4" w:space="0" w:color="auto"/>
              <w:right w:val="single" w:sz="4" w:space="0" w:color="auto"/>
            </w:tcBorders>
            <w:shd w:val="clear" w:color="auto" w:fill="auto"/>
            <w:noWrap/>
            <w:hideMark/>
          </w:tcPr>
          <w:p w14:paraId="5A284BDA" w14:textId="77777777" w:rsidR="006B5F5C" w:rsidRPr="00E71F76" w:rsidRDefault="006B5F5C" w:rsidP="00066442">
            <w:pPr>
              <w:jc w:val="right"/>
              <w:rPr>
                <w:b/>
                <w:bCs/>
                <w:sz w:val="21"/>
                <w:szCs w:val="21"/>
                <w:lang w:eastAsia="en-CA"/>
              </w:rPr>
            </w:pPr>
            <w:r w:rsidRPr="00E71F76">
              <w:rPr>
                <w:b/>
                <w:sz w:val="21"/>
                <w:szCs w:val="21"/>
                <w:lang w:val="fr-FR" w:bidi="fr-FR"/>
              </w:rPr>
              <w:t>85</w:t>
            </w:r>
            <w:r>
              <w:rPr>
                <w:b/>
                <w:sz w:val="21"/>
                <w:szCs w:val="21"/>
                <w:lang w:val="fr-FR" w:bidi="fr-FR"/>
              </w:rPr>
              <w:t> </w:t>
            </w:r>
            <w:r w:rsidRPr="00E71F76">
              <w:rPr>
                <w:b/>
                <w:sz w:val="21"/>
                <w:szCs w:val="21"/>
                <w:lang w:val="fr-FR" w:bidi="fr-FR"/>
              </w:rPr>
              <w:t>000</w:t>
            </w:r>
          </w:p>
        </w:tc>
        <w:tc>
          <w:tcPr>
            <w:tcW w:w="1275" w:type="dxa"/>
            <w:tcBorders>
              <w:top w:val="nil"/>
              <w:left w:val="nil"/>
              <w:bottom w:val="single" w:sz="4" w:space="0" w:color="auto"/>
              <w:right w:val="single" w:sz="4" w:space="0" w:color="auto"/>
            </w:tcBorders>
            <w:shd w:val="clear" w:color="auto" w:fill="auto"/>
            <w:noWrap/>
            <w:hideMark/>
          </w:tcPr>
          <w:p w14:paraId="56F2D98A" w14:textId="77777777" w:rsidR="006B5F5C" w:rsidRPr="00E71F76" w:rsidRDefault="006B5F5C" w:rsidP="00066442">
            <w:pPr>
              <w:jc w:val="right"/>
              <w:rPr>
                <w:b/>
                <w:bCs/>
                <w:sz w:val="21"/>
                <w:szCs w:val="21"/>
                <w:lang w:eastAsia="en-CA"/>
              </w:rPr>
            </w:pPr>
            <w:r w:rsidRPr="00E71F76">
              <w:rPr>
                <w:b/>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hideMark/>
          </w:tcPr>
          <w:p w14:paraId="3D9059D3" w14:textId="77777777" w:rsidR="006B5F5C" w:rsidRPr="00E71F76" w:rsidRDefault="006B5F5C" w:rsidP="00066442">
            <w:pPr>
              <w:jc w:val="right"/>
              <w:rPr>
                <w:b/>
                <w:bCs/>
                <w:sz w:val="21"/>
                <w:szCs w:val="21"/>
                <w:lang w:eastAsia="en-CA"/>
              </w:rPr>
            </w:pPr>
            <w:r w:rsidRPr="00E71F76">
              <w:rPr>
                <w:b/>
                <w:sz w:val="21"/>
                <w:szCs w:val="21"/>
                <w:lang w:val="fr-FR" w:bidi="fr-FR"/>
              </w:rPr>
              <w:t>400</w:t>
            </w:r>
            <w:r>
              <w:rPr>
                <w:b/>
                <w:sz w:val="21"/>
                <w:szCs w:val="21"/>
                <w:lang w:val="fr-FR" w:bidi="fr-FR"/>
              </w:rPr>
              <w:t> </w:t>
            </w:r>
            <w:r w:rsidRPr="00E71F76">
              <w:rPr>
                <w:b/>
                <w:sz w:val="21"/>
                <w:szCs w:val="21"/>
                <w:lang w:val="fr-FR" w:bidi="fr-FR"/>
              </w:rPr>
              <w:t>000</w:t>
            </w:r>
          </w:p>
        </w:tc>
        <w:tc>
          <w:tcPr>
            <w:tcW w:w="1304" w:type="dxa"/>
            <w:tcBorders>
              <w:top w:val="nil"/>
              <w:left w:val="nil"/>
              <w:bottom w:val="single" w:sz="4" w:space="0" w:color="auto"/>
              <w:right w:val="single" w:sz="4" w:space="0" w:color="auto"/>
            </w:tcBorders>
            <w:shd w:val="clear" w:color="auto" w:fill="auto"/>
            <w:noWrap/>
            <w:hideMark/>
          </w:tcPr>
          <w:p w14:paraId="65D2D38F" w14:textId="77777777" w:rsidR="006B5F5C" w:rsidRPr="00E71F76" w:rsidRDefault="006B5F5C" w:rsidP="00066442">
            <w:pPr>
              <w:jc w:val="right"/>
              <w:rPr>
                <w:b/>
                <w:bCs/>
                <w:sz w:val="21"/>
                <w:szCs w:val="21"/>
                <w:lang w:eastAsia="en-CA"/>
              </w:rPr>
            </w:pPr>
            <w:r w:rsidRPr="00E71F76">
              <w:rPr>
                <w:b/>
                <w:sz w:val="21"/>
                <w:szCs w:val="21"/>
                <w:lang w:val="fr-FR" w:bidi="fr-FR"/>
              </w:rPr>
              <w:t>485</w:t>
            </w:r>
            <w:r>
              <w:rPr>
                <w:b/>
                <w:sz w:val="21"/>
                <w:szCs w:val="21"/>
                <w:lang w:val="fr-FR" w:bidi="fr-FR"/>
              </w:rPr>
              <w:t> </w:t>
            </w:r>
            <w:r w:rsidRPr="00E71F76">
              <w:rPr>
                <w:b/>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hideMark/>
          </w:tcPr>
          <w:p w14:paraId="640B01F8" w14:textId="77777777" w:rsidR="006B5F5C" w:rsidRPr="00E71F76" w:rsidRDefault="006B5F5C" w:rsidP="00066442">
            <w:pPr>
              <w:jc w:val="right"/>
              <w:rPr>
                <w:b/>
                <w:bCs/>
                <w:sz w:val="21"/>
                <w:szCs w:val="21"/>
                <w:lang w:eastAsia="en-CA"/>
              </w:rPr>
            </w:pPr>
            <w:r w:rsidRPr="00E71F76">
              <w:rPr>
                <w:b/>
                <w:sz w:val="21"/>
                <w:szCs w:val="21"/>
                <w:lang w:val="fr-FR" w:bidi="fr-FR"/>
              </w:rPr>
              <w:t>0</w:t>
            </w:r>
          </w:p>
        </w:tc>
      </w:tr>
      <w:tr w:rsidR="006B5F5C" w:rsidRPr="00E71F76" w14:paraId="6CF76F87" w14:textId="77777777" w:rsidTr="00BE6BA2">
        <w:trPr>
          <w:trHeight w:val="64"/>
        </w:trPr>
        <w:tc>
          <w:tcPr>
            <w:tcW w:w="3261" w:type="dxa"/>
            <w:tcBorders>
              <w:top w:val="nil"/>
              <w:left w:val="single" w:sz="4" w:space="0" w:color="auto"/>
              <w:bottom w:val="single" w:sz="4" w:space="0" w:color="auto"/>
              <w:right w:val="single" w:sz="4" w:space="0" w:color="auto"/>
            </w:tcBorders>
            <w:shd w:val="clear" w:color="auto" w:fill="auto"/>
            <w:noWrap/>
            <w:hideMark/>
          </w:tcPr>
          <w:p w14:paraId="55D50F7C" w14:textId="77777777" w:rsidR="006B5F5C" w:rsidRPr="00E71F76" w:rsidRDefault="006B5F5C" w:rsidP="00066442">
            <w:pPr>
              <w:jc w:val="left"/>
              <w:rPr>
                <w:b/>
                <w:bCs/>
                <w:sz w:val="21"/>
                <w:szCs w:val="21"/>
                <w:lang w:eastAsia="en-CA"/>
              </w:rPr>
            </w:pPr>
            <w:r w:rsidRPr="00E71F76">
              <w:rPr>
                <w:b/>
                <w:sz w:val="21"/>
                <w:szCs w:val="21"/>
                <w:lang w:val="fr-FR" w:bidi="fr-FR"/>
              </w:rPr>
              <w:t>Activités standard</w:t>
            </w:r>
          </w:p>
        </w:tc>
        <w:tc>
          <w:tcPr>
            <w:tcW w:w="1134" w:type="dxa"/>
            <w:tcBorders>
              <w:top w:val="nil"/>
              <w:left w:val="nil"/>
              <w:bottom w:val="single" w:sz="4" w:space="0" w:color="auto"/>
              <w:right w:val="single" w:sz="4" w:space="0" w:color="auto"/>
            </w:tcBorders>
            <w:shd w:val="clear" w:color="auto" w:fill="auto"/>
            <w:noWrap/>
            <w:hideMark/>
          </w:tcPr>
          <w:p w14:paraId="69BFE974" w14:textId="77777777" w:rsidR="006B5F5C" w:rsidRPr="00E71F76" w:rsidRDefault="006B5F5C" w:rsidP="00066442">
            <w:pPr>
              <w:jc w:val="left"/>
              <w:rPr>
                <w:sz w:val="21"/>
                <w:szCs w:val="21"/>
                <w:lang w:eastAsia="en-CA"/>
              </w:rPr>
            </w:pPr>
            <w:r w:rsidRPr="00E71F76">
              <w:rPr>
                <w:sz w:val="21"/>
                <w:szCs w:val="21"/>
                <w:lang w:val="fr-FR" w:bidi="fr-FR"/>
              </w:rPr>
              <w:t> </w:t>
            </w:r>
          </w:p>
        </w:tc>
        <w:tc>
          <w:tcPr>
            <w:tcW w:w="1275" w:type="dxa"/>
            <w:tcBorders>
              <w:top w:val="nil"/>
              <w:left w:val="nil"/>
              <w:bottom w:val="single" w:sz="4" w:space="0" w:color="auto"/>
              <w:right w:val="single" w:sz="4" w:space="0" w:color="auto"/>
            </w:tcBorders>
            <w:shd w:val="clear" w:color="auto" w:fill="auto"/>
            <w:noWrap/>
            <w:hideMark/>
          </w:tcPr>
          <w:p w14:paraId="026BE614" w14:textId="77777777" w:rsidR="006B5F5C" w:rsidRPr="00E71F76" w:rsidRDefault="006B5F5C" w:rsidP="00066442">
            <w:pPr>
              <w:jc w:val="left"/>
              <w:rPr>
                <w:sz w:val="21"/>
                <w:szCs w:val="21"/>
                <w:lang w:eastAsia="en-CA"/>
              </w:rPr>
            </w:pPr>
            <w:r w:rsidRPr="00E71F76">
              <w:rPr>
                <w:sz w:val="21"/>
                <w:szCs w:val="21"/>
                <w:lang w:val="fr-FR" w:bidi="fr-FR"/>
              </w:rPr>
              <w:t> </w:t>
            </w:r>
          </w:p>
        </w:tc>
        <w:tc>
          <w:tcPr>
            <w:tcW w:w="1219" w:type="dxa"/>
            <w:tcBorders>
              <w:top w:val="nil"/>
              <w:left w:val="nil"/>
              <w:bottom w:val="single" w:sz="4" w:space="0" w:color="auto"/>
              <w:right w:val="single" w:sz="4" w:space="0" w:color="auto"/>
            </w:tcBorders>
            <w:shd w:val="clear" w:color="auto" w:fill="auto"/>
            <w:noWrap/>
            <w:hideMark/>
          </w:tcPr>
          <w:p w14:paraId="00664611" w14:textId="77777777" w:rsidR="006B5F5C" w:rsidRPr="00E71F76" w:rsidRDefault="006B5F5C" w:rsidP="00066442">
            <w:pPr>
              <w:jc w:val="left"/>
              <w:rPr>
                <w:sz w:val="21"/>
                <w:szCs w:val="21"/>
                <w:lang w:eastAsia="en-CA"/>
              </w:rPr>
            </w:pPr>
            <w:r w:rsidRPr="00E71F76">
              <w:rPr>
                <w:sz w:val="21"/>
                <w:szCs w:val="21"/>
                <w:lang w:val="fr-FR" w:bidi="fr-FR"/>
              </w:rPr>
              <w:t> </w:t>
            </w:r>
          </w:p>
        </w:tc>
        <w:tc>
          <w:tcPr>
            <w:tcW w:w="1304" w:type="dxa"/>
            <w:tcBorders>
              <w:top w:val="nil"/>
              <w:left w:val="nil"/>
              <w:bottom w:val="single" w:sz="4" w:space="0" w:color="auto"/>
              <w:right w:val="single" w:sz="4" w:space="0" w:color="auto"/>
            </w:tcBorders>
            <w:shd w:val="clear" w:color="auto" w:fill="auto"/>
            <w:noWrap/>
            <w:hideMark/>
          </w:tcPr>
          <w:p w14:paraId="6E9AA183" w14:textId="77777777" w:rsidR="006B5F5C" w:rsidRPr="00E71F76" w:rsidRDefault="006B5F5C" w:rsidP="00066442">
            <w:pPr>
              <w:jc w:val="left"/>
              <w:rPr>
                <w:sz w:val="21"/>
                <w:szCs w:val="21"/>
                <w:lang w:eastAsia="en-CA"/>
              </w:rPr>
            </w:pPr>
            <w:r w:rsidRPr="00E71F76">
              <w:rPr>
                <w:sz w:val="21"/>
                <w:szCs w:val="21"/>
                <w:lang w:val="fr-FR" w:bidi="fr-FR"/>
              </w:rPr>
              <w:t> </w:t>
            </w:r>
          </w:p>
        </w:tc>
        <w:tc>
          <w:tcPr>
            <w:tcW w:w="1305" w:type="dxa"/>
            <w:tcBorders>
              <w:top w:val="nil"/>
              <w:left w:val="nil"/>
              <w:bottom w:val="single" w:sz="4" w:space="0" w:color="auto"/>
              <w:right w:val="single" w:sz="4" w:space="0" w:color="auto"/>
            </w:tcBorders>
            <w:shd w:val="clear" w:color="auto" w:fill="auto"/>
            <w:noWrap/>
            <w:hideMark/>
          </w:tcPr>
          <w:p w14:paraId="3D331D4A" w14:textId="77777777" w:rsidR="006B5F5C" w:rsidRPr="00E71F76" w:rsidRDefault="006B5F5C" w:rsidP="00066442">
            <w:pPr>
              <w:jc w:val="left"/>
              <w:rPr>
                <w:sz w:val="21"/>
                <w:szCs w:val="21"/>
                <w:lang w:eastAsia="en-CA"/>
              </w:rPr>
            </w:pPr>
            <w:r w:rsidRPr="00E71F76">
              <w:rPr>
                <w:sz w:val="21"/>
                <w:szCs w:val="21"/>
                <w:lang w:val="fr-FR" w:bidi="fr-FR"/>
              </w:rPr>
              <w:t> </w:t>
            </w:r>
          </w:p>
        </w:tc>
      </w:tr>
      <w:tr w:rsidR="006B5F5C" w:rsidRPr="00E71F76" w14:paraId="60B8D02A"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6B7E9177" w14:textId="3EFAA0A8" w:rsidR="006B5F5C" w:rsidRPr="00E71F76" w:rsidRDefault="00BE6BA2" w:rsidP="00066442">
            <w:pPr>
              <w:jc w:val="left"/>
              <w:rPr>
                <w:sz w:val="21"/>
                <w:szCs w:val="21"/>
                <w:lang w:eastAsia="en-CA"/>
              </w:rPr>
            </w:pPr>
            <w:r w:rsidRPr="00E71F76">
              <w:rPr>
                <w:sz w:val="21"/>
                <w:szCs w:val="21"/>
                <w:lang w:val="fr-FR" w:bidi="fr-FR"/>
              </w:rPr>
              <w:t>Renforcement</w:t>
            </w:r>
            <w:r w:rsidR="006B5F5C" w:rsidRPr="00E71F76">
              <w:rPr>
                <w:sz w:val="21"/>
                <w:szCs w:val="21"/>
                <w:lang w:val="fr-FR" w:bidi="fr-FR"/>
              </w:rPr>
              <w:t xml:space="preserve"> des institutions</w:t>
            </w:r>
          </w:p>
        </w:tc>
        <w:tc>
          <w:tcPr>
            <w:tcW w:w="1134" w:type="dxa"/>
            <w:tcBorders>
              <w:top w:val="nil"/>
              <w:left w:val="nil"/>
              <w:bottom w:val="single" w:sz="4" w:space="0" w:color="auto"/>
              <w:right w:val="single" w:sz="4" w:space="0" w:color="auto"/>
            </w:tcBorders>
            <w:shd w:val="clear" w:color="auto" w:fill="auto"/>
            <w:noWrap/>
            <w:hideMark/>
          </w:tcPr>
          <w:p w14:paraId="719F7325"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75" w:type="dxa"/>
            <w:tcBorders>
              <w:top w:val="nil"/>
              <w:left w:val="nil"/>
              <w:bottom w:val="single" w:sz="4" w:space="0" w:color="auto"/>
              <w:right w:val="single" w:sz="4" w:space="0" w:color="auto"/>
            </w:tcBorders>
            <w:shd w:val="clear" w:color="auto" w:fill="auto"/>
            <w:noWrap/>
            <w:hideMark/>
          </w:tcPr>
          <w:p w14:paraId="0D114875" w14:textId="77777777" w:rsidR="006B5F5C" w:rsidRPr="00E71F76" w:rsidRDefault="006B5F5C" w:rsidP="00066442">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hideMark/>
          </w:tcPr>
          <w:p w14:paraId="6B156746" w14:textId="77777777" w:rsidR="006B5F5C" w:rsidRPr="00E71F76" w:rsidRDefault="006B5F5C" w:rsidP="00066442">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hideMark/>
          </w:tcPr>
          <w:p w14:paraId="2F27E02B" w14:textId="77777777" w:rsidR="006B5F5C" w:rsidRPr="00E71F76" w:rsidRDefault="006B5F5C" w:rsidP="00066442">
            <w:pPr>
              <w:jc w:val="right"/>
              <w:rPr>
                <w:sz w:val="21"/>
                <w:szCs w:val="21"/>
                <w:lang w:eastAsia="en-CA"/>
              </w:rPr>
            </w:pPr>
            <w:r w:rsidRPr="00E71F76">
              <w:rPr>
                <w:sz w:val="21"/>
                <w:szCs w:val="21"/>
                <w:lang w:val="fr-FR" w:bidi="fr-FR"/>
              </w:rPr>
              <w:t>0</w:t>
            </w:r>
          </w:p>
        </w:tc>
        <w:tc>
          <w:tcPr>
            <w:tcW w:w="1305" w:type="dxa"/>
            <w:tcBorders>
              <w:top w:val="nil"/>
              <w:left w:val="nil"/>
              <w:bottom w:val="single" w:sz="4" w:space="0" w:color="auto"/>
              <w:right w:val="single" w:sz="4" w:space="0" w:color="auto"/>
            </w:tcBorders>
            <w:shd w:val="clear" w:color="auto" w:fill="auto"/>
            <w:noWrap/>
            <w:hideMark/>
          </w:tcPr>
          <w:p w14:paraId="27CF8F4A" w14:textId="77777777" w:rsidR="006B5F5C" w:rsidRPr="00E71F76" w:rsidRDefault="006B5F5C" w:rsidP="00066442">
            <w:pPr>
              <w:jc w:val="right"/>
              <w:rPr>
                <w:sz w:val="21"/>
                <w:szCs w:val="21"/>
                <w:lang w:eastAsia="en-CA"/>
              </w:rPr>
            </w:pPr>
            <w:r w:rsidRPr="00E71F76">
              <w:rPr>
                <w:b/>
                <w:sz w:val="21"/>
                <w:szCs w:val="21"/>
                <w:lang w:val="fr-FR" w:bidi="fr-FR"/>
              </w:rPr>
              <w:t>30</w:t>
            </w:r>
            <w:r>
              <w:rPr>
                <w:b/>
                <w:sz w:val="21"/>
                <w:szCs w:val="21"/>
                <w:lang w:val="fr-FR" w:bidi="fr-FR"/>
              </w:rPr>
              <w:t> </w:t>
            </w:r>
            <w:r w:rsidRPr="00E71F76">
              <w:rPr>
                <w:b/>
                <w:sz w:val="21"/>
                <w:szCs w:val="21"/>
                <w:lang w:val="fr-FR" w:bidi="fr-FR"/>
              </w:rPr>
              <w:t>000</w:t>
            </w:r>
          </w:p>
        </w:tc>
      </w:tr>
      <w:tr w:rsidR="006B5F5C" w:rsidRPr="00E71F76" w14:paraId="4DE5A5A7"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2D16C3A2" w14:textId="77777777" w:rsidR="006B5F5C" w:rsidRPr="00E23538" w:rsidRDefault="006B5F5C" w:rsidP="00066442">
            <w:pPr>
              <w:jc w:val="left"/>
              <w:rPr>
                <w:b/>
                <w:bCs/>
                <w:sz w:val="21"/>
                <w:szCs w:val="21"/>
                <w:lang w:val="fr-FR" w:eastAsia="en-CA"/>
              </w:rPr>
            </w:pPr>
            <w:r w:rsidRPr="00E71F76">
              <w:rPr>
                <w:b/>
                <w:sz w:val="21"/>
                <w:szCs w:val="21"/>
                <w:lang w:val="fr-FR" w:bidi="fr-FR"/>
              </w:rPr>
              <w:t>Sous-total des activités standard</w:t>
            </w:r>
          </w:p>
        </w:tc>
        <w:tc>
          <w:tcPr>
            <w:tcW w:w="1134" w:type="dxa"/>
            <w:tcBorders>
              <w:top w:val="nil"/>
              <w:left w:val="nil"/>
              <w:bottom w:val="single" w:sz="4" w:space="0" w:color="auto"/>
              <w:right w:val="single" w:sz="4" w:space="0" w:color="auto"/>
            </w:tcBorders>
            <w:shd w:val="clear" w:color="auto" w:fill="auto"/>
            <w:noWrap/>
            <w:hideMark/>
          </w:tcPr>
          <w:p w14:paraId="5D5BF8AA" w14:textId="77777777" w:rsidR="006B5F5C" w:rsidRPr="00E71F76" w:rsidRDefault="006B5F5C" w:rsidP="00066442">
            <w:pPr>
              <w:jc w:val="right"/>
              <w:rPr>
                <w:b/>
                <w:bCs/>
                <w:sz w:val="21"/>
                <w:szCs w:val="21"/>
                <w:lang w:eastAsia="en-CA"/>
              </w:rPr>
            </w:pPr>
            <w:r w:rsidRPr="00E71F76">
              <w:rPr>
                <w:b/>
                <w:sz w:val="21"/>
                <w:szCs w:val="21"/>
                <w:lang w:val="fr-FR" w:bidi="fr-FR"/>
              </w:rPr>
              <w:t>0</w:t>
            </w:r>
          </w:p>
        </w:tc>
        <w:tc>
          <w:tcPr>
            <w:tcW w:w="1275" w:type="dxa"/>
            <w:tcBorders>
              <w:top w:val="nil"/>
              <w:left w:val="nil"/>
              <w:bottom w:val="single" w:sz="4" w:space="0" w:color="auto"/>
              <w:right w:val="single" w:sz="4" w:space="0" w:color="auto"/>
            </w:tcBorders>
            <w:shd w:val="clear" w:color="auto" w:fill="auto"/>
            <w:noWrap/>
            <w:hideMark/>
          </w:tcPr>
          <w:p w14:paraId="2C5F714B" w14:textId="77777777" w:rsidR="006B5F5C" w:rsidRPr="00E71F76" w:rsidRDefault="006B5F5C" w:rsidP="00066442">
            <w:pPr>
              <w:jc w:val="right"/>
              <w:rPr>
                <w:b/>
                <w:bCs/>
                <w:sz w:val="21"/>
                <w:szCs w:val="21"/>
                <w:lang w:eastAsia="en-CA"/>
              </w:rPr>
            </w:pPr>
            <w:r w:rsidRPr="00E71F76">
              <w:rPr>
                <w:b/>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hideMark/>
          </w:tcPr>
          <w:p w14:paraId="648A146C" w14:textId="77777777" w:rsidR="006B5F5C" w:rsidRPr="00E71F76" w:rsidRDefault="006B5F5C" w:rsidP="00066442">
            <w:pPr>
              <w:jc w:val="right"/>
              <w:rPr>
                <w:b/>
                <w:bCs/>
                <w:sz w:val="21"/>
                <w:szCs w:val="21"/>
                <w:lang w:eastAsia="en-CA"/>
              </w:rPr>
            </w:pPr>
            <w:r w:rsidRPr="00E71F76">
              <w:rPr>
                <w:b/>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hideMark/>
          </w:tcPr>
          <w:p w14:paraId="203E6CB2" w14:textId="77777777" w:rsidR="006B5F5C" w:rsidRPr="00E71F76" w:rsidRDefault="006B5F5C" w:rsidP="00066442">
            <w:pPr>
              <w:jc w:val="right"/>
              <w:rPr>
                <w:b/>
                <w:bCs/>
                <w:sz w:val="21"/>
                <w:szCs w:val="21"/>
                <w:lang w:eastAsia="en-CA"/>
              </w:rPr>
            </w:pPr>
            <w:r w:rsidRPr="00E71F76">
              <w:rPr>
                <w:b/>
                <w:sz w:val="21"/>
                <w:szCs w:val="21"/>
                <w:lang w:val="fr-FR" w:bidi="fr-FR"/>
              </w:rPr>
              <w:t>0</w:t>
            </w:r>
          </w:p>
        </w:tc>
        <w:tc>
          <w:tcPr>
            <w:tcW w:w="1305" w:type="dxa"/>
            <w:tcBorders>
              <w:top w:val="nil"/>
              <w:left w:val="nil"/>
              <w:bottom w:val="single" w:sz="4" w:space="0" w:color="auto"/>
              <w:right w:val="single" w:sz="4" w:space="0" w:color="auto"/>
            </w:tcBorders>
            <w:shd w:val="clear" w:color="auto" w:fill="auto"/>
            <w:noWrap/>
            <w:hideMark/>
          </w:tcPr>
          <w:p w14:paraId="15DCAD00" w14:textId="77777777" w:rsidR="006B5F5C" w:rsidRPr="00E71F76" w:rsidRDefault="006B5F5C" w:rsidP="00066442">
            <w:pPr>
              <w:jc w:val="right"/>
              <w:rPr>
                <w:b/>
                <w:bCs/>
                <w:sz w:val="21"/>
                <w:szCs w:val="21"/>
                <w:lang w:eastAsia="en-CA"/>
              </w:rPr>
            </w:pPr>
            <w:r w:rsidRPr="00E71F76">
              <w:rPr>
                <w:b/>
                <w:sz w:val="21"/>
                <w:szCs w:val="21"/>
                <w:lang w:val="fr-FR" w:bidi="fr-FR"/>
              </w:rPr>
              <w:t>30</w:t>
            </w:r>
            <w:r>
              <w:rPr>
                <w:b/>
                <w:sz w:val="21"/>
                <w:szCs w:val="21"/>
                <w:lang w:val="fr-FR" w:bidi="fr-FR"/>
              </w:rPr>
              <w:t> </w:t>
            </w:r>
            <w:r w:rsidRPr="00E71F76">
              <w:rPr>
                <w:b/>
                <w:sz w:val="21"/>
                <w:szCs w:val="21"/>
                <w:lang w:val="fr-FR" w:bidi="fr-FR"/>
              </w:rPr>
              <w:t>000</w:t>
            </w:r>
          </w:p>
        </w:tc>
      </w:tr>
      <w:tr w:rsidR="006B5F5C" w:rsidRPr="00E71F76" w14:paraId="66522718" w14:textId="77777777" w:rsidTr="00BE6BA2">
        <w:trPr>
          <w:trHeight w:val="58"/>
        </w:trPr>
        <w:tc>
          <w:tcPr>
            <w:tcW w:w="3261" w:type="dxa"/>
            <w:tcBorders>
              <w:top w:val="nil"/>
              <w:left w:val="single" w:sz="4" w:space="0" w:color="auto"/>
              <w:bottom w:val="single" w:sz="4" w:space="0" w:color="auto"/>
              <w:right w:val="single" w:sz="4" w:space="0" w:color="auto"/>
            </w:tcBorders>
            <w:shd w:val="clear" w:color="auto" w:fill="auto"/>
            <w:noWrap/>
            <w:hideMark/>
          </w:tcPr>
          <w:p w14:paraId="7E10CA89" w14:textId="77777777" w:rsidR="006B5F5C" w:rsidRPr="00E71F76" w:rsidRDefault="006B5F5C" w:rsidP="00066442">
            <w:pPr>
              <w:jc w:val="left"/>
              <w:rPr>
                <w:b/>
                <w:bCs/>
                <w:sz w:val="21"/>
                <w:szCs w:val="21"/>
                <w:lang w:eastAsia="en-CA"/>
              </w:rPr>
            </w:pPr>
            <w:r w:rsidRPr="00E71F76">
              <w:rPr>
                <w:b/>
                <w:sz w:val="21"/>
                <w:szCs w:val="21"/>
                <w:lang w:val="fr-FR" w:bidi="fr-FR"/>
              </w:rPr>
              <w:t>Total</w:t>
            </w:r>
          </w:p>
        </w:tc>
        <w:tc>
          <w:tcPr>
            <w:tcW w:w="1134" w:type="dxa"/>
            <w:tcBorders>
              <w:top w:val="nil"/>
              <w:left w:val="nil"/>
              <w:bottom w:val="single" w:sz="4" w:space="0" w:color="auto"/>
              <w:right w:val="single" w:sz="4" w:space="0" w:color="auto"/>
            </w:tcBorders>
            <w:shd w:val="clear" w:color="auto" w:fill="auto"/>
            <w:noWrap/>
            <w:hideMark/>
          </w:tcPr>
          <w:p w14:paraId="6536E5EC" w14:textId="77777777" w:rsidR="006B5F5C" w:rsidRPr="00E71F76" w:rsidRDefault="006B5F5C" w:rsidP="00066442">
            <w:pPr>
              <w:jc w:val="right"/>
              <w:rPr>
                <w:b/>
                <w:bCs/>
                <w:sz w:val="21"/>
                <w:szCs w:val="21"/>
                <w:lang w:eastAsia="en-CA"/>
              </w:rPr>
            </w:pPr>
            <w:r w:rsidRPr="00E71F76">
              <w:rPr>
                <w:b/>
                <w:sz w:val="21"/>
                <w:szCs w:val="21"/>
                <w:lang w:val="fr-FR" w:bidi="fr-FR"/>
              </w:rPr>
              <w:t>1</w:t>
            </w:r>
            <w:r>
              <w:rPr>
                <w:b/>
                <w:sz w:val="21"/>
                <w:szCs w:val="21"/>
                <w:lang w:val="fr-FR" w:bidi="fr-FR"/>
              </w:rPr>
              <w:t> 834 </w:t>
            </w:r>
            <w:r w:rsidRPr="00E71F76">
              <w:rPr>
                <w:b/>
                <w:sz w:val="21"/>
                <w:szCs w:val="21"/>
                <w:lang w:val="fr-FR" w:bidi="fr-FR"/>
              </w:rPr>
              <w:t>466</w:t>
            </w:r>
          </w:p>
        </w:tc>
        <w:tc>
          <w:tcPr>
            <w:tcW w:w="1275" w:type="dxa"/>
            <w:tcBorders>
              <w:top w:val="nil"/>
              <w:left w:val="nil"/>
              <w:bottom w:val="single" w:sz="4" w:space="0" w:color="auto"/>
              <w:right w:val="single" w:sz="4" w:space="0" w:color="auto"/>
            </w:tcBorders>
            <w:shd w:val="clear" w:color="auto" w:fill="auto"/>
            <w:noWrap/>
            <w:hideMark/>
          </w:tcPr>
          <w:p w14:paraId="061F8E31" w14:textId="77777777" w:rsidR="006B5F5C" w:rsidRPr="00E71F76" w:rsidRDefault="006B5F5C" w:rsidP="00066442">
            <w:pPr>
              <w:jc w:val="right"/>
              <w:rPr>
                <w:b/>
                <w:bCs/>
                <w:sz w:val="21"/>
                <w:szCs w:val="21"/>
                <w:lang w:eastAsia="en-CA"/>
              </w:rPr>
            </w:pPr>
            <w:r w:rsidRPr="00E71F76">
              <w:rPr>
                <w:b/>
                <w:sz w:val="21"/>
                <w:szCs w:val="21"/>
                <w:lang w:val="fr-FR" w:bidi="fr-FR"/>
              </w:rPr>
              <w:t>1</w:t>
            </w:r>
            <w:r>
              <w:rPr>
                <w:b/>
                <w:sz w:val="21"/>
                <w:szCs w:val="21"/>
                <w:lang w:val="fr-FR" w:bidi="fr-FR"/>
              </w:rPr>
              <w:t> 528 </w:t>
            </w:r>
            <w:r w:rsidRPr="00E71F76">
              <w:rPr>
                <w:b/>
                <w:sz w:val="21"/>
                <w:szCs w:val="21"/>
                <w:lang w:val="fr-FR" w:bidi="fr-FR"/>
              </w:rPr>
              <w:t>148</w:t>
            </w:r>
          </w:p>
        </w:tc>
        <w:tc>
          <w:tcPr>
            <w:tcW w:w="1219" w:type="dxa"/>
            <w:tcBorders>
              <w:top w:val="nil"/>
              <w:left w:val="nil"/>
              <w:bottom w:val="single" w:sz="4" w:space="0" w:color="auto"/>
              <w:right w:val="single" w:sz="4" w:space="0" w:color="auto"/>
            </w:tcBorders>
            <w:shd w:val="clear" w:color="auto" w:fill="auto"/>
            <w:noWrap/>
            <w:hideMark/>
          </w:tcPr>
          <w:p w14:paraId="039EA028" w14:textId="77777777" w:rsidR="006B5F5C" w:rsidRPr="00E71F76" w:rsidRDefault="006B5F5C" w:rsidP="00066442">
            <w:pPr>
              <w:jc w:val="right"/>
              <w:rPr>
                <w:b/>
                <w:bCs/>
                <w:sz w:val="21"/>
                <w:szCs w:val="21"/>
                <w:lang w:eastAsia="en-CA"/>
              </w:rPr>
            </w:pPr>
            <w:r w:rsidRPr="00E71F76">
              <w:rPr>
                <w:b/>
                <w:sz w:val="21"/>
                <w:szCs w:val="21"/>
                <w:lang w:val="fr-FR" w:bidi="fr-FR"/>
              </w:rPr>
              <w:t>583</w:t>
            </w:r>
            <w:r>
              <w:rPr>
                <w:b/>
                <w:sz w:val="21"/>
                <w:szCs w:val="21"/>
                <w:lang w:val="fr-FR" w:bidi="fr-FR"/>
              </w:rPr>
              <w:t> </w:t>
            </w:r>
            <w:r w:rsidRPr="00E71F76">
              <w:rPr>
                <w:b/>
                <w:sz w:val="21"/>
                <w:szCs w:val="21"/>
                <w:lang w:val="fr-FR" w:bidi="fr-FR"/>
              </w:rPr>
              <w:t>512</w:t>
            </w:r>
          </w:p>
        </w:tc>
        <w:tc>
          <w:tcPr>
            <w:tcW w:w="1304" w:type="dxa"/>
            <w:tcBorders>
              <w:top w:val="nil"/>
              <w:left w:val="nil"/>
              <w:bottom w:val="single" w:sz="4" w:space="0" w:color="auto"/>
              <w:right w:val="single" w:sz="4" w:space="0" w:color="auto"/>
            </w:tcBorders>
            <w:shd w:val="clear" w:color="auto" w:fill="auto"/>
            <w:noWrap/>
            <w:hideMark/>
          </w:tcPr>
          <w:p w14:paraId="7772D467" w14:textId="77777777" w:rsidR="006B5F5C" w:rsidRPr="00E71F76" w:rsidRDefault="006B5F5C" w:rsidP="00066442">
            <w:pPr>
              <w:jc w:val="right"/>
              <w:rPr>
                <w:b/>
                <w:bCs/>
                <w:sz w:val="21"/>
                <w:szCs w:val="21"/>
                <w:lang w:eastAsia="en-CA"/>
              </w:rPr>
            </w:pPr>
            <w:r w:rsidRPr="00E71F76">
              <w:rPr>
                <w:b/>
                <w:sz w:val="21"/>
                <w:szCs w:val="21"/>
                <w:lang w:val="fr-FR" w:bidi="fr-FR"/>
              </w:rPr>
              <w:t>3</w:t>
            </w:r>
            <w:r>
              <w:rPr>
                <w:b/>
                <w:sz w:val="21"/>
                <w:szCs w:val="21"/>
                <w:lang w:val="fr-FR" w:bidi="fr-FR"/>
              </w:rPr>
              <w:t> 946 </w:t>
            </w:r>
            <w:r w:rsidRPr="00E71F76">
              <w:rPr>
                <w:b/>
                <w:sz w:val="21"/>
                <w:szCs w:val="21"/>
                <w:lang w:val="fr-FR" w:bidi="fr-FR"/>
              </w:rPr>
              <w:t>126</w:t>
            </w:r>
          </w:p>
        </w:tc>
        <w:tc>
          <w:tcPr>
            <w:tcW w:w="1305" w:type="dxa"/>
            <w:tcBorders>
              <w:top w:val="nil"/>
              <w:left w:val="nil"/>
              <w:bottom w:val="single" w:sz="4" w:space="0" w:color="auto"/>
              <w:right w:val="single" w:sz="4" w:space="0" w:color="auto"/>
            </w:tcBorders>
            <w:shd w:val="clear" w:color="auto" w:fill="auto"/>
            <w:noWrap/>
            <w:hideMark/>
          </w:tcPr>
          <w:p w14:paraId="0B4B6443" w14:textId="77777777" w:rsidR="006B5F5C" w:rsidRPr="00E71F76" w:rsidRDefault="006B5F5C" w:rsidP="00066442">
            <w:pPr>
              <w:jc w:val="right"/>
              <w:rPr>
                <w:b/>
                <w:bCs/>
                <w:sz w:val="21"/>
                <w:szCs w:val="21"/>
                <w:lang w:eastAsia="en-CA"/>
              </w:rPr>
            </w:pPr>
            <w:r w:rsidRPr="00E71F76">
              <w:rPr>
                <w:b/>
                <w:sz w:val="21"/>
                <w:szCs w:val="21"/>
                <w:lang w:val="fr-FR" w:bidi="fr-FR"/>
              </w:rPr>
              <w:t>607</w:t>
            </w:r>
            <w:r>
              <w:rPr>
                <w:b/>
                <w:sz w:val="21"/>
                <w:szCs w:val="21"/>
                <w:lang w:val="fr-FR" w:bidi="fr-FR"/>
              </w:rPr>
              <w:t> </w:t>
            </w:r>
            <w:r w:rsidRPr="00E71F76">
              <w:rPr>
                <w:b/>
                <w:sz w:val="21"/>
                <w:szCs w:val="21"/>
                <w:lang w:val="fr-FR" w:bidi="fr-FR"/>
              </w:rPr>
              <w:t>044</w:t>
            </w:r>
          </w:p>
        </w:tc>
      </w:tr>
    </w:tbl>
    <w:p w14:paraId="78B2ABDE" w14:textId="77777777" w:rsidR="006B5F5C" w:rsidRPr="00E23538" w:rsidRDefault="006B5F5C" w:rsidP="00066442">
      <w:pPr>
        <w:rPr>
          <w:sz w:val="20"/>
          <w:szCs w:val="20"/>
          <w:lang w:val="fr-FR"/>
        </w:rPr>
      </w:pPr>
      <w:r w:rsidRPr="002D6131">
        <w:rPr>
          <w:sz w:val="20"/>
          <w:szCs w:val="20"/>
          <w:lang w:val="fr-FR" w:bidi="fr-FR"/>
        </w:rPr>
        <w:t>* Y compris les coûts d</w:t>
      </w:r>
      <w:r>
        <w:rPr>
          <w:sz w:val="20"/>
          <w:szCs w:val="20"/>
          <w:lang w:val="fr-FR" w:bidi="fr-FR"/>
        </w:rPr>
        <w:t>’</w:t>
      </w:r>
      <w:r w:rsidRPr="002D6131">
        <w:rPr>
          <w:sz w:val="20"/>
          <w:szCs w:val="20"/>
          <w:lang w:val="fr-FR" w:bidi="fr-FR"/>
        </w:rPr>
        <w:t>appui d</w:t>
      </w:r>
      <w:r>
        <w:rPr>
          <w:sz w:val="20"/>
          <w:szCs w:val="20"/>
          <w:lang w:val="fr-FR" w:bidi="fr-FR"/>
        </w:rPr>
        <w:t>’</w:t>
      </w:r>
      <w:r w:rsidRPr="002D6131">
        <w:rPr>
          <w:sz w:val="20"/>
          <w:szCs w:val="20"/>
          <w:lang w:val="fr-FR" w:bidi="fr-FR"/>
        </w:rPr>
        <w:t>agence.</w:t>
      </w:r>
    </w:p>
    <w:p w14:paraId="79784FEB" w14:textId="77777777" w:rsidR="006B5F5C" w:rsidRPr="00E23538" w:rsidRDefault="006B5F5C" w:rsidP="00066442">
      <w:pPr>
        <w:rPr>
          <w:lang w:val="fr-FR"/>
        </w:rPr>
      </w:pPr>
    </w:p>
    <w:p w14:paraId="179ED658" w14:textId="77777777" w:rsidR="006B5F5C" w:rsidRPr="00E23538" w:rsidRDefault="006B5F5C" w:rsidP="00066442">
      <w:pPr>
        <w:pStyle w:val="Heading1"/>
        <w:rPr>
          <w:lang w:val="fr-FR"/>
        </w:rPr>
      </w:pPr>
      <w:r w:rsidRPr="002D6131">
        <w:rPr>
          <w:lang w:val="fr-FR" w:bidi="fr-FR"/>
        </w:rPr>
        <w:t>Le plan d</w:t>
      </w:r>
      <w:r>
        <w:rPr>
          <w:lang w:val="fr-FR" w:bidi="fr-FR"/>
        </w:rPr>
        <w:t>’</w:t>
      </w:r>
      <w:r w:rsidRPr="002D6131">
        <w:rPr>
          <w:lang w:val="fr-FR" w:bidi="fr-FR"/>
        </w:rPr>
        <w:t>activités de l</w:t>
      </w:r>
      <w:r>
        <w:rPr>
          <w:lang w:val="fr-FR" w:bidi="fr-FR"/>
        </w:rPr>
        <w:t>’</w:t>
      </w:r>
      <w:r w:rsidRPr="002D6131">
        <w:rPr>
          <w:lang w:val="fr-FR" w:bidi="fr-FR"/>
        </w:rPr>
        <w:t xml:space="preserve">Allemagne comprenait les activités suivantes :  </w:t>
      </w:r>
    </w:p>
    <w:p w14:paraId="4391BE11" w14:textId="3573E7D8" w:rsidR="006B5F5C" w:rsidRPr="00E23538" w:rsidRDefault="006B5F5C" w:rsidP="00066442">
      <w:pPr>
        <w:pStyle w:val="Heading2"/>
        <w:widowControl/>
        <w:numPr>
          <w:ilvl w:val="1"/>
          <w:numId w:val="1"/>
        </w:numPr>
        <w:rPr>
          <w:lang w:val="fr-FR"/>
        </w:rPr>
      </w:pPr>
      <w:r>
        <w:rPr>
          <w:lang w:val="fr-FR" w:bidi="fr-FR"/>
        </w:rPr>
        <w:t>L</w:t>
      </w:r>
      <w:r w:rsidR="00BE6BA2">
        <w:rPr>
          <w:lang w:val="fr-FR" w:bidi="fr-FR"/>
        </w:rPr>
        <w:t xml:space="preserve">es </w:t>
      </w:r>
      <w:r>
        <w:rPr>
          <w:lang w:val="fr-FR" w:bidi="fr-FR"/>
        </w:rPr>
        <w:t xml:space="preserve">étapes I et II </w:t>
      </w:r>
      <w:r w:rsidR="00BE6BA2">
        <w:rPr>
          <w:lang w:val="fr-FR" w:bidi="fr-FR"/>
        </w:rPr>
        <w:t xml:space="preserve">approuvées </w:t>
      </w:r>
      <w:r>
        <w:rPr>
          <w:lang w:val="fr-FR" w:bidi="fr-FR"/>
        </w:rPr>
        <w:t>des PGEH pour un montant de 3,56 millions de $ US, dont 2,98 millions de $ US pour 2022-2024 ; le Secrétariat propose un ajustement en augmentant de 666 018 $ US pour 2022-2024, afin de refléter les montants approuvés en principe dans le cadre des accords des PGEH respectifs ;</w:t>
      </w:r>
    </w:p>
    <w:p w14:paraId="493572AF" w14:textId="67B16315" w:rsidR="006B5F5C" w:rsidRPr="00E23538" w:rsidRDefault="006B5F5C" w:rsidP="006B5F5C">
      <w:pPr>
        <w:pStyle w:val="Heading2"/>
        <w:keepNext/>
        <w:widowControl/>
        <w:numPr>
          <w:ilvl w:val="1"/>
          <w:numId w:val="1"/>
        </w:numPr>
        <w:rPr>
          <w:lang w:val="fr-FR"/>
        </w:rPr>
      </w:pPr>
      <w:r>
        <w:rPr>
          <w:lang w:val="fr-FR" w:bidi="fr-FR"/>
        </w:rPr>
        <w:t xml:space="preserve">La phase III du PGEH d’un pays qui ne consomme </w:t>
      </w:r>
      <w:r w:rsidR="00D05518">
        <w:rPr>
          <w:lang w:val="fr-FR" w:bidi="fr-FR"/>
        </w:rPr>
        <w:t xml:space="preserve">pas </w:t>
      </w:r>
      <w:r>
        <w:rPr>
          <w:lang w:val="fr-FR" w:bidi="fr-FR"/>
        </w:rPr>
        <w:t xml:space="preserve">de faibles volumes, pour un montant de </w:t>
      </w:r>
      <w:r w:rsidRPr="002D6131">
        <w:rPr>
          <w:sz w:val="21"/>
          <w:szCs w:val="21"/>
          <w:lang w:val="fr-FR" w:bidi="fr-FR"/>
        </w:rPr>
        <w:t>422</w:t>
      </w:r>
      <w:r>
        <w:rPr>
          <w:sz w:val="21"/>
          <w:szCs w:val="21"/>
          <w:lang w:val="fr-FR" w:bidi="fr-FR"/>
        </w:rPr>
        <w:t> </w:t>
      </w:r>
      <w:r w:rsidRPr="002D6131">
        <w:rPr>
          <w:sz w:val="21"/>
          <w:szCs w:val="21"/>
          <w:lang w:val="fr-FR" w:bidi="fr-FR"/>
        </w:rPr>
        <w:t>650</w:t>
      </w:r>
      <w:r>
        <w:rPr>
          <w:lang w:val="fr-FR" w:bidi="fr-FR"/>
        </w:rPr>
        <w:t> $ US en 2023, conformément à la décision 84/46(e) ;</w:t>
      </w:r>
      <w:r>
        <w:rPr>
          <w:rStyle w:val="FootnoteReference"/>
          <w:lang w:val="fr-FR" w:bidi="fr-FR"/>
        </w:rPr>
        <w:footnoteReference w:id="6"/>
      </w:r>
      <w:r>
        <w:rPr>
          <w:lang w:val="fr-FR" w:bidi="fr-FR"/>
        </w:rPr>
        <w:t xml:space="preserve"> </w:t>
      </w:r>
    </w:p>
    <w:p w14:paraId="227D7B9E" w14:textId="77777777" w:rsidR="006B5F5C" w:rsidRPr="00E23538" w:rsidRDefault="006B5F5C" w:rsidP="006B5F5C">
      <w:pPr>
        <w:pStyle w:val="Heading2"/>
        <w:numPr>
          <w:ilvl w:val="1"/>
          <w:numId w:val="1"/>
        </w:numPr>
        <w:rPr>
          <w:lang w:val="fr-FR"/>
        </w:rPr>
      </w:pPr>
      <w:r>
        <w:rPr>
          <w:lang w:val="fr-FR" w:bidi="fr-FR"/>
        </w:rPr>
        <w:t>La préparation d’un KIP</w:t>
      </w:r>
      <w:r w:rsidRPr="002D6131">
        <w:rPr>
          <w:rStyle w:val="FootnoteReference"/>
          <w:lang w:val="fr-FR" w:bidi="fr-FR"/>
        </w:rPr>
        <w:footnoteReference w:id="7"/>
      </w:r>
      <w:r>
        <w:rPr>
          <w:lang w:val="fr-FR" w:bidi="fr-FR"/>
        </w:rPr>
        <w:t xml:space="preserve"> pour un pays (la Papouasie-Nouvelle-Guinée) d’un montant de 85 000 $ US en 2022 ; ce pays n’a pas ratifié l’Amendement de Kigali, mais a soumis la lettre requise indiquant l’intention du gouvernement de faire tout son possible pour ratifier l’Amendement ; </w:t>
      </w:r>
    </w:p>
    <w:p w14:paraId="42FC2049" w14:textId="77805B8A" w:rsidR="006B5F5C" w:rsidRPr="00E23538" w:rsidRDefault="006B5F5C" w:rsidP="006B5F5C">
      <w:pPr>
        <w:pStyle w:val="Heading2"/>
        <w:numPr>
          <w:ilvl w:val="1"/>
          <w:numId w:val="1"/>
        </w:numPr>
        <w:rPr>
          <w:lang w:val="fr-FR"/>
        </w:rPr>
      </w:pPr>
      <w:r>
        <w:rPr>
          <w:lang w:val="fr-FR" w:bidi="fr-FR"/>
        </w:rPr>
        <w:t>Des KIP pour quatre pays (le Burkina Faso, le Libéria, Maurice et la</w:t>
      </w:r>
      <w:r w:rsidR="00066442">
        <w:rPr>
          <w:lang w:val="fr-FR" w:bidi="fr-FR"/>
        </w:rPr>
        <w:noBreakHyphen/>
      </w:r>
      <w:r>
        <w:rPr>
          <w:lang w:val="fr-FR" w:bidi="fr-FR"/>
        </w:rPr>
        <w:t>Papouasie</w:t>
      </w:r>
      <w:r w:rsidR="00066442">
        <w:rPr>
          <w:lang w:val="fr-FR" w:bidi="fr-FR"/>
        </w:rPr>
        <w:noBreakHyphen/>
      </w:r>
      <w:r>
        <w:rPr>
          <w:lang w:val="fr-FR" w:bidi="fr-FR"/>
        </w:rPr>
        <w:t>Nouvelle</w:t>
      </w:r>
      <w:r w:rsidR="00066442">
        <w:rPr>
          <w:lang w:val="fr-FR" w:bidi="fr-FR"/>
        </w:rPr>
        <w:noBreakHyphen/>
      </w:r>
      <w:r>
        <w:rPr>
          <w:lang w:val="fr-FR" w:bidi="fr-FR"/>
        </w:rPr>
        <w:t>Guinée), pour un montant de 400 000 $ US ; conformément à la décision 84/46(g),</w:t>
      </w:r>
      <w:r>
        <w:rPr>
          <w:rStyle w:val="FootnoteReference"/>
          <w:lang w:val="fr-FR" w:bidi="fr-FR"/>
        </w:rPr>
        <w:footnoteReference w:id="8"/>
      </w:r>
      <w:r>
        <w:rPr>
          <w:lang w:val="fr-FR" w:bidi="fr-FR"/>
        </w:rPr>
        <w:t xml:space="preserve"> un pays (la Papouasie-Nouvelle-Guinée) n’a pas ratifié l’Amendement de Kigali et a été retiré du plan d’activités ;</w:t>
      </w:r>
    </w:p>
    <w:p w14:paraId="5D6F59B9" w14:textId="77777777" w:rsidR="006B5F5C" w:rsidRPr="00E23538" w:rsidRDefault="006B5F5C" w:rsidP="006B5F5C">
      <w:pPr>
        <w:pStyle w:val="Heading2"/>
        <w:numPr>
          <w:ilvl w:val="1"/>
          <w:numId w:val="1"/>
        </w:numPr>
        <w:rPr>
          <w:lang w:val="fr-FR"/>
        </w:rPr>
      </w:pPr>
      <w:r>
        <w:rPr>
          <w:lang w:val="fr-FR" w:bidi="fr-FR"/>
        </w:rPr>
        <w:t>Un projet de renforcement des institutions pour un pays (la Papouasie-Nouvelle-Guinée) d’un montant de 30 000 $ US après 2024 ; le Secrétariat propose un ajustement en diminuant ce montant de 30 000 $ US pour supprimer les valeurs après 2024 ; et</w:t>
      </w:r>
    </w:p>
    <w:p w14:paraId="13D1F9CF" w14:textId="77777777" w:rsidR="006B5F5C" w:rsidRPr="00E23538" w:rsidRDefault="006B5F5C" w:rsidP="006B5F5C">
      <w:pPr>
        <w:pStyle w:val="Heading2"/>
        <w:numPr>
          <w:ilvl w:val="1"/>
          <w:numId w:val="1"/>
        </w:numPr>
        <w:rPr>
          <w:lang w:val="fr-FR"/>
        </w:rPr>
      </w:pPr>
      <w:r w:rsidRPr="002D6131">
        <w:rPr>
          <w:lang w:val="fr-FR" w:bidi="fr-FR"/>
        </w:rPr>
        <w:t>La vérification du PGEH pour deux pays (Maurice et la Papouasie-Nouvelle-Guinée) pour un montant de 60</w:t>
      </w:r>
      <w:r>
        <w:rPr>
          <w:lang w:val="fr-FR" w:bidi="fr-FR"/>
        </w:rPr>
        <w:t> </w:t>
      </w:r>
      <w:r w:rsidRPr="002D6131">
        <w:rPr>
          <w:lang w:val="fr-FR" w:bidi="fr-FR"/>
        </w:rPr>
        <w:t>000</w:t>
      </w:r>
      <w:r>
        <w:rPr>
          <w:lang w:val="fr-FR" w:bidi="fr-FR"/>
        </w:rPr>
        <w:t> </w:t>
      </w:r>
      <w:r w:rsidRPr="002D6131">
        <w:rPr>
          <w:lang w:val="fr-FR" w:bidi="fr-FR"/>
        </w:rPr>
        <w:t>$ US en 2023. Étant donné que le financement de ces activités a déjà été inclus dans le budget de vérification des PGEH dans le plan d</w:t>
      </w:r>
      <w:r>
        <w:rPr>
          <w:lang w:val="fr-FR" w:bidi="fr-FR"/>
        </w:rPr>
        <w:t>’</w:t>
      </w:r>
      <w:r w:rsidRPr="002D6131">
        <w:rPr>
          <w:lang w:val="fr-FR" w:bidi="fr-FR"/>
        </w:rPr>
        <w:t>activités consolidé pour 2022-2024,</w:t>
      </w:r>
      <w:r w:rsidRPr="002D6131">
        <w:rPr>
          <w:rStyle w:val="FootnoteReference"/>
          <w:lang w:val="fr-FR" w:bidi="fr-FR"/>
        </w:rPr>
        <w:footnoteReference w:id="9"/>
      </w:r>
      <w:r w:rsidRPr="002D6131">
        <w:rPr>
          <w:lang w:val="fr-FR" w:bidi="fr-FR"/>
        </w:rPr>
        <w:t xml:space="preserve"> le Secrétariat propose un ajustement en diminuant de 60</w:t>
      </w:r>
      <w:r>
        <w:rPr>
          <w:lang w:val="fr-FR" w:bidi="fr-FR"/>
        </w:rPr>
        <w:t> </w:t>
      </w:r>
      <w:r w:rsidRPr="002D6131">
        <w:rPr>
          <w:lang w:val="fr-FR" w:bidi="fr-FR"/>
        </w:rPr>
        <w:t>000</w:t>
      </w:r>
      <w:r>
        <w:rPr>
          <w:lang w:val="fr-FR" w:bidi="fr-FR"/>
        </w:rPr>
        <w:t> </w:t>
      </w:r>
      <w:r w:rsidRPr="002D6131">
        <w:rPr>
          <w:lang w:val="fr-FR" w:bidi="fr-FR"/>
        </w:rPr>
        <w:t>$ US le montant en 2023.</w:t>
      </w:r>
    </w:p>
    <w:p w14:paraId="79692761" w14:textId="77777777" w:rsidR="006B5F5C" w:rsidRPr="00E23538" w:rsidRDefault="006B5F5C" w:rsidP="006B5F5C">
      <w:pPr>
        <w:pStyle w:val="Heading1"/>
        <w:rPr>
          <w:lang w:val="fr-FR"/>
        </w:rPr>
      </w:pPr>
      <w:r w:rsidRPr="002D6131">
        <w:rPr>
          <w:lang w:val="fr-FR" w:bidi="fr-FR"/>
        </w:rPr>
        <w:t>Le tableau</w:t>
      </w:r>
      <w:r>
        <w:rPr>
          <w:lang w:val="fr-FR" w:bidi="fr-FR"/>
        </w:rPr>
        <w:t> </w:t>
      </w:r>
      <w:r w:rsidRPr="002D6131">
        <w:rPr>
          <w:lang w:val="fr-FR" w:bidi="fr-FR"/>
        </w:rPr>
        <w:t>6 présente les résultats des ajustements proposés par le Secrétariat au plan d</w:t>
      </w:r>
      <w:r>
        <w:rPr>
          <w:lang w:val="fr-FR" w:bidi="fr-FR"/>
        </w:rPr>
        <w:t>’</w:t>
      </w:r>
      <w:r w:rsidRPr="002D6131">
        <w:rPr>
          <w:lang w:val="fr-FR" w:bidi="fr-FR"/>
        </w:rPr>
        <w:t>activités de l</w:t>
      </w:r>
      <w:r>
        <w:rPr>
          <w:lang w:val="fr-FR" w:bidi="fr-FR"/>
        </w:rPr>
        <w:t>’</w:t>
      </w:r>
      <w:r w:rsidRPr="002D6131">
        <w:rPr>
          <w:lang w:val="fr-FR" w:bidi="fr-FR"/>
        </w:rPr>
        <w:t>Allemagne.</w:t>
      </w:r>
    </w:p>
    <w:p w14:paraId="5218A262" w14:textId="77777777" w:rsidR="006B5F5C" w:rsidRPr="00E23538" w:rsidRDefault="006B5F5C" w:rsidP="006B5F5C">
      <w:pPr>
        <w:pStyle w:val="Heading1"/>
        <w:keepNext/>
        <w:numPr>
          <w:ilvl w:val="0"/>
          <w:numId w:val="0"/>
        </w:numPr>
        <w:spacing w:after="0"/>
        <w:rPr>
          <w:b/>
          <w:lang w:val="fr-FR"/>
        </w:rPr>
      </w:pPr>
      <w:r w:rsidRPr="002D6131">
        <w:rPr>
          <w:b/>
          <w:lang w:val="fr-FR" w:bidi="fr-FR"/>
        </w:rPr>
        <w:t>Tableau</w:t>
      </w:r>
      <w:r>
        <w:rPr>
          <w:b/>
          <w:lang w:val="fr-FR" w:bidi="fr-FR"/>
        </w:rPr>
        <w:t> </w:t>
      </w:r>
      <w:r w:rsidRPr="002D6131">
        <w:rPr>
          <w:b/>
          <w:lang w:val="fr-FR" w:bidi="fr-FR"/>
        </w:rPr>
        <w:t>6</w:t>
      </w:r>
      <w:r>
        <w:rPr>
          <w:b/>
          <w:lang w:val="fr-FR" w:bidi="fr-FR"/>
        </w:rPr>
        <w:t> </w:t>
      </w:r>
      <w:r w:rsidRPr="002D6131">
        <w:rPr>
          <w:b/>
          <w:lang w:val="fr-FR" w:bidi="fr-FR"/>
        </w:rPr>
        <w:t>: Résultats des ajustements apportés au plan d</w:t>
      </w:r>
      <w:r>
        <w:rPr>
          <w:b/>
          <w:lang w:val="fr-FR" w:bidi="fr-FR"/>
        </w:rPr>
        <w:t>’</w:t>
      </w:r>
      <w:r w:rsidRPr="002D6131">
        <w:rPr>
          <w:b/>
          <w:lang w:val="fr-FR" w:bidi="fr-FR"/>
        </w:rPr>
        <w:t>activités de l</w:t>
      </w:r>
      <w:r>
        <w:rPr>
          <w:b/>
          <w:lang w:val="fr-FR" w:bidi="fr-FR"/>
        </w:rPr>
        <w:t>’</w:t>
      </w:r>
      <w:r w:rsidRPr="002D6131">
        <w:rPr>
          <w:b/>
          <w:lang w:val="fr-FR" w:bidi="fr-FR"/>
        </w:rPr>
        <w:t xml:space="preserve">Allemagne ($ </w:t>
      </w:r>
      <w:proofErr w:type="gramStart"/>
      <w:r w:rsidRPr="002D6131">
        <w:rPr>
          <w:b/>
          <w:lang w:val="fr-FR" w:bidi="fr-FR"/>
        </w:rPr>
        <w:t>US)*</w:t>
      </w:r>
      <w:proofErr w:type="gramEnd"/>
    </w:p>
    <w:tbl>
      <w:tblPr>
        <w:tblW w:w="9498" w:type="dxa"/>
        <w:tblInd w:w="-5" w:type="dxa"/>
        <w:tblLayout w:type="fixed"/>
        <w:tblLook w:val="04A0" w:firstRow="1" w:lastRow="0" w:firstColumn="1" w:lastColumn="0" w:noHBand="0" w:noVBand="1"/>
      </w:tblPr>
      <w:tblGrid>
        <w:gridCol w:w="3261"/>
        <w:gridCol w:w="1275"/>
        <w:gridCol w:w="1134"/>
        <w:gridCol w:w="1219"/>
        <w:gridCol w:w="1304"/>
        <w:gridCol w:w="1305"/>
      </w:tblGrid>
      <w:tr w:rsidR="006B5F5C" w:rsidRPr="00E71F76" w14:paraId="78C79C0F" w14:textId="77777777" w:rsidTr="00A83C91">
        <w:trPr>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640B" w14:textId="77777777" w:rsidR="006B5F5C" w:rsidRPr="00E71F76" w:rsidRDefault="006B5F5C" w:rsidP="006E3590">
            <w:pPr>
              <w:jc w:val="left"/>
              <w:rPr>
                <w:b/>
                <w:bCs/>
                <w:sz w:val="21"/>
                <w:szCs w:val="21"/>
                <w:lang w:eastAsia="en-CA"/>
              </w:rPr>
            </w:pPr>
            <w:r w:rsidRPr="00E71F76">
              <w:rPr>
                <w:b/>
                <w:sz w:val="21"/>
                <w:szCs w:val="21"/>
                <w:lang w:val="fr-FR" w:bidi="fr-FR"/>
              </w:rPr>
              <w:t>Description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7CB6B1" w14:textId="77777777" w:rsidR="006B5F5C" w:rsidRPr="00E71F76" w:rsidRDefault="006B5F5C" w:rsidP="006E3590">
            <w:pPr>
              <w:jc w:val="center"/>
              <w:rPr>
                <w:b/>
                <w:bCs/>
                <w:sz w:val="21"/>
                <w:szCs w:val="21"/>
                <w:lang w:eastAsia="en-CA"/>
              </w:rPr>
            </w:pPr>
            <w:r w:rsidRPr="00E71F76">
              <w:rPr>
                <w:b/>
                <w:sz w:val="21"/>
                <w:szCs w:val="21"/>
                <w:lang w:val="fr-FR" w:bidi="fr-FR"/>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795CBA" w14:textId="77777777" w:rsidR="006B5F5C" w:rsidRPr="00E71F76" w:rsidRDefault="006B5F5C" w:rsidP="006E3590">
            <w:pPr>
              <w:jc w:val="center"/>
              <w:rPr>
                <w:b/>
                <w:bCs/>
                <w:sz w:val="21"/>
                <w:szCs w:val="21"/>
                <w:lang w:eastAsia="en-CA"/>
              </w:rPr>
            </w:pPr>
            <w:r w:rsidRPr="00E71F76">
              <w:rPr>
                <w:b/>
                <w:sz w:val="21"/>
                <w:szCs w:val="21"/>
                <w:lang w:val="fr-FR" w:bidi="fr-FR"/>
              </w:rPr>
              <w:t>2023</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EE6F66E" w14:textId="77777777" w:rsidR="006B5F5C" w:rsidRPr="00E71F76" w:rsidRDefault="006B5F5C" w:rsidP="006E3590">
            <w:pPr>
              <w:jc w:val="center"/>
              <w:rPr>
                <w:b/>
                <w:bCs/>
                <w:sz w:val="21"/>
                <w:szCs w:val="21"/>
                <w:lang w:eastAsia="en-CA"/>
              </w:rPr>
            </w:pPr>
            <w:r w:rsidRPr="00E71F76">
              <w:rPr>
                <w:b/>
                <w:sz w:val="21"/>
                <w:szCs w:val="21"/>
                <w:lang w:val="fr-FR" w:bidi="fr-FR"/>
              </w:rPr>
              <w:t>2024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D88AFE7" w14:textId="77777777" w:rsidR="006B5F5C" w:rsidRPr="00E71F76" w:rsidRDefault="006B5F5C" w:rsidP="006E3590">
            <w:pPr>
              <w:jc w:val="center"/>
              <w:rPr>
                <w:b/>
                <w:bCs/>
                <w:sz w:val="21"/>
                <w:szCs w:val="21"/>
                <w:lang w:eastAsia="en-CA"/>
              </w:rPr>
            </w:pPr>
            <w:r w:rsidRPr="00E71F76">
              <w:rPr>
                <w:b/>
                <w:sz w:val="21"/>
                <w:szCs w:val="21"/>
                <w:lang w:val="fr-FR" w:bidi="fr-FR"/>
              </w:rPr>
              <w:t xml:space="preserve">Total </w:t>
            </w:r>
          </w:p>
          <w:p w14:paraId="3FD117DF" w14:textId="77777777" w:rsidR="006B5F5C" w:rsidRPr="00E71F76" w:rsidRDefault="006B5F5C" w:rsidP="006E3590">
            <w:pPr>
              <w:jc w:val="center"/>
              <w:rPr>
                <w:b/>
                <w:bCs/>
                <w:sz w:val="21"/>
                <w:szCs w:val="21"/>
                <w:lang w:eastAsia="en-CA"/>
              </w:rPr>
            </w:pPr>
            <w:r w:rsidRPr="00E71F76">
              <w:rPr>
                <w:b/>
                <w:sz w:val="21"/>
                <w:szCs w:val="21"/>
                <w:lang w:val="fr-FR" w:bidi="fr-FR"/>
              </w:rPr>
              <w:t>(2022–2024)</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38D8F84" w14:textId="77777777" w:rsidR="006B5F5C" w:rsidRPr="00E71F76" w:rsidRDefault="006B5F5C" w:rsidP="006E3590">
            <w:pPr>
              <w:jc w:val="center"/>
              <w:rPr>
                <w:b/>
                <w:bCs/>
                <w:sz w:val="21"/>
                <w:szCs w:val="21"/>
                <w:lang w:eastAsia="en-CA"/>
              </w:rPr>
            </w:pPr>
            <w:r w:rsidRPr="00E71F76">
              <w:rPr>
                <w:b/>
                <w:sz w:val="21"/>
                <w:szCs w:val="21"/>
                <w:lang w:val="fr-FR" w:bidi="fr-FR"/>
              </w:rPr>
              <w:t>Total après 2024</w:t>
            </w:r>
          </w:p>
        </w:tc>
      </w:tr>
      <w:tr w:rsidR="006B5F5C" w:rsidRPr="00E71F76" w14:paraId="46855EBB" w14:textId="77777777" w:rsidTr="006E3590">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D4E0" w14:textId="77777777" w:rsidR="006B5F5C" w:rsidRPr="00E71F76" w:rsidRDefault="006B5F5C" w:rsidP="006E3590">
            <w:pPr>
              <w:jc w:val="left"/>
              <w:rPr>
                <w:b/>
                <w:bCs/>
                <w:sz w:val="21"/>
                <w:szCs w:val="21"/>
                <w:lang w:eastAsia="en-CA"/>
              </w:rPr>
            </w:pPr>
            <w:r w:rsidRPr="00E71F76">
              <w:rPr>
                <w:b/>
                <w:sz w:val="21"/>
                <w:szCs w:val="21"/>
                <w:lang w:val="fr-FR" w:bidi="fr-FR"/>
              </w:rPr>
              <w:t>Activités relatives aux HCFC</w:t>
            </w:r>
          </w:p>
        </w:tc>
      </w:tr>
      <w:tr w:rsidR="006B5F5C" w:rsidRPr="00E71F76" w14:paraId="6E0B15EA"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58FFF1C" w14:textId="77777777" w:rsidR="006B5F5C" w:rsidRPr="00E71F76" w:rsidRDefault="006B5F5C" w:rsidP="006E3590">
            <w:pPr>
              <w:jc w:val="left"/>
              <w:rPr>
                <w:sz w:val="21"/>
                <w:szCs w:val="21"/>
                <w:lang w:eastAsia="en-CA"/>
              </w:rPr>
            </w:pPr>
            <w:r w:rsidRPr="00E71F76">
              <w:rPr>
                <w:sz w:val="21"/>
                <w:szCs w:val="21"/>
                <w:lang w:val="fr-FR" w:bidi="fr-FR"/>
              </w:rPr>
              <w:t>PGEH approuvés</w:t>
            </w:r>
          </w:p>
        </w:tc>
        <w:tc>
          <w:tcPr>
            <w:tcW w:w="1275" w:type="dxa"/>
            <w:tcBorders>
              <w:top w:val="nil"/>
              <w:left w:val="nil"/>
              <w:bottom w:val="single" w:sz="4" w:space="0" w:color="auto"/>
              <w:right w:val="single" w:sz="4" w:space="0" w:color="auto"/>
            </w:tcBorders>
            <w:shd w:val="clear" w:color="auto" w:fill="auto"/>
            <w:noWrap/>
            <w:vAlign w:val="center"/>
            <w:hideMark/>
          </w:tcPr>
          <w:p w14:paraId="003A7A1E" w14:textId="77777777" w:rsidR="006B5F5C" w:rsidRPr="00E71F76" w:rsidRDefault="006B5F5C" w:rsidP="006E3590">
            <w:pPr>
              <w:jc w:val="right"/>
              <w:rPr>
                <w:sz w:val="21"/>
                <w:szCs w:val="21"/>
                <w:lang w:eastAsia="en-CA"/>
              </w:rPr>
            </w:pPr>
            <w:r w:rsidRPr="00E71F76">
              <w:rPr>
                <w:b/>
                <w:sz w:val="21"/>
                <w:szCs w:val="21"/>
                <w:lang w:val="fr-FR" w:bidi="fr-FR"/>
              </w:rPr>
              <w:t>2</w:t>
            </w:r>
            <w:r>
              <w:rPr>
                <w:b/>
                <w:sz w:val="21"/>
                <w:szCs w:val="21"/>
                <w:lang w:val="fr-FR" w:bidi="fr-FR"/>
              </w:rPr>
              <w:t> 307 </w:t>
            </w:r>
            <w:r w:rsidRPr="00E71F76">
              <w:rPr>
                <w:b/>
                <w:sz w:val="21"/>
                <w:szCs w:val="21"/>
                <w:lang w:val="fr-FR" w:bidi="fr-FR"/>
              </w:rPr>
              <w:t>607</w:t>
            </w:r>
          </w:p>
        </w:tc>
        <w:tc>
          <w:tcPr>
            <w:tcW w:w="1134" w:type="dxa"/>
            <w:tcBorders>
              <w:top w:val="nil"/>
              <w:left w:val="nil"/>
              <w:bottom w:val="single" w:sz="4" w:space="0" w:color="auto"/>
              <w:right w:val="single" w:sz="4" w:space="0" w:color="auto"/>
            </w:tcBorders>
            <w:shd w:val="clear" w:color="auto" w:fill="auto"/>
            <w:noWrap/>
            <w:vAlign w:val="center"/>
            <w:hideMark/>
          </w:tcPr>
          <w:p w14:paraId="5E6B7310" w14:textId="77777777" w:rsidR="006B5F5C" w:rsidRPr="00E71F76" w:rsidRDefault="006B5F5C" w:rsidP="006E3590">
            <w:pPr>
              <w:jc w:val="right"/>
              <w:rPr>
                <w:sz w:val="21"/>
                <w:szCs w:val="21"/>
                <w:lang w:eastAsia="en-CA"/>
              </w:rPr>
            </w:pPr>
            <w:r w:rsidRPr="00E71F76">
              <w:rPr>
                <w:b/>
                <w:sz w:val="21"/>
                <w:szCs w:val="21"/>
                <w:lang w:val="fr-FR" w:bidi="fr-FR"/>
              </w:rPr>
              <w:t>1</w:t>
            </w:r>
            <w:r>
              <w:rPr>
                <w:b/>
                <w:sz w:val="21"/>
                <w:szCs w:val="21"/>
                <w:lang w:val="fr-FR" w:bidi="fr-FR"/>
              </w:rPr>
              <w:t> 153 </w:t>
            </w:r>
            <w:r w:rsidRPr="00E71F76">
              <w:rPr>
                <w:b/>
                <w:sz w:val="21"/>
                <w:szCs w:val="21"/>
                <w:lang w:val="fr-FR" w:bidi="fr-FR"/>
              </w:rPr>
              <w:t>375</w:t>
            </w:r>
          </w:p>
        </w:tc>
        <w:tc>
          <w:tcPr>
            <w:tcW w:w="1219" w:type="dxa"/>
            <w:tcBorders>
              <w:top w:val="nil"/>
              <w:left w:val="nil"/>
              <w:bottom w:val="single" w:sz="4" w:space="0" w:color="auto"/>
              <w:right w:val="single" w:sz="4" w:space="0" w:color="auto"/>
            </w:tcBorders>
            <w:shd w:val="clear" w:color="auto" w:fill="auto"/>
            <w:noWrap/>
            <w:vAlign w:val="center"/>
            <w:hideMark/>
          </w:tcPr>
          <w:p w14:paraId="5B2A266C" w14:textId="77777777" w:rsidR="006B5F5C" w:rsidRPr="00E71F76" w:rsidRDefault="006B5F5C" w:rsidP="006E3590">
            <w:pPr>
              <w:jc w:val="right"/>
              <w:rPr>
                <w:sz w:val="21"/>
                <w:szCs w:val="21"/>
                <w:lang w:eastAsia="en-CA"/>
              </w:rPr>
            </w:pPr>
            <w:r w:rsidRPr="00E71F76">
              <w:rPr>
                <w:sz w:val="21"/>
                <w:szCs w:val="21"/>
                <w:lang w:val="fr-FR" w:bidi="fr-FR"/>
              </w:rPr>
              <w:t>183</w:t>
            </w:r>
            <w:r>
              <w:rPr>
                <w:sz w:val="21"/>
                <w:szCs w:val="21"/>
                <w:lang w:val="fr-FR" w:bidi="fr-FR"/>
              </w:rPr>
              <w:t> </w:t>
            </w:r>
            <w:r w:rsidRPr="00E71F76">
              <w:rPr>
                <w:sz w:val="21"/>
                <w:szCs w:val="21"/>
                <w:lang w:val="fr-FR" w:bidi="fr-FR"/>
              </w:rPr>
              <w:t>512</w:t>
            </w:r>
          </w:p>
        </w:tc>
        <w:tc>
          <w:tcPr>
            <w:tcW w:w="1304" w:type="dxa"/>
            <w:tcBorders>
              <w:top w:val="nil"/>
              <w:left w:val="nil"/>
              <w:bottom w:val="single" w:sz="4" w:space="0" w:color="auto"/>
              <w:right w:val="single" w:sz="4" w:space="0" w:color="auto"/>
            </w:tcBorders>
            <w:shd w:val="clear" w:color="auto" w:fill="auto"/>
            <w:noWrap/>
            <w:vAlign w:val="center"/>
            <w:hideMark/>
          </w:tcPr>
          <w:p w14:paraId="7B10DDE3" w14:textId="77777777" w:rsidR="006B5F5C" w:rsidRPr="00E71F76" w:rsidRDefault="006B5F5C" w:rsidP="006E3590">
            <w:pPr>
              <w:jc w:val="right"/>
              <w:rPr>
                <w:sz w:val="21"/>
                <w:szCs w:val="21"/>
                <w:lang w:eastAsia="en-CA"/>
              </w:rPr>
            </w:pPr>
            <w:r w:rsidRPr="00E71F76">
              <w:rPr>
                <w:b/>
                <w:sz w:val="21"/>
                <w:szCs w:val="21"/>
                <w:lang w:val="fr-FR" w:bidi="fr-FR"/>
              </w:rPr>
              <w:t>3</w:t>
            </w:r>
            <w:r>
              <w:rPr>
                <w:b/>
                <w:sz w:val="21"/>
                <w:szCs w:val="21"/>
                <w:lang w:val="fr-FR" w:bidi="fr-FR"/>
              </w:rPr>
              <w:t> 644 </w:t>
            </w:r>
            <w:r w:rsidRPr="00E71F76">
              <w:rPr>
                <w:b/>
                <w:sz w:val="21"/>
                <w:szCs w:val="21"/>
                <w:lang w:val="fr-FR" w:bidi="fr-FR"/>
              </w:rPr>
              <w:t>494</w:t>
            </w:r>
          </w:p>
        </w:tc>
        <w:tc>
          <w:tcPr>
            <w:tcW w:w="1305" w:type="dxa"/>
            <w:tcBorders>
              <w:top w:val="nil"/>
              <w:left w:val="nil"/>
              <w:bottom w:val="single" w:sz="4" w:space="0" w:color="auto"/>
              <w:right w:val="single" w:sz="4" w:space="0" w:color="auto"/>
            </w:tcBorders>
            <w:shd w:val="clear" w:color="auto" w:fill="auto"/>
            <w:noWrap/>
            <w:vAlign w:val="center"/>
            <w:hideMark/>
          </w:tcPr>
          <w:p w14:paraId="511D59CE" w14:textId="77777777" w:rsidR="006B5F5C" w:rsidRPr="00E71F76" w:rsidRDefault="006B5F5C" w:rsidP="006E3590">
            <w:pPr>
              <w:jc w:val="right"/>
              <w:rPr>
                <w:sz w:val="21"/>
                <w:szCs w:val="21"/>
                <w:lang w:eastAsia="en-CA"/>
              </w:rPr>
            </w:pPr>
            <w:r w:rsidRPr="00E71F76">
              <w:rPr>
                <w:b/>
                <w:sz w:val="21"/>
                <w:szCs w:val="21"/>
                <w:lang w:val="fr-FR" w:bidi="fr-FR"/>
              </w:rPr>
              <w:t>577</w:t>
            </w:r>
            <w:r>
              <w:rPr>
                <w:b/>
                <w:sz w:val="21"/>
                <w:szCs w:val="21"/>
                <w:lang w:val="fr-FR" w:bidi="fr-FR"/>
              </w:rPr>
              <w:t> </w:t>
            </w:r>
            <w:r w:rsidRPr="00E71F76">
              <w:rPr>
                <w:b/>
                <w:sz w:val="21"/>
                <w:szCs w:val="21"/>
                <w:lang w:val="fr-FR" w:bidi="fr-FR"/>
              </w:rPr>
              <w:t>044</w:t>
            </w:r>
          </w:p>
        </w:tc>
      </w:tr>
      <w:tr w:rsidR="006B5F5C" w:rsidRPr="00E71F76" w14:paraId="04936709"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A54A94B" w14:textId="77777777" w:rsidR="006B5F5C" w:rsidRPr="00E71F76" w:rsidRDefault="006B5F5C" w:rsidP="006E3590">
            <w:pPr>
              <w:jc w:val="left"/>
              <w:rPr>
                <w:sz w:val="21"/>
                <w:szCs w:val="21"/>
                <w:lang w:eastAsia="en-CA"/>
              </w:rPr>
            </w:pPr>
            <w:r w:rsidRPr="00E71F76">
              <w:rPr>
                <w:sz w:val="21"/>
                <w:szCs w:val="21"/>
                <w:lang w:val="fr-FR" w:bidi="fr-FR"/>
              </w:rPr>
              <w:t>PGEH - phase</w:t>
            </w:r>
            <w:r>
              <w:rPr>
                <w:sz w:val="21"/>
                <w:szCs w:val="21"/>
                <w:lang w:val="fr-FR" w:bidi="fr-FR"/>
              </w:rPr>
              <w:t> </w:t>
            </w:r>
            <w:r w:rsidRPr="00E71F76">
              <w:rPr>
                <w:sz w:val="21"/>
                <w:szCs w:val="21"/>
                <w:lang w:val="fr-FR" w:bidi="fr-FR"/>
              </w:rPr>
              <w:t>III</w:t>
            </w:r>
          </w:p>
        </w:tc>
        <w:tc>
          <w:tcPr>
            <w:tcW w:w="1275" w:type="dxa"/>
            <w:tcBorders>
              <w:top w:val="nil"/>
              <w:left w:val="nil"/>
              <w:bottom w:val="single" w:sz="4" w:space="0" w:color="auto"/>
              <w:right w:val="single" w:sz="4" w:space="0" w:color="auto"/>
            </w:tcBorders>
            <w:shd w:val="clear" w:color="auto" w:fill="auto"/>
            <w:noWrap/>
            <w:vAlign w:val="center"/>
            <w:hideMark/>
          </w:tcPr>
          <w:p w14:paraId="5CEF82AD" w14:textId="77777777" w:rsidR="006B5F5C" w:rsidRPr="00E71F76" w:rsidRDefault="006B5F5C" w:rsidP="006E3590">
            <w:pPr>
              <w:jc w:val="right"/>
              <w:rPr>
                <w:sz w:val="21"/>
                <w:szCs w:val="21"/>
                <w:lang w:eastAsia="en-CA"/>
              </w:rPr>
            </w:pPr>
            <w:r w:rsidRPr="00E71F76">
              <w:rPr>
                <w:sz w:val="21"/>
                <w:szCs w:val="21"/>
                <w:lang w:val="fr-FR" w:bidi="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B751E48" w14:textId="77777777" w:rsidR="006B5F5C" w:rsidRPr="00E71F76" w:rsidRDefault="006B5F5C" w:rsidP="006E3590">
            <w:pPr>
              <w:jc w:val="right"/>
              <w:rPr>
                <w:sz w:val="21"/>
                <w:szCs w:val="21"/>
                <w:lang w:eastAsia="en-CA"/>
              </w:rPr>
            </w:pPr>
            <w:r w:rsidRPr="00E71F76">
              <w:rPr>
                <w:b/>
                <w:sz w:val="21"/>
                <w:szCs w:val="21"/>
                <w:lang w:val="fr-FR" w:bidi="fr-FR"/>
              </w:rPr>
              <w:t>422</w:t>
            </w:r>
            <w:r>
              <w:rPr>
                <w:b/>
                <w:sz w:val="21"/>
                <w:szCs w:val="21"/>
                <w:lang w:val="fr-FR" w:bidi="fr-FR"/>
              </w:rPr>
              <w:t> </w:t>
            </w:r>
            <w:r w:rsidRPr="00E71F76">
              <w:rPr>
                <w:b/>
                <w:sz w:val="21"/>
                <w:szCs w:val="21"/>
                <w:lang w:val="fr-FR" w:bidi="fr-FR"/>
              </w:rPr>
              <w:t>650</w:t>
            </w:r>
          </w:p>
        </w:tc>
        <w:tc>
          <w:tcPr>
            <w:tcW w:w="1219" w:type="dxa"/>
            <w:tcBorders>
              <w:top w:val="nil"/>
              <w:left w:val="nil"/>
              <w:bottom w:val="single" w:sz="4" w:space="0" w:color="auto"/>
              <w:right w:val="single" w:sz="4" w:space="0" w:color="auto"/>
            </w:tcBorders>
            <w:shd w:val="clear" w:color="auto" w:fill="auto"/>
            <w:noWrap/>
            <w:vAlign w:val="center"/>
            <w:hideMark/>
          </w:tcPr>
          <w:p w14:paraId="07179E88" w14:textId="77777777" w:rsidR="006B5F5C" w:rsidRPr="00E71F76" w:rsidRDefault="006B5F5C" w:rsidP="006E3590">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vAlign w:val="center"/>
            <w:hideMark/>
          </w:tcPr>
          <w:p w14:paraId="302969F3" w14:textId="77777777" w:rsidR="006B5F5C" w:rsidRPr="00E71F76" w:rsidRDefault="006B5F5C" w:rsidP="006E3590">
            <w:pPr>
              <w:jc w:val="right"/>
              <w:rPr>
                <w:sz w:val="21"/>
                <w:szCs w:val="21"/>
                <w:lang w:eastAsia="en-CA"/>
              </w:rPr>
            </w:pPr>
            <w:r w:rsidRPr="00E71F76">
              <w:rPr>
                <w:b/>
                <w:sz w:val="21"/>
                <w:szCs w:val="21"/>
                <w:lang w:val="fr-FR" w:bidi="fr-FR"/>
              </w:rPr>
              <w:t>422</w:t>
            </w:r>
            <w:r>
              <w:rPr>
                <w:b/>
                <w:sz w:val="21"/>
                <w:szCs w:val="21"/>
                <w:lang w:val="fr-FR" w:bidi="fr-FR"/>
              </w:rPr>
              <w:t> </w:t>
            </w:r>
            <w:r w:rsidRPr="00E71F76">
              <w:rPr>
                <w:b/>
                <w:sz w:val="21"/>
                <w:szCs w:val="21"/>
                <w:lang w:val="fr-FR" w:bidi="fr-FR"/>
              </w:rPr>
              <w:t>650</w:t>
            </w:r>
          </w:p>
        </w:tc>
        <w:tc>
          <w:tcPr>
            <w:tcW w:w="1305" w:type="dxa"/>
            <w:tcBorders>
              <w:top w:val="nil"/>
              <w:left w:val="nil"/>
              <w:bottom w:val="single" w:sz="4" w:space="0" w:color="auto"/>
              <w:right w:val="single" w:sz="4" w:space="0" w:color="auto"/>
            </w:tcBorders>
            <w:shd w:val="clear" w:color="auto" w:fill="auto"/>
            <w:noWrap/>
            <w:vAlign w:val="center"/>
            <w:hideMark/>
          </w:tcPr>
          <w:p w14:paraId="3FD25F00" w14:textId="77777777" w:rsidR="006B5F5C" w:rsidRPr="00E71F76" w:rsidRDefault="006B5F5C" w:rsidP="006E3590">
            <w:pPr>
              <w:jc w:val="right"/>
              <w:rPr>
                <w:sz w:val="21"/>
                <w:szCs w:val="21"/>
                <w:lang w:eastAsia="en-CA"/>
              </w:rPr>
            </w:pPr>
            <w:r w:rsidRPr="00E71F76">
              <w:rPr>
                <w:sz w:val="21"/>
                <w:szCs w:val="21"/>
                <w:lang w:val="fr-FR" w:bidi="fr-FR"/>
              </w:rPr>
              <w:t>0</w:t>
            </w:r>
          </w:p>
        </w:tc>
      </w:tr>
      <w:tr w:rsidR="006B5F5C" w:rsidRPr="00E71F76" w14:paraId="6E8101A8"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5E46431" w14:textId="77777777" w:rsidR="006B5F5C" w:rsidRPr="00E71F76" w:rsidRDefault="006B5F5C" w:rsidP="006E3590">
            <w:pPr>
              <w:jc w:val="left"/>
              <w:rPr>
                <w:sz w:val="21"/>
                <w:szCs w:val="21"/>
                <w:lang w:eastAsia="en-CA"/>
              </w:rPr>
            </w:pPr>
            <w:r w:rsidRPr="00E71F76">
              <w:rPr>
                <w:sz w:val="21"/>
                <w:szCs w:val="21"/>
                <w:lang w:val="fr-FR" w:bidi="fr-FR"/>
              </w:rPr>
              <w:lastRenderedPageBreak/>
              <w:t>Vérification du PGEH</w:t>
            </w:r>
          </w:p>
        </w:tc>
        <w:tc>
          <w:tcPr>
            <w:tcW w:w="1275" w:type="dxa"/>
            <w:tcBorders>
              <w:top w:val="nil"/>
              <w:left w:val="nil"/>
              <w:bottom w:val="single" w:sz="4" w:space="0" w:color="auto"/>
              <w:right w:val="single" w:sz="4" w:space="0" w:color="auto"/>
            </w:tcBorders>
            <w:shd w:val="clear" w:color="auto" w:fill="auto"/>
            <w:noWrap/>
            <w:vAlign w:val="center"/>
            <w:hideMark/>
          </w:tcPr>
          <w:p w14:paraId="45E46DD0" w14:textId="77777777" w:rsidR="006B5F5C" w:rsidRPr="00E71F76" w:rsidRDefault="006B5F5C" w:rsidP="006E3590">
            <w:pPr>
              <w:jc w:val="right"/>
              <w:rPr>
                <w:sz w:val="21"/>
                <w:szCs w:val="21"/>
                <w:lang w:eastAsia="en-CA"/>
              </w:rPr>
            </w:pPr>
            <w:r w:rsidRPr="00E71F76">
              <w:rPr>
                <w:sz w:val="21"/>
                <w:szCs w:val="21"/>
                <w:lang w:val="fr-FR" w:bidi="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559F60" w14:textId="77777777" w:rsidR="006B5F5C" w:rsidRPr="00E71F76" w:rsidRDefault="006B5F5C" w:rsidP="006E3590">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vAlign w:val="center"/>
            <w:hideMark/>
          </w:tcPr>
          <w:p w14:paraId="5AD00568" w14:textId="77777777" w:rsidR="006B5F5C" w:rsidRPr="00E71F76" w:rsidRDefault="006B5F5C" w:rsidP="006E3590">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vAlign w:val="center"/>
            <w:hideMark/>
          </w:tcPr>
          <w:p w14:paraId="796C5752" w14:textId="77777777" w:rsidR="006B5F5C" w:rsidRPr="00E71F76" w:rsidRDefault="006B5F5C" w:rsidP="006E3590">
            <w:pPr>
              <w:jc w:val="right"/>
              <w:rPr>
                <w:sz w:val="21"/>
                <w:szCs w:val="21"/>
                <w:lang w:eastAsia="en-CA"/>
              </w:rPr>
            </w:pPr>
            <w:r w:rsidRPr="00E71F76">
              <w:rPr>
                <w:sz w:val="21"/>
                <w:szCs w:val="21"/>
                <w:lang w:val="fr-FR" w:bidi="fr-FR"/>
              </w:rPr>
              <w:t>0</w:t>
            </w:r>
          </w:p>
        </w:tc>
        <w:tc>
          <w:tcPr>
            <w:tcW w:w="1305" w:type="dxa"/>
            <w:tcBorders>
              <w:top w:val="nil"/>
              <w:left w:val="nil"/>
              <w:bottom w:val="single" w:sz="4" w:space="0" w:color="auto"/>
              <w:right w:val="single" w:sz="4" w:space="0" w:color="auto"/>
            </w:tcBorders>
            <w:shd w:val="clear" w:color="auto" w:fill="auto"/>
            <w:noWrap/>
            <w:vAlign w:val="center"/>
            <w:hideMark/>
          </w:tcPr>
          <w:p w14:paraId="4C5EDE3F" w14:textId="77777777" w:rsidR="006B5F5C" w:rsidRPr="00E71F76" w:rsidRDefault="006B5F5C" w:rsidP="006E3590">
            <w:pPr>
              <w:jc w:val="right"/>
              <w:rPr>
                <w:sz w:val="21"/>
                <w:szCs w:val="21"/>
                <w:lang w:eastAsia="en-CA"/>
              </w:rPr>
            </w:pPr>
            <w:r w:rsidRPr="00E71F76">
              <w:rPr>
                <w:sz w:val="21"/>
                <w:szCs w:val="21"/>
                <w:lang w:val="fr-FR" w:bidi="fr-FR"/>
              </w:rPr>
              <w:t>0</w:t>
            </w:r>
          </w:p>
        </w:tc>
      </w:tr>
      <w:tr w:rsidR="006B5F5C" w:rsidRPr="00E71F76" w14:paraId="1FA3FB4A"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6298403" w14:textId="77777777" w:rsidR="006B5F5C" w:rsidRPr="00E23538" w:rsidRDefault="006B5F5C" w:rsidP="006E3590">
            <w:pPr>
              <w:jc w:val="left"/>
              <w:rPr>
                <w:b/>
                <w:bCs/>
                <w:sz w:val="21"/>
                <w:szCs w:val="21"/>
                <w:lang w:val="fr-FR" w:eastAsia="en-CA"/>
              </w:rPr>
            </w:pPr>
            <w:r w:rsidRPr="00E71F76">
              <w:rPr>
                <w:b/>
                <w:sz w:val="21"/>
                <w:szCs w:val="21"/>
                <w:lang w:val="fr-FR" w:bidi="fr-FR"/>
              </w:rPr>
              <w:t>Sous-total des activités liées aux HCFC</w:t>
            </w:r>
          </w:p>
        </w:tc>
        <w:tc>
          <w:tcPr>
            <w:tcW w:w="1275" w:type="dxa"/>
            <w:tcBorders>
              <w:top w:val="nil"/>
              <w:left w:val="nil"/>
              <w:bottom w:val="single" w:sz="4" w:space="0" w:color="auto"/>
              <w:right w:val="single" w:sz="4" w:space="0" w:color="auto"/>
            </w:tcBorders>
            <w:shd w:val="clear" w:color="auto" w:fill="auto"/>
            <w:noWrap/>
            <w:vAlign w:val="center"/>
            <w:hideMark/>
          </w:tcPr>
          <w:p w14:paraId="61BA5C33" w14:textId="77777777" w:rsidR="006B5F5C" w:rsidRPr="00E71F76" w:rsidRDefault="006B5F5C" w:rsidP="006E3590">
            <w:pPr>
              <w:jc w:val="right"/>
              <w:rPr>
                <w:b/>
                <w:bCs/>
                <w:sz w:val="21"/>
                <w:szCs w:val="21"/>
                <w:lang w:eastAsia="en-CA"/>
              </w:rPr>
            </w:pPr>
            <w:r w:rsidRPr="00E71F76">
              <w:rPr>
                <w:b/>
                <w:sz w:val="21"/>
                <w:szCs w:val="21"/>
                <w:lang w:val="fr-FR" w:bidi="fr-FR"/>
              </w:rPr>
              <w:t>2</w:t>
            </w:r>
            <w:r>
              <w:rPr>
                <w:b/>
                <w:sz w:val="21"/>
                <w:szCs w:val="21"/>
                <w:lang w:val="fr-FR" w:bidi="fr-FR"/>
              </w:rPr>
              <w:t> 307 </w:t>
            </w:r>
            <w:r w:rsidRPr="00E71F76">
              <w:rPr>
                <w:b/>
                <w:sz w:val="21"/>
                <w:szCs w:val="21"/>
                <w:lang w:val="fr-FR" w:bidi="fr-FR"/>
              </w:rPr>
              <w:t>607</w:t>
            </w:r>
          </w:p>
        </w:tc>
        <w:tc>
          <w:tcPr>
            <w:tcW w:w="1134" w:type="dxa"/>
            <w:tcBorders>
              <w:top w:val="nil"/>
              <w:left w:val="nil"/>
              <w:bottom w:val="single" w:sz="4" w:space="0" w:color="auto"/>
              <w:right w:val="single" w:sz="4" w:space="0" w:color="auto"/>
            </w:tcBorders>
            <w:shd w:val="clear" w:color="auto" w:fill="auto"/>
            <w:noWrap/>
            <w:vAlign w:val="center"/>
            <w:hideMark/>
          </w:tcPr>
          <w:p w14:paraId="45700D0F" w14:textId="77777777" w:rsidR="006B5F5C" w:rsidRPr="00E71F76" w:rsidRDefault="006B5F5C" w:rsidP="006E3590">
            <w:pPr>
              <w:jc w:val="right"/>
              <w:rPr>
                <w:b/>
                <w:bCs/>
                <w:sz w:val="21"/>
                <w:szCs w:val="21"/>
                <w:lang w:eastAsia="en-CA"/>
              </w:rPr>
            </w:pPr>
            <w:r w:rsidRPr="00E71F76">
              <w:rPr>
                <w:b/>
                <w:sz w:val="21"/>
                <w:szCs w:val="21"/>
                <w:lang w:val="fr-FR" w:bidi="fr-FR"/>
              </w:rPr>
              <w:t>1</w:t>
            </w:r>
            <w:r>
              <w:rPr>
                <w:b/>
                <w:sz w:val="21"/>
                <w:szCs w:val="21"/>
                <w:lang w:val="fr-FR" w:bidi="fr-FR"/>
              </w:rPr>
              <w:t> 576 </w:t>
            </w:r>
            <w:r w:rsidRPr="00E71F76">
              <w:rPr>
                <w:b/>
                <w:sz w:val="21"/>
                <w:szCs w:val="21"/>
                <w:lang w:val="fr-FR" w:bidi="fr-FR"/>
              </w:rPr>
              <w:t>025</w:t>
            </w:r>
          </w:p>
        </w:tc>
        <w:tc>
          <w:tcPr>
            <w:tcW w:w="1219" w:type="dxa"/>
            <w:tcBorders>
              <w:top w:val="nil"/>
              <w:left w:val="nil"/>
              <w:bottom w:val="single" w:sz="4" w:space="0" w:color="auto"/>
              <w:right w:val="single" w:sz="4" w:space="0" w:color="auto"/>
            </w:tcBorders>
            <w:shd w:val="clear" w:color="auto" w:fill="auto"/>
            <w:noWrap/>
            <w:vAlign w:val="center"/>
            <w:hideMark/>
          </w:tcPr>
          <w:p w14:paraId="76B1CDF0" w14:textId="77777777" w:rsidR="006B5F5C" w:rsidRPr="00E71F76" w:rsidRDefault="006B5F5C" w:rsidP="006E3590">
            <w:pPr>
              <w:jc w:val="right"/>
              <w:rPr>
                <w:b/>
                <w:bCs/>
                <w:sz w:val="21"/>
                <w:szCs w:val="21"/>
                <w:lang w:eastAsia="en-CA"/>
              </w:rPr>
            </w:pPr>
            <w:r w:rsidRPr="00E71F76">
              <w:rPr>
                <w:b/>
                <w:sz w:val="21"/>
                <w:szCs w:val="21"/>
                <w:lang w:val="fr-FR" w:bidi="fr-FR"/>
              </w:rPr>
              <w:t>183</w:t>
            </w:r>
            <w:r>
              <w:rPr>
                <w:b/>
                <w:sz w:val="21"/>
                <w:szCs w:val="21"/>
                <w:lang w:val="fr-FR" w:bidi="fr-FR"/>
              </w:rPr>
              <w:t> </w:t>
            </w:r>
            <w:r w:rsidRPr="00E71F76">
              <w:rPr>
                <w:b/>
                <w:sz w:val="21"/>
                <w:szCs w:val="21"/>
                <w:lang w:val="fr-FR" w:bidi="fr-FR"/>
              </w:rPr>
              <w:t>512</w:t>
            </w:r>
          </w:p>
        </w:tc>
        <w:tc>
          <w:tcPr>
            <w:tcW w:w="1304" w:type="dxa"/>
            <w:tcBorders>
              <w:top w:val="nil"/>
              <w:left w:val="nil"/>
              <w:bottom w:val="single" w:sz="4" w:space="0" w:color="auto"/>
              <w:right w:val="single" w:sz="4" w:space="0" w:color="auto"/>
            </w:tcBorders>
            <w:shd w:val="clear" w:color="auto" w:fill="auto"/>
            <w:noWrap/>
            <w:vAlign w:val="center"/>
            <w:hideMark/>
          </w:tcPr>
          <w:p w14:paraId="1E367A0F" w14:textId="77777777" w:rsidR="006B5F5C" w:rsidRPr="00E71F76" w:rsidRDefault="006B5F5C" w:rsidP="006E3590">
            <w:pPr>
              <w:jc w:val="right"/>
              <w:rPr>
                <w:b/>
                <w:bCs/>
                <w:sz w:val="21"/>
                <w:szCs w:val="21"/>
                <w:lang w:eastAsia="en-CA"/>
              </w:rPr>
            </w:pPr>
            <w:r w:rsidRPr="00E71F76">
              <w:rPr>
                <w:b/>
                <w:sz w:val="21"/>
                <w:szCs w:val="21"/>
                <w:lang w:val="fr-FR" w:bidi="fr-FR"/>
              </w:rPr>
              <w:t>4</w:t>
            </w:r>
            <w:r>
              <w:rPr>
                <w:b/>
                <w:sz w:val="21"/>
                <w:szCs w:val="21"/>
                <w:lang w:val="fr-FR" w:bidi="fr-FR"/>
              </w:rPr>
              <w:t> 067 </w:t>
            </w:r>
            <w:r w:rsidRPr="00E71F76">
              <w:rPr>
                <w:b/>
                <w:sz w:val="21"/>
                <w:szCs w:val="21"/>
                <w:lang w:val="fr-FR" w:bidi="fr-FR"/>
              </w:rPr>
              <w:t>144</w:t>
            </w:r>
          </w:p>
        </w:tc>
        <w:tc>
          <w:tcPr>
            <w:tcW w:w="1305" w:type="dxa"/>
            <w:tcBorders>
              <w:top w:val="nil"/>
              <w:left w:val="nil"/>
              <w:bottom w:val="single" w:sz="4" w:space="0" w:color="auto"/>
              <w:right w:val="single" w:sz="4" w:space="0" w:color="auto"/>
            </w:tcBorders>
            <w:shd w:val="clear" w:color="auto" w:fill="auto"/>
            <w:noWrap/>
            <w:vAlign w:val="center"/>
            <w:hideMark/>
          </w:tcPr>
          <w:p w14:paraId="2AF54D52" w14:textId="77777777" w:rsidR="006B5F5C" w:rsidRPr="00E71F76" w:rsidRDefault="006B5F5C" w:rsidP="006E3590">
            <w:pPr>
              <w:jc w:val="right"/>
              <w:rPr>
                <w:b/>
                <w:bCs/>
                <w:sz w:val="21"/>
                <w:szCs w:val="21"/>
                <w:lang w:eastAsia="en-CA"/>
              </w:rPr>
            </w:pPr>
            <w:r w:rsidRPr="00E71F76">
              <w:rPr>
                <w:b/>
                <w:sz w:val="21"/>
                <w:szCs w:val="21"/>
                <w:lang w:val="fr-FR" w:bidi="fr-FR"/>
              </w:rPr>
              <w:t>577</w:t>
            </w:r>
            <w:r>
              <w:rPr>
                <w:b/>
                <w:sz w:val="21"/>
                <w:szCs w:val="21"/>
                <w:lang w:val="fr-FR" w:bidi="fr-FR"/>
              </w:rPr>
              <w:t> </w:t>
            </w:r>
            <w:r w:rsidRPr="00E71F76">
              <w:rPr>
                <w:b/>
                <w:sz w:val="21"/>
                <w:szCs w:val="21"/>
                <w:lang w:val="fr-FR" w:bidi="fr-FR"/>
              </w:rPr>
              <w:t>044</w:t>
            </w:r>
          </w:p>
        </w:tc>
      </w:tr>
      <w:tr w:rsidR="006B5F5C" w:rsidRPr="00E71F76" w14:paraId="278AD2F1" w14:textId="77777777" w:rsidTr="006E3590">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BF7B5" w14:textId="77777777" w:rsidR="006B5F5C" w:rsidRPr="00E71F76" w:rsidRDefault="006B5F5C" w:rsidP="006E3590">
            <w:pPr>
              <w:jc w:val="left"/>
              <w:rPr>
                <w:b/>
                <w:bCs/>
                <w:sz w:val="21"/>
                <w:szCs w:val="21"/>
                <w:lang w:eastAsia="en-CA"/>
              </w:rPr>
            </w:pPr>
            <w:r w:rsidRPr="00E71F76">
              <w:rPr>
                <w:b/>
                <w:sz w:val="21"/>
                <w:szCs w:val="21"/>
                <w:lang w:val="fr-FR" w:bidi="fr-FR"/>
              </w:rPr>
              <w:t>Activités relatives aux HFC </w:t>
            </w:r>
          </w:p>
        </w:tc>
      </w:tr>
      <w:tr w:rsidR="006B5F5C" w:rsidRPr="00E71F76" w14:paraId="4D24C7EF"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3CB2884" w14:textId="77777777" w:rsidR="006B5F5C" w:rsidRPr="00E71F76" w:rsidRDefault="006B5F5C" w:rsidP="006E3590">
            <w:pPr>
              <w:jc w:val="left"/>
              <w:rPr>
                <w:sz w:val="21"/>
                <w:szCs w:val="21"/>
                <w:lang w:eastAsia="en-CA"/>
              </w:rPr>
            </w:pPr>
            <w:r w:rsidRPr="00E71F76">
              <w:rPr>
                <w:sz w:val="21"/>
                <w:szCs w:val="21"/>
                <w:lang w:val="fr-FR" w:bidi="fr-FR"/>
              </w:rPr>
              <w:t>KIP — PRP</w:t>
            </w:r>
          </w:p>
        </w:tc>
        <w:tc>
          <w:tcPr>
            <w:tcW w:w="1275" w:type="dxa"/>
            <w:tcBorders>
              <w:top w:val="nil"/>
              <w:left w:val="nil"/>
              <w:bottom w:val="single" w:sz="4" w:space="0" w:color="auto"/>
              <w:right w:val="single" w:sz="4" w:space="0" w:color="auto"/>
            </w:tcBorders>
            <w:shd w:val="clear" w:color="auto" w:fill="auto"/>
            <w:noWrap/>
            <w:vAlign w:val="center"/>
            <w:hideMark/>
          </w:tcPr>
          <w:p w14:paraId="73DE15EF" w14:textId="77777777" w:rsidR="006B5F5C" w:rsidRPr="00E71F76" w:rsidRDefault="006B5F5C" w:rsidP="006E3590">
            <w:pPr>
              <w:jc w:val="right"/>
              <w:rPr>
                <w:sz w:val="21"/>
                <w:szCs w:val="21"/>
                <w:lang w:eastAsia="en-CA"/>
              </w:rPr>
            </w:pPr>
            <w:r w:rsidRPr="00E71F76">
              <w:rPr>
                <w:b/>
                <w:sz w:val="21"/>
                <w:szCs w:val="21"/>
                <w:lang w:val="fr-FR" w:bidi="fr-FR"/>
              </w:rPr>
              <w:t>85</w:t>
            </w:r>
            <w:r>
              <w:rPr>
                <w:b/>
                <w:sz w:val="21"/>
                <w:szCs w:val="21"/>
                <w:lang w:val="fr-FR" w:bidi="fr-FR"/>
              </w:rPr>
              <w:t> </w:t>
            </w:r>
            <w:r w:rsidRPr="00E71F76">
              <w:rPr>
                <w:b/>
                <w:sz w:val="21"/>
                <w:szCs w:val="21"/>
                <w:lang w:val="fr-FR" w:bidi="fr-FR"/>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9FC64B1" w14:textId="77777777" w:rsidR="006B5F5C" w:rsidRPr="00E71F76" w:rsidRDefault="006B5F5C" w:rsidP="006E3590">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vAlign w:val="center"/>
            <w:hideMark/>
          </w:tcPr>
          <w:p w14:paraId="52AF9F4F" w14:textId="77777777" w:rsidR="006B5F5C" w:rsidRPr="00E71F76" w:rsidRDefault="006B5F5C" w:rsidP="006E3590">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vAlign w:val="center"/>
            <w:hideMark/>
          </w:tcPr>
          <w:p w14:paraId="367F7EB4" w14:textId="77777777" w:rsidR="006B5F5C" w:rsidRPr="00E71F76" w:rsidRDefault="006B5F5C" w:rsidP="006E3590">
            <w:pPr>
              <w:jc w:val="right"/>
              <w:rPr>
                <w:sz w:val="21"/>
                <w:szCs w:val="21"/>
                <w:lang w:eastAsia="en-CA"/>
              </w:rPr>
            </w:pPr>
            <w:r w:rsidRPr="00E71F76">
              <w:rPr>
                <w:b/>
                <w:sz w:val="21"/>
                <w:szCs w:val="21"/>
                <w:lang w:val="fr-FR" w:bidi="fr-FR"/>
              </w:rPr>
              <w:t>85</w:t>
            </w:r>
            <w:r>
              <w:rPr>
                <w:b/>
                <w:sz w:val="21"/>
                <w:szCs w:val="21"/>
                <w:lang w:val="fr-FR" w:bidi="fr-FR"/>
              </w:rPr>
              <w:t> </w:t>
            </w:r>
            <w:r w:rsidRPr="00E71F76">
              <w:rPr>
                <w:b/>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vAlign w:val="center"/>
            <w:hideMark/>
          </w:tcPr>
          <w:p w14:paraId="542C9389" w14:textId="77777777" w:rsidR="006B5F5C" w:rsidRPr="00E71F76" w:rsidRDefault="006B5F5C" w:rsidP="006E3590">
            <w:pPr>
              <w:jc w:val="right"/>
              <w:rPr>
                <w:sz w:val="21"/>
                <w:szCs w:val="21"/>
                <w:lang w:eastAsia="en-CA"/>
              </w:rPr>
            </w:pPr>
            <w:r w:rsidRPr="00E71F76">
              <w:rPr>
                <w:sz w:val="21"/>
                <w:szCs w:val="21"/>
                <w:lang w:val="fr-FR" w:bidi="fr-FR"/>
              </w:rPr>
              <w:t>0</w:t>
            </w:r>
          </w:p>
        </w:tc>
      </w:tr>
      <w:tr w:rsidR="006B5F5C" w:rsidRPr="00E71F76" w14:paraId="2E4FB1E5"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716FB83" w14:textId="77777777" w:rsidR="006B5F5C" w:rsidRPr="00E71F76" w:rsidRDefault="006B5F5C" w:rsidP="006E3590">
            <w:pPr>
              <w:jc w:val="left"/>
              <w:rPr>
                <w:sz w:val="21"/>
                <w:szCs w:val="21"/>
                <w:lang w:eastAsia="en-CA"/>
              </w:rPr>
            </w:pPr>
            <w:r w:rsidRPr="00E71F76">
              <w:rPr>
                <w:sz w:val="21"/>
                <w:szCs w:val="21"/>
                <w:lang w:val="fr-FR" w:bidi="fr-FR"/>
              </w:rPr>
              <w:t>KIP</w:t>
            </w:r>
          </w:p>
        </w:tc>
        <w:tc>
          <w:tcPr>
            <w:tcW w:w="1275" w:type="dxa"/>
            <w:tcBorders>
              <w:top w:val="nil"/>
              <w:left w:val="nil"/>
              <w:bottom w:val="single" w:sz="4" w:space="0" w:color="auto"/>
              <w:right w:val="single" w:sz="4" w:space="0" w:color="auto"/>
            </w:tcBorders>
            <w:shd w:val="clear" w:color="auto" w:fill="auto"/>
            <w:noWrap/>
            <w:vAlign w:val="center"/>
            <w:hideMark/>
          </w:tcPr>
          <w:p w14:paraId="67BB8257" w14:textId="77777777" w:rsidR="006B5F5C" w:rsidRPr="00E71F76" w:rsidRDefault="006B5F5C" w:rsidP="006E3590">
            <w:pPr>
              <w:jc w:val="right"/>
              <w:rPr>
                <w:sz w:val="21"/>
                <w:szCs w:val="21"/>
                <w:lang w:eastAsia="en-CA"/>
              </w:rPr>
            </w:pPr>
            <w:r w:rsidRPr="00E71F76">
              <w:rPr>
                <w:sz w:val="21"/>
                <w:szCs w:val="21"/>
                <w:lang w:val="fr-FR" w:bidi="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F8434D3" w14:textId="77777777" w:rsidR="006B5F5C" w:rsidRPr="00E71F76" w:rsidRDefault="006B5F5C" w:rsidP="006E3590">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vAlign w:val="center"/>
            <w:hideMark/>
          </w:tcPr>
          <w:p w14:paraId="2DEB47BD" w14:textId="77777777" w:rsidR="006B5F5C" w:rsidRPr="00E71F76" w:rsidRDefault="006B5F5C" w:rsidP="006E3590">
            <w:pPr>
              <w:jc w:val="right"/>
              <w:rPr>
                <w:sz w:val="21"/>
                <w:szCs w:val="21"/>
                <w:lang w:eastAsia="en-CA"/>
              </w:rPr>
            </w:pPr>
            <w:r w:rsidRPr="00E71F76">
              <w:rPr>
                <w:b/>
                <w:sz w:val="21"/>
                <w:szCs w:val="21"/>
                <w:lang w:val="fr-FR" w:bidi="fr-FR"/>
              </w:rPr>
              <w:t>300</w:t>
            </w:r>
            <w:r>
              <w:rPr>
                <w:b/>
                <w:sz w:val="21"/>
                <w:szCs w:val="21"/>
                <w:lang w:val="fr-FR" w:bidi="fr-FR"/>
              </w:rPr>
              <w:t> </w:t>
            </w:r>
            <w:r w:rsidRPr="00E71F76">
              <w:rPr>
                <w:b/>
                <w:sz w:val="21"/>
                <w:szCs w:val="21"/>
                <w:lang w:val="fr-FR" w:bidi="fr-FR"/>
              </w:rPr>
              <w:t>000</w:t>
            </w:r>
          </w:p>
        </w:tc>
        <w:tc>
          <w:tcPr>
            <w:tcW w:w="1304" w:type="dxa"/>
            <w:tcBorders>
              <w:top w:val="nil"/>
              <w:left w:val="nil"/>
              <w:bottom w:val="single" w:sz="4" w:space="0" w:color="auto"/>
              <w:right w:val="single" w:sz="4" w:space="0" w:color="auto"/>
            </w:tcBorders>
            <w:shd w:val="clear" w:color="auto" w:fill="auto"/>
            <w:noWrap/>
            <w:vAlign w:val="center"/>
            <w:hideMark/>
          </w:tcPr>
          <w:p w14:paraId="362BE345" w14:textId="77777777" w:rsidR="006B5F5C" w:rsidRPr="00E71F76" w:rsidRDefault="006B5F5C" w:rsidP="006E3590">
            <w:pPr>
              <w:jc w:val="right"/>
              <w:rPr>
                <w:sz w:val="21"/>
                <w:szCs w:val="21"/>
                <w:lang w:eastAsia="en-CA"/>
              </w:rPr>
            </w:pPr>
            <w:r w:rsidRPr="00E71F76">
              <w:rPr>
                <w:b/>
                <w:sz w:val="21"/>
                <w:szCs w:val="21"/>
                <w:lang w:val="fr-FR" w:bidi="fr-FR"/>
              </w:rPr>
              <w:t>300</w:t>
            </w:r>
            <w:r>
              <w:rPr>
                <w:b/>
                <w:sz w:val="21"/>
                <w:szCs w:val="21"/>
                <w:lang w:val="fr-FR" w:bidi="fr-FR"/>
              </w:rPr>
              <w:t> </w:t>
            </w:r>
            <w:r w:rsidRPr="00E71F76">
              <w:rPr>
                <w:b/>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vAlign w:val="center"/>
            <w:hideMark/>
          </w:tcPr>
          <w:p w14:paraId="4CBA9E17" w14:textId="77777777" w:rsidR="006B5F5C" w:rsidRPr="00E71F76" w:rsidRDefault="006B5F5C" w:rsidP="006E3590">
            <w:pPr>
              <w:jc w:val="right"/>
              <w:rPr>
                <w:sz w:val="21"/>
                <w:szCs w:val="21"/>
                <w:lang w:eastAsia="en-CA"/>
              </w:rPr>
            </w:pPr>
            <w:r w:rsidRPr="00E71F76">
              <w:rPr>
                <w:sz w:val="21"/>
                <w:szCs w:val="21"/>
                <w:lang w:val="fr-FR" w:bidi="fr-FR"/>
              </w:rPr>
              <w:t>0</w:t>
            </w:r>
          </w:p>
        </w:tc>
      </w:tr>
      <w:tr w:rsidR="006B5F5C" w:rsidRPr="00E71F76" w14:paraId="2D3E45A2"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2687A5A" w14:textId="77777777" w:rsidR="006B5F5C" w:rsidRPr="00E23538" w:rsidRDefault="006B5F5C" w:rsidP="006E3590">
            <w:pPr>
              <w:jc w:val="left"/>
              <w:rPr>
                <w:b/>
                <w:bCs/>
                <w:sz w:val="21"/>
                <w:szCs w:val="21"/>
                <w:lang w:val="fr-FR" w:eastAsia="en-CA"/>
              </w:rPr>
            </w:pPr>
            <w:r w:rsidRPr="00E71F76">
              <w:rPr>
                <w:b/>
                <w:sz w:val="21"/>
                <w:szCs w:val="21"/>
                <w:lang w:val="fr-FR" w:bidi="fr-FR"/>
              </w:rPr>
              <w:t>Sous-total des activités relatives aux HFC</w:t>
            </w:r>
          </w:p>
        </w:tc>
        <w:tc>
          <w:tcPr>
            <w:tcW w:w="1275" w:type="dxa"/>
            <w:tcBorders>
              <w:top w:val="nil"/>
              <w:left w:val="nil"/>
              <w:bottom w:val="single" w:sz="4" w:space="0" w:color="auto"/>
              <w:right w:val="single" w:sz="4" w:space="0" w:color="auto"/>
            </w:tcBorders>
            <w:shd w:val="clear" w:color="auto" w:fill="auto"/>
            <w:noWrap/>
            <w:vAlign w:val="center"/>
            <w:hideMark/>
          </w:tcPr>
          <w:p w14:paraId="3D2AB892" w14:textId="77777777" w:rsidR="006B5F5C" w:rsidRPr="00E71F76" w:rsidRDefault="006B5F5C" w:rsidP="006E3590">
            <w:pPr>
              <w:jc w:val="right"/>
              <w:rPr>
                <w:b/>
                <w:bCs/>
                <w:sz w:val="21"/>
                <w:szCs w:val="21"/>
                <w:lang w:eastAsia="en-CA"/>
              </w:rPr>
            </w:pPr>
            <w:r w:rsidRPr="00E71F76">
              <w:rPr>
                <w:b/>
                <w:sz w:val="21"/>
                <w:szCs w:val="21"/>
                <w:lang w:val="fr-FR" w:bidi="fr-FR"/>
              </w:rPr>
              <w:t>85</w:t>
            </w:r>
            <w:r>
              <w:rPr>
                <w:b/>
                <w:sz w:val="21"/>
                <w:szCs w:val="21"/>
                <w:lang w:val="fr-FR" w:bidi="fr-FR"/>
              </w:rPr>
              <w:t> </w:t>
            </w:r>
            <w:r w:rsidRPr="00E71F76">
              <w:rPr>
                <w:b/>
                <w:sz w:val="21"/>
                <w:szCs w:val="21"/>
                <w:lang w:val="fr-FR" w:bidi="fr-FR"/>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AF785C4"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vAlign w:val="center"/>
            <w:hideMark/>
          </w:tcPr>
          <w:p w14:paraId="74D38A0A" w14:textId="77777777" w:rsidR="006B5F5C" w:rsidRPr="00E71F76" w:rsidRDefault="006B5F5C" w:rsidP="006E3590">
            <w:pPr>
              <w:jc w:val="right"/>
              <w:rPr>
                <w:b/>
                <w:bCs/>
                <w:sz w:val="21"/>
                <w:szCs w:val="21"/>
                <w:lang w:eastAsia="en-CA"/>
              </w:rPr>
            </w:pPr>
            <w:r w:rsidRPr="00E71F76">
              <w:rPr>
                <w:b/>
                <w:sz w:val="21"/>
                <w:szCs w:val="21"/>
                <w:lang w:val="fr-FR" w:bidi="fr-FR"/>
              </w:rPr>
              <w:t>300</w:t>
            </w:r>
            <w:r>
              <w:rPr>
                <w:b/>
                <w:sz w:val="21"/>
                <w:szCs w:val="21"/>
                <w:lang w:val="fr-FR" w:bidi="fr-FR"/>
              </w:rPr>
              <w:t> </w:t>
            </w:r>
            <w:r w:rsidRPr="00E71F76">
              <w:rPr>
                <w:b/>
                <w:sz w:val="21"/>
                <w:szCs w:val="21"/>
                <w:lang w:val="fr-FR" w:bidi="fr-FR"/>
              </w:rPr>
              <w:t>000</w:t>
            </w:r>
          </w:p>
        </w:tc>
        <w:tc>
          <w:tcPr>
            <w:tcW w:w="1304" w:type="dxa"/>
            <w:tcBorders>
              <w:top w:val="nil"/>
              <w:left w:val="nil"/>
              <w:bottom w:val="single" w:sz="4" w:space="0" w:color="auto"/>
              <w:right w:val="single" w:sz="4" w:space="0" w:color="auto"/>
            </w:tcBorders>
            <w:shd w:val="clear" w:color="auto" w:fill="auto"/>
            <w:noWrap/>
            <w:vAlign w:val="center"/>
            <w:hideMark/>
          </w:tcPr>
          <w:p w14:paraId="726399AA" w14:textId="77777777" w:rsidR="006B5F5C" w:rsidRPr="00E71F76" w:rsidRDefault="006B5F5C" w:rsidP="006E3590">
            <w:pPr>
              <w:jc w:val="right"/>
              <w:rPr>
                <w:b/>
                <w:bCs/>
                <w:sz w:val="21"/>
                <w:szCs w:val="21"/>
                <w:lang w:eastAsia="en-CA"/>
              </w:rPr>
            </w:pPr>
            <w:r w:rsidRPr="00E71F76">
              <w:rPr>
                <w:b/>
                <w:sz w:val="21"/>
                <w:szCs w:val="21"/>
                <w:lang w:val="fr-FR" w:bidi="fr-FR"/>
              </w:rPr>
              <w:t>385</w:t>
            </w:r>
            <w:r>
              <w:rPr>
                <w:b/>
                <w:sz w:val="21"/>
                <w:szCs w:val="21"/>
                <w:lang w:val="fr-FR" w:bidi="fr-FR"/>
              </w:rPr>
              <w:t> </w:t>
            </w:r>
            <w:r w:rsidRPr="00E71F76">
              <w:rPr>
                <w:b/>
                <w:sz w:val="21"/>
                <w:szCs w:val="21"/>
                <w:lang w:val="fr-FR" w:bidi="fr-FR"/>
              </w:rPr>
              <w:t>000</w:t>
            </w:r>
          </w:p>
        </w:tc>
        <w:tc>
          <w:tcPr>
            <w:tcW w:w="1305" w:type="dxa"/>
            <w:tcBorders>
              <w:top w:val="nil"/>
              <w:left w:val="nil"/>
              <w:bottom w:val="single" w:sz="4" w:space="0" w:color="auto"/>
              <w:right w:val="single" w:sz="4" w:space="0" w:color="auto"/>
            </w:tcBorders>
            <w:shd w:val="clear" w:color="auto" w:fill="auto"/>
            <w:noWrap/>
            <w:vAlign w:val="center"/>
            <w:hideMark/>
          </w:tcPr>
          <w:p w14:paraId="720B0EA8" w14:textId="77777777" w:rsidR="006B5F5C" w:rsidRPr="00E71F76" w:rsidRDefault="006B5F5C" w:rsidP="006E3590">
            <w:pPr>
              <w:jc w:val="right"/>
              <w:rPr>
                <w:b/>
                <w:bCs/>
                <w:sz w:val="21"/>
                <w:szCs w:val="21"/>
                <w:lang w:eastAsia="en-CA"/>
              </w:rPr>
            </w:pPr>
            <w:r w:rsidRPr="00E71F76">
              <w:rPr>
                <w:b/>
                <w:sz w:val="21"/>
                <w:szCs w:val="21"/>
                <w:lang w:val="fr-FR" w:bidi="fr-FR"/>
              </w:rPr>
              <w:t>0</w:t>
            </w:r>
          </w:p>
        </w:tc>
      </w:tr>
      <w:tr w:rsidR="006B5F5C" w:rsidRPr="00E71F76" w14:paraId="4F684D1D"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9022268" w14:textId="77777777" w:rsidR="006B5F5C" w:rsidRPr="00E71F76" w:rsidRDefault="006B5F5C" w:rsidP="006E3590">
            <w:pPr>
              <w:jc w:val="left"/>
              <w:rPr>
                <w:b/>
                <w:bCs/>
                <w:sz w:val="21"/>
                <w:szCs w:val="21"/>
                <w:lang w:eastAsia="en-CA"/>
              </w:rPr>
            </w:pPr>
            <w:r w:rsidRPr="00E71F76">
              <w:rPr>
                <w:b/>
                <w:sz w:val="21"/>
                <w:szCs w:val="21"/>
                <w:lang w:val="fr-FR" w:bidi="fr-FR"/>
              </w:rPr>
              <w:t>Activités standard</w:t>
            </w:r>
          </w:p>
        </w:tc>
        <w:tc>
          <w:tcPr>
            <w:tcW w:w="1275" w:type="dxa"/>
            <w:tcBorders>
              <w:top w:val="nil"/>
              <w:left w:val="nil"/>
              <w:bottom w:val="single" w:sz="4" w:space="0" w:color="auto"/>
              <w:right w:val="single" w:sz="4" w:space="0" w:color="auto"/>
            </w:tcBorders>
            <w:shd w:val="clear" w:color="auto" w:fill="auto"/>
            <w:noWrap/>
            <w:vAlign w:val="bottom"/>
            <w:hideMark/>
          </w:tcPr>
          <w:p w14:paraId="71EEBF5A" w14:textId="77777777" w:rsidR="006B5F5C" w:rsidRPr="00E71F76" w:rsidRDefault="006B5F5C" w:rsidP="006E3590">
            <w:pPr>
              <w:jc w:val="left"/>
              <w:rPr>
                <w:sz w:val="21"/>
                <w:szCs w:val="21"/>
                <w:lang w:eastAsia="en-CA"/>
              </w:rPr>
            </w:pPr>
            <w:r w:rsidRPr="00E71F76">
              <w:rPr>
                <w:sz w:val="21"/>
                <w:szCs w:val="21"/>
                <w:lang w:val="fr-FR" w:bidi="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2FDC26" w14:textId="77777777" w:rsidR="006B5F5C" w:rsidRPr="00E71F76" w:rsidRDefault="006B5F5C" w:rsidP="006E3590">
            <w:pPr>
              <w:jc w:val="left"/>
              <w:rPr>
                <w:sz w:val="21"/>
                <w:szCs w:val="21"/>
                <w:lang w:eastAsia="en-CA"/>
              </w:rPr>
            </w:pPr>
            <w:r w:rsidRPr="00E71F76">
              <w:rPr>
                <w:sz w:val="21"/>
                <w:szCs w:val="21"/>
                <w:lang w:val="fr-FR" w:bidi="fr-FR"/>
              </w:rPr>
              <w:t> </w:t>
            </w:r>
          </w:p>
        </w:tc>
        <w:tc>
          <w:tcPr>
            <w:tcW w:w="1219" w:type="dxa"/>
            <w:tcBorders>
              <w:top w:val="nil"/>
              <w:left w:val="nil"/>
              <w:bottom w:val="single" w:sz="4" w:space="0" w:color="auto"/>
              <w:right w:val="single" w:sz="4" w:space="0" w:color="auto"/>
            </w:tcBorders>
            <w:shd w:val="clear" w:color="auto" w:fill="auto"/>
            <w:noWrap/>
            <w:vAlign w:val="bottom"/>
            <w:hideMark/>
          </w:tcPr>
          <w:p w14:paraId="1A1D92C5" w14:textId="77777777" w:rsidR="006B5F5C" w:rsidRPr="00E71F76" w:rsidRDefault="006B5F5C" w:rsidP="006E3590">
            <w:pPr>
              <w:jc w:val="left"/>
              <w:rPr>
                <w:sz w:val="21"/>
                <w:szCs w:val="21"/>
                <w:lang w:eastAsia="en-CA"/>
              </w:rPr>
            </w:pPr>
            <w:r w:rsidRPr="00E71F76">
              <w:rPr>
                <w:sz w:val="21"/>
                <w:szCs w:val="21"/>
                <w:lang w:val="fr-FR" w:bidi="fr-FR"/>
              </w:rPr>
              <w:t> </w:t>
            </w:r>
          </w:p>
        </w:tc>
        <w:tc>
          <w:tcPr>
            <w:tcW w:w="1304" w:type="dxa"/>
            <w:tcBorders>
              <w:top w:val="nil"/>
              <w:left w:val="nil"/>
              <w:bottom w:val="single" w:sz="4" w:space="0" w:color="auto"/>
              <w:right w:val="single" w:sz="4" w:space="0" w:color="auto"/>
            </w:tcBorders>
            <w:shd w:val="clear" w:color="auto" w:fill="auto"/>
            <w:noWrap/>
            <w:vAlign w:val="bottom"/>
            <w:hideMark/>
          </w:tcPr>
          <w:p w14:paraId="7B9457DE" w14:textId="77777777" w:rsidR="006B5F5C" w:rsidRPr="00E71F76" w:rsidRDefault="006B5F5C" w:rsidP="006E3590">
            <w:pPr>
              <w:jc w:val="left"/>
              <w:rPr>
                <w:sz w:val="21"/>
                <w:szCs w:val="21"/>
                <w:lang w:eastAsia="en-CA"/>
              </w:rPr>
            </w:pPr>
            <w:r w:rsidRPr="00E71F76">
              <w:rPr>
                <w:sz w:val="21"/>
                <w:szCs w:val="21"/>
                <w:lang w:val="fr-FR" w:bidi="fr-FR"/>
              </w:rPr>
              <w:t> </w:t>
            </w:r>
          </w:p>
        </w:tc>
        <w:tc>
          <w:tcPr>
            <w:tcW w:w="1305" w:type="dxa"/>
            <w:tcBorders>
              <w:top w:val="nil"/>
              <w:left w:val="nil"/>
              <w:bottom w:val="single" w:sz="4" w:space="0" w:color="auto"/>
              <w:right w:val="single" w:sz="4" w:space="0" w:color="auto"/>
            </w:tcBorders>
            <w:shd w:val="clear" w:color="auto" w:fill="auto"/>
            <w:noWrap/>
            <w:vAlign w:val="bottom"/>
            <w:hideMark/>
          </w:tcPr>
          <w:p w14:paraId="04FBEAB8" w14:textId="77777777" w:rsidR="006B5F5C" w:rsidRPr="00E71F76" w:rsidRDefault="006B5F5C" w:rsidP="006E3590">
            <w:pPr>
              <w:jc w:val="left"/>
              <w:rPr>
                <w:sz w:val="21"/>
                <w:szCs w:val="21"/>
                <w:lang w:eastAsia="en-CA"/>
              </w:rPr>
            </w:pPr>
            <w:r w:rsidRPr="00E71F76">
              <w:rPr>
                <w:sz w:val="21"/>
                <w:szCs w:val="21"/>
                <w:lang w:val="fr-FR" w:bidi="fr-FR"/>
              </w:rPr>
              <w:t> </w:t>
            </w:r>
          </w:p>
        </w:tc>
      </w:tr>
      <w:tr w:rsidR="006B5F5C" w:rsidRPr="00E71F76" w14:paraId="215E5C87"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F633B2E" w14:textId="341381EB" w:rsidR="006B5F5C" w:rsidRPr="00E71F76" w:rsidRDefault="00A83C91" w:rsidP="006E3590">
            <w:pPr>
              <w:jc w:val="left"/>
              <w:rPr>
                <w:sz w:val="21"/>
                <w:szCs w:val="21"/>
                <w:lang w:eastAsia="en-CA"/>
              </w:rPr>
            </w:pPr>
            <w:r w:rsidRPr="00E71F76">
              <w:rPr>
                <w:sz w:val="21"/>
                <w:szCs w:val="21"/>
                <w:lang w:val="fr-FR" w:bidi="fr-FR"/>
              </w:rPr>
              <w:t>Renforcement</w:t>
            </w:r>
            <w:r w:rsidR="006B5F5C" w:rsidRPr="00E71F76">
              <w:rPr>
                <w:sz w:val="21"/>
                <w:szCs w:val="21"/>
                <w:lang w:val="fr-FR" w:bidi="fr-FR"/>
              </w:rPr>
              <w:t xml:space="preserve"> des institutions </w:t>
            </w:r>
          </w:p>
        </w:tc>
        <w:tc>
          <w:tcPr>
            <w:tcW w:w="1275" w:type="dxa"/>
            <w:tcBorders>
              <w:top w:val="nil"/>
              <w:left w:val="nil"/>
              <w:bottom w:val="single" w:sz="4" w:space="0" w:color="auto"/>
              <w:right w:val="single" w:sz="4" w:space="0" w:color="auto"/>
            </w:tcBorders>
            <w:shd w:val="clear" w:color="auto" w:fill="auto"/>
            <w:noWrap/>
            <w:vAlign w:val="bottom"/>
            <w:hideMark/>
          </w:tcPr>
          <w:p w14:paraId="4CE25842" w14:textId="77777777" w:rsidR="006B5F5C" w:rsidRPr="00E71F76" w:rsidRDefault="006B5F5C" w:rsidP="006E3590">
            <w:pPr>
              <w:jc w:val="right"/>
              <w:rPr>
                <w:sz w:val="21"/>
                <w:szCs w:val="21"/>
                <w:lang w:eastAsia="en-CA"/>
              </w:rPr>
            </w:pPr>
            <w:r w:rsidRPr="00E71F76">
              <w:rPr>
                <w:sz w:val="21"/>
                <w:szCs w:val="21"/>
                <w:lang w:val="fr-FR" w:bidi="fr-F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260C241" w14:textId="77777777" w:rsidR="006B5F5C" w:rsidRPr="00E71F76" w:rsidRDefault="006B5F5C" w:rsidP="006E3590">
            <w:pPr>
              <w:jc w:val="right"/>
              <w:rPr>
                <w:sz w:val="21"/>
                <w:szCs w:val="21"/>
                <w:lang w:eastAsia="en-CA"/>
              </w:rPr>
            </w:pPr>
            <w:r w:rsidRPr="00E71F76">
              <w:rPr>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vAlign w:val="bottom"/>
            <w:hideMark/>
          </w:tcPr>
          <w:p w14:paraId="75090F20" w14:textId="77777777" w:rsidR="006B5F5C" w:rsidRPr="00E71F76" w:rsidRDefault="006B5F5C" w:rsidP="006E3590">
            <w:pPr>
              <w:jc w:val="right"/>
              <w:rPr>
                <w:sz w:val="21"/>
                <w:szCs w:val="21"/>
                <w:lang w:eastAsia="en-CA"/>
              </w:rPr>
            </w:pPr>
            <w:r w:rsidRPr="00E71F76">
              <w:rPr>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vAlign w:val="center"/>
            <w:hideMark/>
          </w:tcPr>
          <w:p w14:paraId="779644D2" w14:textId="77777777" w:rsidR="006B5F5C" w:rsidRPr="00E71F76" w:rsidRDefault="006B5F5C" w:rsidP="006E3590">
            <w:pPr>
              <w:jc w:val="right"/>
              <w:rPr>
                <w:sz w:val="21"/>
                <w:szCs w:val="21"/>
                <w:lang w:eastAsia="en-CA"/>
              </w:rPr>
            </w:pPr>
            <w:r w:rsidRPr="00E71F76">
              <w:rPr>
                <w:sz w:val="21"/>
                <w:szCs w:val="21"/>
                <w:lang w:val="fr-FR" w:bidi="fr-FR"/>
              </w:rPr>
              <w:t>0</w:t>
            </w:r>
          </w:p>
        </w:tc>
        <w:tc>
          <w:tcPr>
            <w:tcW w:w="1305" w:type="dxa"/>
            <w:tcBorders>
              <w:top w:val="nil"/>
              <w:left w:val="nil"/>
              <w:bottom w:val="single" w:sz="4" w:space="0" w:color="auto"/>
              <w:right w:val="single" w:sz="4" w:space="0" w:color="auto"/>
            </w:tcBorders>
            <w:shd w:val="clear" w:color="auto" w:fill="auto"/>
            <w:noWrap/>
            <w:vAlign w:val="bottom"/>
            <w:hideMark/>
          </w:tcPr>
          <w:p w14:paraId="5ADB126A" w14:textId="77777777" w:rsidR="006B5F5C" w:rsidRPr="00E71F76" w:rsidRDefault="006B5F5C" w:rsidP="006E3590">
            <w:pPr>
              <w:jc w:val="right"/>
              <w:rPr>
                <w:sz w:val="21"/>
                <w:szCs w:val="21"/>
                <w:lang w:eastAsia="en-CA"/>
              </w:rPr>
            </w:pPr>
            <w:r w:rsidRPr="00E71F76">
              <w:rPr>
                <w:sz w:val="21"/>
                <w:szCs w:val="21"/>
                <w:lang w:val="fr-FR" w:bidi="fr-FR"/>
              </w:rPr>
              <w:t>0</w:t>
            </w:r>
          </w:p>
        </w:tc>
      </w:tr>
      <w:tr w:rsidR="006B5F5C" w:rsidRPr="00E71F76" w14:paraId="66015AF1"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C106FB9" w14:textId="77777777" w:rsidR="006B5F5C" w:rsidRPr="00E23538" w:rsidRDefault="006B5F5C" w:rsidP="006E3590">
            <w:pPr>
              <w:jc w:val="left"/>
              <w:rPr>
                <w:b/>
                <w:bCs/>
                <w:sz w:val="21"/>
                <w:szCs w:val="21"/>
                <w:lang w:val="fr-FR" w:eastAsia="en-CA"/>
              </w:rPr>
            </w:pPr>
            <w:r w:rsidRPr="00E71F76">
              <w:rPr>
                <w:b/>
                <w:sz w:val="21"/>
                <w:szCs w:val="21"/>
                <w:lang w:val="fr-FR" w:bidi="fr-FR"/>
              </w:rPr>
              <w:t xml:space="preserve"> Sous-total des activités standard</w:t>
            </w:r>
          </w:p>
        </w:tc>
        <w:tc>
          <w:tcPr>
            <w:tcW w:w="1275" w:type="dxa"/>
            <w:tcBorders>
              <w:top w:val="nil"/>
              <w:left w:val="nil"/>
              <w:bottom w:val="single" w:sz="4" w:space="0" w:color="auto"/>
              <w:right w:val="single" w:sz="4" w:space="0" w:color="auto"/>
            </w:tcBorders>
            <w:shd w:val="clear" w:color="auto" w:fill="auto"/>
            <w:noWrap/>
            <w:vAlign w:val="bottom"/>
            <w:hideMark/>
          </w:tcPr>
          <w:p w14:paraId="5D9AED63"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B91DF5C"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219" w:type="dxa"/>
            <w:tcBorders>
              <w:top w:val="nil"/>
              <w:left w:val="nil"/>
              <w:bottom w:val="single" w:sz="4" w:space="0" w:color="auto"/>
              <w:right w:val="single" w:sz="4" w:space="0" w:color="auto"/>
            </w:tcBorders>
            <w:shd w:val="clear" w:color="auto" w:fill="auto"/>
            <w:noWrap/>
            <w:vAlign w:val="bottom"/>
            <w:hideMark/>
          </w:tcPr>
          <w:p w14:paraId="46329195"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304" w:type="dxa"/>
            <w:tcBorders>
              <w:top w:val="nil"/>
              <w:left w:val="nil"/>
              <w:bottom w:val="single" w:sz="4" w:space="0" w:color="auto"/>
              <w:right w:val="single" w:sz="4" w:space="0" w:color="auto"/>
            </w:tcBorders>
            <w:shd w:val="clear" w:color="auto" w:fill="auto"/>
            <w:noWrap/>
            <w:vAlign w:val="bottom"/>
            <w:hideMark/>
          </w:tcPr>
          <w:p w14:paraId="1D07CDB5" w14:textId="77777777" w:rsidR="006B5F5C" w:rsidRPr="00E71F76" w:rsidRDefault="006B5F5C" w:rsidP="006E3590">
            <w:pPr>
              <w:jc w:val="right"/>
              <w:rPr>
                <w:b/>
                <w:bCs/>
                <w:sz w:val="21"/>
                <w:szCs w:val="21"/>
                <w:lang w:eastAsia="en-CA"/>
              </w:rPr>
            </w:pPr>
            <w:r w:rsidRPr="00E71F76">
              <w:rPr>
                <w:b/>
                <w:sz w:val="21"/>
                <w:szCs w:val="21"/>
                <w:lang w:val="fr-FR" w:bidi="fr-FR"/>
              </w:rPr>
              <w:t>0</w:t>
            </w:r>
          </w:p>
        </w:tc>
        <w:tc>
          <w:tcPr>
            <w:tcW w:w="1305" w:type="dxa"/>
            <w:tcBorders>
              <w:top w:val="nil"/>
              <w:left w:val="nil"/>
              <w:bottom w:val="single" w:sz="4" w:space="0" w:color="auto"/>
              <w:right w:val="single" w:sz="4" w:space="0" w:color="auto"/>
            </w:tcBorders>
            <w:shd w:val="clear" w:color="auto" w:fill="auto"/>
            <w:noWrap/>
            <w:vAlign w:val="bottom"/>
            <w:hideMark/>
          </w:tcPr>
          <w:p w14:paraId="4F6B64A8" w14:textId="77777777" w:rsidR="006B5F5C" w:rsidRPr="00E71F76" w:rsidRDefault="006B5F5C" w:rsidP="006E3590">
            <w:pPr>
              <w:jc w:val="right"/>
              <w:rPr>
                <w:b/>
                <w:bCs/>
                <w:sz w:val="21"/>
                <w:szCs w:val="21"/>
                <w:lang w:eastAsia="en-CA"/>
              </w:rPr>
            </w:pPr>
            <w:r w:rsidRPr="00E71F76">
              <w:rPr>
                <w:b/>
                <w:sz w:val="21"/>
                <w:szCs w:val="21"/>
                <w:lang w:val="fr-FR" w:bidi="fr-FR"/>
              </w:rPr>
              <w:t>0</w:t>
            </w:r>
          </w:p>
        </w:tc>
      </w:tr>
      <w:tr w:rsidR="006B5F5C" w:rsidRPr="00E71F76" w14:paraId="53181C21" w14:textId="77777777" w:rsidTr="00A83C91">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D0ACE8E" w14:textId="77777777" w:rsidR="006B5F5C" w:rsidRPr="00E71F76" w:rsidRDefault="006B5F5C" w:rsidP="006E3590">
            <w:pPr>
              <w:jc w:val="left"/>
              <w:rPr>
                <w:b/>
                <w:bCs/>
                <w:sz w:val="21"/>
                <w:szCs w:val="21"/>
                <w:lang w:eastAsia="en-CA"/>
              </w:rPr>
            </w:pPr>
            <w:r w:rsidRPr="00E71F76">
              <w:rPr>
                <w:b/>
                <w:sz w:val="21"/>
                <w:szCs w:val="21"/>
                <w:lang w:val="fr-FR" w:bidi="fr-FR"/>
              </w:rPr>
              <w:t>Total</w:t>
            </w:r>
          </w:p>
        </w:tc>
        <w:tc>
          <w:tcPr>
            <w:tcW w:w="1275" w:type="dxa"/>
            <w:tcBorders>
              <w:top w:val="nil"/>
              <w:left w:val="nil"/>
              <w:bottom w:val="single" w:sz="4" w:space="0" w:color="auto"/>
              <w:right w:val="single" w:sz="4" w:space="0" w:color="auto"/>
            </w:tcBorders>
            <w:shd w:val="clear" w:color="auto" w:fill="auto"/>
            <w:noWrap/>
            <w:vAlign w:val="center"/>
            <w:hideMark/>
          </w:tcPr>
          <w:p w14:paraId="02A2F2DC" w14:textId="77777777" w:rsidR="006B5F5C" w:rsidRPr="00E71F76" w:rsidRDefault="006B5F5C" w:rsidP="006E3590">
            <w:pPr>
              <w:jc w:val="right"/>
              <w:rPr>
                <w:b/>
                <w:bCs/>
                <w:sz w:val="21"/>
                <w:szCs w:val="21"/>
                <w:lang w:eastAsia="en-CA"/>
              </w:rPr>
            </w:pPr>
            <w:r w:rsidRPr="00E71F76">
              <w:rPr>
                <w:b/>
                <w:sz w:val="21"/>
                <w:szCs w:val="21"/>
                <w:lang w:val="fr-FR" w:bidi="fr-FR"/>
              </w:rPr>
              <w:t>2</w:t>
            </w:r>
            <w:r>
              <w:rPr>
                <w:b/>
                <w:sz w:val="21"/>
                <w:szCs w:val="21"/>
                <w:lang w:val="fr-FR" w:bidi="fr-FR"/>
              </w:rPr>
              <w:t> 392 </w:t>
            </w:r>
            <w:r w:rsidRPr="00E71F76">
              <w:rPr>
                <w:b/>
                <w:sz w:val="21"/>
                <w:szCs w:val="21"/>
                <w:lang w:val="fr-FR" w:bidi="fr-FR"/>
              </w:rPr>
              <w:t>607</w:t>
            </w:r>
          </w:p>
        </w:tc>
        <w:tc>
          <w:tcPr>
            <w:tcW w:w="1134" w:type="dxa"/>
            <w:tcBorders>
              <w:top w:val="nil"/>
              <w:left w:val="nil"/>
              <w:bottom w:val="single" w:sz="4" w:space="0" w:color="auto"/>
              <w:right w:val="single" w:sz="4" w:space="0" w:color="auto"/>
            </w:tcBorders>
            <w:shd w:val="clear" w:color="auto" w:fill="auto"/>
            <w:noWrap/>
            <w:vAlign w:val="center"/>
            <w:hideMark/>
          </w:tcPr>
          <w:p w14:paraId="404B8A29" w14:textId="77777777" w:rsidR="006B5F5C" w:rsidRPr="00E71F76" w:rsidRDefault="006B5F5C" w:rsidP="006E3590">
            <w:pPr>
              <w:jc w:val="right"/>
              <w:rPr>
                <w:b/>
                <w:bCs/>
                <w:sz w:val="21"/>
                <w:szCs w:val="21"/>
                <w:lang w:eastAsia="en-CA"/>
              </w:rPr>
            </w:pPr>
            <w:r w:rsidRPr="00E71F76">
              <w:rPr>
                <w:b/>
                <w:sz w:val="21"/>
                <w:szCs w:val="21"/>
                <w:lang w:val="fr-FR" w:bidi="fr-FR"/>
              </w:rPr>
              <w:t>1</w:t>
            </w:r>
            <w:r>
              <w:rPr>
                <w:b/>
                <w:sz w:val="21"/>
                <w:szCs w:val="21"/>
                <w:lang w:val="fr-FR" w:bidi="fr-FR"/>
              </w:rPr>
              <w:t> 576 </w:t>
            </w:r>
            <w:r w:rsidRPr="00E71F76">
              <w:rPr>
                <w:b/>
                <w:sz w:val="21"/>
                <w:szCs w:val="21"/>
                <w:lang w:val="fr-FR" w:bidi="fr-FR"/>
              </w:rPr>
              <w:t>025</w:t>
            </w:r>
          </w:p>
        </w:tc>
        <w:tc>
          <w:tcPr>
            <w:tcW w:w="1219" w:type="dxa"/>
            <w:tcBorders>
              <w:top w:val="nil"/>
              <w:left w:val="nil"/>
              <w:bottom w:val="single" w:sz="4" w:space="0" w:color="auto"/>
              <w:right w:val="single" w:sz="4" w:space="0" w:color="auto"/>
            </w:tcBorders>
            <w:shd w:val="clear" w:color="auto" w:fill="auto"/>
            <w:noWrap/>
            <w:vAlign w:val="center"/>
            <w:hideMark/>
          </w:tcPr>
          <w:p w14:paraId="2D000F21" w14:textId="77777777" w:rsidR="006B5F5C" w:rsidRPr="00E71F76" w:rsidRDefault="006B5F5C" w:rsidP="006E3590">
            <w:pPr>
              <w:jc w:val="right"/>
              <w:rPr>
                <w:b/>
                <w:bCs/>
                <w:sz w:val="21"/>
                <w:szCs w:val="21"/>
                <w:lang w:eastAsia="en-CA"/>
              </w:rPr>
            </w:pPr>
            <w:r w:rsidRPr="00E71F76">
              <w:rPr>
                <w:b/>
                <w:sz w:val="21"/>
                <w:szCs w:val="21"/>
                <w:lang w:val="fr-FR" w:bidi="fr-FR"/>
              </w:rPr>
              <w:t>483</w:t>
            </w:r>
            <w:r>
              <w:rPr>
                <w:b/>
                <w:sz w:val="21"/>
                <w:szCs w:val="21"/>
                <w:lang w:val="fr-FR" w:bidi="fr-FR"/>
              </w:rPr>
              <w:t> </w:t>
            </w:r>
            <w:r w:rsidRPr="00E71F76">
              <w:rPr>
                <w:b/>
                <w:sz w:val="21"/>
                <w:szCs w:val="21"/>
                <w:lang w:val="fr-FR" w:bidi="fr-FR"/>
              </w:rPr>
              <w:t>512</w:t>
            </w:r>
          </w:p>
        </w:tc>
        <w:tc>
          <w:tcPr>
            <w:tcW w:w="1304" w:type="dxa"/>
            <w:tcBorders>
              <w:top w:val="nil"/>
              <w:left w:val="nil"/>
              <w:bottom w:val="single" w:sz="4" w:space="0" w:color="auto"/>
              <w:right w:val="single" w:sz="4" w:space="0" w:color="auto"/>
            </w:tcBorders>
            <w:shd w:val="clear" w:color="auto" w:fill="auto"/>
            <w:noWrap/>
            <w:vAlign w:val="center"/>
            <w:hideMark/>
          </w:tcPr>
          <w:p w14:paraId="7651335C" w14:textId="77777777" w:rsidR="006B5F5C" w:rsidRPr="00E71F76" w:rsidRDefault="006B5F5C" w:rsidP="006E3590">
            <w:pPr>
              <w:jc w:val="right"/>
              <w:rPr>
                <w:b/>
                <w:bCs/>
                <w:sz w:val="21"/>
                <w:szCs w:val="21"/>
                <w:lang w:eastAsia="en-CA"/>
              </w:rPr>
            </w:pPr>
            <w:r w:rsidRPr="00E71F76">
              <w:rPr>
                <w:b/>
                <w:sz w:val="21"/>
                <w:szCs w:val="21"/>
                <w:lang w:val="fr-FR" w:bidi="fr-FR"/>
              </w:rPr>
              <w:t>4</w:t>
            </w:r>
            <w:r>
              <w:rPr>
                <w:b/>
                <w:sz w:val="21"/>
                <w:szCs w:val="21"/>
                <w:lang w:val="fr-FR" w:bidi="fr-FR"/>
              </w:rPr>
              <w:t> 452 </w:t>
            </w:r>
            <w:r w:rsidRPr="00E71F76">
              <w:rPr>
                <w:b/>
                <w:sz w:val="21"/>
                <w:szCs w:val="21"/>
                <w:lang w:val="fr-FR" w:bidi="fr-FR"/>
              </w:rPr>
              <w:t>144</w:t>
            </w:r>
          </w:p>
        </w:tc>
        <w:tc>
          <w:tcPr>
            <w:tcW w:w="1305" w:type="dxa"/>
            <w:tcBorders>
              <w:top w:val="nil"/>
              <w:left w:val="nil"/>
              <w:bottom w:val="single" w:sz="4" w:space="0" w:color="auto"/>
              <w:right w:val="single" w:sz="4" w:space="0" w:color="auto"/>
            </w:tcBorders>
            <w:shd w:val="clear" w:color="auto" w:fill="auto"/>
            <w:noWrap/>
            <w:vAlign w:val="center"/>
            <w:hideMark/>
          </w:tcPr>
          <w:p w14:paraId="242C507A" w14:textId="77777777" w:rsidR="006B5F5C" w:rsidRPr="00E71F76" w:rsidRDefault="006B5F5C" w:rsidP="006E3590">
            <w:pPr>
              <w:jc w:val="right"/>
              <w:rPr>
                <w:b/>
                <w:bCs/>
                <w:sz w:val="21"/>
                <w:szCs w:val="21"/>
                <w:lang w:eastAsia="en-CA"/>
              </w:rPr>
            </w:pPr>
            <w:r w:rsidRPr="00E71F76">
              <w:rPr>
                <w:b/>
                <w:sz w:val="21"/>
                <w:szCs w:val="21"/>
                <w:lang w:val="fr-FR" w:bidi="fr-FR"/>
              </w:rPr>
              <w:t>577</w:t>
            </w:r>
            <w:r>
              <w:rPr>
                <w:b/>
                <w:sz w:val="21"/>
                <w:szCs w:val="21"/>
                <w:lang w:val="fr-FR" w:bidi="fr-FR"/>
              </w:rPr>
              <w:t> </w:t>
            </w:r>
            <w:r w:rsidRPr="00E71F76">
              <w:rPr>
                <w:b/>
                <w:sz w:val="21"/>
                <w:szCs w:val="21"/>
                <w:lang w:val="fr-FR" w:bidi="fr-FR"/>
              </w:rPr>
              <w:t>044</w:t>
            </w:r>
          </w:p>
        </w:tc>
      </w:tr>
    </w:tbl>
    <w:p w14:paraId="05959837" w14:textId="7C49F975" w:rsidR="006B5F5C" w:rsidRPr="00E23538" w:rsidRDefault="006B5F5C" w:rsidP="00066442">
      <w:pPr>
        <w:spacing w:after="120"/>
        <w:rPr>
          <w:lang w:val="fr-FR"/>
        </w:rPr>
      </w:pPr>
      <w:r w:rsidRPr="002D6131">
        <w:rPr>
          <w:sz w:val="20"/>
          <w:szCs w:val="20"/>
          <w:lang w:val="fr-FR" w:bidi="fr-FR"/>
        </w:rPr>
        <w:t>* Y compris les coûts d</w:t>
      </w:r>
      <w:r>
        <w:rPr>
          <w:sz w:val="20"/>
          <w:szCs w:val="20"/>
          <w:lang w:val="fr-FR" w:bidi="fr-FR"/>
        </w:rPr>
        <w:t>’</w:t>
      </w:r>
      <w:r w:rsidRPr="002D6131">
        <w:rPr>
          <w:sz w:val="20"/>
          <w:szCs w:val="20"/>
          <w:lang w:val="fr-FR" w:bidi="fr-FR"/>
        </w:rPr>
        <w:t>appui d</w:t>
      </w:r>
      <w:r>
        <w:rPr>
          <w:sz w:val="20"/>
          <w:szCs w:val="20"/>
          <w:lang w:val="fr-FR" w:bidi="fr-FR"/>
        </w:rPr>
        <w:t>’</w:t>
      </w:r>
      <w:r w:rsidRPr="002D6131">
        <w:rPr>
          <w:sz w:val="20"/>
          <w:szCs w:val="20"/>
          <w:lang w:val="fr-FR" w:bidi="fr-FR"/>
        </w:rPr>
        <w:t>agence.</w:t>
      </w:r>
    </w:p>
    <w:p w14:paraId="56FD22C9" w14:textId="64CF89DC" w:rsidR="006B5F5C" w:rsidRPr="00E23538" w:rsidRDefault="006B5F5C" w:rsidP="00066442">
      <w:pPr>
        <w:pStyle w:val="Heading1"/>
        <w:spacing w:after="120"/>
        <w:rPr>
          <w:lang w:val="fr-FR"/>
        </w:rPr>
      </w:pPr>
      <w:r w:rsidRPr="002D6131">
        <w:rPr>
          <w:lang w:val="fr-FR" w:bidi="fr-FR"/>
        </w:rPr>
        <w:t>En supposant que le niveau des contributions annoncées soit similaire à celui de la période</w:t>
      </w:r>
      <w:r>
        <w:rPr>
          <w:lang w:val="fr-FR" w:bidi="fr-FR"/>
        </w:rPr>
        <w:t> </w:t>
      </w:r>
      <w:r w:rsidRPr="002D6131">
        <w:rPr>
          <w:lang w:val="fr-FR" w:bidi="fr-FR"/>
        </w:rPr>
        <w:t>2018</w:t>
      </w:r>
      <w:r w:rsidR="00066442">
        <w:rPr>
          <w:lang w:val="fr-FR" w:bidi="fr-FR"/>
        </w:rPr>
        <w:noBreakHyphen/>
      </w:r>
      <w:r w:rsidRPr="002D6131">
        <w:rPr>
          <w:lang w:val="fr-FR" w:bidi="fr-FR"/>
        </w:rPr>
        <w:t>2020, 20 % de la contribution annuelle annoncée par l</w:t>
      </w:r>
      <w:r>
        <w:rPr>
          <w:lang w:val="fr-FR" w:bidi="fr-FR"/>
        </w:rPr>
        <w:t>’</w:t>
      </w:r>
      <w:r w:rsidRPr="002D6131">
        <w:rPr>
          <w:lang w:val="fr-FR" w:bidi="fr-FR"/>
        </w:rPr>
        <w:t>Allemagne pour 2022 s</w:t>
      </w:r>
      <w:r>
        <w:rPr>
          <w:lang w:val="fr-FR" w:bidi="fr-FR"/>
        </w:rPr>
        <w:t>’</w:t>
      </w:r>
      <w:r w:rsidRPr="002D6131">
        <w:rPr>
          <w:lang w:val="fr-FR" w:bidi="fr-FR"/>
        </w:rPr>
        <w:t>élève à 3</w:t>
      </w:r>
      <w:r>
        <w:rPr>
          <w:lang w:val="fr-FR" w:bidi="fr-FR"/>
        </w:rPr>
        <w:t> 220 </w:t>
      </w:r>
      <w:r w:rsidRPr="002D6131">
        <w:rPr>
          <w:lang w:val="fr-FR" w:bidi="fr-FR"/>
        </w:rPr>
        <w:t>267</w:t>
      </w:r>
      <w:r>
        <w:rPr>
          <w:lang w:val="fr-FR" w:bidi="fr-FR"/>
        </w:rPr>
        <w:t> </w:t>
      </w:r>
      <w:r w:rsidRPr="002D6131">
        <w:rPr>
          <w:lang w:val="fr-FR" w:bidi="fr-FR"/>
        </w:rPr>
        <w:t>$ US ou 9</w:t>
      </w:r>
      <w:r>
        <w:rPr>
          <w:lang w:val="fr-FR" w:bidi="fr-FR"/>
        </w:rPr>
        <w:t> 660 </w:t>
      </w:r>
      <w:r w:rsidRPr="002D6131">
        <w:rPr>
          <w:lang w:val="fr-FR" w:bidi="fr-FR"/>
        </w:rPr>
        <w:t>800</w:t>
      </w:r>
      <w:r>
        <w:rPr>
          <w:lang w:val="fr-FR" w:bidi="fr-FR"/>
        </w:rPr>
        <w:t> </w:t>
      </w:r>
      <w:r w:rsidRPr="002D6131">
        <w:rPr>
          <w:lang w:val="fr-FR" w:bidi="fr-FR"/>
        </w:rPr>
        <w:t>$ US pour la période triennale</w:t>
      </w:r>
      <w:r>
        <w:rPr>
          <w:lang w:val="fr-FR" w:bidi="fr-FR"/>
        </w:rPr>
        <w:t> </w:t>
      </w:r>
      <w:r w:rsidRPr="002D6131">
        <w:rPr>
          <w:lang w:val="fr-FR" w:bidi="fr-FR"/>
        </w:rPr>
        <w:t>2021-2023. Compte tenu des approbations effectuées à la 87</w:t>
      </w:r>
      <w:r w:rsidRPr="002D6131">
        <w:rPr>
          <w:vertAlign w:val="superscript"/>
          <w:lang w:val="fr-FR" w:bidi="fr-FR"/>
        </w:rPr>
        <w:t>e</w:t>
      </w:r>
      <w:r>
        <w:rPr>
          <w:lang w:val="fr-FR" w:bidi="fr-FR"/>
        </w:rPr>
        <w:t> </w:t>
      </w:r>
      <w:r w:rsidRPr="002D6131">
        <w:rPr>
          <w:lang w:val="fr-FR" w:bidi="fr-FR"/>
        </w:rPr>
        <w:t>réunion (1</w:t>
      </w:r>
      <w:r>
        <w:rPr>
          <w:lang w:val="fr-FR" w:bidi="fr-FR"/>
        </w:rPr>
        <w:t> 102 </w:t>
      </w:r>
      <w:r w:rsidRPr="002D6131">
        <w:rPr>
          <w:lang w:val="fr-FR" w:bidi="fr-FR"/>
        </w:rPr>
        <w:t>511 $ US), des soumissions déposées à la 88</w:t>
      </w:r>
      <w:r w:rsidRPr="002D6131">
        <w:rPr>
          <w:vertAlign w:val="superscript"/>
          <w:lang w:val="fr-FR" w:bidi="fr-FR"/>
        </w:rPr>
        <w:t>e</w:t>
      </w:r>
      <w:r>
        <w:rPr>
          <w:lang w:val="fr-FR" w:bidi="fr-FR"/>
        </w:rPr>
        <w:t> </w:t>
      </w:r>
      <w:r w:rsidRPr="002D6131">
        <w:rPr>
          <w:lang w:val="fr-FR" w:bidi="fr-FR"/>
        </w:rPr>
        <w:t>réunion (3</w:t>
      </w:r>
      <w:r>
        <w:rPr>
          <w:lang w:val="fr-FR" w:bidi="fr-FR"/>
        </w:rPr>
        <w:t> 214 </w:t>
      </w:r>
      <w:r w:rsidRPr="002D6131">
        <w:rPr>
          <w:lang w:val="fr-FR" w:bidi="fr-FR"/>
        </w:rPr>
        <w:t>121</w:t>
      </w:r>
      <w:r>
        <w:rPr>
          <w:lang w:val="fr-FR" w:bidi="fr-FR"/>
        </w:rPr>
        <w:t> </w:t>
      </w:r>
      <w:r w:rsidRPr="002D6131">
        <w:rPr>
          <w:lang w:val="fr-FR" w:bidi="fr-FR"/>
        </w:rPr>
        <w:t>$</w:t>
      </w:r>
      <w:r w:rsidR="00066442">
        <w:rPr>
          <w:lang w:val="fr-FR" w:bidi="fr-FR"/>
        </w:rPr>
        <w:t> </w:t>
      </w:r>
      <w:r w:rsidRPr="002D6131">
        <w:rPr>
          <w:lang w:val="fr-FR" w:bidi="fr-FR"/>
        </w:rPr>
        <w:t>US</w:t>
      </w:r>
      <w:r w:rsidR="00066442">
        <w:rPr>
          <w:lang w:val="fr-FR" w:bidi="fr-FR"/>
        </w:rPr>
        <w:t> </w:t>
      </w:r>
      <w:r w:rsidRPr="002D6131">
        <w:rPr>
          <w:lang w:val="fr-FR" w:bidi="fr-FR"/>
        </w:rPr>
        <w:t>si</w:t>
      </w:r>
      <w:r w:rsidR="00066442">
        <w:rPr>
          <w:lang w:val="fr-FR" w:bidi="fr-FR"/>
        </w:rPr>
        <w:t> </w:t>
      </w:r>
      <w:r w:rsidRPr="002D6131">
        <w:rPr>
          <w:lang w:val="fr-FR" w:bidi="fr-FR"/>
        </w:rPr>
        <w:t>approuvées telles quelles), et de l’ajustement des valeurs du plan d</w:t>
      </w:r>
      <w:r>
        <w:rPr>
          <w:lang w:val="fr-FR" w:bidi="fr-FR"/>
        </w:rPr>
        <w:t>’</w:t>
      </w:r>
      <w:r w:rsidRPr="002D6131">
        <w:rPr>
          <w:lang w:val="fr-FR" w:bidi="fr-FR"/>
        </w:rPr>
        <w:t>activités pour 2022 et 2023 (3</w:t>
      </w:r>
      <w:r>
        <w:rPr>
          <w:lang w:val="fr-FR" w:bidi="fr-FR"/>
        </w:rPr>
        <w:t> 968 </w:t>
      </w:r>
      <w:r w:rsidRPr="002D6131">
        <w:rPr>
          <w:lang w:val="fr-FR" w:bidi="fr-FR"/>
        </w:rPr>
        <w:t>632</w:t>
      </w:r>
      <w:r w:rsidR="00066442">
        <w:rPr>
          <w:lang w:val="fr-FR" w:bidi="fr-FR"/>
        </w:rPr>
        <w:t> </w:t>
      </w:r>
      <w:r w:rsidRPr="002D6131">
        <w:rPr>
          <w:lang w:val="fr-FR" w:bidi="fr-FR"/>
        </w:rPr>
        <w:t>$</w:t>
      </w:r>
      <w:r w:rsidR="00066442">
        <w:rPr>
          <w:lang w:val="fr-FR" w:bidi="fr-FR"/>
        </w:rPr>
        <w:t> </w:t>
      </w:r>
      <w:r w:rsidRPr="002D6131">
        <w:rPr>
          <w:lang w:val="fr-FR" w:bidi="fr-FR"/>
        </w:rPr>
        <w:t>US), l</w:t>
      </w:r>
      <w:r>
        <w:rPr>
          <w:lang w:val="fr-FR" w:bidi="fr-FR"/>
        </w:rPr>
        <w:t>’</w:t>
      </w:r>
      <w:r w:rsidRPr="002D6131">
        <w:rPr>
          <w:lang w:val="fr-FR" w:bidi="fr-FR"/>
        </w:rPr>
        <w:t>Allemagne ne dépassera pas 20</w:t>
      </w:r>
      <w:r>
        <w:rPr>
          <w:lang w:val="fr-FR" w:bidi="fr-FR"/>
        </w:rPr>
        <w:t> </w:t>
      </w:r>
      <w:r w:rsidRPr="002D6131">
        <w:rPr>
          <w:lang w:val="fr-FR" w:bidi="fr-FR"/>
        </w:rPr>
        <w:t>% des contributions annoncées pour la période triennale</w:t>
      </w:r>
      <w:r>
        <w:rPr>
          <w:lang w:val="fr-FR" w:bidi="fr-FR"/>
        </w:rPr>
        <w:t> </w:t>
      </w:r>
      <w:r w:rsidRPr="002D6131">
        <w:rPr>
          <w:lang w:val="fr-FR" w:bidi="fr-FR"/>
        </w:rPr>
        <w:t>2021</w:t>
      </w:r>
      <w:r>
        <w:rPr>
          <w:lang w:val="fr-FR" w:bidi="fr-FR"/>
        </w:rPr>
        <w:noBreakHyphen/>
      </w:r>
      <w:r w:rsidRPr="002D6131">
        <w:rPr>
          <w:lang w:val="fr-FR" w:bidi="fr-FR"/>
        </w:rPr>
        <w:t xml:space="preserve">2023. </w:t>
      </w:r>
    </w:p>
    <w:p w14:paraId="6B05AA77" w14:textId="4EEC3F00" w:rsidR="006B5F5C" w:rsidRPr="00894085" w:rsidRDefault="006B5F5C" w:rsidP="00066442">
      <w:pPr>
        <w:spacing w:after="120"/>
        <w:jc w:val="left"/>
        <w:rPr>
          <w:b/>
          <w:bCs/>
        </w:rPr>
      </w:pPr>
      <w:r w:rsidRPr="00894085">
        <w:rPr>
          <w:b/>
          <w:lang w:val="fr-FR" w:bidi="fr-FR"/>
        </w:rPr>
        <w:t>Japon</w:t>
      </w:r>
    </w:p>
    <w:p w14:paraId="536990D7" w14:textId="337865DF" w:rsidR="006B5F5C" w:rsidRPr="00E23538" w:rsidRDefault="006B5F5C" w:rsidP="00066442">
      <w:pPr>
        <w:pStyle w:val="Heading1"/>
        <w:rPr>
          <w:lang w:val="fr-FR"/>
        </w:rPr>
      </w:pPr>
      <w:r w:rsidRPr="002D6131">
        <w:rPr>
          <w:lang w:val="fr-FR" w:bidi="fr-FR"/>
        </w:rPr>
        <w:t>Le tableau</w:t>
      </w:r>
      <w:r>
        <w:rPr>
          <w:lang w:val="fr-FR" w:bidi="fr-FR"/>
        </w:rPr>
        <w:t> </w:t>
      </w:r>
      <w:r w:rsidRPr="002D6131">
        <w:rPr>
          <w:lang w:val="fr-FR" w:bidi="fr-FR"/>
        </w:rPr>
        <w:t>7 présente la répartition des ressources prévue par le plan d</w:t>
      </w:r>
      <w:r>
        <w:rPr>
          <w:lang w:val="fr-FR" w:bidi="fr-FR"/>
        </w:rPr>
        <w:t>’</w:t>
      </w:r>
      <w:r w:rsidRPr="002D6131">
        <w:rPr>
          <w:lang w:val="fr-FR" w:bidi="fr-FR"/>
        </w:rPr>
        <w:t>activités du Japon pour 2022-2024. En supposant que le niveau des contributions annoncées soit similaire à celui de la période</w:t>
      </w:r>
      <w:r>
        <w:rPr>
          <w:lang w:val="fr-FR" w:bidi="fr-FR"/>
        </w:rPr>
        <w:t> </w:t>
      </w:r>
      <w:r w:rsidRPr="002D6131">
        <w:rPr>
          <w:lang w:val="fr-FR" w:bidi="fr-FR"/>
        </w:rPr>
        <w:t>2018-2020, 20 % de la contribution annuelle annoncée par le Japon pour 2022 s</w:t>
      </w:r>
      <w:r>
        <w:rPr>
          <w:lang w:val="fr-FR" w:bidi="fr-FR"/>
        </w:rPr>
        <w:t>’</w:t>
      </w:r>
      <w:r w:rsidRPr="002D6131">
        <w:rPr>
          <w:lang w:val="fr-FR" w:bidi="fr-FR"/>
        </w:rPr>
        <w:t>élève à</w:t>
      </w:r>
      <w:r w:rsidR="00066442">
        <w:rPr>
          <w:lang w:val="fr-FR" w:bidi="fr-FR"/>
        </w:rPr>
        <w:t> </w:t>
      </w:r>
      <w:r w:rsidRPr="002D6131">
        <w:rPr>
          <w:lang w:val="fr-FR" w:bidi="fr-FR"/>
        </w:rPr>
        <w:t>4</w:t>
      </w:r>
      <w:r>
        <w:rPr>
          <w:lang w:val="fr-FR" w:bidi="fr-FR"/>
        </w:rPr>
        <w:t> 879 </w:t>
      </w:r>
      <w:r w:rsidRPr="002D6131">
        <w:rPr>
          <w:lang w:val="fr-FR" w:bidi="fr-FR"/>
        </w:rPr>
        <w:t>033</w:t>
      </w:r>
      <w:r>
        <w:rPr>
          <w:lang w:val="fr-FR" w:bidi="fr-FR"/>
        </w:rPr>
        <w:t> </w:t>
      </w:r>
      <w:r w:rsidRPr="002D6131">
        <w:rPr>
          <w:lang w:val="fr-FR" w:bidi="fr-FR"/>
        </w:rPr>
        <w:t>$</w:t>
      </w:r>
      <w:r w:rsidR="00066442">
        <w:rPr>
          <w:lang w:val="fr-FR" w:bidi="fr-FR"/>
        </w:rPr>
        <w:t> </w:t>
      </w:r>
      <w:r w:rsidRPr="002D6131">
        <w:rPr>
          <w:lang w:val="fr-FR" w:bidi="fr-FR"/>
        </w:rPr>
        <w:t xml:space="preserve">US. </w:t>
      </w:r>
    </w:p>
    <w:p w14:paraId="13E65A74" w14:textId="36C2B7CC" w:rsidR="006B5F5C" w:rsidRPr="00E23538" w:rsidRDefault="006B5F5C" w:rsidP="00295532">
      <w:pPr>
        <w:pStyle w:val="subhead"/>
        <w:keepNext/>
        <w:jc w:val="both"/>
        <w:rPr>
          <w:b/>
          <w:sz w:val="22"/>
          <w:szCs w:val="22"/>
          <w:lang w:val="fr-FR"/>
        </w:rPr>
      </w:pPr>
      <w:r w:rsidRPr="002D6131">
        <w:rPr>
          <w:b/>
          <w:sz w:val="22"/>
          <w:szCs w:val="22"/>
          <w:lang w:val="fr-FR" w:bidi="fr-FR"/>
        </w:rPr>
        <w:t>Tableau</w:t>
      </w:r>
      <w:r>
        <w:rPr>
          <w:b/>
          <w:sz w:val="22"/>
          <w:szCs w:val="22"/>
          <w:lang w:val="fr-FR" w:bidi="fr-FR"/>
        </w:rPr>
        <w:t> </w:t>
      </w:r>
      <w:r w:rsidRPr="002D6131">
        <w:rPr>
          <w:b/>
          <w:sz w:val="22"/>
          <w:szCs w:val="22"/>
          <w:lang w:val="fr-FR" w:bidi="fr-FR"/>
        </w:rPr>
        <w:t>7</w:t>
      </w:r>
      <w:r>
        <w:rPr>
          <w:b/>
          <w:sz w:val="22"/>
          <w:szCs w:val="22"/>
          <w:lang w:val="fr-FR" w:bidi="fr-FR"/>
        </w:rPr>
        <w:t> </w:t>
      </w:r>
      <w:r w:rsidRPr="002D6131">
        <w:rPr>
          <w:b/>
          <w:sz w:val="22"/>
          <w:szCs w:val="22"/>
          <w:lang w:val="fr-FR" w:bidi="fr-FR"/>
        </w:rPr>
        <w:t>: Répartition de</w:t>
      </w:r>
      <w:r w:rsidR="00295532">
        <w:rPr>
          <w:b/>
          <w:sz w:val="22"/>
          <w:szCs w:val="22"/>
          <w:lang w:val="fr-FR" w:bidi="fr-FR"/>
        </w:rPr>
        <w:t>s</w:t>
      </w:r>
      <w:r w:rsidRPr="002D6131">
        <w:rPr>
          <w:b/>
          <w:sz w:val="22"/>
          <w:szCs w:val="22"/>
          <w:lang w:val="fr-FR" w:bidi="fr-FR"/>
        </w:rPr>
        <w:t xml:space="preserve"> ressources pour le Japon ($ </w:t>
      </w:r>
      <w:proofErr w:type="gramStart"/>
      <w:r w:rsidRPr="002D6131">
        <w:rPr>
          <w:b/>
          <w:sz w:val="22"/>
          <w:szCs w:val="22"/>
          <w:lang w:val="fr-FR" w:bidi="fr-FR"/>
        </w:rPr>
        <w:t>US)*</w:t>
      </w:r>
      <w:proofErr w:type="gramEnd"/>
    </w:p>
    <w:tbl>
      <w:tblPr>
        <w:tblW w:w="9360" w:type="dxa"/>
        <w:tblLayout w:type="fixed"/>
        <w:tblLook w:val="04A0" w:firstRow="1" w:lastRow="0" w:firstColumn="1" w:lastColumn="0" w:noHBand="0" w:noVBand="1"/>
      </w:tblPr>
      <w:tblGrid>
        <w:gridCol w:w="3118"/>
        <w:gridCol w:w="1561"/>
        <w:gridCol w:w="1561"/>
        <w:gridCol w:w="1561"/>
        <w:gridCol w:w="1559"/>
      </w:tblGrid>
      <w:tr w:rsidR="006B5F5C" w:rsidRPr="002D6131" w14:paraId="6B36C1D6" w14:textId="77777777" w:rsidTr="006E3590">
        <w:trPr>
          <w:tblHeader/>
        </w:trPr>
        <w:tc>
          <w:tcPr>
            <w:tcW w:w="1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DF86" w14:textId="77777777" w:rsidR="006B5F5C" w:rsidRPr="002D6131" w:rsidRDefault="006B5F5C" w:rsidP="00295532">
            <w:pPr>
              <w:keepNext/>
              <w:jc w:val="left"/>
              <w:rPr>
                <w:b/>
                <w:bCs/>
                <w:sz w:val="21"/>
                <w:szCs w:val="21"/>
                <w:lang w:eastAsia="en-CA"/>
              </w:rPr>
            </w:pPr>
            <w:r w:rsidRPr="002D6131">
              <w:rPr>
                <w:b/>
                <w:sz w:val="21"/>
                <w:szCs w:val="21"/>
                <w:lang w:val="fr-FR" w:bidi="fr-FR"/>
              </w:rPr>
              <w:t>Description</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4613C0D1" w14:textId="77777777" w:rsidR="006B5F5C" w:rsidRPr="002D6131" w:rsidRDefault="006B5F5C" w:rsidP="00295532">
            <w:pPr>
              <w:keepNext/>
              <w:jc w:val="center"/>
              <w:rPr>
                <w:b/>
                <w:bCs/>
                <w:sz w:val="21"/>
                <w:szCs w:val="21"/>
                <w:lang w:eastAsia="en-CA"/>
              </w:rPr>
            </w:pPr>
            <w:r w:rsidRPr="002D6131">
              <w:rPr>
                <w:b/>
                <w:sz w:val="21"/>
                <w:szCs w:val="21"/>
                <w:lang w:val="fr-FR" w:bidi="fr-FR"/>
              </w:rPr>
              <w:t>2022</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7ED8E10C" w14:textId="77777777" w:rsidR="006B5F5C" w:rsidRPr="002D6131" w:rsidRDefault="006B5F5C" w:rsidP="00295532">
            <w:pPr>
              <w:keepNext/>
              <w:jc w:val="center"/>
              <w:rPr>
                <w:b/>
                <w:bCs/>
                <w:sz w:val="21"/>
                <w:szCs w:val="21"/>
                <w:lang w:eastAsia="en-CA"/>
              </w:rPr>
            </w:pPr>
            <w:r w:rsidRPr="002D6131">
              <w:rPr>
                <w:b/>
                <w:sz w:val="21"/>
                <w:szCs w:val="21"/>
                <w:lang w:val="fr-FR" w:bidi="fr-FR"/>
              </w:rPr>
              <w:t>2023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613E825E" w14:textId="77777777" w:rsidR="006B5F5C" w:rsidRPr="002D6131" w:rsidRDefault="006B5F5C" w:rsidP="00295532">
            <w:pPr>
              <w:keepNext/>
              <w:jc w:val="center"/>
              <w:rPr>
                <w:b/>
                <w:bCs/>
                <w:sz w:val="21"/>
                <w:szCs w:val="21"/>
                <w:lang w:eastAsia="en-CA"/>
              </w:rPr>
            </w:pPr>
            <w:r w:rsidRPr="002D6131">
              <w:rPr>
                <w:b/>
                <w:sz w:val="21"/>
                <w:szCs w:val="21"/>
                <w:lang w:val="fr-FR" w:bidi="fr-FR"/>
              </w:rPr>
              <w:t>2024**</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361C377A" w14:textId="77777777" w:rsidR="006B5F5C" w:rsidRPr="002D6131" w:rsidRDefault="006B5F5C" w:rsidP="00295532">
            <w:pPr>
              <w:keepNext/>
              <w:jc w:val="center"/>
              <w:rPr>
                <w:b/>
                <w:bCs/>
                <w:sz w:val="21"/>
                <w:szCs w:val="21"/>
                <w:lang w:eastAsia="en-CA"/>
              </w:rPr>
            </w:pPr>
            <w:r w:rsidRPr="002D6131">
              <w:rPr>
                <w:b/>
                <w:sz w:val="21"/>
                <w:szCs w:val="21"/>
                <w:lang w:val="fr-FR" w:bidi="fr-FR"/>
              </w:rPr>
              <w:t xml:space="preserve">Total </w:t>
            </w:r>
          </w:p>
          <w:p w14:paraId="7389094D" w14:textId="77777777" w:rsidR="006B5F5C" w:rsidRPr="002D6131" w:rsidRDefault="006B5F5C" w:rsidP="00295532">
            <w:pPr>
              <w:keepNext/>
              <w:jc w:val="center"/>
              <w:rPr>
                <w:b/>
                <w:bCs/>
                <w:sz w:val="21"/>
                <w:szCs w:val="21"/>
                <w:lang w:eastAsia="en-CA"/>
              </w:rPr>
            </w:pPr>
            <w:r w:rsidRPr="002D6131">
              <w:rPr>
                <w:b/>
                <w:sz w:val="21"/>
                <w:szCs w:val="21"/>
                <w:lang w:val="fr-FR" w:bidi="fr-FR"/>
              </w:rPr>
              <w:t>(2022–2024)</w:t>
            </w:r>
          </w:p>
        </w:tc>
      </w:tr>
      <w:tr w:rsidR="006B5F5C" w:rsidRPr="002D6131" w14:paraId="4171AF9D" w14:textId="77777777" w:rsidTr="006E3590">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14:paraId="2EB71A1E" w14:textId="77777777" w:rsidR="006B5F5C" w:rsidRPr="002D6131" w:rsidRDefault="006B5F5C" w:rsidP="00295532">
            <w:pPr>
              <w:keepNext/>
              <w:jc w:val="left"/>
              <w:rPr>
                <w:sz w:val="21"/>
                <w:szCs w:val="21"/>
              </w:rPr>
            </w:pPr>
            <w:r w:rsidRPr="002D6131">
              <w:rPr>
                <w:b/>
                <w:sz w:val="21"/>
                <w:szCs w:val="21"/>
                <w:lang w:val="fr-FR" w:bidi="fr-FR"/>
              </w:rPr>
              <w:t>Activités relatives aux HCFC</w:t>
            </w:r>
          </w:p>
        </w:tc>
      </w:tr>
      <w:tr w:rsidR="006B5F5C" w:rsidRPr="002D6131" w14:paraId="6982ACC9" w14:textId="77777777" w:rsidTr="006E3590">
        <w:tc>
          <w:tcPr>
            <w:tcW w:w="1665" w:type="pct"/>
            <w:tcBorders>
              <w:top w:val="nil"/>
              <w:left w:val="single" w:sz="4" w:space="0" w:color="auto"/>
              <w:bottom w:val="single" w:sz="4" w:space="0" w:color="auto"/>
              <w:right w:val="single" w:sz="4" w:space="0" w:color="auto"/>
            </w:tcBorders>
            <w:shd w:val="clear" w:color="auto" w:fill="auto"/>
            <w:noWrap/>
            <w:vAlign w:val="center"/>
            <w:hideMark/>
          </w:tcPr>
          <w:p w14:paraId="416AF526" w14:textId="77777777" w:rsidR="006B5F5C" w:rsidRPr="002D6131" w:rsidRDefault="006B5F5C" w:rsidP="00295532">
            <w:pPr>
              <w:keepNext/>
              <w:jc w:val="left"/>
              <w:rPr>
                <w:sz w:val="21"/>
                <w:szCs w:val="21"/>
                <w:lang w:eastAsia="en-CA"/>
              </w:rPr>
            </w:pPr>
            <w:r w:rsidRPr="002D6131">
              <w:rPr>
                <w:sz w:val="21"/>
                <w:szCs w:val="21"/>
                <w:lang w:val="fr-FR" w:bidi="fr-FR"/>
              </w:rPr>
              <w:t>PGEH approuvés</w:t>
            </w:r>
          </w:p>
        </w:tc>
        <w:tc>
          <w:tcPr>
            <w:tcW w:w="834" w:type="pct"/>
            <w:tcBorders>
              <w:top w:val="nil"/>
              <w:left w:val="nil"/>
              <w:bottom w:val="single" w:sz="4" w:space="0" w:color="auto"/>
              <w:right w:val="single" w:sz="4" w:space="0" w:color="auto"/>
            </w:tcBorders>
            <w:shd w:val="clear" w:color="auto" w:fill="auto"/>
            <w:noWrap/>
          </w:tcPr>
          <w:p w14:paraId="3F4B87D9" w14:textId="77777777" w:rsidR="006B5F5C" w:rsidRPr="002D6131" w:rsidRDefault="006B5F5C" w:rsidP="00295532">
            <w:pPr>
              <w:keepNext/>
              <w:jc w:val="right"/>
              <w:rPr>
                <w:sz w:val="21"/>
                <w:szCs w:val="21"/>
              </w:rPr>
            </w:pPr>
            <w:r w:rsidRPr="002D6131">
              <w:rPr>
                <w:sz w:val="21"/>
                <w:szCs w:val="21"/>
                <w:lang w:val="fr-FR" w:bidi="fr-FR"/>
              </w:rPr>
              <w:t>0</w:t>
            </w:r>
          </w:p>
        </w:tc>
        <w:tc>
          <w:tcPr>
            <w:tcW w:w="834" w:type="pct"/>
            <w:tcBorders>
              <w:top w:val="nil"/>
              <w:left w:val="nil"/>
              <w:bottom w:val="single" w:sz="4" w:space="0" w:color="auto"/>
              <w:right w:val="single" w:sz="4" w:space="0" w:color="auto"/>
            </w:tcBorders>
            <w:shd w:val="clear" w:color="auto" w:fill="auto"/>
            <w:noWrap/>
          </w:tcPr>
          <w:p w14:paraId="4FA76FE4" w14:textId="77777777" w:rsidR="006B5F5C" w:rsidRPr="002D6131" w:rsidRDefault="006B5F5C" w:rsidP="00295532">
            <w:pPr>
              <w:keepNext/>
              <w:jc w:val="right"/>
              <w:rPr>
                <w:sz w:val="21"/>
                <w:szCs w:val="21"/>
              </w:rPr>
            </w:pPr>
            <w:r w:rsidRPr="002D6131">
              <w:rPr>
                <w:b/>
                <w:sz w:val="21"/>
                <w:szCs w:val="21"/>
                <w:lang w:val="fr-FR" w:bidi="fr-FR"/>
              </w:rPr>
              <w:t>67</w:t>
            </w:r>
            <w:r>
              <w:rPr>
                <w:b/>
                <w:sz w:val="21"/>
                <w:szCs w:val="21"/>
                <w:lang w:val="fr-FR" w:bidi="fr-FR"/>
              </w:rPr>
              <w:t> </w:t>
            </w:r>
            <w:r w:rsidRPr="002D6131">
              <w:rPr>
                <w:b/>
                <w:sz w:val="21"/>
                <w:szCs w:val="21"/>
                <w:lang w:val="fr-FR" w:bidi="fr-FR"/>
              </w:rPr>
              <w:t>800</w:t>
            </w:r>
          </w:p>
        </w:tc>
        <w:tc>
          <w:tcPr>
            <w:tcW w:w="834" w:type="pct"/>
            <w:tcBorders>
              <w:top w:val="nil"/>
              <w:left w:val="nil"/>
              <w:bottom w:val="single" w:sz="4" w:space="0" w:color="auto"/>
              <w:right w:val="single" w:sz="4" w:space="0" w:color="auto"/>
            </w:tcBorders>
            <w:shd w:val="clear" w:color="auto" w:fill="auto"/>
            <w:noWrap/>
          </w:tcPr>
          <w:p w14:paraId="657C526C" w14:textId="77777777" w:rsidR="006B5F5C" w:rsidRPr="002D6131" w:rsidRDefault="006B5F5C" w:rsidP="00295532">
            <w:pPr>
              <w:keepNext/>
              <w:jc w:val="right"/>
              <w:rPr>
                <w:sz w:val="21"/>
                <w:szCs w:val="21"/>
              </w:rPr>
            </w:pPr>
            <w:r w:rsidRPr="002D6131">
              <w:rPr>
                <w:sz w:val="21"/>
                <w:szCs w:val="21"/>
                <w:lang w:val="fr-FR" w:bidi="fr-FR"/>
              </w:rPr>
              <w:t>0</w:t>
            </w:r>
          </w:p>
        </w:tc>
        <w:tc>
          <w:tcPr>
            <w:tcW w:w="833" w:type="pct"/>
            <w:tcBorders>
              <w:top w:val="nil"/>
              <w:left w:val="nil"/>
              <w:bottom w:val="single" w:sz="4" w:space="0" w:color="auto"/>
              <w:right w:val="single" w:sz="4" w:space="0" w:color="auto"/>
            </w:tcBorders>
            <w:shd w:val="clear" w:color="auto" w:fill="auto"/>
            <w:noWrap/>
          </w:tcPr>
          <w:p w14:paraId="6D72D5D8" w14:textId="77777777" w:rsidR="006B5F5C" w:rsidRPr="002D6131" w:rsidRDefault="006B5F5C" w:rsidP="00295532">
            <w:pPr>
              <w:keepNext/>
              <w:jc w:val="right"/>
              <w:rPr>
                <w:sz w:val="21"/>
                <w:szCs w:val="21"/>
              </w:rPr>
            </w:pPr>
            <w:r w:rsidRPr="002D6131">
              <w:rPr>
                <w:b/>
                <w:sz w:val="21"/>
                <w:szCs w:val="21"/>
                <w:lang w:val="fr-FR" w:bidi="fr-FR"/>
              </w:rPr>
              <w:t>67</w:t>
            </w:r>
            <w:r>
              <w:rPr>
                <w:b/>
                <w:sz w:val="21"/>
                <w:szCs w:val="21"/>
                <w:lang w:val="fr-FR" w:bidi="fr-FR"/>
              </w:rPr>
              <w:t> </w:t>
            </w:r>
            <w:r w:rsidRPr="002D6131">
              <w:rPr>
                <w:b/>
                <w:sz w:val="21"/>
                <w:szCs w:val="21"/>
                <w:lang w:val="fr-FR" w:bidi="fr-FR"/>
              </w:rPr>
              <w:t>800</w:t>
            </w:r>
          </w:p>
        </w:tc>
      </w:tr>
      <w:tr w:rsidR="006B5F5C" w:rsidRPr="002D6131" w14:paraId="79A89C06" w14:textId="77777777" w:rsidTr="006E3590">
        <w:tc>
          <w:tcPr>
            <w:tcW w:w="1665" w:type="pct"/>
            <w:tcBorders>
              <w:top w:val="nil"/>
              <w:left w:val="single" w:sz="4" w:space="0" w:color="auto"/>
              <w:bottom w:val="single" w:sz="4" w:space="0" w:color="auto"/>
              <w:right w:val="single" w:sz="4" w:space="0" w:color="auto"/>
            </w:tcBorders>
            <w:shd w:val="clear" w:color="auto" w:fill="auto"/>
            <w:noWrap/>
            <w:vAlign w:val="center"/>
            <w:hideMark/>
          </w:tcPr>
          <w:p w14:paraId="552B9BD2" w14:textId="77777777" w:rsidR="006B5F5C" w:rsidRPr="002D6131" w:rsidRDefault="006B5F5C" w:rsidP="00295532">
            <w:pPr>
              <w:keepNext/>
              <w:jc w:val="left"/>
              <w:rPr>
                <w:b/>
                <w:bCs/>
                <w:sz w:val="21"/>
                <w:szCs w:val="21"/>
                <w:lang w:eastAsia="en-CA"/>
              </w:rPr>
            </w:pPr>
            <w:r w:rsidRPr="002D6131">
              <w:rPr>
                <w:b/>
                <w:sz w:val="21"/>
                <w:szCs w:val="21"/>
                <w:lang w:val="fr-FR" w:bidi="fr-FR"/>
              </w:rPr>
              <w:t>Total</w:t>
            </w:r>
          </w:p>
        </w:tc>
        <w:tc>
          <w:tcPr>
            <w:tcW w:w="834" w:type="pct"/>
            <w:tcBorders>
              <w:top w:val="nil"/>
              <w:left w:val="nil"/>
              <w:bottom w:val="single" w:sz="4" w:space="0" w:color="auto"/>
              <w:right w:val="single" w:sz="4" w:space="0" w:color="auto"/>
            </w:tcBorders>
            <w:shd w:val="clear" w:color="auto" w:fill="auto"/>
            <w:noWrap/>
          </w:tcPr>
          <w:p w14:paraId="0505AA59" w14:textId="77777777" w:rsidR="006B5F5C" w:rsidRPr="002D6131" w:rsidRDefault="006B5F5C" w:rsidP="00295532">
            <w:pPr>
              <w:keepNext/>
              <w:jc w:val="right"/>
              <w:rPr>
                <w:b/>
                <w:sz w:val="21"/>
                <w:szCs w:val="21"/>
              </w:rPr>
            </w:pPr>
            <w:r w:rsidRPr="002D6131">
              <w:rPr>
                <w:b/>
                <w:sz w:val="21"/>
                <w:szCs w:val="21"/>
                <w:lang w:val="fr-FR" w:bidi="fr-FR"/>
              </w:rPr>
              <w:t>0</w:t>
            </w:r>
          </w:p>
        </w:tc>
        <w:tc>
          <w:tcPr>
            <w:tcW w:w="834" w:type="pct"/>
            <w:tcBorders>
              <w:top w:val="nil"/>
              <w:left w:val="nil"/>
              <w:bottom w:val="single" w:sz="4" w:space="0" w:color="auto"/>
              <w:right w:val="single" w:sz="4" w:space="0" w:color="auto"/>
            </w:tcBorders>
            <w:shd w:val="clear" w:color="auto" w:fill="auto"/>
            <w:noWrap/>
          </w:tcPr>
          <w:p w14:paraId="4564D0C1" w14:textId="77777777" w:rsidR="006B5F5C" w:rsidRPr="002D6131" w:rsidRDefault="006B5F5C" w:rsidP="00295532">
            <w:pPr>
              <w:keepNext/>
              <w:jc w:val="right"/>
              <w:rPr>
                <w:b/>
                <w:sz w:val="21"/>
                <w:szCs w:val="21"/>
              </w:rPr>
            </w:pPr>
            <w:r w:rsidRPr="002D6131">
              <w:rPr>
                <w:b/>
                <w:sz w:val="21"/>
                <w:szCs w:val="21"/>
                <w:lang w:val="fr-FR" w:bidi="fr-FR"/>
              </w:rPr>
              <w:t>67</w:t>
            </w:r>
            <w:r>
              <w:rPr>
                <w:b/>
                <w:sz w:val="21"/>
                <w:szCs w:val="21"/>
                <w:lang w:val="fr-FR" w:bidi="fr-FR"/>
              </w:rPr>
              <w:t> </w:t>
            </w:r>
            <w:r w:rsidRPr="002D6131">
              <w:rPr>
                <w:b/>
                <w:sz w:val="21"/>
                <w:szCs w:val="21"/>
                <w:lang w:val="fr-FR" w:bidi="fr-FR"/>
              </w:rPr>
              <w:t>800</w:t>
            </w:r>
          </w:p>
        </w:tc>
        <w:tc>
          <w:tcPr>
            <w:tcW w:w="834" w:type="pct"/>
            <w:tcBorders>
              <w:top w:val="nil"/>
              <w:left w:val="nil"/>
              <w:bottom w:val="single" w:sz="4" w:space="0" w:color="auto"/>
              <w:right w:val="single" w:sz="4" w:space="0" w:color="auto"/>
            </w:tcBorders>
            <w:shd w:val="clear" w:color="auto" w:fill="auto"/>
            <w:noWrap/>
          </w:tcPr>
          <w:p w14:paraId="47A94D56" w14:textId="77777777" w:rsidR="006B5F5C" w:rsidRPr="002D6131" w:rsidRDefault="006B5F5C" w:rsidP="00295532">
            <w:pPr>
              <w:keepNext/>
              <w:jc w:val="right"/>
              <w:rPr>
                <w:b/>
                <w:sz w:val="21"/>
                <w:szCs w:val="21"/>
              </w:rPr>
            </w:pPr>
            <w:r w:rsidRPr="002D6131">
              <w:rPr>
                <w:b/>
                <w:sz w:val="21"/>
                <w:szCs w:val="21"/>
                <w:lang w:val="fr-FR" w:bidi="fr-FR"/>
              </w:rPr>
              <w:t>0</w:t>
            </w:r>
          </w:p>
        </w:tc>
        <w:tc>
          <w:tcPr>
            <w:tcW w:w="833" w:type="pct"/>
            <w:tcBorders>
              <w:top w:val="nil"/>
              <w:left w:val="nil"/>
              <w:bottom w:val="single" w:sz="4" w:space="0" w:color="auto"/>
              <w:right w:val="single" w:sz="4" w:space="0" w:color="auto"/>
            </w:tcBorders>
            <w:shd w:val="clear" w:color="auto" w:fill="auto"/>
            <w:noWrap/>
          </w:tcPr>
          <w:p w14:paraId="4508B22F" w14:textId="77777777" w:rsidR="006B5F5C" w:rsidRPr="002D6131" w:rsidRDefault="006B5F5C" w:rsidP="00295532">
            <w:pPr>
              <w:keepNext/>
              <w:jc w:val="right"/>
              <w:rPr>
                <w:b/>
                <w:sz w:val="21"/>
                <w:szCs w:val="21"/>
              </w:rPr>
            </w:pPr>
            <w:r w:rsidRPr="002D6131">
              <w:rPr>
                <w:b/>
                <w:sz w:val="21"/>
                <w:szCs w:val="21"/>
                <w:lang w:val="fr-FR" w:bidi="fr-FR"/>
              </w:rPr>
              <w:t>67</w:t>
            </w:r>
            <w:r>
              <w:rPr>
                <w:b/>
                <w:sz w:val="21"/>
                <w:szCs w:val="21"/>
                <w:lang w:val="fr-FR" w:bidi="fr-FR"/>
              </w:rPr>
              <w:t> </w:t>
            </w:r>
            <w:r w:rsidRPr="002D6131">
              <w:rPr>
                <w:b/>
                <w:sz w:val="21"/>
                <w:szCs w:val="21"/>
                <w:lang w:val="fr-FR" w:bidi="fr-FR"/>
              </w:rPr>
              <w:t>800</w:t>
            </w:r>
          </w:p>
        </w:tc>
      </w:tr>
    </w:tbl>
    <w:p w14:paraId="5476820C" w14:textId="77777777" w:rsidR="006B5F5C" w:rsidRPr="00E23538" w:rsidRDefault="006B5F5C" w:rsidP="00295532">
      <w:pPr>
        <w:keepNext/>
        <w:rPr>
          <w:sz w:val="18"/>
          <w:szCs w:val="18"/>
          <w:lang w:val="fr-FR"/>
        </w:rPr>
      </w:pPr>
      <w:r w:rsidRPr="002D6131">
        <w:rPr>
          <w:sz w:val="18"/>
          <w:szCs w:val="18"/>
          <w:lang w:val="fr-FR" w:bidi="fr-FR"/>
        </w:rPr>
        <w:t>* Y compris les coûts d</w:t>
      </w:r>
      <w:r>
        <w:rPr>
          <w:sz w:val="18"/>
          <w:szCs w:val="18"/>
          <w:lang w:val="fr-FR" w:bidi="fr-FR"/>
        </w:rPr>
        <w:t>’</w:t>
      </w:r>
      <w:r w:rsidRPr="002D6131">
        <w:rPr>
          <w:sz w:val="18"/>
          <w:szCs w:val="18"/>
          <w:lang w:val="fr-FR" w:bidi="fr-FR"/>
        </w:rPr>
        <w:t>appui d</w:t>
      </w:r>
      <w:r>
        <w:rPr>
          <w:sz w:val="18"/>
          <w:szCs w:val="18"/>
          <w:lang w:val="fr-FR" w:bidi="fr-FR"/>
        </w:rPr>
        <w:t>’</w:t>
      </w:r>
      <w:r w:rsidRPr="002D6131">
        <w:rPr>
          <w:sz w:val="18"/>
          <w:szCs w:val="18"/>
          <w:lang w:val="fr-FR" w:bidi="fr-FR"/>
        </w:rPr>
        <w:t>agence.</w:t>
      </w:r>
    </w:p>
    <w:p w14:paraId="6167E78A" w14:textId="77777777" w:rsidR="006B5F5C" w:rsidRPr="00E23538" w:rsidRDefault="006B5F5C" w:rsidP="00066442">
      <w:pPr>
        <w:keepNext/>
        <w:spacing w:after="120"/>
        <w:jc w:val="left"/>
        <w:rPr>
          <w:sz w:val="18"/>
          <w:szCs w:val="18"/>
          <w:lang w:val="fr-FR"/>
        </w:rPr>
      </w:pPr>
      <w:r w:rsidRPr="002D6131">
        <w:rPr>
          <w:sz w:val="18"/>
          <w:szCs w:val="18"/>
          <w:lang w:val="fr-FR" w:bidi="fr-FR"/>
        </w:rPr>
        <w:t>** Il n</w:t>
      </w:r>
      <w:r>
        <w:rPr>
          <w:sz w:val="18"/>
          <w:szCs w:val="18"/>
          <w:lang w:val="fr-FR" w:bidi="fr-FR"/>
        </w:rPr>
        <w:t>’</w:t>
      </w:r>
      <w:r w:rsidRPr="002D6131">
        <w:rPr>
          <w:sz w:val="18"/>
          <w:szCs w:val="18"/>
          <w:lang w:val="fr-FR" w:bidi="fr-FR"/>
        </w:rPr>
        <w:t>y a pas d</w:t>
      </w:r>
      <w:r>
        <w:rPr>
          <w:sz w:val="18"/>
          <w:szCs w:val="18"/>
          <w:lang w:val="fr-FR" w:bidi="fr-FR"/>
        </w:rPr>
        <w:t>’</w:t>
      </w:r>
      <w:r w:rsidRPr="002D6131">
        <w:rPr>
          <w:sz w:val="18"/>
          <w:szCs w:val="18"/>
          <w:lang w:val="fr-FR" w:bidi="fr-FR"/>
        </w:rPr>
        <w:t>activités après 2024.</w:t>
      </w:r>
    </w:p>
    <w:p w14:paraId="7CEAC533" w14:textId="77777777" w:rsidR="006B5F5C" w:rsidRPr="00295532" w:rsidRDefault="006B5F5C" w:rsidP="00066442">
      <w:pPr>
        <w:spacing w:after="120"/>
        <w:rPr>
          <w:b/>
          <w:bCs/>
          <w:lang w:val="fr-FR"/>
        </w:rPr>
      </w:pPr>
      <w:r w:rsidRPr="00295532">
        <w:rPr>
          <w:b/>
          <w:bCs/>
          <w:lang w:val="fr-FR" w:bidi="fr-FR"/>
        </w:rPr>
        <w:t>Royaume-Uni de Grande-Bretagne et d’Irlande du Nord</w:t>
      </w:r>
    </w:p>
    <w:p w14:paraId="62C94FA5" w14:textId="2F87B3C3" w:rsidR="006B5F5C" w:rsidRPr="00E23538" w:rsidRDefault="006B5F5C" w:rsidP="00066442">
      <w:pPr>
        <w:pStyle w:val="Heading1"/>
        <w:rPr>
          <w:lang w:val="fr-FR"/>
        </w:rPr>
      </w:pPr>
      <w:r w:rsidRPr="002D6131">
        <w:rPr>
          <w:lang w:val="fr-FR" w:bidi="fr-FR"/>
        </w:rPr>
        <w:t>Le tableau</w:t>
      </w:r>
      <w:r>
        <w:rPr>
          <w:lang w:val="fr-FR" w:bidi="fr-FR"/>
        </w:rPr>
        <w:t> </w:t>
      </w:r>
      <w:r w:rsidRPr="002D6131">
        <w:rPr>
          <w:lang w:val="fr-FR" w:bidi="fr-FR"/>
        </w:rPr>
        <w:t>8 présente la répartition des ressources du plan d</w:t>
      </w:r>
      <w:r>
        <w:rPr>
          <w:lang w:val="fr-FR" w:bidi="fr-FR"/>
        </w:rPr>
        <w:t>’</w:t>
      </w:r>
      <w:r w:rsidRPr="002D6131">
        <w:rPr>
          <w:lang w:val="fr-FR" w:bidi="fr-FR"/>
        </w:rPr>
        <w:t>activités du Royaume-Uni de Grande-Bretagne et d</w:t>
      </w:r>
      <w:r>
        <w:rPr>
          <w:lang w:val="fr-FR" w:bidi="fr-FR"/>
        </w:rPr>
        <w:t>’</w:t>
      </w:r>
      <w:r w:rsidRPr="002D6131">
        <w:rPr>
          <w:lang w:val="fr-FR" w:bidi="fr-FR"/>
        </w:rPr>
        <w:t>Irlande du Nord pour 2022-2024. En supposant que le niveau des contributions annoncées soit similaire à celui de la période</w:t>
      </w:r>
      <w:r>
        <w:rPr>
          <w:lang w:val="fr-FR" w:bidi="fr-FR"/>
        </w:rPr>
        <w:t> </w:t>
      </w:r>
      <w:r w:rsidRPr="002D6131">
        <w:rPr>
          <w:lang w:val="fr-FR" w:bidi="fr-FR"/>
        </w:rPr>
        <w:t>2018</w:t>
      </w:r>
      <w:r>
        <w:rPr>
          <w:lang w:val="fr-FR" w:bidi="fr-FR"/>
        </w:rPr>
        <w:noBreakHyphen/>
      </w:r>
      <w:r w:rsidRPr="002D6131">
        <w:rPr>
          <w:lang w:val="fr-FR" w:bidi="fr-FR"/>
        </w:rPr>
        <w:t>2020, 20 % de la contribution annuelle annoncée par le Royaume-Uni de Grande-Bretagne et d</w:t>
      </w:r>
      <w:r>
        <w:rPr>
          <w:lang w:val="fr-FR" w:bidi="fr-FR"/>
        </w:rPr>
        <w:t>’</w:t>
      </w:r>
      <w:r w:rsidRPr="002D6131">
        <w:rPr>
          <w:lang w:val="fr-FR" w:bidi="fr-FR"/>
        </w:rPr>
        <w:t>Irlande du Nord pour 2022 s’élève à 2</w:t>
      </w:r>
      <w:r>
        <w:rPr>
          <w:lang w:val="fr-FR" w:bidi="fr-FR"/>
        </w:rPr>
        <w:t> 249 </w:t>
      </w:r>
      <w:r w:rsidRPr="002D6131">
        <w:rPr>
          <w:lang w:val="fr-FR" w:bidi="fr-FR"/>
        </w:rPr>
        <w:t>500</w:t>
      </w:r>
      <w:r>
        <w:rPr>
          <w:lang w:val="fr-FR" w:bidi="fr-FR"/>
        </w:rPr>
        <w:t> </w:t>
      </w:r>
      <w:r w:rsidRPr="002D6131">
        <w:rPr>
          <w:lang w:val="fr-FR" w:bidi="fr-FR"/>
        </w:rPr>
        <w:t>$ US.</w:t>
      </w:r>
    </w:p>
    <w:p w14:paraId="600154CA" w14:textId="77777777" w:rsidR="006B5F5C" w:rsidRPr="00295532" w:rsidRDefault="006B5F5C" w:rsidP="006B5F5C">
      <w:pPr>
        <w:rPr>
          <w:b/>
          <w:bCs/>
          <w:lang w:val="fr-FR"/>
        </w:rPr>
      </w:pPr>
      <w:r w:rsidRPr="002D6131">
        <w:rPr>
          <w:b/>
          <w:lang w:val="fr-FR" w:bidi="fr-FR"/>
        </w:rPr>
        <w:t>Tableau</w:t>
      </w:r>
      <w:r>
        <w:rPr>
          <w:b/>
          <w:lang w:val="fr-FR" w:bidi="fr-FR"/>
        </w:rPr>
        <w:t> </w:t>
      </w:r>
      <w:r w:rsidRPr="002D6131">
        <w:rPr>
          <w:b/>
          <w:lang w:val="fr-FR" w:bidi="fr-FR"/>
        </w:rPr>
        <w:t>8</w:t>
      </w:r>
      <w:r>
        <w:rPr>
          <w:b/>
          <w:lang w:val="fr-FR" w:bidi="fr-FR"/>
        </w:rPr>
        <w:t> </w:t>
      </w:r>
      <w:r w:rsidRPr="002D6131">
        <w:rPr>
          <w:b/>
          <w:lang w:val="fr-FR" w:bidi="fr-FR"/>
        </w:rPr>
        <w:t xml:space="preserve">: </w:t>
      </w:r>
      <w:r w:rsidRPr="00295532">
        <w:rPr>
          <w:b/>
          <w:bCs/>
          <w:lang w:val="fr-FR" w:bidi="fr-FR"/>
        </w:rPr>
        <w:t xml:space="preserve">Répartition des ressources pour le Royaume-Uni de Grande-Bretagne et d’Irlande du Nord ($ </w:t>
      </w:r>
      <w:proofErr w:type="gramStart"/>
      <w:r w:rsidRPr="00295532">
        <w:rPr>
          <w:b/>
          <w:bCs/>
          <w:lang w:val="fr-FR" w:bidi="fr-FR"/>
        </w:rPr>
        <w:t>US)*</w:t>
      </w:r>
      <w:proofErr w:type="gramEnd"/>
    </w:p>
    <w:tbl>
      <w:tblPr>
        <w:tblW w:w="9360" w:type="dxa"/>
        <w:tblLayout w:type="fixed"/>
        <w:tblLook w:val="04A0" w:firstRow="1" w:lastRow="0" w:firstColumn="1" w:lastColumn="0" w:noHBand="0" w:noVBand="1"/>
      </w:tblPr>
      <w:tblGrid>
        <w:gridCol w:w="3118"/>
        <w:gridCol w:w="1561"/>
        <w:gridCol w:w="1561"/>
        <w:gridCol w:w="1561"/>
        <w:gridCol w:w="1559"/>
      </w:tblGrid>
      <w:tr w:rsidR="006B5F5C" w:rsidRPr="002D6131" w14:paraId="62A254B5" w14:textId="77777777" w:rsidTr="006E3590">
        <w:trPr>
          <w:tblHeader/>
        </w:trPr>
        <w:tc>
          <w:tcPr>
            <w:tcW w:w="1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C025" w14:textId="77777777" w:rsidR="006B5F5C" w:rsidRPr="002D6131" w:rsidRDefault="006B5F5C" w:rsidP="006E3590">
            <w:pPr>
              <w:jc w:val="left"/>
              <w:rPr>
                <w:b/>
                <w:bCs/>
                <w:sz w:val="21"/>
                <w:szCs w:val="21"/>
                <w:lang w:eastAsia="en-CA"/>
              </w:rPr>
            </w:pPr>
            <w:r w:rsidRPr="002D6131">
              <w:rPr>
                <w:b/>
                <w:sz w:val="21"/>
                <w:szCs w:val="21"/>
                <w:lang w:val="fr-FR" w:bidi="fr-FR"/>
              </w:rPr>
              <w:t>Description</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6CBE2175" w14:textId="77777777" w:rsidR="006B5F5C" w:rsidRPr="002D6131" w:rsidRDefault="006B5F5C" w:rsidP="006E3590">
            <w:pPr>
              <w:jc w:val="center"/>
              <w:rPr>
                <w:b/>
                <w:bCs/>
                <w:sz w:val="21"/>
                <w:szCs w:val="21"/>
                <w:lang w:eastAsia="en-CA"/>
              </w:rPr>
            </w:pPr>
            <w:r w:rsidRPr="002D6131">
              <w:rPr>
                <w:b/>
                <w:sz w:val="21"/>
                <w:szCs w:val="21"/>
                <w:lang w:val="fr-FR" w:bidi="fr-FR"/>
              </w:rPr>
              <w:t>2022</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5516736C" w14:textId="77777777" w:rsidR="006B5F5C" w:rsidRPr="002D6131" w:rsidRDefault="006B5F5C" w:rsidP="006E3590">
            <w:pPr>
              <w:jc w:val="center"/>
              <w:rPr>
                <w:b/>
                <w:bCs/>
                <w:sz w:val="21"/>
                <w:szCs w:val="21"/>
                <w:lang w:eastAsia="en-CA"/>
              </w:rPr>
            </w:pPr>
            <w:r w:rsidRPr="002D6131">
              <w:rPr>
                <w:b/>
                <w:sz w:val="21"/>
                <w:szCs w:val="21"/>
                <w:lang w:val="fr-FR" w:bidi="fr-FR"/>
              </w:rPr>
              <w:t>2023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5956E20E" w14:textId="77777777" w:rsidR="006B5F5C" w:rsidRPr="002D6131" w:rsidRDefault="006B5F5C" w:rsidP="006E3590">
            <w:pPr>
              <w:jc w:val="center"/>
              <w:rPr>
                <w:b/>
                <w:bCs/>
                <w:sz w:val="21"/>
                <w:szCs w:val="21"/>
                <w:lang w:eastAsia="en-CA"/>
              </w:rPr>
            </w:pPr>
            <w:r w:rsidRPr="002D6131">
              <w:rPr>
                <w:b/>
                <w:sz w:val="21"/>
                <w:szCs w:val="21"/>
                <w:lang w:val="fr-FR" w:bidi="fr-FR"/>
              </w:rPr>
              <w:t>2024**</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752B1B88" w14:textId="77777777" w:rsidR="006B5F5C" w:rsidRPr="002D6131" w:rsidRDefault="006B5F5C" w:rsidP="006E3590">
            <w:pPr>
              <w:jc w:val="center"/>
              <w:rPr>
                <w:b/>
                <w:bCs/>
                <w:sz w:val="21"/>
                <w:szCs w:val="21"/>
                <w:lang w:eastAsia="en-CA"/>
              </w:rPr>
            </w:pPr>
            <w:r w:rsidRPr="002D6131">
              <w:rPr>
                <w:b/>
                <w:sz w:val="21"/>
                <w:szCs w:val="21"/>
                <w:lang w:val="fr-FR" w:bidi="fr-FR"/>
              </w:rPr>
              <w:t xml:space="preserve">Total </w:t>
            </w:r>
          </w:p>
          <w:p w14:paraId="11CC388E" w14:textId="77777777" w:rsidR="006B5F5C" w:rsidRPr="002D6131" w:rsidRDefault="006B5F5C" w:rsidP="006E3590">
            <w:pPr>
              <w:jc w:val="center"/>
              <w:rPr>
                <w:b/>
                <w:bCs/>
                <w:sz w:val="21"/>
                <w:szCs w:val="21"/>
                <w:lang w:eastAsia="en-CA"/>
              </w:rPr>
            </w:pPr>
            <w:r w:rsidRPr="002D6131">
              <w:rPr>
                <w:b/>
                <w:sz w:val="21"/>
                <w:szCs w:val="21"/>
                <w:lang w:val="fr-FR" w:bidi="fr-FR"/>
              </w:rPr>
              <w:t>(2022–2024)</w:t>
            </w:r>
          </w:p>
        </w:tc>
      </w:tr>
      <w:tr w:rsidR="006B5F5C" w:rsidRPr="002D6131" w14:paraId="6197AE07" w14:textId="77777777" w:rsidTr="006E3590">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08989BA5" w14:textId="77777777" w:rsidR="006B5F5C" w:rsidRPr="002D6131" w:rsidRDefault="006B5F5C" w:rsidP="006E3590">
            <w:pPr>
              <w:jc w:val="left"/>
              <w:rPr>
                <w:b/>
                <w:bCs/>
                <w:sz w:val="21"/>
                <w:szCs w:val="21"/>
                <w:lang w:eastAsia="en-CA"/>
              </w:rPr>
            </w:pPr>
            <w:r w:rsidRPr="002D6131">
              <w:rPr>
                <w:b/>
                <w:sz w:val="21"/>
                <w:szCs w:val="21"/>
                <w:lang w:val="fr-FR" w:bidi="fr-FR"/>
              </w:rPr>
              <w:t>Activités relatives aux HFC</w:t>
            </w:r>
          </w:p>
        </w:tc>
      </w:tr>
      <w:tr w:rsidR="006B5F5C" w:rsidRPr="002D6131" w14:paraId="54C2410A" w14:textId="77777777" w:rsidTr="006E3590">
        <w:tc>
          <w:tcPr>
            <w:tcW w:w="1665" w:type="pct"/>
            <w:tcBorders>
              <w:top w:val="nil"/>
              <w:left w:val="single" w:sz="4" w:space="0" w:color="auto"/>
              <w:bottom w:val="single" w:sz="4" w:space="0" w:color="auto"/>
              <w:right w:val="single" w:sz="4" w:space="0" w:color="auto"/>
            </w:tcBorders>
            <w:shd w:val="clear" w:color="auto" w:fill="auto"/>
            <w:noWrap/>
            <w:vAlign w:val="center"/>
            <w:hideMark/>
          </w:tcPr>
          <w:p w14:paraId="12FC3F60" w14:textId="77777777" w:rsidR="006B5F5C" w:rsidRPr="002D6131" w:rsidRDefault="006B5F5C" w:rsidP="006E3590">
            <w:pPr>
              <w:jc w:val="left"/>
              <w:rPr>
                <w:sz w:val="20"/>
                <w:szCs w:val="20"/>
                <w:lang w:eastAsia="en-CA"/>
              </w:rPr>
            </w:pPr>
            <w:r>
              <w:rPr>
                <w:sz w:val="21"/>
                <w:szCs w:val="21"/>
                <w:lang w:val="fr-FR" w:bidi="fr-FR"/>
              </w:rPr>
              <w:t>KIP — PRP</w:t>
            </w:r>
          </w:p>
        </w:tc>
        <w:tc>
          <w:tcPr>
            <w:tcW w:w="834" w:type="pct"/>
            <w:tcBorders>
              <w:top w:val="nil"/>
              <w:left w:val="nil"/>
              <w:bottom w:val="single" w:sz="4" w:space="0" w:color="auto"/>
              <w:right w:val="single" w:sz="4" w:space="0" w:color="auto"/>
            </w:tcBorders>
            <w:shd w:val="clear" w:color="auto" w:fill="auto"/>
            <w:noWrap/>
          </w:tcPr>
          <w:p w14:paraId="721810E0" w14:textId="77777777" w:rsidR="006B5F5C" w:rsidRPr="002D6131" w:rsidRDefault="006B5F5C" w:rsidP="006E3590">
            <w:pPr>
              <w:jc w:val="right"/>
              <w:rPr>
                <w:sz w:val="21"/>
                <w:szCs w:val="21"/>
              </w:rPr>
            </w:pPr>
            <w:r w:rsidRPr="002D6131">
              <w:rPr>
                <w:b/>
                <w:sz w:val="21"/>
                <w:szCs w:val="21"/>
                <w:lang w:val="fr-FR" w:bidi="fr-FR"/>
              </w:rPr>
              <w:t>192</w:t>
            </w:r>
            <w:r>
              <w:rPr>
                <w:b/>
                <w:sz w:val="21"/>
                <w:szCs w:val="21"/>
                <w:lang w:val="fr-FR" w:bidi="fr-FR"/>
              </w:rPr>
              <w:t> </w:t>
            </w:r>
            <w:r w:rsidRPr="002D6131">
              <w:rPr>
                <w:b/>
                <w:sz w:val="21"/>
                <w:szCs w:val="21"/>
                <w:lang w:val="fr-FR" w:bidi="fr-FR"/>
              </w:rPr>
              <w:t>100</w:t>
            </w:r>
          </w:p>
        </w:tc>
        <w:tc>
          <w:tcPr>
            <w:tcW w:w="834" w:type="pct"/>
            <w:tcBorders>
              <w:top w:val="nil"/>
              <w:left w:val="nil"/>
              <w:bottom w:val="single" w:sz="4" w:space="0" w:color="auto"/>
              <w:right w:val="single" w:sz="4" w:space="0" w:color="auto"/>
            </w:tcBorders>
            <w:shd w:val="clear" w:color="auto" w:fill="auto"/>
            <w:noWrap/>
          </w:tcPr>
          <w:p w14:paraId="204C5AC3" w14:textId="77777777" w:rsidR="006B5F5C" w:rsidRPr="002D6131" w:rsidRDefault="006B5F5C" w:rsidP="006E3590">
            <w:pPr>
              <w:jc w:val="right"/>
              <w:rPr>
                <w:sz w:val="21"/>
                <w:szCs w:val="21"/>
              </w:rPr>
            </w:pPr>
            <w:r w:rsidRPr="002D6131">
              <w:rPr>
                <w:sz w:val="21"/>
                <w:szCs w:val="21"/>
                <w:lang w:val="fr-FR" w:bidi="fr-FR"/>
              </w:rPr>
              <w:t>0</w:t>
            </w:r>
          </w:p>
        </w:tc>
        <w:tc>
          <w:tcPr>
            <w:tcW w:w="834" w:type="pct"/>
            <w:tcBorders>
              <w:top w:val="nil"/>
              <w:left w:val="nil"/>
              <w:bottom w:val="single" w:sz="4" w:space="0" w:color="auto"/>
              <w:right w:val="single" w:sz="4" w:space="0" w:color="auto"/>
            </w:tcBorders>
            <w:shd w:val="clear" w:color="auto" w:fill="auto"/>
            <w:noWrap/>
          </w:tcPr>
          <w:p w14:paraId="2C42A835" w14:textId="77777777" w:rsidR="006B5F5C" w:rsidRPr="002D6131" w:rsidRDefault="006B5F5C" w:rsidP="006E3590">
            <w:pPr>
              <w:jc w:val="right"/>
              <w:rPr>
                <w:sz w:val="21"/>
                <w:szCs w:val="21"/>
              </w:rPr>
            </w:pPr>
            <w:r w:rsidRPr="002D6131">
              <w:rPr>
                <w:sz w:val="21"/>
                <w:szCs w:val="21"/>
                <w:lang w:val="fr-FR" w:bidi="fr-FR"/>
              </w:rPr>
              <w:t>0</w:t>
            </w:r>
          </w:p>
        </w:tc>
        <w:tc>
          <w:tcPr>
            <w:tcW w:w="833" w:type="pct"/>
            <w:tcBorders>
              <w:top w:val="nil"/>
              <w:left w:val="nil"/>
              <w:bottom w:val="single" w:sz="4" w:space="0" w:color="auto"/>
              <w:right w:val="single" w:sz="4" w:space="0" w:color="auto"/>
            </w:tcBorders>
            <w:shd w:val="clear" w:color="auto" w:fill="auto"/>
            <w:noWrap/>
          </w:tcPr>
          <w:p w14:paraId="143BCA08" w14:textId="77777777" w:rsidR="006B5F5C" w:rsidRPr="002D6131" w:rsidRDefault="006B5F5C" w:rsidP="006E3590">
            <w:pPr>
              <w:jc w:val="right"/>
              <w:rPr>
                <w:sz w:val="21"/>
                <w:szCs w:val="21"/>
              </w:rPr>
            </w:pPr>
            <w:r w:rsidRPr="002D6131">
              <w:rPr>
                <w:b/>
                <w:sz w:val="21"/>
                <w:szCs w:val="21"/>
                <w:lang w:val="fr-FR" w:bidi="fr-FR"/>
              </w:rPr>
              <w:t>192</w:t>
            </w:r>
            <w:r>
              <w:rPr>
                <w:b/>
                <w:sz w:val="21"/>
                <w:szCs w:val="21"/>
                <w:lang w:val="fr-FR" w:bidi="fr-FR"/>
              </w:rPr>
              <w:t> </w:t>
            </w:r>
            <w:r w:rsidRPr="002D6131">
              <w:rPr>
                <w:b/>
                <w:sz w:val="21"/>
                <w:szCs w:val="21"/>
                <w:lang w:val="fr-FR" w:bidi="fr-FR"/>
              </w:rPr>
              <w:t>100</w:t>
            </w:r>
          </w:p>
        </w:tc>
      </w:tr>
      <w:tr w:rsidR="006B5F5C" w:rsidRPr="002D6131" w14:paraId="62942AAD" w14:textId="77777777" w:rsidTr="006E3590">
        <w:tc>
          <w:tcPr>
            <w:tcW w:w="1665" w:type="pct"/>
            <w:tcBorders>
              <w:top w:val="nil"/>
              <w:left w:val="single" w:sz="4" w:space="0" w:color="auto"/>
              <w:bottom w:val="single" w:sz="4" w:space="0" w:color="auto"/>
              <w:right w:val="single" w:sz="4" w:space="0" w:color="auto"/>
            </w:tcBorders>
            <w:shd w:val="clear" w:color="auto" w:fill="auto"/>
            <w:noWrap/>
            <w:vAlign w:val="center"/>
            <w:hideMark/>
          </w:tcPr>
          <w:p w14:paraId="3B45F5F3" w14:textId="77777777" w:rsidR="006B5F5C" w:rsidRPr="002D6131" w:rsidRDefault="006B5F5C" w:rsidP="006E3590">
            <w:pPr>
              <w:jc w:val="left"/>
              <w:rPr>
                <w:b/>
                <w:bCs/>
                <w:sz w:val="21"/>
                <w:szCs w:val="21"/>
                <w:lang w:eastAsia="en-CA"/>
              </w:rPr>
            </w:pPr>
            <w:r w:rsidRPr="002D6131">
              <w:rPr>
                <w:b/>
                <w:sz w:val="21"/>
                <w:szCs w:val="21"/>
                <w:lang w:val="fr-FR" w:bidi="fr-FR"/>
              </w:rPr>
              <w:t>Total</w:t>
            </w:r>
          </w:p>
        </w:tc>
        <w:tc>
          <w:tcPr>
            <w:tcW w:w="834" w:type="pct"/>
            <w:tcBorders>
              <w:top w:val="nil"/>
              <w:left w:val="nil"/>
              <w:bottom w:val="single" w:sz="4" w:space="0" w:color="auto"/>
              <w:right w:val="single" w:sz="4" w:space="0" w:color="auto"/>
            </w:tcBorders>
            <w:shd w:val="clear" w:color="auto" w:fill="auto"/>
            <w:noWrap/>
          </w:tcPr>
          <w:p w14:paraId="05F9328A" w14:textId="77777777" w:rsidR="006B5F5C" w:rsidRPr="002D6131" w:rsidRDefault="006B5F5C" w:rsidP="006E3590">
            <w:pPr>
              <w:jc w:val="right"/>
              <w:rPr>
                <w:b/>
                <w:sz w:val="21"/>
                <w:szCs w:val="21"/>
              </w:rPr>
            </w:pPr>
            <w:r w:rsidRPr="002D6131">
              <w:rPr>
                <w:b/>
                <w:sz w:val="21"/>
                <w:szCs w:val="21"/>
                <w:lang w:val="fr-FR" w:bidi="fr-FR"/>
              </w:rPr>
              <w:t>192</w:t>
            </w:r>
            <w:r>
              <w:rPr>
                <w:b/>
                <w:sz w:val="21"/>
                <w:szCs w:val="21"/>
                <w:lang w:val="fr-FR" w:bidi="fr-FR"/>
              </w:rPr>
              <w:t> </w:t>
            </w:r>
            <w:r w:rsidRPr="002D6131">
              <w:rPr>
                <w:b/>
                <w:sz w:val="21"/>
                <w:szCs w:val="21"/>
                <w:lang w:val="fr-FR" w:bidi="fr-FR"/>
              </w:rPr>
              <w:t>100</w:t>
            </w:r>
          </w:p>
        </w:tc>
        <w:tc>
          <w:tcPr>
            <w:tcW w:w="834" w:type="pct"/>
            <w:tcBorders>
              <w:top w:val="nil"/>
              <w:left w:val="nil"/>
              <w:bottom w:val="single" w:sz="4" w:space="0" w:color="auto"/>
              <w:right w:val="single" w:sz="4" w:space="0" w:color="auto"/>
            </w:tcBorders>
            <w:shd w:val="clear" w:color="auto" w:fill="auto"/>
            <w:noWrap/>
          </w:tcPr>
          <w:p w14:paraId="441481A5" w14:textId="77777777" w:rsidR="006B5F5C" w:rsidRPr="002D6131" w:rsidRDefault="006B5F5C" w:rsidP="006E3590">
            <w:pPr>
              <w:jc w:val="right"/>
              <w:rPr>
                <w:b/>
                <w:sz w:val="21"/>
                <w:szCs w:val="21"/>
              </w:rPr>
            </w:pPr>
            <w:r w:rsidRPr="002D6131">
              <w:rPr>
                <w:b/>
                <w:sz w:val="21"/>
                <w:szCs w:val="21"/>
                <w:lang w:val="fr-FR" w:bidi="fr-FR"/>
              </w:rPr>
              <w:t>0</w:t>
            </w:r>
          </w:p>
        </w:tc>
        <w:tc>
          <w:tcPr>
            <w:tcW w:w="834" w:type="pct"/>
            <w:tcBorders>
              <w:top w:val="nil"/>
              <w:left w:val="nil"/>
              <w:bottom w:val="single" w:sz="4" w:space="0" w:color="auto"/>
              <w:right w:val="single" w:sz="4" w:space="0" w:color="auto"/>
            </w:tcBorders>
            <w:shd w:val="clear" w:color="auto" w:fill="auto"/>
            <w:noWrap/>
          </w:tcPr>
          <w:p w14:paraId="61BE628B" w14:textId="77777777" w:rsidR="006B5F5C" w:rsidRPr="002D6131" w:rsidRDefault="006B5F5C" w:rsidP="006E3590">
            <w:pPr>
              <w:jc w:val="right"/>
              <w:rPr>
                <w:b/>
                <w:sz w:val="21"/>
                <w:szCs w:val="21"/>
              </w:rPr>
            </w:pPr>
            <w:r w:rsidRPr="002D6131">
              <w:rPr>
                <w:b/>
                <w:sz w:val="21"/>
                <w:szCs w:val="21"/>
                <w:lang w:val="fr-FR" w:bidi="fr-FR"/>
              </w:rPr>
              <w:t>0</w:t>
            </w:r>
          </w:p>
        </w:tc>
        <w:tc>
          <w:tcPr>
            <w:tcW w:w="833" w:type="pct"/>
            <w:tcBorders>
              <w:top w:val="nil"/>
              <w:left w:val="nil"/>
              <w:bottom w:val="single" w:sz="4" w:space="0" w:color="auto"/>
              <w:right w:val="single" w:sz="4" w:space="0" w:color="auto"/>
            </w:tcBorders>
            <w:shd w:val="clear" w:color="auto" w:fill="auto"/>
            <w:noWrap/>
          </w:tcPr>
          <w:p w14:paraId="5FD752E6" w14:textId="77777777" w:rsidR="006B5F5C" w:rsidRPr="002D6131" w:rsidRDefault="006B5F5C" w:rsidP="006E3590">
            <w:pPr>
              <w:jc w:val="right"/>
              <w:rPr>
                <w:b/>
                <w:sz w:val="21"/>
                <w:szCs w:val="21"/>
              </w:rPr>
            </w:pPr>
            <w:r w:rsidRPr="002D6131">
              <w:rPr>
                <w:b/>
                <w:sz w:val="21"/>
                <w:szCs w:val="21"/>
                <w:lang w:val="fr-FR" w:bidi="fr-FR"/>
              </w:rPr>
              <w:t>192</w:t>
            </w:r>
            <w:r>
              <w:rPr>
                <w:b/>
                <w:sz w:val="21"/>
                <w:szCs w:val="21"/>
                <w:lang w:val="fr-FR" w:bidi="fr-FR"/>
              </w:rPr>
              <w:t> </w:t>
            </w:r>
            <w:r w:rsidRPr="002D6131">
              <w:rPr>
                <w:b/>
                <w:sz w:val="21"/>
                <w:szCs w:val="21"/>
                <w:lang w:val="fr-FR" w:bidi="fr-FR"/>
              </w:rPr>
              <w:t>100</w:t>
            </w:r>
          </w:p>
        </w:tc>
      </w:tr>
    </w:tbl>
    <w:p w14:paraId="693628FB" w14:textId="77777777" w:rsidR="006B5F5C" w:rsidRPr="00E23538" w:rsidRDefault="006B5F5C" w:rsidP="006B5F5C">
      <w:pPr>
        <w:rPr>
          <w:sz w:val="20"/>
          <w:szCs w:val="20"/>
          <w:lang w:val="fr-FR"/>
        </w:rPr>
      </w:pPr>
      <w:r w:rsidRPr="002D6131">
        <w:rPr>
          <w:sz w:val="20"/>
          <w:szCs w:val="20"/>
          <w:lang w:val="fr-FR" w:bidi="fr-FR"/>
        </w:rPr>
        <w:t>* Y compris les coûts d</w:t>
      </w:r>
      <w:r>
        <w:rPr>
          <w:sz w:val="20"/>
          <w:szCs w:val="20"/>
          <w:lang w:val="fr-FR" w:bidi="fr-FR"/>
        </w:rPr>
        <w:t>’</w:t>
      </w:r>
      <w:r w:rsidRPr="002D6131">
        <w:rPr>
          <w:sz w:val="20"/>
          <w:szCs w:val="20"/>
          <w:lang w:val="fr-FR" w:bidi="fr-FR"/>
        </w:rPr>
        <w:t>appui d</w:t>
      </w:r>
      <w:r>
        <w:rPr>
          <w:sz w:val="20"/>
          <w:szCs w:val="20"/>
          <w:lang w:val="fr-FR" w:bidi="fr-FR"/>
        </w:rPr>
        <w:t>’</w:t>
      </w:r>
      <w:r w:rsidRPr="002D6131">
        <w:rPr>
          <w:sz w:val="20"/>
          <w:szCs w:val="20"/>
          <w:lang w:val="fr-FR" w:bidi="fr-FR"/>
        </w:rPr>
        <w:t>agence.</w:t>
      </w:r>
    </w:p>
    <w:p w14:paraId="5DCF01DE" w14:textId="77777777" w:rsidR="006B5F5C" w:rsidRPr="00E23538" w:rsidRDefault="006B5F5C" w:rsidP="006B5F5C">
      <w:pPr>
        <w:rPr>
          <w:sz w:val="20"/>
          <w:szCs w:val="20"/>
          <w:lang w:val="fr-FR"/>
        </w:rPr>
      </w:pPr>
      <w:r w:rsidRPr="002D6131">
        <w:rPr>
          <w:sz w:val="20"/>
          <w:szCs w:val="20"/>
          <w:lang w:val="fr-FR" w:bidi="fr-FR"/>
        </w:rPr>
        <w:t>** Il n</w:t>
      </w:r>
      <w:r>
        <w:rPr>
          <w:sz w:val="20"/>
          <w:szCs w:val="20"/>
          <w:lang w:val="fr-FR" w:bidi="fr-FR"/>
        </w:rPr>
        <w:t>’</w:t>
      </w:r>
      <w:r w:rsidRPr="002D6131">
        <w:rPr>
          <w:sz w:val="20"/>
          <w:szCs w:val="20"/>
          <w:lang w:val="fr-FR" w:bidi="fr-FR"/>
        </w:rPr>
        <w:t>y a pas d</w:t>
      </w:r>
      <w:r>
        <w:rPr>
          <w:sz w:val="20"/>
          <w:szCs w:val="20"/>
          <w:lang w:val="fr-FR" w:bidi="fr-FR"/>
        </w:rPr>
        <w:t>’</w:t>
      </w:r>
      <w:r w:rsidRPr="002D6131">
        <w:rPr>
          <w:sz w:val="20"/>
          <w:szCs w:val="20"/>
          <w:lang w:val="fr-FR" w:bidi="fr-FR"/>
        </w:rPr>
        <w:t>activités après 2024.</w:t>
      </w:r>
    </w:p>
    <w:p w14:paraId="698795EF" w14:textId="77777777" w:rsidR="006B5F5C" w:rsidRPr="00E23538" w:rsidRDefault="006B5F5C" w:rsidP="006B5F5C">
      <w:pPr>
        <w:rPr>
          <w:sz w:val="18"/>
          <w:szCs w:val="18"/>
          <w:lang w:val="fr-FR"/>
        </w:rPr>
      </w:pPr>
    </w:p>
    <w:p w14:paraId="118FEE6F" w14:textId="1C2E383E" w:rsidR="006B5F5C" w:rsidRPr="00E23538" w:rsidRDefault="006B5F5C" w:rsidP="00066442">
      <w:pPr>
        <w:pStyle w:val="Heading1"/>
        <w:rPr>
          <w:lang w:val="fr-FR"/>
        </w:rPr>
      </w:pPr>
      <w:r w:rsidRPr="002D6131">
        <w:rPr>
          <w:lang w:val="fr-FR" w:bidi="fr-FR"/>
        </w:rPr>
        <w:t>Le Royaume-Uni de Grande-Bretagne et d</w:t>
      </w:r>
      <w:r>
        <w:rPr>
          <w:lang w:val="fr-FR" w:bidi="fr-FR"/>
        </w:rPr>
        <w:t>’</w:t>
      </w:r>
      <w:r w:rsidRPr="002D6131">
        <w:rPr>
          <w:lang w:val="fr-FR" w:bidi="fr-FR"/>
        </w:rPr>
        <w:t>Irlande du Nord a prévu 339</w:t>
      </w:r>
      <w:r>
        <w:rPr>
          <w:lang w:val="fr-FR" w:bidi="fr-FR"/>
        </w:rPr>
        <w:t> </w:t>
      </w:r>
      <w:r w:rsidRPr="002D6131">
        <w:rPr>
          <w:lang w:val="fr-FR" w:bidi="fr-FR"/>
        </w:rPr>
        <w:t>000</w:t>
      </w:r>
      <w:r>
        <w:rPr>
          <w:lang w:val="fr-FR" w:bidi="fr-FR"/>
        </w:rPr>
        <w:t> </w:t>
      </w:r>
      <w:r w:rsidRPr="002D6131">
        <w:rPr>
          <w:lang w:val="fr-FR" w:bidi="fr-FR"/>
        </w:rPr>
        <w:t>$ US pour la préparation d’un KIP</w:t>
      </w:r>
      <w:r w:rsidRPr="002D6131">
        <w:rPr>
          <w:rStyle w:val="FootnoteReference"/>
          <w:lang w:val="fr-FR" w:bidi="fr-FR"/>
        </w:rPr>
        <w:footnoteReference w:id="10"/>
      </w:r>
      <w:r w:rsidRPr="002D6131">
        <w:rPr>
          <w:lang w:val="fr-FR" w:bidi="fr-FR"/>
        </w:rPr>
        <w:t xml:space="preserve"> </w:t>
      </w:r>
      <w:r w:rsidR="00295532">
        <w:rPr>
          <w:lang w:val="fr-FR" w:bidi="fr-FR"/>
        </w:rPr>
        <w:t xml:space="preserve">pour </w:t>
      </w:r>
      <w:r w:rsidRPr="002D6131">
        <w:rPr>
          <w:lang w:val="fr-FR" w:bidi="fr-FR"/>
        </w:rPr>
        <w:t xml:space="preserve">un pays (le Honduras). </w:t>
      </w:r>
    </w:p>
    <w:p w14:paraId="59BACE6C" w14:textId="77777777" w:rsidR="006B5F5C" w:rsidRPr="00E23538" w:rsidRDefault="006B5F5C" w:rsidP="00066442">
      <w:pPr>
        <w:keepNext/>
        <w:keepLines/>
        <w:spacing w:after="240"/>
        <w:rPr>
          <w:b/>
          <w:lang w:val="fr-FR"/>
        </w:rPr>
      </w:pPr>
      <w:r w:rsidRPr="002D6131">
        <w:rPr>
          <w:b/>
          <w:lang w:val="fr-FR" w:bidi="fr-FR"/>
        </w:rPr>
        <w:t>Ajustements aux plans d</w:t>
      </w:r>
      <w:r>
        <w:rPr>
          <w:b/>
          <w:lang w:val="fr-FR" w:bidi="fr-FR"/>
        </w:rPr>
        <w:t>’</w:t>
      </w:r>
      <w:r w:rsidRPr="002D6131">
        <w:rPr>
          <w:b/>
          <w:lang w:val="fr-FR" w:bidi="fr-FR"/>
        </w:rPr>
        <w:t>activités des agences bilatérales pour 2022–2024</w:t>
      </w:r>
    </w:p>
    <w:p w14:paraId="54886401" w14:textId="77777777" w:rsidR="006B5F5C" w:rsidRPr="00E23538" w:rsidRDefault="006B5F5C" w:rsidP="00066442">
      <w:pPr>
        <w:pStyle w:val="Heading1"/>
        <w:rPr>
          <w:lang w:val="fr-FR"/>
        </w:rPr>
      </w:pPr>
      <w:r w:rsidRPr="002D6131">
        <w:rPr>
          <w:lang w:val="fr-FR" w:bidi="fr-FR"/>
        </w:rPr>
        <w:t>Les ajustements réalisés sur les plans d</w:t>
      </w:r>
      <w:r>
        <w:rPr>
          <w:lang w:val="fr-FR" w:bidi="fr-FR"/>
        </w:rPr>
        <w:t>’</w:t>
      </w:r>
      <w:r w:rsidRPr="002D6131">
        <w:rPr>
          <w:lang w:val="fr-FR" w:bidi="fr-FR"/>
        </w:rPr>
        <w:t>activités des agences bilatérales pour 2022-2024 ont été basés sur les décisions correspondantes du Comité exécutif. De nouveaux ajustements pourraient s’avérer nécessaires selon la décision prise par les Parties concernant le niveau de reconstitution du Fonds multilatéral pour la période triennale</w:t>
      </w:r>
      <w:r>
        <w:rPr>
          <w:lang w:val="fr-FR" w:bidi="fr-FR"/>
        </w:rPr>
        <w:t> </w:t>
      </w:r>
      <w:r w:rsidRPr="002D6131">
        <w:rPr>
          <w:lang w:val="fr-FR" w:bidi="fr-FR"/>
        </w:rPr>
        <w:t>2021-2023</w:t>
      </w:r>
      <w:r w:rsidRPr="002D6131">
        <w:rPr>
          <w:rStyle w:val="FootnoteReference"/>
          <w:lang w:val="fr-FR" w:bidi="fr-FR"/>
        </w:rPr>
        <w:footnoteReference w:id="11"/>
      </w:r>
      <w:r w:rsidRPr="002D6131">
        <w:rPr>
          <w:lang w:val="fr-FR" w:bidi="fr-FR"/>
        </w:rPr>
        <w:t xml:space="preserve"> </w:t>
      </w:r>
    </w:p>
    <w:p w14:paraId="0F7155B4" w14:textId="77777777" w:rsidR="006B5F5C" w:rsidRPr="00E23538" w:rsidRDefault="006B5F5C" w:rsidP="00066442">
      <w:pPr>
        <w:pStyle w:val="Heading1"/>
        <w:rPr>
          <w:lang w:val="fr-FR"/>
        </w:rPr>
      </w:pPr>
      <w:r w:rsidRPr="002D6131">
        <w:rPr>
          <w:lang w:val="fr-FR" w:bidi="fr-FR"/>
        </w:rPr>
        <w:t>Après réalisation des ajustements proposés ci-dessus, la valeur totale des plans d</w:t>
      </w:r>
      <w:r>
        <w:rPr>
          <w:lang w:val="fr-FR" w:bidi="fr-FR"/>
        </w:rPr>
        <w:t>’</w:t>
      </w:r>
      <w:r w:rsidRPr="002D6131">
        <w:rPr>
          <w:lang w:val="fr-FR" w:bidi="fr-FR"/>
        </w:rPr>
        <w:t>activités des agences bilatérales pour 2022–2024 s’élève à 6</w:t>
      </w:r>
      <w:r>
        <w:rPr>
          <w:lang w:val="fr-FR" w:bidi="fr-FR"/>
        </w:rPr>
        <w:t> 166 </w:t>
      </w:r>
      <w:r w:rsidRPr="002D6131">
        <w:rPr>
          <w:lang w:val="fr-FR" w:bidi="fr-FR"/>
        </w:rPr>
        <w:t>786</w:t>
      </w:r>
      <w:r>
        <w:rPr>
          <w:lang w:val="fr-FR" w:bidi="fr-FR"/>
        </w:rPr>
        <w:t> </w:t>
      </w:r>
      <w:r w:rsidRPr="002D6131">
        <w:rPr>
          <w:lang w:val="fr-FR" w:bidi="fr-FR"/>
        </w:rPr>
        <w:t>$ US, comme indiqué au tableau</w:t>
      </w:r>
      <w:r>
        <w:rPr>
          <w:lang w:val="fr-FR" w:bidi="fr-FR"/>
        </w:rPr>
        <w:t> </w:t>
      </w:r>
      <w:r w:rsidRPr="002D6131">
        <w:rPr>
          <w:lang w:val="fr-FR" w:bidi="fr-FR"/>
        </w:rPr>
        <w:t>9. Ces ajustements ont été reportés dans le plan d</w:t>
      </w:r>
      <w:r>
        <w:rPr>
          <w:lang w:val="fr-FR" w:bidi="fr-FR"/>
        </w:rPr>
        <w:t>’</w:t>
      </w:r>
      <w:r w:rsidRPr="002D6131">
        <w:rPr>
          <w:lang w:val="fr-FR" w:bidi="fr-FR"/>
        </w:rPr>
        <w:t>activités consolidé du Fonds multilatéral pour 2022</w:t>
      </w:r>
      <w:r w:rsidRPr="002D6131">
        <w:rPr>
          <w:b/>
          <w:lang w:val="fr-FR" w:bidi="fr-FR"/>
        </w:rPr>
        <w:t>–</w:t>
      </w:r>
      <w:r w:rsidRPr="002D6131">
        <w:rPr>
          <w:lang w:val="fr-FR" w:bidi="fr-FR"/>
        </w:rPr>
        <w:t>2024.</w:t>
      </w:r>
      <w:r w:rsidRPr="002D6131">
        <w:rPr>
          <w:rStyle w:val="FootnoteReference"/>
          <w:lang w:val="fr-FR" w:bidi="fr-FR"/>
        </w:rPr>
        <w:footnoteReference w:id="12"/>
      </w:r>
    </w:p>
    <w:p w14:paraId="09F19DFB" w14:textId="77777777" w:rsidR="006B5F5C" w:rsidRPr="00E23538" w:rsidRDefault="006B5F5C" w:rsidP="00D26F3E">
      <w:pPr>
        <w:pStyle w:val="Heading1"/>
        <w:keepNext/>
        <w:numPr>
          <w:ilvl w:val="0"/>
          <w:numId w:val="0"/>
        </w:numPr>
        <w:spacing w:after="0"/>
        <w:rPr>
          <w:b/>
          <w:lang w:val="fr-FR"/>
        </w:rPr>
      </w:pPr>
      <w:r w:rsidRPr="002D6131">
        <w:rPr>
          <w:b/>
          <w:lang w:val="fr-FR" w:bidi="fr-FR"/>
        </w:rPr>
        <w:t>Tableau</w:t>
      </w:r>
      <w:r>
        <w:rPr>
          <w:b/>
          <w:lang w:val="fr-FR" w:bidi="fr-FR"/>
        </w:rPr>
        <w:t> </w:t>
      </w:r>
      <w:r w:rsidRPr="002D6131">
        <w:rPr>
          <w:b/>
          <w:lang w:val="fr-FR" w:bidi="fr-FR"/>
        </w:rPr>
        <w:t>9</w:t>
      </w:r>
      <w:r>
        <w:rPr>
          <w:b/>
          <w:lang w:val="fr-FR" w:bidi="fr-FR"/>
        </w:rPr>
        <w:t> </w:t>
      </w:r>
      <w:r w:rsidRPr="002D6131">
        <w:rPr>
          <w:b/>
          <w:lang w:val="fr-FR" w:bidi="fr-FR"/>
        </w:rPr>
        <w:t>: Répartition des ressources dans les plans d</w:t>
      </w:r>
      <w:r>
        <w:rPr>
          <w:b/>
          <w:lang w:val="fr-FR" w:bidi="fr-FR"/>
        </w:rPr>
        <w:t>’</w:t>
      </w:r>
      <w:r w:rsidRPr="002D6131">
        <w:rPr>
          <w:b/>
          <w:lang w:val="fr-FR" w:bidi="fr-FR"/>
        </w:rPr>
        <w:t xml:space="preserve">activités ajustés des agences bilatérales pour 2022–2024 ($ </w:t>
      </w:r>
      <w:proofErr w:type="gramStart"/>
      <w:r w:rsidRPr="002D6131">
        <w:rPr>
          <w:b/>
          <w:lang w:val="fr-FR" w:bidi="fr-FR"/>
        </w:rPr>
        <w:t>US)*</w:t>
      </w:r>
      <w:proofErr w:type="gramEnd"/>
    </w:p>
    <w:tbl>
      <w:tblPr>
        <w:tblW w:w="9355" w:type="dxa"/>
        <w:tblLayout w:type="fixed"/>
        <w:tblLook w:val="04A0" w:firstRow="1" w:lastRow="0" w:firstColumn="1" w:lastColumn="0" w:noHBand="0" w:noVBand="1"/>
      </w:tblPr>
      <w:tblGrid>
        <w:gridCol w:w="3114"/>
        <w:gridCol w:w="1276"/>
        <w:gridCol w:w="1275"/>
        <w:gridCol w:w="1065"/>
        <w:gridCol w:w="1311"/>
        <w:gridCol w:w="1314"/>
      </w:tblGrid>
      <w:tr w:rsidR="006B5F5C" w:rsidRPr="00E71F76" w14:paraId="1721B578" w14:textId="77777777" w:rsidTr="00D26F3E">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5385" w14:textId="77777777" w:rsidR="006B5F5C" w:rsidRPr="00E71F76" w:rsidRDefault="006B5F5C" w:rsidP="00D26F3E">
            <w:pPr>
              <w:keepNext/>
              <w:jc w:val="left"/>
              <w:rPr>
                <w:b/>
                <w:bCs/>
                <w:sz w:val="21"/>
                <w:szCs w:val="21"/>
                <w:lang w:eastAsia="en-CA"/>
              </w:rPr>
            </w:pPr>
            <w:r w:rsidRPr="00E71F76">
              <w:rPr>
                <w:b/>
                <w:sz w:val="21"/>
                <w:szCs w:val="21"/>
                <w:lang w:val="fr-FR" w:bidi="fr-FR"/>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FEC4AC" w14:textId="77777777" w:rsidR="006B5F5C" w:rsidRPr="00E71F76" w:rsidRDefault="006B5F5C" w:rsidP="00D26F3E">
            <w:pPr>
              <w:keepNext/>
              <w:jc w:val="center"/>
              <w:rPr>
                <w:b/>
                <w:bCs/>
                <w:sz w:val="21"/>
                <w:szCs w:val="21"/>
                <w:lang w:eastAsia="en-CA"/>
              </w:rPr>
            </w:pPr>
            <w:r w:rsidRPr="00E71F76">
              <w:rPr>
                <w:b/>
                <w:sz w:val="21"/>
                <w:szCs w:val="21"/>
                <w:lang w:val="fr-FR" w:bidi="fr-FR"/>
              </w:rPr>
              <w:t>2022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CBCC88" w14:textId="77777777" w:rsidR="006B5F5C" w:rsidRPr="00E71F76" w:rsidRDefault="006B5F5C" w:rsidP="00D26F3E">
            <w:pPr>
              <w:keepNext/>
              <w:jc w:val="center"/>
              <w:rPr>
                <w:b/>
                <w:bCs/>
                <w:sz w:val="21"/>
                <w:szCs w:val="21"/>
                <w:lang w:eastAsia="en-CA"/>
              </w:rPr>
            </w:pPr>
            <w:r w:rsidRPr="00E71F76">
              <w:rPr>
                <w:b/>
                <w:sz w:val="21"/>
                <w:szCs w:val="21"/>
                <w:lang w:val="fr-FR" w:bidi="fr-FR"/>
              </w:rPr>
              <w:t>2023</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7A725345" w14:textId="77777777" w:rsidR="006B5F5C" w:rsidRPr="00E71F76" w:rsidRDefault="006B5F5C" w:rsidP="00D26F3E">
            <w:pPr>
              <w:keepNext/>
              <w:jc w:val="center"/>
              <w:rPr>
                <w:b/>
                <w:bCs/>
                <w:sz w:val="21"/>
                <w:szCs w:val="21"/>
                <w:lang w:eastAsia="en-CA"/>
              </w:rPr>
            </w:pPr>
            <w:r w:rsidRPr="00E71F76">
              <w:rPr>
                <w:b/>
                <w:sz w:val="21"/>
                <w:szCs w:val="21"/>
                <w:lang w:val="fr-FR" w:bidi="fr-FR"/>
              </w:rPr>
              <w:t>2024</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EF1846B" w14:textId="77777777" w:rsidR="006B5F5C" w:rsidRPr="00E71F76" w:rsidRDefault="006B5F5C" w:rsidP="00D26F3E">
            <w:pPr>
              <w:keepNext/>
              <w:jc w:val="center"/>
              <w:rPr>
                <w:b/>
                <w:bCs/>
                <w:sz w:val="21"/>
                <w:szCs w:val="21"/>
                <w:lang w:eastAsia="en-CA"/>
              </w:rPr>
            </w:pPr>
            <w:r w:rsidRPr="00E71F76">
              <w:rPr>
                <w:b/>
                <w:sz w:val="21"/>
                <w:szCs w:val="21"/>
                <w:lang w:val="fr-FR" w:bidi="fr-FR"/>
              </w:rPr>
              <w:t xml:space="preserve">Total </w:t>
            </w:r>
          </w:p>
          <w:p w14:paraId="6271A435" w14:textId="77777777" w:rsidR="006B5F5C" w:rsidRPr="00E71F76" w:rsidRDefault="006B5F5C" w:rsidP="00D26F3E">
            <w:pPr>
              <w:keepNext/>
              <w:jc w:val="center"/>
              <w:rPr>
                <w:b/>
                <w:bCs/>
                <w:sz w:val="21"/>
                <w:szCs w:val="21"/>
                <w:lang w:eastAsia="en-CA"/>
              </w:rPr>
            </w:pPr>
            <w:r w:rsidRPr="00E71F76">
              <w:rPr>
                <w:b/>
                <w:sz w:val="21"/>
                <w:szCs w:val="21"/>
                <w:lang w:val="fr-FR" w:bidi="fr-FR"/>
              </w:rPr>
              <w:t>(2022–2024)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CB56CF5" w14:textId="77777777" w:rsidR="006B5F5C" w:rsidRPr="00E71F76" w:rsidRDefault="006B5F5C" w:rsidP="00D26F3E">
            <w:pPr>
              <w:keepNext/>
              <w:jc w:val="center"/>
              <w:rPr>
                <w:b/>
                <w:bCs/>
                <w:sz w:val="21"/>
                <w:szCs w:val="21"/>
                <w:lang w:eastAsia="en-CA"/>
              </w:rPr>
            </w:pPr>
            <w:r w:rsidRPr="00E71F76">
              <w:rPr>
                <w:b/>
                <w:sz w:val="21"/>
                <w:szCs w:val="21"/>
                <w:lang w:val="fr-FR" w:bidi="fr-FR"/>
              </w:rPr>
              <w:t>Total après 2024</w:t>
            </w:r>
          </w:p>
        </w:tc>
      </w:tr>
      <w:tr w:rsidR="006B5F5C" w:rsidRPr="00E71F76" w14:paraId="1AF0CC95" w14:textId="77777777" w:rsidTr="006E3590">
        <w:tc>
          <w:tcPr>
            <w:tcW w:w="9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B747F" w14:textId="77777777" w:rsidR="006B5F5C" w:rsidRPr="00E71F76" w:rsidRDefault="006B5F5C" w:rsidP="00D26F3E">
            <w:pPr>
              <w:keepNext/>
              <w:jc w:val="left"/>
              <w:rPr>
                <w:b/>
                <w:bCs/>
                <w:sz w:val="21"/>
                <w:szCs w:val="21"/>
                <w:lang w:eastAsia="en-CA"/>
              </w:rPr>
            </w:pPr>
            <w:r w:rsidRPr="00E71F76">
              <w:rPr>
                <w:b/>
                <w:sz w:val="21"/>
                <w:szCs w:val="21"/>
                <w:lang w:val="fr-FR" w:bidi="fr-FR"/>
              </w:rPr>
              <w:t>Activités relatives aux HCFC</w:t>
            </w:r>
          </w:p>
        </w:tc>
      </w:tr>
      <w:tr w:rsidR="006B5F5C" w:rsidRPr="00E71F76" w14:paraId="3148A218"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2E53C8F" w14:textId="77777777" w:rsidR="006B5F5C" w:rsidRPr="00E71F76" w:rsidRDefault="006B5F5C" w:rsidP="00D26F3E">
            <w:pPr>
              <w:keepNext/>
              <w:jc w:val="left"/>
              <w:rPr>
                <w:sz w:val="21"/>
                <w:szCs w:val="21"/>
                <w:lang w:eastAsia="en-CA"/>
              </w:rPr>
            </w:pPr>
            <w:r w:rsidRPr="00E71F76">
              <w:rPr>
                <w:sz w:val="21"/>
                <w:szCs w:val="21"/>
                <w:lang w:val="fr-FR" w:bidi="fr-FR"/>
              </w:rPr>
              <w:t>PGEH approuvés</w:t>
            </w:r>
          </w:p>
        </w:tc>
        <w:tc>
          <w:tcPr>
            <w:tcW w:w="1276" w:type="dxa"/>
            <w:tcBorders>
              <w:top w:val="nil"/>
              <w:left w:val="nil"/>
              <w:bottom w:val="single" w:sz="4" w:space="0" w:color="auto"/>
              <w:right w:val="single" w:sz="4" w:space="0" w:color="auto"/>
            </w:tcBorders>
            <w:shd w:val="clear" w:color="auto" w:fill="auto"/>
            <w:noWrap/>
            <w:vAlign w:val="center"/>
            <w:hideMark/>
          </w:tcPr>
          <w:p w14:paraId="4F510EEB" w14:textId="77777777" w:rsidR="006B5F5C" w:rsidRPr="00E71F76" w:rsidRDefault="006B5F5C" w:rsidP="00D26F3E">
            <w:pPr>
              <w:keepNext/>
              <w:jc w:val="right"/>
              <w:rPr>
                <w:sz w:val="21"/>
                <w:szCs w:val="21"/>
                <w:lang w:eastAsia="en-CA"/>
              </w:rPr>
            </w:pPr>
            <w:r w:rsidRPr="00E71F76">
              <w:rPr>
                <w:b/>
                <w:sz w:val="21"/>
                <w:szCs w:val="21"/>
                <w:lang w:val="fr-FR" w:bidi="fr-FR"/>
              </w:rPr>
              <w:t>2</w:t>
            </w:r>
            <w:r>
              <w:rPr>
                <w:b/>
                <w:sz w:val="21"/>
                <w:szCs w:val="21"/>
                <w:lang w:val="fr-FR" w:bidi="fr-FR"/>
              </w:rPr>
              <w:t> 307 </w:t>
            </w:r>
            <w:r w:rsidRPr="00E71F76">
              <w:rPr>
                <w:b/>
                <w:sz w:val="21"/>
                <w:szCs w:val="21"/>
                <w:lang w:val="fr-FR" w:bidi="fr-FR"/>
              </w:rPr>
              <w:t>607</w:t>
            </w:r>
          </w:p>
        </w:tc>
        <w:tc>
          <w:tcPr>
            <w:tcW w:w="1275" w:type="dxa"/>
            <w:tcBorders>
              <w:top w:val="nil"/>
              <w:left w:val="nil"/>
              <w:bottom w:val="single" w:sz="4" w:space="0" w:color="auto"/>
              <w:right w:val="single" w:sz="4" w:space="0" w:color="auto"/>
            </w:tcBorders>
            <w:shd w:val="clear" w:color="auto" w:fill="auto"/>
            <w:noWrap/>
            <w:vAlign w:val="center"/>
            <w:hideMark/>
          </w:tcPr>
          <w:p w14:paraId="73B62675" w14:textId="77777777" w:rsidR="006B5F5C" w:rsidRPr="00E71F76" w:rsidRDefault="006B5F5C" w:rsidP="00D26F3E">
            <w:pPr>
              <w:keepNext/>
              <w:jc w:val="right"/>
              <w:rPr>
                <w:sz w:val="21"/>
                <w:szCs w:val="21"/>
                <w:lang w:eastAsia="en-CA"/>
              </w:rPr>
            </w:pPr>
            <w:r w:rsidRPr="00E71F76">
              <w:rPr>
                <w:b/>
                <w:sz w:val="21"/>
                <w:szCs w:val="21"/>
                <w:lang w:val="fr-FR" w:bidi="fr-FR"/>
              </w:rPr>
              <w:t>2</w:t>
            </w:r>
            <w:r>
              <w:rPr>
                <w:b/>
                <w:sz w:val="21"/>
                <w:szCs w:val="21"/>
                <w:lang w:val="fr-FR" w:bidi="fr-FR"/>
              </w:rPr>
              <w:t> 675 </w:t>
            </w:r>
            <w:r w:rsidRPr="00E71F76">
              <w:rPr>
                <w:b/>
                <w:sz w:val="21"/>
                <w:szCs w:val="21"/>
                <w:lang w:val="fr-FR" w:bidi="fr-FR"/>
              </w:rPr>
              <w:t>917</w:t>
            </w:r>
          </w:p>
        </w:tc>
        <w:tc>
          <w:tcPr>
            <w:tcW w:w="1065" w:type="dxa"/>
            <w:tcBorders>
              <w:top w:val="nil"/>
              <w:left w:val="nil"/>
              <w:bottom w:val="single" w:sz="4" w:space="0" w:color="auto"/>
              <w:right w:val="single" w:sz="4" w:space="0" w:color="auto"/>
            </w:tcBorders>
            <w:shd w:val="clear" w:color="auto" w:fill="auto"/>
            <w:noWrap/>
            <w:vAlign w:val="center"/>
            <w:hideMark/>
          </w:tcPr>
          <w:p w14:paraId="2DEE5595" w14:textId="77777777" w:rsidR="006B5F5C" w:rsidRPr="00E71F76" w:rsidRDefault="006B5F5C" w:rsidP="00D26F3E">
            <w:pPr>
              <w:keepNext/>
              <w:jc w:val="right"/>
              <w:rPr>
                <w:sz w:val="21"/>
                <w:szCs w:val="21"/>
                <w:lang w:eastAsia="en-CA"/>
              </w:rPr>
            </w:pPr>
            <w:r w:rsidRPr="00E71F76">
              <w:rPr>
                <w:sz w:val="21"/>
                <w:szCs w:val="21"/>
                <w:lang w:val="fr-FR" w:bidi="fr-FR"/>
              </w:rPr>
              <w:t>183</w:t>
            </w:r>
            <w:r>
              <w:rPr>
                <w:sz w:val="21"/>
                <w:szCs w:val="21"/>
                <w:lang w:val="fr-FR" w:bidi="fr-FR"/>
              </w:rPr>
              <w:t> </w:t>
            </w:r>
            <w:r w:rsidRPr="00E71F76">
              <w:rPr>
                <w:sz w:val="21"/>
                <w:szCs w:val="21"/>
                <w:lang w:val="fr-FR" w:bidi="fr-FR"/>
              </w:rPr>
              <w:t>512</w:t>
            </w:r>
          </w:p>
        </w:tc>
        <w:tc>
          <w:tcPr>
            <w:tcW w:w="1311" w:type="dxa"/>
            <w:tcBorders>
              <w:top w:val="nil"/>
              <w:left w:val="nil"/>
              <w:bottom w:val="single" w:sz="4" w:space="0" w:color="auto"/>
              <w:right w:val="single" w:sz="4" w:space="0" w:color="auto"/>
            </w:tcBorders>
            <w:shd w:val="clear" w:color="auto" w:fill="auto"/>
            <w:noWrap/>
            <w:vAlign w:val="center"/>
            <w:hideMark/>
          </w:tcPr>
          <w:p w14:paraId="2B56115E" w14:textId="77777777" w:rsidR="006B5F5C" w:rsidRPr="00E71F76" w:rsidRDefault="006B5F5C" w:rsidP="00D26F3E">
            <w:pPr>
              <w:keepNext/>
              <w:jc w:val="right"/>
              <w:rPr>
                <w:sz w:val="21"/>
                <w:szCs w:val="21"/>
                <w:lang w:eastAsia="en-CA"/>
              </w:rPr>
            </w:pPr>
            <w:r w:rsidRPr="00E71F76">
              <w:rPr>
                <w:b/>
                <w:sz w:val="21"/>
                <w:szCs w:val="21"/>
                <w:lang w:val="fr-FR" w:bidi="fr-FR"/>
              </w:rPr>
              <w:t>5</w:t>
            </w:r>
            <w:r>
              <w:rPr>
                <w:b/>
                <w:sz w:val="21"/>
                <w:szCs w:val="21"/>
                <w:lang w:val="fr-FR" w:bidi="fr-FR"/>
              </w:rPr>
              <w:t> 167 </w:t>
            </w:r>
            <w:r w:rsidRPr="00E71F76">
              <w:rPr>
                <w:b/>
                <w:sz w:val="21"/>
                <w:szCs w:val="21"/>
                <w:lang w:val="fr-FR" w:bidi="fr-FR"/>
              </w:rPr>
              <w:t>036</w:t>
            </w:r>
          </w:p>
        </w:tc>
        <w:tc>
          <w:tcPr>
            <w:tcW w:w="1314" w:type="dxa"/>
            <w:tcBorders>
              <w:top w:val="nil"/>
              <w:left w:val="nil"/>
              <w:bottom w:val="single" w:sz="4" w:space="0" w:color="auto"/>
              <w:right w:val="single" w:sz="4" w:space="0" w:color="auto"/>
            </w:tcBorders>
            <w:shd w:val="clear" w:color="auto" w:fill="auto"/>
            <w:noWrap/>
            <w:vAlign w:val="center"/>
            <w:hideMark/>
          </w:tcPr>
          <w:p w14:paraId="1FE50DA1" w14:textId="77777777" w:rsidR="006B5F5C" w:rsidRPr="00E71F76" w:rsidRDefault="006B5F5C" w:rsidP="00D26F3E">
            <w:pPr>
              <w:keepNext/>
              <w:jc w:val="right"/>
              <w:rPr>
                <w:sz w:val="21"/>
                <w:szCs w:val="21"/>
                <w:lang w:eastAsia="en-CA"/>
              </w:rPr>
            </w:pPr>
            <w:r w:rsidRPr="00E71F76">
              <w:rPr>
                <w:sz w:val="21"/>
                <w:szCs w:val="21"/>
                <w:lang w:val="fr-FR" w:bidi="fr-FR"/>
              </w:rPr>
              <w:t>829</w:t>
            </w:r>
            <w:r>
              <w:rPr>
                <w:sz w:val="21"/>
                <w:szCs w:val="21"/>
                <w:lang w:val="fr-FR" w:bidi="fr-FR"/>
              </w:rPr>
              <w:t> </w:t>
            </w:r>
            <w:r w:rsidRPr="00E71F76">
              <w:rPr>
                <w:sz w:val="21"/>
                <w:szCs w:val="21"/>
                <w:lang w:val="fr-FR" w:bidi="fr-FR"/>
              </w:rPr>
              <w:t>226</w:t>
            </w:r>
          </w:p>
        </w:tc>
      </w:tr>
      <w:tr w:rsidR="006B5F5C" w:rsidRPr="00E71F76" w14:paraId="022872FD"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7F4CEF" w14:textId="77777777" w:rsidR="006B5F5C" w:rsidRPr="00E71F76" w:rsidRDefault="006B5F5C" w:rsidP="00D26F3E">
            <w:pPr>
              <w:keepNext/>
              <w:jc w:val="left"/>
              <w:rPr>
                <w:sz w:val="21"/>
                <w:szCs w:val="21"/>
                <w:lang w:eastAsia="en-CA"/>
              </w:rPr>
            </w:pPr>
            <w:r w:rsidRPr="00E71F76">
              <w:rPr>
                <w:sz w:val="21"/>
                <w:szCs w:val="21"/>
                <w:lang w:val="fr-FR" w:bidi="fr-FR"/>
              </w:rPr>
              <w:t>PGEH - phase</w:t>
            </w:r>
            <w:r>
              <w:rPr>
                <w:sz w:val="21"/>
                <w:szCs w:val="21"/>
                <w:lang w:val="fr-FR" w:bidi="fr-FR"/>
              </w:rPr>
              <w:t> </w:t>
            </w:r>
            <w:r w:rsidRPr="00E71F76">
              <w:rPr>
                <w:sz w:val="21"/>
                <w:szCs w:val="21"/>
                <w:lang w:val="fr-FR" w:bidi="fr-FR"/>
              </w:rPr>
              <w:t>III</w:t>
            </w:r>
          </w:p>
        </w:tc>
        <w:tc>
          <w:tcPr>
            <w:tcW w:w="1276" w:type="dxa"/>
            <w:tcBorders>
              <w:top w:val="nil"/>
              <w:left w:val="nil"/>
              <w:bottom w:val="single" w:sz="4" w:space="0" w:color="auto"/>
              <w:right w:val="single" w:sz="4" w:space="0" w:color="auto"/>
            </w:tcBorders>
            <w:shd w:val="clear" w:color="auto" w:fill="auto"/>
            <w:noWrap/>
            <w:vAlign w:val="center"/>
            <w:hideMark/>
          </w:tcPr>
          <w:p w14:paraId="10B73AFA"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5E4D9A" w14:textId="77777777" w:rsidR="006B5F5C" w:rsidRPr="00E71F76" w:rsidRDefault="006B5F5C" w:rsidP="00D26F3E">
            <w:pPr>
              <w:keepNext/>
              <w:jc w:val="right"/>
              <w:rPr>
                <w:sz w:val="21"/>
                <w:szCs w:val="21"/>
                <w:lang w:eastAsia="en-CA"/>
              </w:rPr>
            </w:pPr>
            <w:r w:rsidRPr="00E71F76">
              <w:rPr>
                <w:b/>
                <w:sz w:val="21"/>
                <w:szCs w:val="21"/>
                <w:lang w:val="fr-FR" w:bidi="fr-FR"/>
              </w:rPr>
              <w:t>422</w:t>
            </w:r>
            <w:r>
              <w:rPr>
                <w:b/>
                <w:sz w:val="21"/>
                <w:szCs w:val="21"/>
                <w:lang w:val="fr-FR" w:bidi="fr-FR"/>
              </w:rPr>
              <w:t> </w:t>
            </w:r>
            <w:r w:rsidRPr="00E71F76">
              <w:rPr>
                <w:b/>
                <w:sz w:val="21"/>
                <w:szCs w:val="21"/>
                <w:lang w:val="fr-FR" w:bidi="fr-FR"/>
              </w:rPr>
              <w:t>650</w:t>
            </w:r>
          </w:p>
        </w:tc>
        <w:tc>
          <w:tcPr>
            <w:tcW w:w="1065" w:type="dxa"/>
            <w:tcBorders>
              <w:top w:val="nil"/>
              <w:left w:val="nil"/>
              <w:bottom w:val="single" w:sz="4" w:space="0" w:color="auto"/>
              <w:right w:val="single" w:sz="4" w:space="0" w:color="auto"/>
            </w:tcBorders>
            <w:shd w:val="clear" w:color="auto" w:fill="auto"/>
            <w:noWrap/>
            <w:vAlign w:val="center"/>
            <w:hideMark/>
          </w:tcPr>
          <w:p w14:paraId="1CD40369"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311" w:type="dxa"/>
            <w:tcBorders>
              <w:top w:val="nil"/>
              <w:left w:val="nil"/>
              <w:bottom w:val="single" w:sz="4" w:space="0" w:color="auto"/>
              <w:right w:val="single" w:sz="4" w:space="0" w:color="auto"/>
            </w:tcBorders>
            <w:shd w:val="clear" w:color="auto" w:fill="auto"/>
            <w:noWrap/>
            <w:vAlign w:val="center"/>
            <w:hideMark/>
          </w:tcPr>
          <w:p w14:paraId="0C938D4B" w14:textId="77777777" w:rsidR="006B5F5C" w:rsidRPr="00E71F76" w:rsidRDefault="006B5F5C" w:rsidP="00D26F3E">
            <w:pPr>
              <w:keepNext/>
              <w:jc w:val="right"/>
              <w:rPr>
                <w:sz w:val="21"/>
                <w:szCs w:val="21"/>
                <w:lang w:eastAsia="en-CA"/>
              </w:rPr>
            </w:pPr>
            <w:r w:rsidRPr="00E71F76">
              <w:rPr>
                <w:b/>
                <w:sz w:val="21"/>
                <w:szCs w:val="21"/>
                <w:lang w:val="fr-FR" w:bidi="fr-FR"/>
              </w:rPr>
              <w:t>422</w:t>
            </w:r>
            <w:r>
              <w:rPr>
                <w:b/>
                <w:sz w:val="21"/>
                <w:szCs w:val="21"/>
                <w:lang w:val="fr-FR" w:bidi="fr-FR"/>
              </w:rPr>
              <w:t> </w:t>
            </w:r>
            <w:r w:rsidRPr="00E71F76">
              <w:rPr>
                <w:b/>
                <w:sz w:val="21"/>
                <w:szCs w:val="21"/>
                <w:lang w:val="fr-FR" w:bidi="fr-FR"/>
              </w:rPr>
              <w:t>650</w:t>
            </w:r>
          </w:p>
        </w:tc>
        <w:tc>
          <w:tcPr>
            <w:tcW w:w="1314" w:type="dxa"/>
            <w:tcBorders>
              <w:top w:val="nil"/>
              <w:left w:val="nil"/>
              <w:bottom w:val="single" w:sz="4" w:space="0" w:color="auto"/>
              <w:right w:val="single" w:sz="4" w:space="0" w:color="auto"/>
            </w:tcBorders>
            <w:shd w:val="clear" w:color="auto" w:fill="auto"/>
            <w:noWrap/>
            <w:vAlign w:val="center"/>
            <w:hideMark/>
          </w:tcPr>
          <w:p w14:paraId="13A027ED" w14:textId="77777777" w:rsidR="006B5F5C" w:rsidRPr="00E71F76" w:rsidRDefault="006B5F5C" w:rsidP="00D26F3E">
            <w:pPr>
              <w:keepNext/>
              <w:jc w:val="right"/>
              <w:rPr>
                <w:sz w:val="21"/>
                <w:szCs w:val="21"/>
                <w:lang w:eastAsia="en-CA"/>
              </w:rPr>
            </w:pPr>
            <w:r w:rsidRPr="00E71F76">
              <w:rPr>
                <w:sz w:val="21"/>
                <w:szCs w:val="21"/>
                <w:lang w:val="fr-FR" w:bidi="fr-FR"/>
              </w:rPr>
              <w:t> </w:t>
            </w:r>
          </w:p>
        </w:tc>
      </w:tr>
      <w:tr w:rsidR="006B5F5C" w:rsidRPr="00E71F76" w14:paraId="7B76D4E7"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4CFF6C0" w14:textId="77777777" w:rsidR="006B5F5C" w:rsidRPr="00E71F76" w:rsidRDefault="006B5F5C" w:rsidP="00D26F3E">
            <w:pPr>
              <w:keepNext/>
              <w:jc w:val="left"/>
              <w:rPr>
                <w:sz w:val="21"/>
                <w:szCs w:val="21"/>
                <w:lang w:eastAsia="en-CA"/>
              </w:rPr>
            </w:pPr>
            <w:r w:rsidRPr="00E71F76">
              <w:rPr>
                <w:sz w:val="21"/>
                <w:szCs w:val="21"/>
                <w:lang w:val="fr-FR" w:bidi="fr-FR"/>
              </w:rPr>
              <w:t>Vérification du PGEH</w:t>
            </w:r>
          </w:p>
        </w:tc>
        <w:tc>
          <w:tcPr>
            <w:tcW w:w="1276" w:type="dxa"/>
            <w:tcBorders>
              <w:top w:val="nil"/>
              <w:left w:val="nil"/>
              <w:bottom w:val="single" w:sz="4" w:space="0" w:color="auto"/>
              <w:right w:val="single" w:sz="4" w:space="0" w:color="auto"/>
            </w:tcBorders>
            <w:shd w:val="clear" w:color="auto" w:fill="auto"/>
            <w:noWrap/>
            <w:vAlign w:val="center"/>
            <w:hideMark/>
          </w:tcPr>
          <w:p w14:paraId="193A0F5A"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6BB3E1" w14:textId="77777777" w:rsidR="006B5F5C" w:rsidRPr="00E71F76" w:rsidRDefault="006B5F5C" w:rsidP="00D26F3E">
            <w:pPr>
              <w:keepNext/>
              <w:jc w:val="right"/>
              <w:rPr>
                <w:sz w:val="21"/>
                <w:szCs w:val="21"/>
                <w:lang w:eastAsia="en-CA"/>
              </w:rPr>
            </w:pPr>
            <w:r w:rsidRPr="00E71F76">
              <w:rPr>
                <w:sz w:val="21"/>
                <w:szCs w:val="21"/>
                <w:lang w:val="fr-FR" w:bidi="fr-FR"/>
              </w:rPr>
              <w:t>0</w:t>
            </w:r>
          </w:p>
        </w:tc>
        <w:tc>
          <w:tcPr>
            <w:tcW w:w="1065" w:type="dxa"/>
            <w:tcBorders>
              <w:top w:val="nil"/>
              <w:left w:val="nil"/>
              <w:bottom w:val="single" w:sz="4" w:space="0" w:color="auto"/>
              <w:right w:val="single" w:sz="4" w:space="0" w:color="auto"/>
            </w:tcBorders>
            <w:shd w:val="clear" w:color="auto" w:fill="auto"/>
            <w:noWrap/>
            <w:vAlign w:val="center"/>
            <w:hideMark/>
          </w:tcPr>
          <w:p w14:paraId="35E0A3D1"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311" w:type="dxa"/>
            <w:tcBorders>
              <w:top w:val="nil"/>
              <w:left w:val="nil"/>
              <w:bottom w:val="single" w:sz="4" w:space="0" w:color="auto"/>
              <w:right w:val="single" w:sz="4" w:space="0" w:color="auto"/>
            </w:tcBorders>
            <w:shd w:val="clear" w:color="auto" w:fill="auto"/>
            <w:noWrap/>
            <w:vAlign w:val="center"/>
            <w:hideMark/>
          </w:tcPr>
          <w:p w14:paraId="05F9640B" w14:textId="77777777" w:rsidR="006B5F5C" w:rsidRPr="00E71F76" w:rsidRDefault="006B5F5C" w:rsidP="00D26F3E">
            <w:pPr>
              <w:keepNext/>
              <w:jc w:val="right"/>
              <w:rPr>
                <w:sz w:val="21"/>
                <w:szCs w:val="21"/>
                <w:lang w:eastAsia="en-CA"/>
              </w:rPr>
            </w:pPr>
            <w:r w:rsidRPr="00E71F76">
              <w:rPr>
                <w:sz w:val="21"/>
                <w:szCs w:val="21"/>
                <w:lang w:val="fr-FR" w:bidi="fr-FR"/>
              </w:rPr>
              <w:t>0</w:t>
            </w:r>
          </w:p>
        </w:tc>
        <w:tc>
          <w:tcPr>
            <w:tcW w:w="1314" w:type="dxa"/>
            <w:tcBorders>
              <w:top w:val="nil"/>
              <w:left w:val="nil"/>
              <w:bottom w:val="single" w:sz="4" w:space="0" w:color="auto"/>
              <w:right w:val="single" w:sz="4" w:space="0" w:color="auto"/>
            </w:tcBorders>
            <w:shd w:val="clear" w:color="auto" w:fill="auto"/>
            <w:noWrap/>
            <w:vAlign w:val="center"/>
            <w:hideMark/>
          </w:tcPr>
          <w:p w14:paraId="4B7FA8AD" w14:textId="77777777" w:rsidR="006B5F5C" w:rsidRPr="00E71F76" w:rsidRDefault="006B5F5C" w:rsidP="00D26F3E">
            <w:pPr>
              <w:keepNext/>
              <w:jc w:val="right"/>
              <w:rPr>
                <w:sz w:val="21"/>
                <w:szCs w:val="21"/>
                <w:lang w:eastAsia="en-CA"/>
              </w:rPr>
            </w:pPr>
            <w:r w:rsidRPr="00E71F76">
              <w:rPr>
                <w:sz w:val="21"/>
                <w:szCs w:val="21"/>
                <w:lang w:val="fr-FR" w:bidi="fr-FR"/>
              </w:rPr>
              <w:t> </w:t>
            </w:r>
          </w:p>
        </w:tc>
      </w:tr>
      <w:tr w:rsidR="006B5F5C" w:rsidRPr="00E71F76" w14:paraId="4AF8851C"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8D29CE1" w14:textId="77777777" w:rsidR="006B5F5C" w:rsidRPr="00E23538" w:rsidRDefault="006B5F5C" w:rsidP="00D26F3E">
            <w:pPr>
              <w:keepNext/>
              <w:jc w:val="left"/>
              <w:rPr>
                <w:b/>
                <w:bCs/>
                <w:sz w:val="21"/>
                <w:szCs w:val="21"/>
                <w:lang w:val="fr-FR" w:eastAsia="en-CA"/>
              </w:rPr>
            </w:pPr>
            <w:r w:rsidRPr="00E71F76">
              <w:rPr>
                <w:b/>
                <w:sz w:val="21"/>
                <w:szCs w:val="21"/>
                <w:lang w:val="fr-FR" w:bidi="fr-FR"/>
              </w:rPr>
              <w:t>Sous-total des activités liées aux HCFC</w:t>
            </w:r>
          </w:p>
        </w:tc>
        <w:tc>
          <w:tcPr>
            <w:tcW w:w="1276" w:type="dxa"/>
            <w:tcBorders>
              <w:top w:val="nil"/>
              <w:left w:val="nil"/>
              <w:bottom w:val="single" w:sz="4" w:space="0" w:color="auto"/>
              <w:right w:val="single" w:sz="4" w:space="0" w:color="auto"/>
            </w:tcBorders>
            <w:shd w:val="clear" w:color="auto" w:fill="auto"/>
            <w:noWrap/>
            <w:vAlign w:val="center"/>
            <w:hideMark/>
          </w:tcPr>
          <w:p w14:paraId="62D91A0F" w14:textId="77777777" w:rsidR="006B5F5C" w:rsidRPr="00E71F76" w:rsidRDefault="006B5F5C" w:rsidP="00D26F3E">
            <w:pPr>
              <w:keepNext/>
              <w:jc w:val="right"/>
              <w:rPr>
                <w:b/>
                <w:bCs/>
                <w:sz w:val="21"/>
                <w:szCs w:val="21"/>
                <w:lang w:eastAsia="en-CA"/>
              </w:rPr>
            </w:pPr>
            <w:r w:rsidRPr="00E71F76">
              <w:rPr>
                <w:b/>
                <w:sz w:val="21"/>
                <w:szCs w:val="21"/>
                <w:lang w:val="fr-FR" w:bidi="fr-FR"/>
              </w:rPr>
              <w:t>2</w:t>
            </w:r>
            <w:r>
              <w:rPr>
                <w:b/>
                <w:sz w:val="21"/>
                <w:szCs w:val="21"/>
                <w:lang w:val="fr-FR" w:bidi="fr-FR"/>
              </w:rPr>
              <w:t> 307 </w:t>
            </w:r>
            <w:r w:rsidRPr="00E71F76">
              <w:rPr>
                <w:b/>
                <w:sz w:val="21"/>
                <w:szCs w:val="21"/>
                <w:lang w:val="fr-FR" w:bidi="fr-FR"/>
              </w:rPr>
              <w:t>607</w:t>
            </w:r>
          </w:p>
        </w:tc>
        <w:tc>
          <w:tcPr>
            <w:tcW w:w="1275" w:type="dxa"/>
            <w:tcBorders>
              <w:top w:val="nil"/>
              <w:left w:val="nil"/>
              <w:bottom w:val="single" w:sz="4" w:space="0" w:color="auto"/>
              <w:right w:val="single" w:sz="4" w:space="0" w:color="auto"/>
            </w:tcBorders>
            <w:shd w:val="clear" w:color="auto" w:fill="auto"/>
            <w:noWrap/>
            <w:vAlign w:val="center"/>
            <w:hideMark/>
          </w:tcPr>
          <w:p w14:paraId="3DC9A5BD" w14:textId="77777777" w:rsidR="006B5F5C" w:rsidRPr="00E71F76" w:rsidRDefault="006B5F5C" w:rsidP="00D26F3E">
            <w:pPr>
              <w:keepNext/>
              <w:jc w:val="right"/>
              <w:rPr>
                <w:b/>
                <w:bCs/>
                <w:sz w:val="21"/>
                <w:szCs w:val="21"/>
                <w:lang w:eastAsia="en-CA"/>
              </w:rPr>
            </w:pPr>
            <w:r w:rsidRPr="00E71F76">
              <w:rPr>
                <w:b/>
                <w:sz w:val="21"/>
                <w:szCs w:val="21"/>
                <w:lang w:val="fr-FR" w:bidi="fr-FR"/>
              </w:rPr>
              <w:t>3</w:t>
            </w:r>
            <w:r>
              <w:rPr>
                <w:b/>
                <w:sz w:val="21"/>
                <w:szCs w:val="21"/>
                <w:lang w:val="fr-FR" w:bidi="fr-FR"/>
              </w:rPr>
              <w:t> 098 </w:t>
            </w:r>
            <w:r w:rsidRPr="00E71F76">
              <w:rPr>
                <w:b/>
                <w:sz w:val="21"/>
                <w:szCs w:val="21"/>
                <w:lang w:val="fr-FR" w:bidi="fr-FR"/>
              </w:rPr>
              <w:t>567</w:t>
            </w:r>
          </w:p>
        </w:tc>
        <w:tc>
          <w:tcPr>
            <w:tcW w:w="1065" w:type="dxa"/>
            <w:tcBorders>
              <w:top w:val="nil"/>
              <w:left w:val="nil"/>
              <w:bottom w:val="single" w:sz="4" w:space="0" w:color="auto"/>
              <w:right w:val="single" w:sz="4" w:space="0" w:color="auto"/>
            </w:tcBorders>
            <w:shd w:val="clear" w:color="auto" w:fill="auto"/>
            <w:noWrap/>
            <w:vAlign w:val="center"/>
            <w:hideMark/>
          </w:tcPr>
          <w:p w14:paraId="7BE819E6" w14:textId="77777777" w:rsidR="006B5F5C" w:rsidRPr="00E71F76" w:rsidRDefault="006B5F5C" w:rsidP="00D26F3E">
            <w:pPr>
              <w:keepNext/>
              <w:jc w:val="right"/>
              <w:rPr>
                <w:b/>
                <w:bCs/>
                <w:sz w:val="21"/>
                <w:szCs w:val="21"/>
                <w:lang w:eastAsia="en-CA"/>
              </w:rPr>
            </w:pPr>
            <w:r w:rsidRPr="00E71F76">
              <w:rPr>
                <w:b/>
                <w:sz w:val="21"/>
                <w:szCs w:val="21"/>
                <w:lang w:val="fr-FR" w:bidi="fr-FR"/>
              </w:rPr>
              <w:t>183</w:t>
            </w:r>
            <w:r>
              <w:rPr>
                <w:b/>
                <w:sz w:val="21"/>
                <w:szCs w:val="21"/>
                <w:lang w:val="fr-FR" w:bidi="fr-FR"/>
              </w:rPr>
              <w:t> </w:t>
            </w:r>
            <w:r w:rsidRPr="00E71F76">
              <w:rPr>
                <w:b/>
                <w:sz w:val="21"/>
                <w:szCs w:val="21"/>
                <w:lang w:val="fr-FR" w:bidi="fr-FR"/>
              </w:rPr>
              <w:t>512</w:t>
            </w:r>
          </w:p>
        </w:tc>
        <w:tc>
          <w:tcPr>
            <w:tcW w:w="1311" w:type="dxa"/>
            <w:tcBorders>
              <w:top w:val="nil"/>
              <w:left w:val="nil"/>
              <w:bottom w:val="single" w:sz="4" w:space="0" w:color="auto"/>
              <w:right w:val="single" w:sz="4" w:space="0" w:color="auto"/>
            </w:tcBorders>
            <w:shd w:val="clear" w:color="auto" w:fill="auto"/>
            <w:noWrap/>
            <w:vAlign w:val="center"/>
            <w:hideMark/>
          </w:tcPr>
          <w:p w14:paraId="12368F62" w14:textId="77777777" w:rsidR="006B5F5C" w:rsidRPr="00E71F76" w:rsidRDefault="006B5F5C" w:rsidP="00D26F3E">
            <w:pPr>
              <w:keepNext/>
              <w:jc w:val="right"/>
              <w:rPr>
                <w:b/>
                <w:bCs/>
                <w:sz w:val="21"/>
                <w:szCs w:val="21"/>
                <w:lang w:eastAsia="en-CA"/>
              </w:rPr>
            </w:pPr>
            <w:r w:rsidRPr="00E71F76">
              <w:rPr>
                <w:b/>
                <w:sz w:val="21"/>
                <w:szCs w:val="21"/>
                <w:lang w:val="fr-FR" w:bidi="fr-FR"/>
              </w:rPr>
              <w:t>5</w:t>
            </w:r>
            <w:r>
              <w:rPr>
                <w:b/>
                <w:sz w:val="21"/>
                <w:szCs w:val="21"/>
                <w:lang w:val="fr-FR" w:bidi="fr-FR"/>
              </w:rPr>
              <w:t> 589 </w:t>
            </w:r>
            <w:r w:rsidRPr="00E71F76">
              <w:rPr>
                <w:b/>
                <w:sz w:val="21"/>
                <w:szCs w:val="21"/>
                <w:lang w:val="fr-FR" w:bidi="fr-FR"/>
              </w:rPr>
              <w:t>686</w:t>
            </w:r>
          </w:p>
        </w:tc>
        <w:tc>
          <w:tcPr>
            <w:tcW w:w="1314" w:type="dxa"/>
            <w:tcBorders>
              <w:top w:val="nil"/>
              <w:left w:val="nil"/>
              <w:bottom w:val="single" w:sz="4" w:space="0" w:color="auto"/>
              <w:right w:val="single" w:sz="4" w:space="0" w:color="auto"/>
            </w:tcBorders>
            <w:shd w:val="clear" w:color="auto" w:fill="auto"/>
            <w:noWrap/>
            <w:vAlign w:val="center"/>
            <w:hideMark/>
          </w:tcPr>
          <w:p w14:paraId="52275BC5" w14:textId="77777777" w:rsidR="006B5F5C" w:rsidRPr="00E71F76" w:rsidRDefault="006B5F5C" w:rsidP="00D26F3E">
            <w:pPr>
              <w:keepNext/>
              <w:jc w:val="right"/>
              <w:rPr>
                <w:b/>
                <w:bCs/>
                <w:sz w:val="21"/>
                <w:szCs w:val="21"/>
                <w:lang w:eastAsia="en-CA"/>
              </w:rPr>
            </w:pPr>
            <w:r w:rsidRPr="00E71F76">
              <w:rPr>
                <w:b/>
                <w:sz w:val="21"/>
                <w:szCs w:val="21"/>
                <w:lang w:val="fr-FR" w:bidi="fr-FR"/>
              </w:rPr>
              <w:t>829</w:t>
            </w:r>
            <w:r>
              <w:rPr>
                <w:b/>
                <w:sz w:val="21"/>
                <w:szCs w:val="21"/>
                <w:lang w:val="fr-FR" w:bidi="fr-FR"/>
              </w:rPr>
              <w:t> </w:t>
            </w:r>
            <w:r w:rsidRPr="00E71F76">
              <w:rPr>
                <w:b/>
                <w:sz w:val="21"/>
                <w:szCs w:val="21"/>
                <w:lang w:val="fr-FR" w:bidi="fr-FR"/>
              </w:rPr>
              <w:t>226</w:t>
            </w:r>
          </w:p>
        </w:tc>
      </w:tr>
      <w:tr w:rsidR="006B5F5C" w:rsidRPr="00E71F76" w14:paraId="09555968" w14:textId="77777777" w:rsidTr="006E3590">
        <w:tc>
          <w:tcPr>
            <w:tcW w:w="9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5645" w14:textId="77777777" w:rsidR="006B5F5C" w:rsidRPr="00E71F76" w:rsidRDefault="006B5F5C" w:rsidP="00D26F3E">
            <w:pPr>
              <w:keepNext/>
              <w:jc w:val="left"/>
              <w:rPr>
                <w:b/>
                <w:bCs/>
                <w:sz w:val="21"/>
                <w:szCs w:val="21"/>
                <w:lang w:eastAsia="en-CA"/>
              </w:rPr>
            </w:pPr>
            <w:r w:rsidRPr="00E71F76">
              <w:rPr>
                <w:b/>
                <w:sz w:val="21"/>
                <w:szCs w:val="21"/>
                <w:lang w:val="fr-FR" w:bidi="fr-FR"/>
              </w:rPr>
              <w:t>Activités relatives aux HFC </w:t>
            </w:r>
          </w:p>
        </w:tc>
      </w:tr>
      <w:tr w:rsidR="006B5F5C" w:rsidRPr="00E71F76" w14:paraId="70990181"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A539112" w14:textId="77777777" w:rsidR="006B5F5C" w:rsidRPr="00E71F76" w:rsidRDefault="006B5F5C" w:rsidP="00D26F3E">
            <w:pPr>
              <w:keepNext/>
              <w:jc w:val="left"/>
              <w:rPr>
                <w:sz w:val="21"/>
                <w:szCs w:val="21"/>
                <w:lang w:eastAsia="en-CA"/>
              </w:rPr>
            </w:pPr>
            <w:r w:rsidRPr="00E71F76">
              <w:rPr>
                <w:sz w:val="21"/>
                <w:szCs w:val="21"/>
                <w:lang w:val="fr-FR" w:bidi="fr-FR"/>
              </w:rPr>
              <w:t>KIP — PRP</w:t>
            </w:r>
          </w:p>
        </w:tc>
        <w:tc>
          <w:tcPr>
            <w:tcW w:w="1276" w:type="dxa"/>
            <w:tcBorders>
              <w:top w:val="nil"/>
              <w:left w:val="nil"/>
              <w:bottom w:val="single" w:sz="4" w:space="0" w:color="auto"/>
              <w:right w:val="single" w:sz="4" w:space="0" w:color="auto"/>
            </w:tcBorders>
            <w:shd w:val="clear" w:color="auto" w:fill="auto"/>
            <w:noWrap/>
            <w:vAlign w:val="center"/>
            <w:hideMark/>
          </w:tcPr>
          <w:p w14:paraId="62F13268" w14:textId="77777777" w:rsidR="006B5F5C" w:rsidRPr="00E71F76" w:rsidRDefault="006B5F5C" w:rsidP="00D26F3E">
            <w:pPr>
              <w:keepNext/>
              <w:jc w:val="right"/>
              <w:rPr>
                <w:sz w:val="21"/>
                <w:szCs w:val="21"/>
                <w:lang w:eastAsia="en-CA"/>
              </w:rPr>
            </w:pPr>
            <w:r w:rsidRPr="00E71F76">
              <w:rPr>
                <w:b/>
                <w:sz w:val="21"/>
                <w:szCs w:val="21"/>
                <w:lang w:val="fr-FR" w:bidi="fr-FR"/>
              </w:rPr>
              <w:t>277</w:t>
            </w:r>
            <w:r>
              <w:rPr>
                <w:b/>
                <w:sz w:val="21"/>
                <w:szCs w:val="21"/>
                <w:lang w:val="fr-FR" w:bidi="fr-FR"/>
              </w:rPr>
              <w:t> </w:t>
            </w:r>
            <w:r w:rsidRPr="00E71F76">
              <w:rPr>
                <w:b/>
                <w:sz w:val="21"/>
                <w:szCs w:val="21"/>
                <w:lang w:val="fr-FR" w:bidi="fr-FR"/>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5A27BBF0"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065" w:type="dxa"/>
            <w:tcBorders>
              <w:top w:val="nil"/>
              <w:left w:val="nil"/>
              <w:bottom w:val="single" w:sz="4" w:space="0" w:color="auto"/>
              <w:right w:val="single" w:sz="4" w:space="0" w:color="auto"/>
            </w:tcBorders>
            <w:shd w:val="clear" w:color="auto" w:fill="auto"/>
            <w:noWrap/>
            <w:vAlign w:val="center"/>
            <w:hideMark/>
          </w:tcPr>
          <w:p w14:paraId="4161BF34"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311" w:type="dxa"/>
            <w:tcBorders>
              <w:top w:val="nil"/>
              <w:left w:val="nil"/>
              <w:bottom w:val="single" w:sz="4" w:space="0" w:color="auto"/>
              <w:right w:val="single" w:sz="4" w:space="0" w:color="auto"/>
            </w:tcBorders>
            <w:shd w:val="clear" w:color="auto" w:fill="auto"/>
            <w:noWrap/>
            <w:vAlign w:val="center"/>
            <w:hideMark/>
          </w:tcPr>
          <w:p w14:paraId="5DF0FFA3" w14:textId="77777777" w:rsidR="006B5F5C" w:rsidRPr="00E71F76" w:rsidRDefault="006B5F5C" w:rsidP="00D26F3E">
            <w:pPr>
              <w:keepNext/>
              <w:jc w:val="right"/>
              <w:rPr>
                <w:sz w:val="21"/>
                <w:szCs w:val="21"/>
                <w:lang w:eastAsia="en-CA"/>
              </w:rPr>
            </w:pPr>
            <w:r w:rsidRPr="00E71F76">
              <w:rPr>
                <w:b/>
                <w:sz w:val="21"/>
                <w:szCs w:val="21"/>
                <w:lang w:val="fr-FR" w:bidi="fr-FR"/>
              </w:rPr>
              <w:t>277</w:t>
            </w:r>
            <w:r>
              <w:rPr>
                <w:b/>
                <w:sz w:val="21"/>
                <w:szCs w:val="21"/>
                <w:lang w:val="fr-FR" w:bidi="fr-FR"/>
              </w:rPr>
              <w:t> </w:t>
            </w:r>
            <w:r w:rsidRPr="00E71F76">
              <w:rPr>
                <w:b/>
                <w:sz w:val="21"/>
                <w:szCs w:val="21"/>
                <w:lang w:val="fr-FR" w:bidi="fr-FR"/>
              </w:rPr>
              <w:t>100</w:t>
            </w:r>
          </w:p>
        </w:tc>
        <w:tc>
          <w:tcPr>
            <w:tcW w:w="1314" w:type="dxa"/>
            <w:tcBorders>
              <w:top w:val="nil"/>
              <w:left w:val="nil"/>
              <w:bottom w:val="single" w:sz="4" w:space="0" w:color="auto"/>
              <w:right w:val="single" w:sz="4" w:space="0" w:color="auto"/>
            </w:tcBorders>
            <w:shd w:val="clear" w:color="auto" w:fill="auto"/>
            <w:noWrap/>
            <w:vAlign w:val="center"/>
            <w:hideMark/>
          </w:tcPr>
          <w:p w14:paraId="018BF094" w14:textId="77777777" w:rsidR="006B5F5C" w:rsidRPr="00E71F76" w:rsidRDefault="006B5F5C" w:rsidP="00D26F3E">
            <w:pPr>
              <w:keepNext/>
              <w:jc w:val="right"/>
              <w:rPr>
                <w:sz w:val="21"/>
                <w:szCs w:val="21"/>
                <w:lang w:eastAsia="en-CA"/>
              </w:rPr>
            </w:pPr>
            <w:r w:rsidRPr="00E71F76">
              <w:rPr>
                <w:sz w:val="21"/>
                <w:szCs w:val="21"/>
                <w:lang w:val="fr-FR" w:bidi="fr-FR"/>
              </w:rPr>
              <w:t> </w:t>
            </w:r>
          </w:p>
        </w:tc>
      </w:tr>
      <w:tr w:rsidR="006B5F5C" w:rsidRPr="00E71F76" w14:paraId="5A791F3B"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8DBA45B" w14:textId="77777777" w:rsidR="006B5F5C" w:rsidRPr="00E71F76" w:rsidRDefault="006B5F5C" w:rsidP="00D26F3E">
            <w:pPr>
              <w:keepNext/>
              <w:jc w:val="left"/>
              <w:rPr>
                <w:sz w:val="21"/>
                <w:szCs w:val="21"/>
                <w:lang w:eastAsia="en-CA"/>
              </w:rPr>
            </w:pPr>
            <w:r w:rsidRPr="00E71F76">
              <w:rPr>
                <w:sz w:val="21"/>
                <w:szCs w:val="21"/>
                <w:lang w:val="fr-FR" w:bidi="fr-FR"/>
              </w:rPr>
              <w:t>KIP</w:t>
            </w:r>
          </w:p>
        </w:tc>
        <w:tc>
          <w:tcPr>
            <w:tcW w:w="1276" w:type="dxa"/>
            <w:tcBorders>
              <w:top w:val="nil"/>
              <w:left w:val="nil"/>
              <w:bottom w:val="single" w:sz="4" w:space="0" w:color="auto"/>
              <w:right w:val="single" w:sz="4" w:space="0" w:color="auto"/>
            </w:tcBorders>
            <w:shd w:val="clear" w:color="auto" w:fill="auto"/>
            <w:noWrap/>
            <w:vAlign w:val="center"/>
            <w:hideMark/>
          </w:tcPr>
          <w:p w14:paraId="5D3D0B0D"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DDE351"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065" w:type="dxa"/>
            <w:tcBorders>
              <w:top w:val="nil"/>
              <w:left w:val="nil"/>
              <w:bottom w:val="single" w:sz="4" w:space="0" w:color="auto"/>
              <w:right w:val="single" w:sz="4" w:space="0" w:color="auto"/>
            </w:tcBorders>
            <w:shd w:val="clear" w:color="auto" w:fill="auto"/>
            <w:noWrap/>
            <w:vAlign w:val="center"/>
            <w:hideMark/>
          </w:tcPr>
          <w:p w14:paraId="20665BFE" w14:textId="77777777" w:rsidR="006B5F5C" w:rsidRPr="00E71F76" w:rsidRDefault="006B5F5C" w:rsidP="00D26F3E">
            <w:pPr>
              <w:keepNext/>
              <w:jc w:val="right"/>
              <w:rPr>
                <w:sz w:val="21"/>
                <w:szCs w:val="21"/>
                <w:lang w:eastAsia="en-CA"/>
              </w:rPr>
            </w:pPr>
            <w:r w:rsidRPr="00E71F76">
              <w:rPr>
                <w:b/>
                <w:sz w:val="21"/>
                <w:szCs w:val="21"/>
                <w:lang w:val="fr-FR" w:bidi="fr-FR"/>
              </w:rPr>
              <w:t>300</w:t>
            </w:r>
            <w:r>
              <w:rPr>
                <w:b/>
                <w:sz w:val="21"/>
                <w:szCs w:val="21"/>
                <w:lang w:val="fr-FR" w:bidi="fr-FR"/>
              </w:rPr>
              <w:t> </w:t>
            </w:r>
            <w:r w:rsidRPr="00E71F76">
              <w:rPr>
                <w:b/>
                <w:sz w:val="21"/>
                <w:szCs w:val="21"/>
                <w:lang w:val="fr-FR" w:bidi="fr-FR"/>
              </w:rPr>
              <w:t>000</w:t>
            </w:r>
          </w:p>
        </w:tc>
        <w:tc>
          <w:tcPr>
            <w:tcW w:w="1311" w:type="dxa"/>
            <w:tcBorders>
              <w:top w:val="nil"/>
              <w:left w:val="nil"/>
              <w:bottom w:val="single" w:sz="4" w:space="0" w:color="auto"/>
              <w:right w:val="single" w:sz="4" w:space="0" w:color="auto"/>
            </w:tcBorders>
            <w:shd w:val="clear" w:color="auto" w:fill="auto"/>
            <w:noWrap/>
            <w:vAlign w:val="center"/>
            <w:hideMark/>
          </w:tcPr>
          <w:p w14:paraId="11E3D048" w14:textId="77777777" w:rsidR="006B5F5C" w:rsidRPr="00E71F76" w:rsidRDefault="006B5F5C" w:rsidP="00D26F3E">
            <w:pPr>
              <w:keepNext/>
              <w:jc w:val="right"/>
              <w:rPr>
                <w:sz w:val="21"/>
                <w:szCs w:val="21"/>
                <w:lang w:eastAsia="en-CA"/>
              </w:rPr>
            </w:pPr>
            <w:r w:rsidRPr="00E71F76">
              <w:rPr>
                <w:b/>
                <w:sz w:val="21"/>
                <w:szCs w:val="21"/>
                <w:lang w:val="fr-FR" w:bidi="fr-FR"/>
              </w:rPr>
              <w:t>300</w:t>
            </w:r>
            <w:r>
              <w:rPr>
                <w:b/>
                <w:sz w:val="21"/>
                <w:szCs w:val="21"/>
                <w:lang w:val="fr-FR" w:bidi="fr-FR"/>
              </w:rPr>
              <w:t> </w:t>
            </w:r>
            <w:r w:rsidRPr="00E71F76">
              <w:rPr>
                <w:b/>
                <w:sz w:val="21"/>
                <w:szCs w:val="21"/>
                <w:lang w:val="fr-FR" w:bidi="fr-FR"/>
              </w:rPr>
              <w:t>000</w:t>
            </w:r>
          </w:p>
        </w:tc>
        <w:tc>
          <w:tcPr>
            <w:tcW w:w="1314" w:type="dxa"/>
            <w:tcBorders>
              <w:top w:val="nil"/>
              <w:left w:val="nil"/>
              <w:bottom w:val="single" w:sz="4" w:space="0" w:color="auto"/>
              <w:right w:val="single" w:sz="4" w:space="0" w:color="auto"/>
            </w:tcBorders>
            <w:shd w:val="clear" w:color="auto" w:fill="auto"/>
            <w:noWrap/>
            <w:vAlign w:val="center"/>
            <w:hideMark/>
          </w:tcPr>
          <w:p w14:paraId="6BBA05B0" w14:textId="77777777" w:rsidR="006B5F5C" w:rsidRPr="00E71F76" w:rsidRDefault="006B5F5C" w:rsidP="00D26F3E">
            <w:pPr>
              <w:keepNext/>
              <w:jc w:val="right"/>
              <w:rPr>
                <w:sz w:val="21"/>
                <w:szCs w:val="21"/>
                <w:lang w:eastAsia="en-CA"/>
              </w:rPr>
            </w:pPr>
            <w:r w:rsidRPr="00E71F76">
              <w:rPr>
                <w:sz w:val="21"/>
                <w:szCs w:val="21"/>
                <w:lang w:val="fr-FR" w:bidi="fr-FR"/>
              </w:rPr>
              <w:t> </w:t>
            </w:r>
          </w:p>
        </w:tc>
      </w:tr>
      <w:tr w:rsidR="006B5F5C" w:rsidRPr="00E71F76" w14:paraId="7BAA8F79"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3B002A8" w14:textId="77777777" w:rsidR="006B5F5C" w:rsidRPr="00E23538" w:rsidRDefault="006B5F5C" w:rsidP="00D26F3E">
            <w:pPr>
              <w:keepNext/>
              <w:jc w:val="left"/>
              <w:rPr>
                <w:b/>
                <w:bCs/>
                <w:sz w:val="21"/>
                <w:szCs w:val="21"/>
                <w:lang w:val="fr-FR" w:eastAsia="en-CA"/>
              </w:rPr>
            </w:pPr>
            <w:r w:rsidRPr="00E71F76">
              <w:rPr>
                <w:b/>
                <w:sz w:val="21"/>
                <w:szCs w:val="21"/>
                <w:lang w:val="fr-FR" w:bidi="fr-FR"/>
              </w:rPr>
              <w:t>Sous-total des activités relatives aux HFC</w:t>
            </w:r>
          </w:p>
        </w:tc>
        <w:tc>
          <w:tcPr>
            <w:tcW w:w="1276" w:type="dxa"/>
            <w:tcBorders>
              <w:top w:val="nil"/>
              <w:left w:val="nil"/>
              <w:bottom w:val="single" w:sz="4" w:space="0" w:color="auto"/>
              <w:right w:val="single" w:sz="4" w:space="0" w:color="auto"/>
            </w:tcBorders>
            <w:shd w:val="clear" w:color="auto" w:fill="auto"/>
            <w:noWrap/>
            <w:vAlign w:val="center"/>
            <w:hideMark/>
          </w:tcPr>
          <w:p w14:paraId="4262DA45" w14:textId="77777777" w:rsidR="006B5F5C" w:rsidRPr="00E71F76" w:rsidRDefault="006B5F5C" w:rsidP="00D26F3E">
            <w:pPr>
              <w:keepNext/>
              <w:jc w:val="right"/>
              <w:rPr>
                <w:b/>
                <w:bCs/>
                <w:sz w:val="21"/>
                <w:szCs w:val="21"/>
                <w:lang w:eastAsia="en-CA"/>
              </w:rPr>
            </w:pPr>
            <w:r w:rsidRPr="00E71F76">
              <w:rPr>
                <w:b/>
                <w:sz w:val="21"/>
                <w:szCs w:val="21"/>
                <w:lang w:val="fr-FR" w:bidi="fr-FR"/>
              </w:rPr>
              <w:t>277</w:t>
            </w:r>
            <w:r>
              <w:rPr>
                <w:b/>
                <w:sz w:val="21"/>
                <w:szCs w:val="21"/>
                <w:lang w:val="fr-FR" w:bidi="fr-FR"/>
              </w:rPr>
              <w:t> </w:t>
            </w:r>
            <w:r w:rsidRPr="00E71F76">
              <w:rPr>
                <w:b/>
                <w:sz w:val="21"/>
                <w:szCs w:val="21"/>
                <w:lang w:val="fr-FR" w:bidi="fr-FR"/>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655C70FD"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c>
          <w:tcPr>
            <w:tcW w:w="1065" w:type="dxa"/>
            <w:tcBorders>
              <w:top w:val="nil"/>
              <w:left w:val="nil"/>
              <w:bottom w:val="single" w:sz="4" w:space="0" w:color="auto"/>
              <w:right w:val="single" w:sz="4" w:space="0" w:color="auto"/>
            </w:tcBorders>
            <w:shd w:val="clear" w:color="auto" w:fill="auto"/>
            <w:noWrap/>
            <w:vAlign w:val="center"/>
            <w:hideMark/>
          </w:tcPr>
          <w:p w14:paraId="266797A4" w14:textId="77777777" w:rsidR="006B5F5C" w:rsidRPr="00E71F76" w:rsidRDefault="006B5F5C" w:rsidP="00D26F3E">
            <w:pPr>
              <w:keepNext/>
              <w:jc w:val="right"/>
              <w:rPr>
                <w:b/>
                <w:bCs/>
                <w:sz w:val="21"/>
                <w:szCs w:val="21"/>
                <w:lang w:eastAsia="en-CA"/>
              </w:rPr>
            </w:pPr>
            <w:r w:rsidRPr="00E71F76">
              <w:rPr>
                <w:b/>
                <w:sz w:val="21"/>
                <w:szCs w:val="21"/>
                <w:lang w:val="fr-FR" w:bidi="fr-FR"/>
              </w:rPr>
              <w:t>300</w:t>
            </w:r>
            <w:r>
              <w:rPr>
                <w:b/>
                <w:sz w:val="21"/>
                <w:szCs w:val="21"/>
                <w:lang w:val="fr-FR" w:bidi="fr-FR"/>
              </w:rPr>
              <w:t> </w:t>
            </w:r>
            <w:r w:rsidRPr="00E71F76">
              <w:rPr>
                <w:b/>
                <w:sz w:val="21"/>
                <w:szCs w:val="21"/>
                <w:lang w:val="fr-FR" w:bidi="fr-FR"/>
              </w:rPr>
              <w:t>000</w:t>
            </w:r>
          </w:p>
        </w:tc>
        <w:tc>
          <w:tcPr>
            <w:tcW w:w="1311" w:type="dxa"/>
            <w:tcBorders>
              <w:top w:val="nil"/>
              <w:left w:val="nil"/>
              <w:bottom w:val="single" w:sz="4" w:space="0" w:color="auto"/>
              <w:right w:val="single" w:sz="4" w:space="0" w:color="auto"/>
            </w:tcBorders>
            <w:shd w:val="clear" w:color="auto" w:fill="auto"/>
            <w:noWrap/>
            <w:vAlign w:val="center"/>
            <w:hideMark/>
          </w:tcPr>
          <w:p w14:paraId="6F314079" w14:textId="77777777" w:rsidR="006B5F5C" w:rsidRPr="00E71F76" w:rsidRDefault="006B5F5C" w:rsidP="00D26F3E">
            <w:pPr>
              <w:keepNext/>
              <w:jc w:val="right"/>
              <w:rPr>
                <w:b/>
                <w:bCs/>
                <w:sz w:val="21"/>
                <w:szCs w:val="21"/>
                <w:lang w:eastAsia="en-CA"/>
              </w:rPr>
            </w:pPr>
            <w:r w:rsidRPr="00E71F76">
              <w:rPr>
                <w:b/>
                <w:sz w:val="21"/>
                <w:szCs w:val="21"/>
                <w:lang w:val="fr-FR" w:bidi="fr-FR"/>
              </w:rPr>
              <w:t>577</w:t>
            </w:r>
            <w:r>
              <w:rPr>
                <w:b/>
                <w:sz w:val="21"/>
                <w:szCs w:val="21"/>
                <w:lang w:val="fr-FR" w:bidi="fr-FR"/>
              </w:rPr>
              <w:t> </w:t>
            </w:r>
            <w:r w:rsidRPr="00E71F76">
              <w:rPr>
                <w:b/>
                <w:sz w:val="21"/>
                <w:szCs w:val="21"/>
                <w:lang w:val="fr-FR" w:bidi="fr-FR"/>
              </w:rPr>
              <w:t>100</w:t>
            </w:r>
          </w:p>
        </w:tc>
        <w:tc>
          <w:tcPr>
            <w:tcW w:w="1314" w:type="dxa"/>
            <w:tcBorders>
              <w:top w:val="nil"/>
              <w:left w:val="nil"/>
              <w:bottom w:val="single" w:sz="4" w:space="0" w:color="auto"/>
              <w:right w:val="single" w:sz="4" w:space="0" w:color="auto"/>
            </w:tcBorders>
            <w:shd w:val="clear" w:color="auto" w:fill="auto"/>
            <w:noWrap/>
            <w:vAlign w:val="center"/>
            <w:hideMark/>
          </w:tcPr>
          <w:p w14:paraId="4F835040"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r>
      <w:tr w:rsidR="006B5F5C" w:rsidRPr="00E71F76" w14:paraId="33D1146B"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94F0832" w14:textId="77777777" w:rsidR="006B5F5C" w:rsidRPr="00E71F76" w:rsidRDefault="006B5F5C" w:rsidP="00D26F3E">
            <w:pPr>
              <w:keepNext/>
              <w:jc w:val="left"/>
              <w:rPr>
                <w:b/>
                <w:bCs/>
                <w:sz w:val="21"/>
                <w:szCs w:val="21"/>
                <w:lang w:eastAsia="en-CA"/>
              </w:rPr>
            </w:pPr>
            <w:r w:rsidRPr="00E71F76">
              <w:rPr>
                <w:b/>
                <w:sz w:val="21"/>
                <w:szCs w:val="21"/>
                <w:lang w:val="fr-FR" w:bidi="fr-FR"/>
              </w:rPr>
              <w:t>Activités standard</w:t>
            </w:r>
          </w:p>
        </w:tc>
        <w:tc>
          <w:tcPr>
            <w:tcW w:w="1276" w:type="dxa"/>
            <w:tcBorders>
              <w:top w:val="nil"/>
              <w:left w:val="nil"/>
              <w:bottom w:val="single" w:sz="4" w:space="0" w:color="auto"/>
              <w:right w:val="single" w:sz="4" w:space="0" w:color="auto"/>
            </w:tcBorders>
            <w:shd w:val="clear" w:color="auto" w:fill="auto"/>
            <w:noWrap/>
            <w:vAlign w:val="center"/>
            <w:hideMark/>
          </w:tcPr>
          <w:p w14:paraId="47FA4E17" w14:textId="77777777" w:rsidR="006B5F5C" w:rsidRPr="00E71F76" w:rsidRDefault="006B5F5C" w:rsidP="00D26F3E">
            <w:pPr>
              <w:keepNext/>
              <w:jc w:val="left"/>
              <w:rPr>
                <w:sz w:val="21"/>
                <w:szCs w:val="21"/>
                <w:lang w:eastAsia="en-CA"/>
              </w:rPr>
            </w:pPr>
            <w:r w:rsidRPr="00E71F76">
              <w:rPr>
                <w:sz w:val="21"/>
                <w:szCs w:val="21"/>
                <w:lang w:val="fr-FR" w:bidi="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929FB8" w14:textId="77777777" w:rsidR="006B5F5C" w:rsidRPr="00E71F76" w:rsidRDefault="006B5F5C" w:rsidP="00D26F3E">
            <w:pPr>
              <w:keepNext/>
              <w:jc w:val="left"/>
              <w:rPr>
                <w:sz w:val="21"/>
                <w:szCs w:val="21"/>
                <w:lang w:eastAsia="en-CA"/>
              </w:rPr>
            </w:pPr>
            <w:r w:rsidRPr="00E71F76">
              <w:rPr>
                <w:sz w:val="21"/>
                <w:szCs w:val="21"/>
                <w:lang w:val="fr-FR" w:bidi="fr-FR"/>
              </w:rPr>
              <w:t> </w:t>
            </w:r>
          </w:p>
        </w:tc>
        <w:tc>
          <w:tcPr>
            <w:tcW w:w="1065" w:type="dxa"/>
            <w:tcBorders>
              <w:top w:val="nil"/>
              <w:left w:val="nil"/>
              <w:bottom w:val="single" w:sz="4" w:space="0" w:color="auto"/>
              <w:right w:val="single" w:sz="4" w:space="0" w:color="auto"/>
            </w:tcBorders>
            <w:shd w:val="clear" w:color="auto" w:fill="auto"/>
            <w:noWrap/>
            <w:vAlign w:val="center"/>
            <w:hideMark/>
          </w:tcPr>
          <w:p w14:paraId="5C064E1A" w14:textId="77777777" w:rsidR="006B5F5C" w:rsidRPr="00E71F76" w:rsidRDefault="006B5F5C" w:rsidP="00D26F3E">
            <w:pPr>
              <w:keepNext/>
              <w:jc w:val="left"/>
              <w:rPr>
                <w:sz w:val="21"/>
                <w:szCs w:val="21"/>
                <w:lang w:eastAsia="en-CA"/>
              </w:rPr>
            </w:pPr>
            <w:r w:rsidRPr="00E71F76">
              <w:rPr>
                <w:sz w:val="21"/>
                <w:szCs w:val="21"/>
                <w:lang w:val="fr-FR" w:bidi="fr-FR"/>
              </w:rPr>
              <w:t> </w:t>
            </w:r>
          </w:p>
        </w:tc>
        <w:tc>
          <w:tcPr>
            <w:tcW w:w="1311" w:type="dxa"/>
            <w:tcBorders>
              <w:top w:val="nil"/>
              <w:left w:val="nil"/>
              <w:bottom w:val="single" w:sz="4" w:space="0" w:color="auto"/>
              <w:right w:val="single" w:sz="4" w:space="0" w:color="auto"/>
            </w:tcBorders>
            <w:shd w:val="clear" w:color="auto" w:fill="auto"/>
            <w:noWrap/>
            <w:vAlign w:val="center"/>
            <w:hideMark/>
          </w:tcPr>
          <w:p w14:paraId="78EF29BD" w14:textId="77777777" w:rsidR="006B5F5C" w:rsidRPr="00E71F76" w:rsidRDefault="006B5F5C" w:rsidP="00D26F3E">
            <w:pPr>
              <w:keepNext/>
              <w:jc w:val="left"/>
              <w:rPr>
                <w:sz w:val="21"/>
                <w:szCs w:val="21"/>
                <w:lang w:eastAsia="en-CA"/>
              </w:rPr>
            </w:pPr>
            <w:r w:rsidRPr="00E71F76">
              <w:rPr>
                <w:sz w:val="21"/>
                <w:szCs w:val="21"/>
                <w:lang w:val="fr-FR" w:bidi="fr-FR"/>
              </w:rPr>
              <w:t> </w:t>
            </w:r>
          </w:p>
        </w:tc>
        <w:tc>
          <w:tcPr>
            <w:tcW w:w="1314" w:type="dxa"/>
            <w:tcBorders>
              <w:top w:val="nil"/>
              <w:left w:val="nil"/>
              <w:bottom w:val="single" w:sz="4" w:space="0" w:color="auto"/>
              <w:right w:val="single" w:sz="4" w:space="0" w:color="auto"/>
            </w:tcBorders>
            <w:shd w:val="clear" w:color="auto" w:fill="auto"/>
            <w:noWrap/>
            <w:vAlign w:val="center"/>
            <w:hideMark/>
          </w:tcPr>
          <w:p w14:paraId="0A211FE4" w14:textId="77777777" w:rsidR="006B5F5C" w:rsidRPr="00E71F76" w:rsidRDefault="006B5F5C" w:rsidP="00D26F3E">
            <w:pPr>
              <w:keepNext/>
              <w:jc w:val="left"/>
              <w:rPr>
                <w:sz w:val="21"/>
                <w:szCs w:val="21"/>
                <w:lang w:eastAsia="en-CA"/>
              </w:rPr>
            </w:pPr>
            <w:r w:rsidRPr="00E71F76">
              <w:rPr>
                <w:sz w:val="21"/>
                <w:szCs w:val="21"/>
                <w:lang w:val="fr-FR" w:bidi="fr-FR"/>
              </w:rPr>
              <w:t> </w:t>
            </w:r>
          </w:p>
        </w:tc>
      </w:tr>
      <w:tr w:rsidR="006B5F5C" w:rsidRPr="00E71F76" w14:paraId="6077A366"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7091540" w14:textId="769B7745" w:rsidR="006B5F5C" w:rsidRPr="00E71F76" w:rsidRDefault="00D26F3E" w:rsidP="00D26F3E">
            <w:pPr>
              <w:keepNext/>
              <w:jc w:val="left"/>
              <w:rPr>
                <w:sz w:val="21"/>
                <w:szCs w:val="21"/>
                <w:lang w:eastAsia="en-CA"/>
              </w:rPr>
            </w:pPr>
            <w:r w:rsidRPr="00E71F76">
              <w:rPr>
                <w:sz w:val="21"/>
                <w:szCs w:val="21"/>
                <w:lang w:val="fr-FR" w:bidi="fr-FR"/>
              </w:rPr>
              <w:t>Renforcement</w:t>
            </w:r>
            <w:r w:rsidR="006B5F5C" w:rsidRPr="00E71F76">
              <w:rPr>
                <w:sz w:val="21"/>
                <w:szCs w:val="21"/>
                <w:lang w:val="fr-FR" w:bidi="fr-FR"/>
              </w:rPr>
              <w:t xml:space="preserve"> des institutions </w:t>
            </w:r>
          </w:p>
        </w:tc>
        <w:tc>
          <w:tcPr>
            <w:tcW w:w="1276" w:type="dxa"/>
            <w:tcBorders>
              <w:top w:val="nil"/>
              <w:left w:val="nil"/>
              <w:bottom w:val="single" w:sz="4" w:space="0" w:color="auto"/>
              <w:right w:val="single" w:sz="4" w:space="0" w:color="auto"/>
            </w:tcBorders>
            <w:shd w:val="clear" w:color="auto" w:fill="auto"/>
            <w:noWrap/>
            <w:vAlign w:val="center"/>
            <w:hideMark/>
          </w:tcPr>
          <w:p w14:paraId="328123EC"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4BEF53"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065" w:type="dxa"/>
            <w:tcBorders>
              <w:top w:val="nil"/>
              <w:left w:val="nil"/>
              <w:bottom w:val="single" w:sz="4" w:space="0" w:color="auto"/>
              <w:right w:val="single" w:sz="4" w:space="0" w:color="auto"/>
            </w:tcBorders>
            <w:shd w:val="clear" w:color="auto" w:fill="auto"/>
            <w:noWrap/>
            <w:vAlign w:val="center"/>
            <w:hideMark/>
          </w:tcPr>
          <w:p w14:paraId="3F290DC8" w14:textId="77777777" w:rsidR="006B5F5C" w:rsidRPr="00E71F76" w:rsidRDefault="006B5F5C" w:rsidP="00D26F3E">
            <w:pPr>
              <w:keepNext/>
              <w:jc w:val="right"/>
              <w:rPr>
                <w:sz w:val="21"/>
                <w:szCs w:val="21"/>
                <w:lang w:eastAsia="en-CA"/>
              </w:rPr>
            </w:pPr>
            <w:r w:rsidRPr="00E71F76">
              <w:rPr>
                <w:sz w:val="21"/>
                <w:szCs w:val="21"/>
                <w:lang w:val="fr-FR" w:bidi="fr-FR"/>
              </w:rPr>
              <w:t> </w:t>
            </w:r>
          </w:p>
        </w:tc>
        <w:tc>
          <w:tcPr>
            <w:tcW w:w="1311" w:type="dxa"/>
            <w:tcBorders>
              <w:top w:val="nil"/>
              <w:left w:val="nil"/>
              <w:bottom w:val="single" w:sz="4" w:space="0" w:color="auto"/>
              <w:right w:val="single" w:sz="4" w:space="0" w:color="auto"/>
            </w:tcBorders>
            <w:shd w:val="clear" w:color="auto" w:fill="auto"/>
            <w:noWrap/>
            <w:vAlign w:val="center"/>
            <w:hideMark/>
          </w:tcPr>
          <w:p w14:paraId="25028833" w14:textId="77777777" w:rsidR="006B5F5C" w:rsidRPr="00E71F76" w:rsidRDefault="006B5F5C" w:rsidP="00D26F3E">
            <w:pPr>
              <w:keepNext/>
              <w:jc w:val="right"/>
              <w:rPr>
                <w:sz w:val="21"/>
                <w:szCs w:val="21"/>
                <w:lang w:eastAsia="en-CA"/>
              </w:rPr>
            </w:pPr>
            <w:r w:rsidRPr="00E71F76">
              <w:rPr>
                <w:sz w:val="21"/>
                <w:szCs w:val="21"/>
                <w:lang w:val="fr-FR" w:bidi="fr-FR"/>
              </w:rPr>
              <w:t>0</w:t>
            </w:r>
          </w:p>
        </w:tc>
        <w:tc>
          <w:tcPr>
            <w:tcW w:w="1314" w:type="dxa"/>
            <w:tcBorders>
              <w:top w:val="nil"/>
              <w:left w:val="nil"/>
              <w:bottom w:val="nil"/>
              <w:right w:val="single" w:sz="4" w:space="0" w:color="999999"/>
            </w:tcBorders>
            <w:shd w:val="clear" w:color="auto" w:fill="auto"/>
            <w:noWrap/>
            <w:vAlign w:val="bottom"/>
            <w:hideMark/>
          </w:tcPr>
          <w:p w14:paraId="6D2FDE7F" w14:textId="77777777" w:rsidR="006B5F5C" w:rsidRPr="00E71F76" w:rsidRDefault="006B5F5C" w:rsidP="00D26F3E">
            <w:pPr>
              <w:keepNext/>
              <w:jc w:val="right"/>
              <w:rPr>
                <w:sz w:val="21"/>
                <w:szCs w:val="21"/>
                <w:lang w:eastAsia="en-CA"/>
              </w:rPr>
            </w:pPr>
            <w:r w:rsidRPr="00E71F76">
              <w:rPr>
                <w:sz w:val="21"/>
                <w:szCs w:val="21"/>
                <w:lang w:val="fr-FR" w:bidi="fr-FR"/>
              </w:rPr>
              <w:t>0</w:t>
            </w:r>
          </w:p>
        </w:tc>
      </w:tr>
      <w:tr w:rsidR="006B5F5C" w:rsidRPr="00E71F76" w14:paraId="793274EC"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8C4643B" w14:textId="77777777" w:rsidR="006B5F5C" w:rsidRPr="00E23538" w:rsidRDefault="006B5F5C" w:rsidP="00D26F3E">
            <w:pPr>
              <w:keepNext/>
              <w:jc w:val="left"/>
              <w:rPr>
                <w:b/>
                <w:bCs/>
                <w:sz w:val="21"/>
                <w:szCs w:val="21"/>
                <w:lang w:val="fr-FR" w:eastAsia="en-CA"/>
              </w:rPr>
            </w:pPr>
            <w:r w:rsidRPr="00E71F76">
              <w:rPr>
                <w:b/>
                <w:sz w:val="21"/>
                <w:szCs w:val="21"/>
                <w:lang w:val="fr-FR" w:bidi="fr-FR"/>
              </w:rPr>
              <w:t>Sous-total des activités standard</w:t>
            </w:r>
          </w:p>
        </w:tc>
        <w:tc>
          <w:tcPr>
            <w:tcW w:w="1276" w:type="dxa"/>
            <w:tcBorders>
              <w:top w:val="nil"/>
              <w:left w:val="nil"/>
              <w:bottom w:val="single" w:sz="4" w:space="0" w:color="auto"/>
              <w:right w:val="single" w:sz="4" w:space="0" w:color="auto"/>
            </w:tcBorders>
            <w:shd w:val="clear" w:color="auto" w:fill="auto"/>
            <w:noWrap/>
            <w:vAlign w:val="center"/>
            <w:hideMark/>
          </w:tcPr>
          <w:p w14:paraId="51462604"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c>
          <w:tcPr>
            <w:tcW w:w="1275" w:type="dxa"/>
            <w:tcBorders>
              <w:top w:val="nil"/>
              <w:left w:val="nil"/>
              <w:bottom w:val="single" w:sz="4" w:space="0" w:color="auto"/>
              <w:right w:val="single" w:sz="4" w:space="0" w:color="auto"/>
            </w:tcBorders>
            <w:shd w:val="clear" w:color="auto" w:fill="auto"/>
            <w:noWrap/>
            <w:vAlign w:val="center"/>
            <w:hideMark/>
          </w:tcPr>
          <w:p w14:paraId="0B2D4797"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c>
          <w:tcPr>
            <w:tcW w:w="1065" w:type="dxa"/>
            <w:tcBorders>
              <w:top w:val="nil"/>
              <w:left w:val="nil"/>
              <w:bottom w:val="single" w:sz="4" w:space="0" w:color="auto"/>
              <w:right w:val="single" w:sz="4" w:space="0" w:color="auto"/>
            </w:tcBorders>
            <w:shd w:val="clear" w:color="auto" w:fill="auto"/>
            <w:noWrap/>
            <w:vAlign w:val="center"/>
            <w:hideMark/>
          </w:tcPr>
          <w:p w14:paraId="6320210E"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c>
          <w:tcPr>
            <w:tcW w:w="1311" w:type="dxa"/>
            <w:tcBorders>
              <w:top w:val="nil"/>
              <w:left w:val="nil"/>
              <w:bottom w:val="single" w:sz="4" w:space="0" w:color="auto"/>
              <w:right w:val="single" w:sz="4" w:space="0" w:color="auto"/>
            </w:tcBorders>
            <w:shd w:val="clear" w:color="auto" w:fill="auto"/>
            <w:noWrap/>
            <w:vAlign w:val="center"/>
            <w:hideMark/>
          </w:tcPr>
          <w:p w14:paraId="62A0EE93"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2ED6B19" w14:textId="77777777" w:rsidR="006B5F5C" w:rsidRPr="00E71F76" w:rsidRDefault="006B5F5C" w:rsidP="00D26F3E">
            <w:pPr>
              <w:keepNext/>
              <w:jc w:val="right"/>
              <w:rPr>
                <w:b/>
                <w:bCs/>
                <w:sz w:val="21"/>
                <w:szCs w:val="21"/>
                <w:lang w:eastAsia="en-CA"/>
              </w:rPr>
            </w:pPr>
            <w:r w:rsidRPr="00E71F76">
              <w:rPr>
                <w:b/>
                <w:sz w:val="21"/>
                <w:szCs w:val="21"/>
                <w:lang w:val="fr-FR" w:bidi="fr-FR"/>
              </w:rPr>
              <w:t>0</w:t>
            </w:r>
          </w:p>
        </w:tc>
      </w:tr>
      <w:tr w:rsidR="006B5F5C" w:rsidRPr="00E71F76" w14:paraId="766F58A7" w14:textId="77777777" w:rsidTr="00D26F3E">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FBC6F95" w14:textId="77777777" w:rsidR="006B5F5C" w:rsidRPr="00E71F76" w:rsidRDefault="006B5F5C" w:rsidP="00D26F3E">
            <w:pPr>
              <w:keepNext/>
              <w:jc w:val="left"/>
              <w:rPr>
                <w:b/>
                <w:bCs/>
                <w:sz w:val="21"/>
                <w:szCs w:val="21"/>
                <w:lang w:eastAsia="en-CA"/>
              </w:rPr>
            </w:pPr>
            <w:r w:rsidRPr="00E71F76">
              <w:rPr>
                <w:b/>
                <w:sz w:val="21"/>
                <w:szCs w:val="21"/>
                <w:lang w:val="fr-FR" w:bidi="fr-FR"/>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1B1165B2" w14:textId="77777777" w:rsidR="006B5F5C" w:rsidRPr="00E71F76" w:rsidRDefault="006B5F5C" w:rsidP="00D26F3E">
            <w:pPr>
              <w:keepNext/>
              <w:jc w:val="right"/>
              <w:rPr>
                <w:b/>
                <w:bCs/>
                <w:sz w:val="21"/>
                <w:szCs w:val="21"/>
                <w:lang w:eastAsia="en-CA"/>
              </w:rPr>
            </w:pPr>
            <w:r w:rsidRPr="00E71F76">
              <w:rPr>
                <w:b/>
                <w:sz w:val="21"/>
                <w:szCs w:val="21"/>
                <w:lang w:val="fr-FR" w:bidi="fr-FR"/>
              </w:rPr>
              <w:t>2</w:t>
            </w:r>
            <w:r>
              <w:rPr>
                <w:b/>
                <w:sz w:val="21"/>
                <w:szCs w:val="21"/>
                <w:lang w:val="fr-FR" w:bidi="fr-FR"/>
              </w:rPr>
              <w:t> 584 </w:t>
            </w:r>
            <w:r w:rsidRPr="00E71F76">
              <w:rPr>
                <w:b/>
                <w:sz w:val="21"/>
                <w:szCs w:val="21"/>
                <w:lang w:val="fr-FR" w:bidi="fr-FR"/>
              </w:rPr>
              <w:t>707</w:t>
            </w:r>
          </w:p>
        </w:tc>
        <w:tc>
          <w:tcPr>
            <w:tcW w:w="1275" w:type="dxa"/>
            <w:tcBorders>
              <w:top w:val="nil"/>
              <w:left w:val="nil"/>
              <w:bottom w:val="single" w:sz="4" w:space="0" w:color="auto"/>
              <w:right w:val="single" w:sz="4" w:space="0" w:color="auto"/>
            </w:tcBorders>
            <w:shd w:val="clear" w:color="auto" w:fill="auto"/>
            <w:noWrap/>
            <w:vAlign w:val="center"/>
            <w:hideMark/>
          </w:tcPr>
          <w:p w14:paraId="05772AD8" w14:textId="77777777" w:rsidR="006B5F5C" w:rsidRPr="00E71F76" w:rsidRDefault="006B5F5C" w:rsidP="00D26F3E">
            <w:pPr>
              <w:keepNext/>
              <w:jc w:val="right"/>
              <w:rPr>
                <w:b/>
                <w:bCs/>
                <w:sz w:val="21"/>
                <w:szCs w:val="21"/>
                <w:lang w:eastAsia="en-CA"/>
              </w:rPr>
            </w:pPr>
            <w:r w:rsidRPr="00E71F76">
              <w:rPr>
                <w:b/>
                <w:sz w:val="21"/>
                <w:szCs w:val="21"/>
                <w:lang w:val="fr-FR" w:bidi="fr-FR"/>
              </w:rPr>
              <w:t>3</w:t>
            </w:r>
            <w:r>
              <w:rPr>
                <w:b/>
                <w:sz w:val="21"/>
                <w:szCs w:val="21"/>
                <w:lang w:val="fr-FR" w:bidi="fr-FR"/>
              </w:rPr>
              <w:t> 098 </w:t>
            </w:r>
            <w:r w:rsidRPr="00E71F76">
              <w:rPr>
                <w:b/>
                <w:sz w:val="21"/>
                <w:szCs w:val="21"/>
                <w:lang w:val="fr-FR" w:bidi="fr-FR"/>
              </w:rPr>
              <w:t>567</w:t>
            </w:r>
          </w:p>
        </w:tc>
        <w:tc>
          <w:tcPr>
            <w:tcW w:w="1065" w:type="dxa"/>
            <w:tcBorders>
              <w:top w:val="nil"/>
              <w:left w:val="nil"/>
              <w:bottom w:val="single" w:sz="4" w:space="0" w:color="auto"/>
              <w:right w:val="single" w:sz="4" w:space="0" w:color="auto"/>
            </w:tcBorders>
            <w:shd w:val="clear" w:color="auto" w:fill="auto"/>
            <w:noWrap/>
            <w:vAlign w:val="center"/>
            <w:hideMark/>
          </w:tcPr>
          <w:p w14:paraId="47B35764" w14:textId="77777777" w:rsidR="006B5F5C" w:rsidRPr="00E71F76" w:rsidRDefault="006B5F5C" w:rsidP="00D26F3E">
            <w:pPr>
              <w:keepNext/>
              <w:jc w:val="right"/>
              <w:rPr>
                <w:b/>
                <w:bCs/>
                <w:sz w:val="21"/>
                <w:szCs w:val="21"/>
                <w:lang w:eastAsia="en-CA"/>
              </w:rPr>
            </w:pPr>
            <w:r w:rsidRPr="00E71F76">
              <w:rPr>
                <w:b/>
                <w:sz w:val="21"/>
                <w:szCs w:val="21"/>
                <w:lang w:val="fr-FR" w:bidi="fr-FR"/>
              </w:rPr>
              <w:t>483</w:t>
            </w:r>
            <w:r>
              <w:rPr>
                <w:b/>
                <w:sz w:val="21"/>
                <w:szCs w:val="21"/>
                <w:lang w:val="fr-FR" w:bidi="fr-FR"/>
              </w:rPr>
              <w:t> </w:t>
            </w:r>
            <w:r w:rsidRPr="00E71F76">
              <w:rPr>
                <w:b/>
                <w:sz w:val="21"/>
                <w:szCs w:val="21"/>
                <w:lang w:val="fr-FR" w:bidi="fr-FR"/>
              </w:rPr>
              <w:t>512</w:t>
            </w:r>
          </w:p>
        </w:tc>
        <w:tc>
          <w:tcPr>
            <w:tcW w:w="1311" w:type="dxa"/>
            <w:tcBorders>
              <w:top w:val="nil"/>
              <w:left w:val="nil"/>
              <w:bottom w:val="single" w:sz="4" w:space="0" w:color="auto"/>
              <w:right w:val="single" w:sz="4" w:space="0" w:color="auto"/>
            </w:tcBorders>
            <w:shd w:val="clear" w:color="auto" w:fill="auto"/>
            <w:noWrap/>
            <w:vAlign w:val="center"/>
            <w:hideMark/>
          </w:tcPr>
          <w:p w14:paraId="462C76A3" w14:textId="77777777" w:rsidR="006B5F5C" w:rsidRPr="00E71F76" w:rsidRDefault="006B5F5C" w:rsidP="00D26F3E">
            <w:pPr>
              <w:keepNext/>
              <w:jc w:val="right"/>
              <w:rPr>
                <w:b/>
                <w:bCs/>
                <w:sz w:val="21"/>
                <w:szCs w:val="21"/>
                <w:lang w:eastAsia="en-CA"/>
              </w:rPr>
            </w:pPr>
            <w:r w:rsidRPr="00E71F76">
              <w:rPr>
                <w:b/>
                <w:sz w:val="21"/>
                <w:szCs w:val="21"/>
                <w:lang w:val="fr-FR" w:bidi="fr-FR"/>
              </w:rPr>
              <w:t>6</w:t>
            </w:r>
            <w:r>
              <w:rPr>
                <w:b/>
                <w:sz w:val="21"/>
                <w:szCs w:val="21"/>
                <w:lang w:val="fr-FR" w:bidi="fr-FR"/>
              </w:rPr>
              <w:t> 166 </w:t>
            </w:r>
            <w:r w:rsidRPr="00E71F76">
              <w:rPr>
                <w:b/>
                <w:sz w:val="21"/>
                <w:szCs w:val="21"/>
                <w:lang w:val="fr-FR" w:bidi="fr-FR"/>
              </w:rPr>
              <w:t>786</w:t>
            </w:r>
          </w:p>
        </w:tc>
        <w:tc>
          <w:tcPr>
            <w:tcW w:w="1314" w:type="dxa"/>
            <w:tcBorders>
              <w:top w:val="nil"/>
              <w:left w:val="nil"/>
              <w:bottom w:val="single" w:sz="4" w:space="0" w:color="auto"/>
              <w:right w:val="single" w:sz="4" w:space="0" w:color="auto"/>
            </w:tcBorders>
            <w:shd w:val="clear" w:color="auto" w:fill="auto"/>
            <w:noWrap/>
            <w:vAlign w:val="center"/>
            <w:hideMark/>
          </w:tcPr>
          <w:p w14:paraId="32D026DA" w14:textId="77777777" w:rsidR="006B5F5C" w:rsidRPr="00E71F76" w:rsidRDefault="006B5F5C" w:rsidP="00D26F3E">
            <w:pPr>
              <w:keepNext/>
              <w:jc w:val="right"/>
              <w:rPr>
                <w:b/>
                <w:bCs/>
                <w:sz w:val="21"/>
                <w:szCs w:val="21"/>
                <w:lang w:eastAsia="en-CA"/>
              </w:rPr>
            </w:pPr>
            <w:r w:rsidRPr="00E71F76">
              <w:rPr>
                <w:b/>
                <w:sz w:val="21"/>
                <w:szCs w:val="21"/>
                <w:lang w:val="fr-FR" w:bidi="fr-FR"/>
              </w:rPr>
              <w:t>829</w:t>
            </w:r>
            <w:r>
              <w:rPr>
                <w:b/>
                <w:sz w:val="21"/>
                <w:szCs w:val="21"/>
                <w:lang w:val="fr-FR" w:bidi="fr-FR"/>
              </w:rPr>
              <w:t> </w:t>
            </w:r>
            <w:r w:rsidRPr="00E71F76">
              <w:rPr>
                <w:b/>
                <w:sz w:val="21"/>
                <w:szCs w:val="21"/>
                <w:lang w:val="fr-FR" w:bidi="fr-FR"/>
              </w:rPr>
              <w:t>226</w:t>
            </w:r>
          </w:p>
        </w:tc>
      </w:tr>
    </w:tbl>
    <w:p w14:paraId="28A8E83E" w14:textId="77777777" w:rsidR="006B5F5C" w:rsidRPr="00E23538" w:rsidRDefault="006B5F5C" w:rsidP="00D26F3E">
      <w:pPr>
        <w:keepNext/>
        <w:rPr>
          <w:sz w:val="20"/>
          <w:szCs w:val="20"/>
          <w:lang w:val="fr-FR"/>
        </w:rPr>
      </w:pPr>
      <w:r w:rsidRPr="002D6131">
        <w:rPr>
          <w:sz w:val="20"/>
          <w:szCs w:val="20"/>
          <w:lang w:val="fr-FR" w:bidi="fr-FR"/>
        </w:rPr>
        <w:t>* Y compris les coûts d</w:t>
      </w:r>
      <w:r>
        <w:rPr>
          <w:sz w:val="20"/>
          <w:szCs w:val="20"/>
          <w:lang w:val="fr-FR" w:bidi="fr-FR"/>
        </w:rPr>
        <w:t>’</w:t>
      </w:r>
      <w:r w:rsidRPr="002D6131">
        <w:rPr>
          <w:sz w:val="20"/>
          <w:szCs w:val="20"/>
          <w:lang w:val="fr-FR" w:bidi="fr-FR"/>
        </w:rPr>
        <w:t>appui d</w:t>
      </w:r>
      <w:r>
        <w:rPr>
          <w:sz w:val="20"/>
          <w:szCs w:val="20"/>
          <w:lang w:val="fr-FR" w:bidi="fr-FR"/>
        </w:rPr>
        <w:t>’</w:t>
      </w:r>
      <w:r w:rsidRPr="002D6131">
        <w:rPr>
          <w:sz w:val="20"/>
          <w:szCs w:val="20"/>
          <w:lang w:val="fr-FR" w:bidi="fr-FR"/>
        </w:rPr>
        <w:t>agence.</w:t>
      </w:r>
    </w:p>
    <w:p w14:paraId="72E269D0" w14:textId="77777777" w:rsidR="006B5F5C" w:rsidRPr="00E23538" w:rsidRDefault="006B5F5C" w:rsidP="006B5F5C">
      <w:pPr>
        <w:rPr>
          <w:lang w:val="fr-FR"/>
        </w:rPr>
      </w:pPr>
    </w:p>
    <w:p w14:paraId="730241DA" w14:textId="77777777" w:rsidR="006B5F5C" w:rsidRPr="00894085" w:rsidRDefault="006B5F5C" w:rsidP="006B5F5C">
      <w:pPr>
        <w:pStyle w:val="Heading1"/>
        <w:keepNext/>
        <w:keepLines/>
        <w:numPr>
          <w:ilvl w:val="0"/>
          <w:numId w:val="0"/>
        </w:numPr>
        <w:rPr>
          <w:b/>
          <w:bCs/>
        </w:rPr>
      </w:pPr>
      <w:r w:rsidRPr="00894085">
        <w:rPr>
          <w:b/>
          <w:lang w:val="fr-FR" w:bidi="fr-FR"/>
        </w:rPr>
        <w:t>RECOMMANDATION</w:t>
      </w:r>
    </w:p>
    <w:p w14:paraId="38A53A9D" w14:textId="7E8E7CC2" w:rsidR="006B5F5C" w:rsidRPr="00E23538" w:rsidRDefault="006B5F5C" w:rsidP="006B5F5C">
      <w:pPr>
        <w:pStyle w:val="Heading1"/>
        <w:rPr>
          <w:lang w:val="fr-FR"/>
        </w:rPr>
      </w:pPr>
      <w:r w:rsidRPr="002D6131">
        <w:rPr>
          <w:lang w:val="fr-FR" w:bidi="fr-FR"/>
        </w:rPr>
        <w:t>Le Comité exécutif voudra peut-être prendre note des plans d</w:t>
      </w:r>
      <w:r>
        <w:rPr>
          <w:lang w:val="fr-FR" w:bidi="fr-FR"/>
        </w:rPr>
        <w:t>’</w:t>
      </w:r>
      <w:r w:rsidRPr="002D6131">
        <w:rPr>
          <w:lang w:val="fr-FR" w:bidi="fr-FR"/>
        </w:rPr>
        <w:t>activités des agences bilatérales pour 2022-2024 soumis par les gouvernements de l</w:t>
      </w:r>
      <w:r>
        <w:rPr>
          <w:lang w:val="fr-FR" w:bidi="fr-FR"/>
        </w:rPr>
        <w:t>’</w:t>
      </w:r>
      <w:r w:rsidRPr="002D6131">
        <w:rPr>
          <w:lang w:val="fr-FR" w:bidi="fr-FR"/>
        </w:rPr>
        <w:t>Allemagne, du Japon et du Royaume-Uni de Grande</w:t>
      </w:r>
      <w:r w:rsidR="00066442">
        <w:rPr>
          <w:lang w:val="fr-FR" w:bidi="fr-FR"/>
        </w:rPr>
        <w:noBreakHyphen/>
      </w:r>
      <w:r w:rsidRPr="002D6131">
        <w:rPr>
          <w:lang w:val="fr-FR" w:bidi="fr-FR"/>
        </w:rPr>
        <w:t>Bretagne et d</w:t>
      </w:r>
      <w:r>
        <w:rPr>
          <w:lang w:val="fr-FR" w:bidi="fr-FR"/>
        </w:rPr>
        <w:t>’</w:t>
      </w:r>
      <w:r w:rsidRPr="002D6131">
        <w:rPr>
          <w:lang w:val="fr-FR" w:bidi="fr-FR"/>
        </w:rPr>
        <w:t>Irlande du Nord figurant au document UNEP/</w:t>
      </w:r>
      <w:proofErr w:type="spellStart"/>
      <w:r w:rsidRPr="002D6131">
        <w:rPr>
          <w:lang w:val="fr-FR" w:bidi="fr-FR"/>
        </w:rPr>
        <w:t>OzL.Pro</w:t>
      </w:r>
      <w:proofErr w:type="spellEnd"/>
      <w:r w:rsidRPr="002D6131">
        <w:rPr>
          <w:lang w:val="fr-FR" w:bidi="fr-FR"/>
        </w:rPr>
        <w:t>/</w:t>
      </w:r>
      <w:proofErr w:type="spellStart"/>
      <w:r w:rsidRPr="002D6131">
        <w:rPr>
          <w:lang w:val="fr-FR" w:bidi="fr-FR"/>
        </w:rPr>
        <w:t>ExCom</w:t>
      </w:r>
      <w:proofErr w:type="spellEnd"/>
      <w:r w:rsidRPr="002D6131">
        <w:rPr>
          <w:lang w:val="fr-FR" w:bidi="fr-FR"/>
        </w:rPr>
        <w:t xml:space="preserve">/88/23.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B5F5C" w:rsidRPr="00630498" w14:paraId="354420C5" w14:textId="77777777" w:rsidTr="006E3590">
        <w:tc>
          <w:tcPr>
            <w:tcW w:w="1915" w:type="dxa"/>
          </w:tcPr>
          <w:p w14:paraId="35C65A99" w14:textId="77777777" w:rsidR="006B5F5C" w:rsidRPr="00E23538" w:rsidRDefault="006B5F5C" w:rsidP="006E3590">
            <w:pPr>
              <w:rPr>
                <w:lang w:val="fr-FR"/>
              </w:rPr>
            </w:pPr>
          </w:p>
        </w:tc>
        <w:tc>
          <w:tcPr>
            <w:tcW w:w="1915" w:type="dxa"/>
          </w:tcPr>
          <w:p w14:paraId="158E76F4" w14:textId="77777777" w:rsidR="006B5F5C" w:rsidRPr="00E23538" w:rsidRDefault="006B5F5C" w:rsidP="006E3590">
            <w:pPr>
              <w:rPr>
                <w:lang w:val="fr-FR"/>
              </w:rPr>
            </w:pPr>
          </w:p>
        </w:tc>
        <w:tc>
          <w:tcPr>
            <w:tcW w:w="1915" w:type="dxa"/>
            <w:tcBorders>
              <w:bottom w:val="single" w:sz="4" w:space="0" w:color="auto"/>
            </w:tcBorders>
          </w:tcPr>
          <w:p w14:paraId="15761A2D" w14:textId="77777777" w:rsidR="006B5F5C" w:rsidRPr="00E23538" w:rsidRDefault="006B5F5C" w:rsidP="006E3590">
            <w:pPr>
              <w:rPr>
                <w:lang w:val="fr-FR"/>
              </w:rPr>
            </w:pPr>
          </w:p>
        </w:tc>
        <w:tc>
          <w:tcPr>
            <w:tcW w:w="1915" w:type="dxa"/>
          </w:tcPr>
          <w:p w14:paraId="6ED6F847" w14:textId="77777777" w:rsidR="006B5F5C" w:rsidRPr="00E23538" w:rsidRDefault="006B5F5C" w:rsidP="006E3590">
            <w:pPr>
              <w:rPr>
                <w:lang w:val="fr-FR"/>
              </w:rPr>
            </w:pPr>
          </w:p>
        </w:tc>
        <w:tc>
          <w:tcPr>
            <w:tcW w:w="1916" w:type="dxa"/>
          </w:tcPr>
          <w:p w14:paraId="47FFA405" w14:textId="77777777" w:rsidR="006B5F5C" w:rsidRPr="00E23538" w:rsidRDefault="006B5F5C" w:rsidP="006E3590">
            <w:pPr>
              <w:rPr>
                <w:lang w:val="fr-FR"/>
              </w:rPr>
            </w:pPr>
          </w:p>
        </w:tc>
      </w:tr>
    </w:tbl>
    <w:p w14:paraId="11A9EDF3" w14:textId="77777777" w:rsidR="006B5F5C" w:rsidRPr="00E23538" w:rsidRDefault="006B5F5C" w:rsidP="006B5F5C">
      <w:pPr>
        <w:rPr>
          <w:lang w:val="fr-FR"/>
        </w:rPr>
      </w:pPr>
    </w:p>
    <w:p w14:paraId="3E8F0437" w14:textId="77777777" w:rsidR="006B5F5C" w:rsidRPr="006B5F5C" w:rsidRDefault="006B5F5C">
      <w:pPr>
        <w:jc w:val="left"/>
        <w:rPr>
          <w:lang w:val="fr-FR"/>
        </w:rPr>
      </w:pPr>
    </w:p>
    <w:sectPr w:rsidR="006B5F5C" w:rsidRPr="006B5F5C" w:rsidSect="00630498">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2940" w14:textId="77777777" w:rsidR="00DD66D5" w:rsidRDefault="00DD66D5">
      <w:r>
        <w:separator/>
      </w:r>
    </w:p>
  </w:endnote>
  <w:endnote w:type="continuationSeparator" w:id="0">
    <w:p w14:paraId="21AFEEC7" w14:textId="77777777" w:rsidR="00DD66D5" w:rsidRDefault="00DD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78416"/>
      <w:docPartObj>
        <w:docPartGallery w:val="Page Numbers (Bottom of Page)"/>
        <w:docPartUnique/>
      </w:docPartObj>
    </w:sdtPr>
    <w:sdtEndPr>
      <w:rPr>
        <w:noProof/>
      </w:rPr>
    </w:sdtEndPr>
    <w:sdtContent>
      <w:p w14:paraId="1DA7768A" w14:textId="5EBCFB6C" w:rsidR="00630498" w:rsidRDefault="006304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5D76D" w14:textId="77777777" w:rsidR="00630498" w:rsidRDefault="00630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65512"/>
      <w:docPartObj>
        <w:docPartGallery w:val="Page Numbers (Bottom of Page)"/>
        <w:docPartUnique/>
      </w:docPartObj>
    </w:sdtPr>
    <w:sdtEndPr>
      <w:rPr>
        <w:noProof/>
      </w:rPr>
    </w:sdtEndPr>
    <w:sdtContent>
      <w:p w14:paraId="418376B7" w14:textId="7AC7B738" w:rsidR="00630498" w:rsidRDefault="006304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332FA" w14:textId="77777777" w:rsidR="00630498" w:rsidRDefault="00630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08631"/>
      <w:docPartObj>
        <w:docPartGallery w:val="Page Numbers (Bottom of Page)"/>
        <w:docPartUnique/>
      </w:docPartObj>
    </w:sdtPr>
    <w:sdtEndPr>
      <w:rPr>
        <w:noProof/>
      </w:rPr>
    </w:sdtEndPr>
    <w:sdtContent>
      <w:p w14:paraId="2CAF31B0" w14:textId="1DE6063C" w:rsidR="00441083" w:rsidRPr="00630498" w:rsidRDefault="00630498" w:rsidP="00630498">
        <w:pPr>
          <w:pBdr>
            <w:top w:val="single" w:sz="4" w:space="1" w:color="auto"/>
            <w:left w:val="single" w:sz="4" w:space="4" w:color="auto"/>
            <w:bottom w:val="single" w:sz="4" w:space="1" w:color="auto"/>
            <w:right w:val="single" w:sz="4" w:space="4" w:color="auto"/>
          </w:pBdr>
          <w:jc w:val="center"/>
          <w:rPr>
            <w:sz w:val="18"/>
            <w:szCs w:val="18"/>
            <w:lang w:val="fr-FR"/>
          </w:rPr>
        </w:pPr>
        <w:r w:rsidRPr="00630498">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sdtContent>
  </w:sdt>
  <w:p w14:paraId="5811E881" w14:textId="77777777"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597E" w14:textId="77777777" w:rsidR="00DD66D5" w:rsidRDefault="00DD66D5">
      <w:r>
        <w:separator/>
      </w:r>
    </w:p>
  </w:footnote>
  <w:footnote w:type="continuationSeparator" w:id="0">
    <w:p w14:paraId="046EDE2A" w14:textId="77777777" w:rsidR="00DD66D5" w:rsidRDefault="00DD66D5">
      <w:r>
        <w:continuationSeparator/>
      </w:r>
    </w:p>
  </w:footnote>
  <w:footnote w:id="1">
    <w:p w14:paraId="36520717" w14:textId="1502B711" w:rsidR="003029F8" w:rsidRPr="003029F8" w:rsidRDefault="002C06D4" w:rsidP="003029F8">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 xml:space="preserve">n </w:t>
      </w:r>
      <w:r w:rsidR="009F6617">
        <w:rPr>
          <w:lang w:val="fr-CA"/>
        </w:rPr>
        <w:t xml:space="preserve">novembre et décembre </w:t>
      </w:r>
      <w:r w:rsidR="003029F8">
        <w:rPr>
          <w:lang w:val="fr-CA"/>
        </w:rPr>
        <w:t>2021 à cause du coronaviru</w:t>
      </w:r>
      <w:r w:rsidR="003029F8" w:rsidRPr="0004647F">
        <w:rPr>
          <w:lang w:val="fr-CA"/>
        </w:rPr>
        <w:t>s</w:t>
      </w:r>
      <w:r w:rsidR="003029F8">
        <w:rPr>
          <w:lang w:val="fr-CA"/>
        </w:rPr>
        <w:t xml:space="preserve"> (COVID-19)</w:t>
      </w:r>
      <w:r w:rsidR="004F45C2">
        <w:rPr>
          <w:lang w:val="fr-CA"/>
        </w:rPr>
        <w:t>.</w:t>
      </w:r>
    </w:p>
  </w:footnote>
  <w:footnote w:id="2">
    <w:p w14:paraId="3F1A4896" w14:textId="0B85CAC0" w:rsidR="006B5F5C" w:rsidRPr="00E23538" w:rsidRDefault="006B5F5C" w:rsidP="006B5F5C">
      <w:pPr>
        <w:pStyle w:val="FootnoteText"/>
        <w:rPr>
          <w:lang w:val="fr-FR"/>
        </w:rPr>
      </w:pPr>
      <w:r w:rsidRPr="002D6F5A">
        <w:rPr>
          <w:rStyle w:val="FootnoteReference"/>
          <w:lang w:val="fr-FR" w:bidi="fr-FR"/>
        </w:rPr>
        <w:footnoteRef/>
      </w:r>
      <w:r w:rsidRPr="002D6F5A">
        <w:rPr>
          <w:lang w:val="fr-FR" w:bidi="fr-FR"/>
        </w:rPr>
        <w:t xml:space="preserve"> Compte tenu des contraintes imposées par la pandémie de COVID-19, les commentaires du Secrétariat sur la soumission initiale d</w:t>
      </w:r>
      <w:r w:rsidR="00EC7851">
        <w:rPr>
          <w:lang w:val="fr-FR" w:bidi="fr-FR"/>
        </w:rPr>
        <w:t>es</w:t>
      </w:r>
      <w:r w:rsidRPr="002D6F5A">
        <w:rPr>
          <w:lang w:val="fr-FR" w:bidi="fr-FR"/>
        </w:rPr>
        <w:t xml:space="preserve"> plan</w:t>
      </w:r>
      <w:r w:rsidR="00EC7851">
        <w:rPr>
          <w:lang w:val="fr-FR" w:bidi="fr-FR"/>
        </w:rPr>
        <w:t>s</w:t>
      </w:r>
      <w:r w:rsidRPr="002D6F5A">
        <w:rPr>
          <w:lang w:val="fr-FR" w:bidi="fr-FR"/>
        </w:rPr>
        <w:t xml:space="preserve"> d</w:t>
      </w:r>
      <w:r>
        <w:rPr>
          <w:lang w:val="fr-FR" w:bidi="fr-FR"/>
        </w:rPr>
        <w:t>’</w:t>
      </w:r>
      <w:r w:rsidRPr="002D6F5A">
        <w:rPr>
          <w:lang w:val="fr-FR" w:bidi="fr-FR"/>
        </w:rPr>
        <w:t>activités des agences bilatérales pour 2022-2024 ont été pris en compte dans le cadre de délibérations bilatérales et de nombreux échanges de messages électroniques. Tous les problèmes ont été résolus de manière satisfaisante.</w:t>
      </w:r>
    </w:p>
  </w:footnote>
  <w:footnote w:id="3">
    <w:p w14:paraId="6E5F7D01" w14:textId="46CB02D9" w:rsidR="006B5F5C" w:rsidRPr="00E23538" w:rsidRDefault="006B5F5C" w:rsidP="006B5F5C">
      <w:pPr>
        <w:pStyle w:val="FootnoteText"/>
        <w:rPr>
          <w:lang w:val="fr-FR"/>
        </w:rPr>
      </w:pPr>
      <w:r w:rsidRPr="002D6F5A">
        <w:rPr>
          <w:rStyle w:val="FootnoteReference"/>
          <w:lang w:val="fr-FR" w:bidi="fr-FR"/>
        </w:rPr>
        <w:footnoteRef/>
      </w:r>
      <w:r w:rsidR="00630498">
        <w:rPr>
          <w:lang w:val="fr-FR" w:bidi="fr-FR"/>
        </w:rPr>
        <w:t xml:space="preserve"> </w:t>
      </w:r>
      <w:r w:rsidRPr="002D6F5A">
        <w:rPr>
          <w:lang w:val="fr-FR" w:bidi="fr-FR"/>
        </w:rPr>
        <w:t>Il est licite de considérer la coopération bilatérale comme contribution au Fonds multilatéral jusqu’à concurrence de 20</w:t>
      </w:r>
      <w:r>
        <w:rPr>
          <w:lang w:val="fr-FR" w:bidi="fr-FR"/>
        </w:rPr>
        <w:t> </w:t>
      </w:r>
      <w:r w:rsidRPr="002D6F5A">
        <w:rPr>
          <w:lang w:val="fr-FR" w:bidi="fr-FR"/>
        </w:rPr>
        <w:t>% de la contribution annuelle annoncée d’un pays au Fonds. Le Comité exécutif a décidé d’accorder une certaine souplesse quant à l’année d’imputation des projets bilatéraux, sous réserve que les agences bilatérales soumettent leurs plans de travail en temps voulu en début d’année, pour examen lors des délibérations sur les plans d’activités à la première réunion de l’année du Comité (décision</w:t>
      </w:r>
      <w:r>
        <w:rPr>
          <w:lang w:val="fr-FR" w:bidi="fr-FR"/>
        </w:rPr>
        <w:t> </w:t>
      </w:r>
      <w:r w:rsidRPr="002D6F5A">
        <w:rPr>
          <w:lang w:val="fr-FR" w:bidi="fr-FR"/>
        </w:rPr>
        <w:t>25/13</w:t>
      </w:r>
      <w:r w:rsidR="00781811">
        <w:rPr>
          <w:lang w:val="fr-FR" w:bidi="fr-FR"/>
        </w:rPr>
        <w:t>(</w:t>
      </w:r>
      <w:r w:rsidRPr="002D6F5A">
        <w:rPr>
          <w:lang w:val="fr-FR" w:bidi="fr-FR"/>
        </w:rPr>
        <w:t>a)). Il est à noter que d’autres Parties non visées à l</w:t>
      </w:r>
      <w:r>
        <w:rPr>
          <w:lang w:val="fr-FR" w:bidi="fr-FR"/>
        </w:rPr>
        <w:t>’</w:t>
      </w:r>
      <w:r w:rsidRPr="002D6F5A">
        <w:rPr>
          <w:lang w:val="fr-FR" w:bidi="fr-FR"/>
        </w:rPr>
        <w:t>Article 5, telles que le Canada, la République tchèque, la Finlande, Israël, l</w:t>
      </w:r>
      <w:r>
        <w:rPr>
          <w:lang w:val="fr-FR" w:bidi="fr-FR"/>
        </w:rPr>
        <w:t>’</w:t>
      </w:r>
      <w:r w:rsidRPr="002D6F5A">
        <w:rPr>
          <w:lang w:val="fr-FR" w:bidi="fr-FR"/>
        </w:rPr>
        <w:t>Italie, la Pologne, le Portugal, la Fédération de Russie, l</w:t>
      </w:r>
      <w:r>
        <w:rPr>
          <w:lang w:val="fr-FR" w:bidi="fr-FR"/>
        </w:rPr>
        <w:t>’</w:t>
      </w:r>
      <w:r w:rsidRPr="002D6F5A">
        <w:rPr>
          <w:lang w:val="fr-FR" w:bidi="fr-FR"/>
        </w:rPr>
        <w:t>Espagne, la Suède, la Suisse et les États-Unis d</w:t>
      </w:r>
      <w:r>
        <w:rPr>
          <w:lang w:val="fr-FR" w:bidi="fr-FR"/>
        </w:rPr>
        <w:t>’</w:t>
      </w:r>
      <w:r w:rsidRPr="002D6F5A">
        <w:rPr>
          <w:lang w:val="fr-FR" w:bidi="fr-FR"/>
        </w:rPr>
        <w:t>Amérique n’ont pas soumis de plan d’activités au titre de la coopération bilatérale</w:t>
      </w:r>
      <w:r>
        <w:rPr>
          <w:lang w:val="fr-FR" w:bidi="fr-FR"/>
        </w:rPr>
        <w:t> </w:t>
      </w:r>
      <w:r w:rsidRPr="002D6F5A">
        <w:rPr>
          <w:lang w:val="fr-FR" w:bidi="fr-FR"/>
        </w:rPr>
        <w:t>; si elles le font, la valeur totale des activités bilatérales pourrait augmenter.</w:t>
      </w:r>
    </w:p>
  </w:footnote>
  <w:footnote w:id="4">
    <w:p w14:paraId="604B7963" w14:textId="77777777" w:rsidR="006B5F5C" w:rsidRPr="00E23538" w:rsidRDefault="006B5F5C" w:rsidP="006B5F5C">
      <w:pPr>
        <w:pStyle w:val="FootnoteText"/>
        <w:rPr>
          <w:lang w:val="fr-FR"/>
        </w:rPr>
      </w:pPr>
      <w:r w:rsidRPr="002D6F5A">
        <w:rPr>
          <w:rStyle w:val="FootnoteReference"/>
          <w:lang w:val="fr-FR" w:bidi="fr-FR"/>
        </w:rPr>
        <w:footnoteRef/>
      </w:r>
      <w:r w:rsidRPr="002D6F5A">
        <w:rPr>
          <w:lang w:val="fr-FR" w:bidi="fr-FR"/>
        </w:rPr>
        <w:t xml:space="preserve"> Toutes les activités postérieures à 2024 concernent la phase I approuvée des PGEH pour Maurice, la Namibie, la Papouasie-Nouvelle-Guinée et les Seychelles</w:t>
      </w:r>
      <w:r>
        <w:rPr>
          <w:lang w:val="fr-FR" w:bidi="fr-FR"/>
        </w:rPr>
        <w:t> </w:t>
      </w:r>
      <w:r w:rsidRPr="002D6F5A">
        <w:rPr>
          <w:lang w:val="fr-FR" w:bidi="fr-FR"/>
        </w:rPr>
        <w:t>; la phase</w:t>
      </w:r>
      <w:r>
        <w:rPr>
          <w:lang w:val="fr-FR" w:bidi="fr-FR"/>
        </w:rPr>
        <w:t> </w:t>
      </w:r>
      <w:r w:rsidRPr="002D6F5A">
        <w:rPr>
          <w:lang w:val="fr-FR" w:bidi="fr-FR"/>
        </w:rPr>
        <w:t>II approuvée des PGEH pour le Kenya, le Lesotho et les PIC</w:t>
      </w:r>
      <w:r>
        <w:rPr>
          <w:lang w:val="fr-FR" w:bidi="fr-FR"/>
        </w:rPr>
        <w:t> </w:t>
      </w:r>
      <w:r w:rsidRPr="002D6F5A">
        <w:rPr>
          <w:lang w:val="fr-FR" w:bidi="fr-FR"/>
        </w:rPr>
        <w:t xml:space="preserve">; et le renforcement des institutions pour la Papouasie-Nouvelle-Guinée. </w:t>
      </w:r>
    </w:p>
  </w:footnote>
  <w:footnote w:id="5">
    <w:p w14:paraId="4A7CA5B4" w14:textId="77777777" w:rsidR="006B5F5C" w:rsidRPr="00E23538" w:rsidRDefault="006B5F5C" w:rsidP="006B5F5C">
      <w:pPr>
        <w:pStyle w:val="Default"/>
        <w:jc w:val="both"/>
        <w:rPr>
          <w:color w:val="auto"/>
          <w:sz w:val="20"/>
          <w:szCs w:val="20"/>
          <w:lang w:val="fr-FR"/>
        </w:rPr>
      </w:pPr>
      <w:r w:rsidRPr="005569B8">
        <w:rPr>
          <w:rStyle w:val="FootnoteReference"/>
          <w:color w:val="auto"/>
          <w:sz w:val="20"/>
          <w:szCs w:val="20"/>
          <w:lang w:val="fr-FR" w:bidi="fr-FR"/>
        </w:rPr>
        <w:footnoteRef/>
      </w:r>
      <w:r w:rsidRPr="005569B8">
        <w:rPr>
          <w:color w:val="auto"/>
          <w:sz w:val="20"/>
          <w:szCs w:val="20"/>
          <w:lang w:val="fr-FR" w:bidi="fr-FR"/>
        </w:rPr>
        <w:t xml:space="preserve"> En l</w:t>
      </w:r>
      <w:r>
        <w:rPr>
          <w:color w:val="auto"/>
          <w:sz w:val="20"/>
          <w:szCs w:val="20"/>
          <w:lang w:val="fr-FR" w:bidi="fr-FR"/>
        </w:rPr>
        <w:t>’</w:t>
      </w:r>
      <w:r w:rsidRPr="005569B8">
        <w:rPr>
          <w:color w:val="auto"/>
          <w:sz w:val="20"/>
          <w:szCs w:val="20"/>
          <w:lang w:val="fr-FR" w:bidi="fr-FR"/>
        </w:rPr>
        <w:t>absence d</w:t>
      </w:r>
      <w:r>
        <w:rPr>
          <w:color w:val="auto"/>
          <w:sz w:val="20"/>
          <w:szCs w:val="20"/>
          <w:lang w:val="fr-FR" w:bidi="fr-FR"/>
        </w:rPr>
        <w:t>’</w:t>
      </w:r>
      <w:r w:rsidRPr="005569B8">
        <w:rPr>
          <w:color w:val="auto"/>
          <w:sz w:val="20"/>
          <w:szCs w:val="20"/>
          <w:lang w:val="fr-FR" w:bidi="fr-FR"/>
        </w:rPr>
        <w:t>une décision des Parties sur le niveau de reconstitution du Fonds multilatéral pour la période triennale</w:t>
      </w:r>
      <w:r>
        <w:rPr>
          <w:color w:val="auto"/>
          <w:sz w:val="20"/>
          <w:szCs w:val="20"/>
          <w:lang w:val="fr-FR" w:bidi="fr-FR"/>
        </w:rPr>
        <w:t> </w:t>
      </w:r>
      <w:r w:rsidRPr="005569B8">
        <w:rPr>
          <w:color w:val="auto"/>
          <w:sz w:val="20"/>
          <w:szCs w:val="20"/>
          <w:lang w:val="fr-FR" w:bidi="fr-FR"/>
        </w:rPr>
        <w:t>2021-2023, et compte tenu de la décision</w:t>
      </w:r>
      <w:r>
        <w:rPr>
          <w:color w:val="auto"/>
          <w:sz w:val="20"/>
          <w:szCs w:val="20"/>
          <w:lang w:val="fr-FR" w:bidi="fr-FR"/>
        </w:rPr>
        <w:t> </w:t>
      </w:r>
      <w:r w:rsidRPr="005569B8">
        <w:rPr>
          <w:color w:val="auto"/>
          <w:sz w:val="20"/>
          <w:szCs w:val="20"/>
          <w:lang w:val="fr-FR" w:bidi="fr-FR"/>
        </w:rPr>
        <w:t>XXXII/1, le barème des contributions au Fonds multilatéral pour 2021-2023 a été retenu au même niveau que celui de la période triennale</w:t>
      </w:r>
      <w:r>
        <w:rPr>
          <w:color w:val="auto"/>
          <w:sz w:val="20"/>
          <w:szCs w:val="20"/>
          <w:lang w:val="fr-FR" w:bidi="fr-FR"/>
        </w:rPr>
        <w:t> </w:t>
      </w:r>
      <w:r w:rsidRPr="005569B8">
        <w:rPr>
          <w:color w:val="auto"/>
          <w:sz w:val="20"/>
          <w:szCs w:val="20"/>
          <w:lang w:val="fr-FR" w:bidi="fr-FR"/>
        </w:rPr>
        <w:t xml:space="preserve">2018-2020. </w:t>
      </w:r>
    </w:p>
  </w:footnote>
  <w:footnote w:id="6">
    <w:p w14:paraId="2AEDC2F5" w14:textId="77777777" w:rsidR="006B5F5C" w:rsidRPr="00E23538" w:rsidRDefault="006B5F5C" w:rsidP="006B5F5C">
      <w:pPr>
        <w:pStyle w:val="FootnoteText"/>
        <w:rPr>
          <w:lang w:val="fr-FR"/>
        </w:rPr>
      </w:pPr>
      <w:r>
        <w:rPr>
          <w:rStyle w:val="FootnoteReference"/>
          <w:lang w:val="fr-FR" w:bidi="fr-FR"/>
        </w:rPr>
        <w:footnoteRef/>
      </w:r>
      <w:r w:rsidRPr="009C662E">
        <w:rPr>
          <w:lang w:val="fr-FR" w:bidi="fr-FR"/>
        </w:rPr>
        <w:t xml:space="preserve"> L</w:t>
      </w:r>
      <w:r>
        <w:rPr>
          <w:lang w:val="fr-FR" w:bidi="fr-FR"/>
        </w:rPr>
        <w:t>’</w:t>
      </w:r>
      <w:r w:rsidRPr="009C662E">
        <w:rPr>
          <w:lang w:val="fr-FR" w:bidi="fr-FR"/>
        </w:rPr>
        <w:t>inclusion de la phase</w:t>
      </w:r>
      <w:r>
        <w:rPr>
          <w:lang w:val="fr-FR" w:bidi="fr-FR"/>
        </w:rPr>
        <w:t> </w:t>
      </w:r>
      <w:r w:rsidRPr="009C662E">
        <w:rPr>
          <w:lang w:val="fr-FR" w:bidi="fr-FR"/>
        </w:rPr>
        <w:t>III des PGEH dans le plan d</w:t>
      </w:r>
      <w:r>
        <w:rPr>
          <w:lang w:val="fr-FR" w:bidi="fr-FR"/>
        </w:rPr>
        <w:t>’</w:t>
      </w:r>
      <w:r w:rsidRPr="009C662E">
        <w:rPr>
          <w:lang w:val="fr-FR" w:bidi="fr-FR"/>
        </w:rPr>
        <w:t>activités est autorisée uniquement pour les pays dont les objectifs de réduction sont inférieurs aux objectifs de conformité</w:t>
      </w:r>
      <w:r>
        <w:rPr>
          <w:lang w:val="fr-FR" w:bidi="fr-FR"/>
        </w:rPr>
        <w:t> </w:t>
      </w:r>
      <w:r w:rsidRPr="009C662E">
        <w:rPr>
          <w:lang w:val="fr-FR" w:bidi="fr-FR"/>
        </w:rPr>
        <w:t>2025.</w:t>
      </w:r>
    </w:p>
  </w:footnote>
  <w:footnote w:id="7">
    <w:p w14:paraId="7E5CFF4D" w14:textId="77777777" w:rsidR="006B5F5C" w:rsidRPr="00E23538" w:rsidRDefault="006B5F5C" w:rsidP="006B5F5C">
      <w:pPr>
        <w:pStyle w:val="FootnoteText"/>
        <w:rPr>
          <w:lang w:val="fr-FR"/>
        </w:rPr>
      </w:pPr>
      <w:r w:rsidRPr="002D6131">
        <w:rPr>
          <w:rStyle w:val="FootnoteReference"/>
          <w:lang w:val="fr-FR" w:bidi="fr-FR"/>
        </w:rPr>
        <w:footnoteRef/>
      </w:r>
      <w:r w:rsidRPr="002D6131">
        <w:rPr>
          <w:lang w:val="fr-FR" w:bidi="fr-FR"/>
        </w:rPr>
        <w:t xml:space="preserve"> Le financement de l</w:t>
      </w:r>
      <w:r>
        <w:rPr>
          <w:lang w:val="fr-FR" w:bidi="fr-FR"/>
        </w:rPr>
        <w:t>’</w:t>
      </w:r>
      <w:r w:rsidRPr="002D6131">
        <w:rPr>
          <w:lang w:val="fr-FR" w:bidi="fr-FR"/>
        </w:rPr>
        <w:t>élaboration de plans nationaux de mise en œuvre visant à satisfaire aux obligations initiales de réduction des HFC en vue de l</w:t>
      </w:r>
      <w:r>
        <w:rPr>
          <w:lang w:val="fr-FR" w:bidi="fr-FR"/>
        </w:rPr>
        <w:t>’</w:t>
      </w:r>
      <w:r w:rsidRPr="002D6131">
        <w:rPr>
          <w:lang w:val="fr-FR" w:bidi="fr-FR"/>
        </w:rPr>
        <w:t>élimination progressive des HFC pourrait être fourni au plus tôt cinq ans avant ces obligations, après qu</w:t>
      </w:r>
      <w:r>
        <w:rPr>
          <w:lang w:val="fr-FR" w:bidi="fr-FR"/>
        </w:rPr>
        <w:t>’</w:t>
      </w:r>
      <w:r w:rsidRPr="002D6131">
        <w:rPr>
          <w:lang w:val="fr-FR" w:bidi="fr-FR"/>
        </w:rPr>
        <w:t>un pays eut ratifié l</w:t>
      </w:r>
      <w:r>
        <w:rPr>
          <w:lang w:val="fr-FR" w:bidi="fr-FR"/>
        </w:rPr>
        <w:t>’</w:t>
      </w:r>
      <w:r w:rsidRPr="002D6131">
        <w:rPr>
          <w:lang w:val="fr-FR" w:bidi="fr-FR"/>
        </w:rPr>
        <w:t>Amendement de Kigali et sur la base de lignes directrices qui seront approuvées à l</w:t>
      </w:r>
      <w:r>
        <w:rPr>
          <w:lang w:val="fr-FR" w:bidi="fr-FR"/>
        </w:rPr>
        <w:t>’</w:t>
      </w:r>
      <w:r w:rsidRPr="002D6131">
        <w:rPr>
          <w:lang w:val="fr-FR" w:bidi="fr-FR"/>
        </w:rPr>
        <w:t>avenir (décision</w:t>
      </w:r>
      <w:r>
        <w:rPr>
          <w:lang w:val="fr-FR" w:bidi="fr-FR"/>
        </w:rPr>
        <w:t> </w:t>
      </w:r>
      <w:r w:rsidRPr="002D6131">
        <w:rPr>
          <w:lang w:val="fr-FR" w:bidi="fr-FR"/>
        </w:rPr>
        <w:t>79/46(b)(iii)). En outre, la décision</w:t>
      </w:r>
      <w:r>
        <w:rPr>
          <w:lang w:val="fr-FR" w:bidi="fr-FR"/>
        </w:rPr>
        <w:t> </w:t>
      </w:r>
      <w:r w:rsidRPr="002D6131">
        <w:rPr>
          <w:lang w:val="fr-FR" w:bidi="fr-FR"/>
        </w:rPr>
        <w:t>84/46(f) a permis d</w:t>
      </w:r>
      <w:r>
        <w:rPr>
          <w:lang w:val="fr-FR" w:bidi="fr-FR"/>
        </w:rPr>
        <w:t>’</w:t>
      </w:r>
      <w:r w:rsidRPr="002D6131">
        <w:rPr>
          <w:lang w:val="fr-FR" w:bidi="fr-FR"/>
        </w:rPr>
        <w:t>inclure des activités de préparation à la réduction progressive des HFC dans le plan d</w:t>
      </w:r>
      <w:r>
        <w:rPr>
          <w:lang w:val="fr-FR" w:bidi="fr-FR"/>
        </w:rPr>
        <w:t>’</w:t>
      </w:r>
      <w:r w:rsidRPr="002D6131">
        <w:rPr>
          <w:lang w:val="fr-FR" w:bidi="fr-FR"/>
        </w:rPr>
        <w:t>activités pour les pays qui n</w:t>
      </w:r>
      <w:r>
        <w:rPr>
          <w:lang w:val="fr-FR" w:bidi="fr-FR"/>
        </w:rPr>
        <w:t>’</w:t>
      </w:r>
      <w:r w:rsidRPr="002D6131">
        <w:rPr>
          <w:lang w:val="fr-FR" w:bidi="fr-FR"/>
        </w:rPr>
        <w:t>avaient pas ratifié l</w:t>
      </w:r>
      <w:r>
        <w:rPr>
          <w:lang w:val="fr-FR" w:bidi="fr-FR"/>
        </w:rPr>
        <w:t>’</w:t>
      </w:r>
      <w:r w:rsidRPr="002D6131">
        <w:rPr>
          <w:lang w:val="fr-FR" w:bidi="fr-FR"/>
        </w:rPr>
        <w:t>Amendement de Kigali</w:t>
      </w:r>
      <w:r>
        <w:rPr>
          <w:lang w:val="fr-FR" w:bidi="fr-FR"/>
        </w:rPr>
        <w:t>,</w:t>
      </w:r>
      <w:r w:rsidRPr="002D6131">
        <w:rPr>
          <w:lang w:val="fr-FR" w:bidi="fr-FR"/>
        </w:rPr>
        <w:t xml:space="preserve"> mais qui avaient soumis une lettre indiquant l</w:t>
      </w:r>
      <w:r>
        <w:rPr>
          <w:lang w:val="fr-FR" w:bidi="fr-FR"/>
        </w:rPr>
        <w:t>’</w:t>
      </w:r>
      <w:r w:rsidRPr="002D6131">
        <w:rPr>
          <w:lang w:val="fr-FR" w:bidi="fr-FR"/>
        </w:rPr>
        <w:t>intention de leur gouvernement de faire tout son possible pour ratifier l</w:t>
      </w:r>
      <w:r>
        <w:rPr>
          <w:lang w:val="fr-FR" w:bidi="fr-FR"/>
        </w:rPr>
        <w:t>’</w:t>
      </w:r>
      <w:r w:rsidRPr="002D6131">
        <w:rPr>
          <w:lang w:val="fr-FR" w:bidi="fr-FR"/>
        </w:rPr>
        <w:t>Amendement de Kigali. Les lignes directrices pour la préparation des KIP ont été approuvées à la 87</w:t>
      </w:r>
      <w:r w:rsidRPr="002D6131">
        <w:rPr>
          <w:vertAlign w:val="superscript"/>
          <w:lang w:val="fr-FR" w:bidi="fr-FR"/>
        </w:rPr>
        <w:t>e</w:t>
      </w:r>
      <w:r>
        <w:rPr>
          <w:lang w:val="fr-FR" w:bidi="fr-FR"/>
        </w:rPr>
        <w:t> </w:t>
      </w:r>
      <w:r w:rsidRPr="002D6131">
        <w:rPr>
          <w:lang w:val="fr-FR" w:bidi="fr-FR"/>
        </w:rPr>
        <w:t>réunion (décision</w:t>
      </w:r>
      <w:r>
        <w:rPr>
          <w:lang w:val="fr-FR" w:bidi="fr-FR"/>
        </w:rPr>
        <w:t> </w:t>
      </w:r>
      <w:r w:rsidRPr="002D6131">
        <w:rPr>
          <w:lang w:val="fr-FR" w:bidi="fr-FR"/>
        </w:rPr>
        <w:t>87/50).</w:t>
      </w:r>
    </w:p>
  </w:footnote>
  <w:footnote w:id="8">
    <w:p w14:paraId="50BB260E" w14:textId="0AEB5369" w:rsidR="006B5F5C" w:rsidRPr="00E23538" w:rsidRDefault="006B5F5C" w:rsidP="006B5F5C">
      <w:pPr>
        <w:pStyle w:val="FootnoteText"/>
        <w:rPr>
          <w:lang w:val="fr-FR"/>
        </w:rPr>
      </w:pPr>
      <w:r>
        <w:rPr>
          <w:rStyle w:val="FootnoteReference"/>
          <w:lang w:val="fr-FR" w:bidi="fr-FR"/>
        </w:rPr>
        <w:footnoteRef/>
      </w:r>
      <w:r>
        <w:rPr>
          <w:lang w:val="fr-FR" w:bidi="fr-FR"/>
        </w:rPr>
        <w:t xml:space="preserve"> </w:t>
      </w:r>
      <w:r w:rsidR="00D05518">
        <w:rPr>
          <w:lang w:val="fr-FR" w:bidi="fr-FR"/>
        </w:rPr>
        <w:t xml:space="preserve">Cette décision </w:t>
      </w:r>
      <w:r>
        <w:rPr>
          <w:lang w:val="fr-FR" w:bidi="fr-FR"/>
        </w:rPr>
        <w:t>permet l’inclusion du KIP dans le plan d’a</w:t>
      </w:r>
      <w:r w:rsidR="00D05518">
        <w:rPr>
          <w:lang w:val="fr-FR" w:bidi="fr-FR"/>
        </w:rPr>
        <w:t>ctivités</w:t>
      </w:r>
      <w:r>
        <w:rPr>
          <w:lang w:val="fr-FR" w:bidi="fr-FR"/>
        </w:rPr>
        <w:t xml:space="preserve"> uniquement pour les pays ayant ratifié l’Amendement de Kigali.</w:t>
      </w:r>
    </w:p>
  </w:footnote>
  <w:footnote w:id="9">
    <w:p w14:paraId="36AFD54E" w14:textId="77777777" w:rsidR="006B5F5C" w:rsidRPr="00E23538" w:rsidRDefault="006B5F5C" w:rsidP="006B5F5C">
      <w:pPr>
        <w:pStyle w:val="FootnoteText"/>
        <w:rPr>
          <w:highlight w:val="yellow"/>
          <w:lang w:val="fr-FR"/>
        </w:rPr>
      </w:pPr>
      <w:r w:rsidRPr="0090162E">
        <w:rPr>
          <w:vertAlign w:val="superscript"/>
          <w:lang w:val="fr-FR" w:bidi="fr-FR"/>
        </w:rPr>
        <w:footnoteRef/>
      </w:r>
      <w:r w:rsidRPr="002D6131">
        <w:rPr>
          <w:lang w:val="fr-FR" w:bidi="fr-FR"/>
        </w:rPr>
        <w:t xml:space="preserve"> UNEP/</w:t>
      </w:r>
      <w:proofErr w:type="spellStart"/>
      <w:r w:rsidRPr="002D6131">
        <w:rPr>
          <w:lang w:val="fr-FR" w:bidi="fr-FR"/>
        </w:rPr>
        <w:t>OzL.Pro</w:t>
      </w:r>
      <w:proofErr w:type="spellEnd"/>
      <w:r w:rsidRPr="002D6131">
        <w:rPr>
          <w:lang w:val="fr-FR" w:bidi="fr-FR"/>
        </w:rPr>
        <w:t>/</w:t>
      </w:r>
      <w:proofErr w:type="spellStart"/>
      <w:r w:rsidRPr="002D6131">
        <w:rPr>
          <w:lang w:val="fr-FR" w:bidi="fr-FR"/>
        </w:rPr>
        <w:t>ExCom</w:t>
      </w:r>
      <w:proofErr w:type="spellEnd"/>
      <w:r w:rsidRPr="002D6131">
        <w:rPr>
          <w:lang w:val="fr-FR" w:bidi="fr-FR"/>
        </w:rPr>
        <w:t>/88/22.</w:t>
      </w:r>
    </w:p>
  </w:footnote>
  <w:footnote w:id="10">
    <w:p w14:paraId="1296F299" w14:textId="14A6B8B0" w:rsidR="006B5F5C" w:rsidRPr="00E23538" w:rsidRDefault="006B5F5C" w:rsidP="006B5F5C">
      <w:pPr>
        <w:pStyle w:val="FootnoteText"/>
        <w:rPr>
          <w:highlight w:val="yellow"/>
          <w:lang w:val="fr-FR"/>
        </w:rPr>
      </w:pPr>
      <w:r w:rsidRPr="002D6131">
        <w:rPr>
          <w:rStyle w:val="FootnoteReference"/>
          <w:lang w:val="fr-FR" w:bidi="fr-FR"/>
        </w:rPr>
        <w:footnoteRef/>
      </w:r>
      <w:r w:rsidR="00066442">
        <w:rPr>
          <w:lang w:val="fr-FR" w:bidi="fr-FR"/>
        </w:rPr>
        <w:t xml:space="preserve"> </w:t>
      </w:r>
      <w:r>
        <w:rPr>
          <w:lang w:val="fr-FR" w:bidi="fr-FR"/>
        </w:rPr>
        <w:t>Voir note de bas de page 7.</w:t>
      </w:r>
    </w:p>
  </w:footnote>
  <w:footnote w:id="11">
    <w:p w14:paraId="43E58237" w14:textId="77777777" w:rsidR="006B5F5C" w:rsidRPr="00E23538" w:rsidRDefault="006B5F5C" w:rsidP="006B5F5C">
      <w:pPr>
        <w:pStyle w:val="FootnoteText"/>
        <w:rPr>
          <w:highlight w:val="yellow"/>
          <w:lang w:val="fr-FR"/>
        </w:rPr>
      </w:pPr>
      <w:r w:rsidRPr="002D6131">
        <w:rPr>
          <w:rStyle w:val="FootnoteReference"/>
          <w:lang w:val="fr-FR" w:bidi="fr-FR"/>
        </w:rPr>
        <w:footnoteRef/>
      </w:r>
      <w:r w:rsidRPr="002D6131">
        <w:rPr>
          <w:lang w:val="fr-FR" w:bidi="fr-FR"/>
        </w:rPr>
        <w:t xml:space="preserve"> En l</w:t>
      </w:r>
      <w:r>
        <w:rPr>
          <w:lang w:val="fr-FR" w:bidi="fr-FR"/>
        </w:rPr>
        <w:t>’</w:t>
      </w:r>
      <w:r w:rsidRPr="002D6131">
        <w:rPr>
          <w:lang w:val="fr-FR" w:bidi="fr-FR"/>
        </w:rPr>
        <w:t>absence d</w:t>
      </w:r>
      <w:r>
        <w:rPr>
          <w:lang w:val="fr-FR" w:bidi="fr-FR"/>
        </w:rPr>
        <w:t>’</w:t>
      </w:r>
      <w:r w:rsidRPr="002D6131">
        <w:rPr>
          <w:lang w:val="fr-FR" w:bidi="fr-FR"/>
        </w:rPr>
        <w:t>une décision des Parties sur le niveau de reconstitution du Fonds multilatéral pour la période triennale</w:t>
      </w:r>
      <w:r>
        <w:rPr>
          <w:lang w:val="fr-FR" w:bidi="fr-FR"/>
        </w:rPr>
        <w:t> </w:t>
      </w:r>
      <w:r w:rsidRPr="002D6131">
        <w:rPr>
          <w:lang w:val="fr-FR" w:bidi="fr-FR"/>
        </w:rPr>
        <w:t>2021-2023, et compte tenu de la décision</w:t>
      </w:r>
      <w:r>
        <w:rPr>
          <w:lang w:val="fr-FR" w:bidi="fr-FR"/>
        </w:rPr>
        <w:t> </w:t>
      </w:r>
      <w:r w:rsidRPr="002D6131">
        <w:rPr>
          <w:lang w:val="fr-FR" w:bidi="fr-FR"/>
        </w:rPr>
        <w:t>XXXII/1, le budget indicatif de répartition des ressources des plans d</w:t>
      </w:r>
      <w:r>
        <w:rPr>
          <w:lang w:val="fr-FR" w:bidi="fr-FR"/>
        </w:rPr>
        <w:t>’</w:t>
      </w:r>
      <w:r w:rsidRPr="002D6131">
        <w:rPr>
          <w:lang w:val="fr-FR" w:bidi="fr-FR"/>
        </w:rPr>
        <w:t>activités pour 2021-2023 a été retenu au même niveau de reconstitution que celui de la période triennale</w:t>
      </w:r>
      <w:r>
        <w:rPr>
          <w:lang w:val="fr-FR" w:bidi="fr-FR"/>
        </w:rPr>
        <w:t> </w:t>
      </w:r>
      <w:r w:rsidRPr="002D6131">
        <w:rPr>
          <w:lang w:val="fr-FR" w:bidi="fr-FR"/>
        </w:rPr>
        <w:t>2018-2020. Cette question est traitée dans le plan d</w:t>
      </w:r>
      <w:r>
        <w:rPr>
          <w:lang w:val="fr-FR" w:bidi="fr-FR"/>
        </w:rPr>
        <w:t>’</w:t>
      </w:r>
      <w:r w:rsidRPr="002D6131">
        <w:rPr>
          <w:lang w:val="fr-FR" w:bidi="fr-FR"/>
        </w:rPr>
        <w:t>activité</w:t>
      </w:r>
      <w:r>
        <w:rPr>
          <w:lang w:val="fr-FR" w:bidi="fr-FR"/>
        </w:rPr>
        <w:t>s</w:t>
      </w:r>
      <w:r w:rsidRPr="002D6131">
        <w:rPr>
          <w:lang w:val="fr-FR" w:bidi="fr-FR"/>
        </w:rPr>
        <w:t xml:space="preserve"> consolidé</w:t>
      </w:r>
      <w:r>
        <w:rPr>
          <w:lang w:val="fr-FR" w:bidi="fr-FR"/>
        </w:rPr>
        <w:t> </w:t>
      </w:r>
      <w:r w:rsidRPr="002D6131">
        <w:rPr>
          <w:lang w:val="fr-FR" w:bidi="fr-FR"/>
        </w:rPr>
        <w:t>2022-2024 du Fonds multilatéral (UNEP/</w:t>
      </w:r>
      <w:proofErr w:type="spellStart"/>
      <w:r w:rsidRPr="002D6131">
        <w:rPr>
          <w:lang w:val="fr-FR" w:bidi="fr-FR"/>
        </w:rPr>
        <w:t>OzL.Pro</w:t>
      </w:r>
      <w:proofErr w:type="spellEnd"/>
      <w:r w:rsidRPr="002D6131">
        <w:rPr>
          <w:lang w:val="fr-FR" w:bidi="fr-FR"/>
        </w:rPr>
        <w:t>/</w:t>
      </w:r>
      <w:proofErr w:type="spellStart"/>
      <w:r w:rsidRPr="002D6131">
        <w:rPr>
          <w:lang w:val="fr-FR" w:bidi="fr-FR"/>
        </w:rPr>
        <w:t>ExCom</w:t>
      </w:r>
      <w:proofErr w:type="spellEnd"/>
      <w:r w:rsidRPr="002D6131">
        <w:rPr>
          <w:lang w:val="fr-FR" w:bidi="fr-FR"/>
        </w:rPr>
        <w:t>/86/22).</w:t>
      </w:r>
    </w:p>
  </w:footnote>
  <w:footnote w:id="12">
    <w:p w14:paraId="56C15F61" w14:textId="77777777" w:rsidR="006B5F5C" w:rsidRPr="00894085" w:rsidRDefault="006B5F5C" w:rsidP="006B5F5C">
      <w:pPr>
        <w:pStyle w:val="FootnoteText"/>
      </w:pPr>
      <w:r w:rsidRPr="002D6131">
        <w:rPr>
          <w:rStyle w:val="FootnoteReference"/>
          <w:lang w:val="fr-FR" w:bidi="fr-FR"/>
        </w:rPr>
        <w:footnoteRef/>
      </w:r>
      <w:r w:rsidRPr="002D6131">
        <w:rPr>
          <w:lang w:val="fr-FR" w:bidi="fr-FR"/>
        </w:rPr>
        <w:t xml:space="preserve"> UNEP/</w:t>
      </w:r>
      <w:proofErr w:type="spellStart"/>
      <w:r w:rsidRPr="002D6131">
        <w:rPr>
          <w:lang w:val="fr-FR" w:bidi="fr-FR"/>
        </w:rPr>
        <w:t>OzL.Pro</w:t>
      </w:r>
      <w:proofErr w:type="spellEnd"/>
      <w:r w:rsidRPr="002D6131">
        <w:rPr>
          <w:lang w:val="fr-FR" w:bidi="fr-FR"/>
        </w:rPr>
        <w:t>/</w:t>
      </w:r>
      <w:proofErr w:type="spellStart"/>
      <w:r w:rsidRPr="002D6131">
        <w:rPr>
          <w:lang w:val="fr-FR" w:bidi="fr-FR"/>
        </w:rPr>
        <w:t>ExCom</w:t>
      </w:r>
      <w:proofErr w:type="spellEnd"/>
      <w:r w:rsidRPr="002D6131">
        <w:rPr>
          <w:lang w:val="fr-FR" w:bidi="fr-FR"/>
        </w:rPr>
        <w:t>/88/22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DC84" w14:textId="28390059" w:rsidR="00630498" w:rsidRPr="0033525D" w:rsidRDefault="00630498" w:rsidP="00630498">
    <w:pPr>
      <w:jc w:val="left"/>
    </w:pPr>
    <w:r>
      <w:fldChar w:fldCharType="begin"/>
    </w:r>
    <w:r>
      <w:instrText xml:space="preserve"> DOCPROPERTY "Document number"  \* MERGEFORMAT </w:instrText>
    </w:r>
    <w:r>
      <w:fldChar w:fldCharType="separate"/>
    </w:r>
    <w:r>
      <w:t>UNEP/</w:t>
    </w:r>
    <w:proofErr w:type="spellStart"/>
    <w:r>
      <w:t>OzL.Pro</w:t>
    </w:r>
    <w:proofErr w:type="spellEnd"/>
    <w:r>
      <w:t>/ExCom/88/23</w:t>
    </w:r>
    <w:r>
      <w:fldChar w:fldCharType="end"/>
    </w:r>
  </w:p>
  <w:p w14:paraId="42C6D8B1" w14:textId="6173D6F0" w:rsidR="00781811" w:rsidRDefault="00781811">
    <w:pPr>
      <w:pStyle w:val="Header"/>
    </w:pPr>
  </w:p>
  <w:p w14:paraId="3409B0D2" w14:textId="77777777" w:rsidR="00781811" w:rsidRDefault="0078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464" w14:textId="1E81F61A" w:rsidR="00630498" w:rsidRPr="0033525D" w:rsidRDefault="00630498" w:rsidP="00630498">
    <w:pPr>
      <w:jc w:val="right"/>
    </w:pPr>
    <w:r>
      <w:fldChar w:fldCharType="begin"/>
    </w:r>
    <w:r>
      <w:instrText xml:space="preserve"> DOCPROPERTY "Document number"  \* MERGEFORMAT </w:instrText>
    </w:r>
    <w:r>
      <w:fldChar w:fldCharType="separate"/>
    </w:r>
    <w:r>
      <w:t>UNEP/</w:t>
    </w:r>
    <w:proofErr w:type="spellStart"/>
    <w:r>
      <w:t>OzL.Pro</w:t>
    </w:r>
    <w:proofErr w:type="spellEnd"/>
    <w:r>
      <w:t>/ExCom/88/23</w:t>
    </w:r>
    <w:r>
      <w:fldChar w:fldCharType="end"/>
    </w:r>
  </w:p>
  <w:p w14:paraId="5F33910F" w14:textId="5850CA2F" w:rsidR="00781811" w:rsidRDefault="00781811" w:rsidP="00EC7851">
    <w:pPr>
      <w:pStyle w:val="Header"/>
      <w:jc w:val="right"/>
    </w:pPr>
  </w:p>
  <w:p w14:paraId="2E694FD5" w14:textId="77777777" w:rsidR="00781811" w:rsidRDefault="00781811" w:rsidP="00EC785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EFA"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5C"/>
    <w:rsid w:val="0005110A"/>
    <w:rsid w:val="00066442"/>
    <w:rsid w:val="000F6C8E"/>
    <w:rsid w:val="00140ED2"/>
    <w:rsid w:val="001C3D0C"/>
    <w:rsid w:val="001D4CE7"/>
    <w:rsid w:val="00265AF0"/>
    <w:rsid w:val="00295532"/>
    <w:rsid w:val="002C06D4"/>
    <w:rsid w:val="002F0B57"/>
    <w:rsid w:val="003029F8"/>
    <w:rsid w:val="003A0CA4"/>
    <w:rsid w:val="00441083"/>
    <w:rsid w:val="00444619"/>
    <w:rsid w:val="004B1B59"/>
    <w:rsid w:val="004C2C87"/>
    <w:rsid w:val="004E3A36"/>
    <w:rsid w:val="004F45C2"/>
    <w:rsid w:val="005B3CAD"/>
    <w:rsid w:val="005C278F"/>
    <w:rsid w:val="00605093"/>
    <w:rsid w:val="00630498"/>
    <w:rsid w:val="006B5F5C"/>
    <w:rsid w:val="007034FA"/>
    <w:rsid w:val="0075750B"/>
    <w:rsid w:val="00781811"/>
    <w:rsid w:val="0091161A"/>
    <w:rsid w:val="00972E99"/>
    <w:rsid w:val="009A5180"/>
    <w:rsid w:val="009F6617"/>
    <w:rsid w:val="00A83C91"/>
    <w:rsid w:val="00AC013C"/>
    <w:rsid w:val="00AE63D8"/>
    <w:rsid w:val="00B811F2"/>
    <w:rsid w:val="00BC3C7D"/>
    <w:rsid w:val="00BD200B"/>
    <w:rsid w:val="00BE6BA2"/>
    <w:rsid w:val="00C16E3F"/>
    <w:rsid w:val="00C34C3E"/>
    <w:rsid w:val="00C6443E"/>
    <w:rsid w:val="00C9547D"/>
    <w:rsid w:val="00CC2B33"/>
    <w:rsid w:val="00D05518"/>
    <w:rsid w:val="00D26F3E"/>
    <w:rsid w:val="00D7654A"/>
    <w:rsid w:val="00DB4E64"/>
    <w:rsid w:val="00DD3433"/>
    <w:rsid w:val="00DD66D5"/>
    <w:rsid w:val="00E348C6"/>
    <w:rsid w:val="00E54871"/>
    <w:rsid w:val="00E60D9C"/>
    <w:rsid w:val="00EB2067"/>
    <w:rsid w:val="00EC7851"/>
    <w:rsid w:val="00F218B0"/>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53FCB"/>
  <w15:docId w15:val="{F80F1204-4A10-4616-95F8-A3CB66AD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4"/>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
    <w:basedOn w:val="Normal"/>
    <w:link w:val="FootnoteTextChar"/>
    <w:unhideWhenUsed/>
    <w:qFormat/>
    <w:rsid w:val="002C06D4"/>
    <w:rPr>
      <w:sz w:val="20"/>
      <w:szCs w:val="20"/>
    </w:rPr>
  </w:style>
  <w:style w:type="character" w:customStyle="1" w:styleId="FootnoteTextChar">
    <w:name w:val="Footnote Text Char"/>
    <w:aliases w:val=" Char1 Char, Char1 Char Char Char,Fußnotentextf Char"/>
    <w:basedOn w:val="DefaultParagraphFont"/>
    <w:link w:val="FootnoteText"/>
    <w:rsid w:val="002C06D4"/>
    <w:rPr>
      <w:lang w:val="en-GB"/>
    </w:rPr>
  </w:style>
  <w:style w:type="character" w:styleId="FootnoteReference">
    <w:name w:val="footnote reference"/>
    <w:aliases w:val="16 Point,Superscript 6 Point,Footnote text,Footnote Text1,Footnote Text2"/>
    <w:basedOn w:val="DefaultParagraphFont"/>
    <w:unhideWhenUsed/>
    <w:rsid w:val="002C06D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6B5F5C"/>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basedOn w:val="DefaultParagraphFont"/>
    <w:link w:val="Heading3"/>
    <w:rsid w:val="006B5F5C"/>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6B5F5C"/>
    <w:rPr>
      <w:sz w:val="22"/>
      <w:szCs w:val="22"/>
      <w:lang w:val="en-GB"/>
    </w:rPr>
  </w:style>
  <w:style w:type="character" w:customStyle="1" w:styleId="Heading5Char">
    <w:name w:val="Heading 5 Char"/>
    <w:basedOn w:val="DefaultParagraphFont"/>
    <w:link w:val="Heading5"/>
    <w:rsid w:val="006B5F5C"/>
    <w:rPr>
      <w:sz w:val="22"/>
      <w:szCs w:val="22"/>
      <w:lang w:val="en-GB"/>
    </w:rPr>
  </w:style>
  <w:style w:type="character" w:customStyle="1" w:styleId="Heading6Char">
    <w:name w:val="Heading 6 Char"/>
    <w:basedOn w:val="DefaultParagraphFont"/>
    <w:link w:val="Heading6"/>
    <w:rsid w:val="006B5F5C"/>
    <w:rPr>
      <w:rFonts w:ascii="Arial" w:hAnsi="Arial"/>
      <w:i/>
      <w:sz w:val="22"/>
      <w:szCs w:val="22"/>
      <w:lang w:val="en-GB"/>
    </w:rPr>
  </w:style>
  <w:style w:type="character" w:customStyle="1" w:styleId="Heading7Char">
    <w:name w:val="Heading 7 Char"/>
    <w:basedOn w:val="DefaultParagraphFont"/>
    <w:link w:val="Heading7"/>
    <w:rsid w:val="006B5F5C"/>
    <w:rPr>
      <w:rFonts w:ascii="Arial" w:hAnsi="Arial"/>
      <w:sz w:val="22"/>
      <w:szCs w:val="22"/>
      <w:lang w:val="en-GB"/>
    </w:rPr>
  </w:style>
  <w:style w:type="character" w:customStyle="1" w:styleId="Heading8Char">
    <w:name w:val="Heading 8 Char"/>
    <w:basedOn w:val="DefaultParagraphFont"/>
    <w:link w:val="Heading8"/>
    <w:rsid w:val="006B5F5C"/>
    <w:rPr>
      <w:b/>
      <w:sz w:val="22"/>
      <w:szCs w:val="22"/>
      <w:lang w:val="en-GB"/>
    </w:rPr>
  </w:style>
  <w:style w:type="character" w:customStyle="1" w:styleId="Heading9Char">
    <w:name w:val="Heading 9 Char"/>
    <w:basedOn w:val="DefaultParagraphFont"/>
    <w:link w:val="Heading9"/>
    <w:rsid w:val="006B5F5C"/>
    <w:rPr>
      <w:rFonts w:ascii="Arial" w:hAnsi="Arial"/>
      <w:i/>
      <w:sz w:val="18"/>
      <w:szCs w:val="22"/>
      <w:lang w:val="en-GB"/>
    </w:rPr>
  </w:style>
  <w:style w:type="character" w:customStyle="1" w:styleId="HeaderChar">
    <w:name w:val="Header Char"/>
    <w:basedOn w:val="DefaultParagraphFont"/>
    <w:link w:val="Header"/>
    <w:rsid w:val="006B5F5C"/>
    <w:rPr>
      <w:sz w:val="22"/>
      <w:szCs w:val="22"/>
      <w:lang w:val="en-GB"/>
    </w:rPr>
  </w:style>
  <w:style w:type="character" w:customStyle="1" w:styleId="BodyText3Char">
    <w:name w:val="Body Text 3 Char"/>
    <w:basedOn w:val="DefaultParagraphFont"/>
    <w:link w:val="BodyText3"/>
    <w:semiHidden/>
    <w:rsid w:val="006B5F5C"/>
    <w:rPr>
      <w:sz w:val="16"/>
      <w:szCs w:val="16"/>
      <w:lang w:val="en-GB"/>
    </w:rPr>
  </w:style>
  <w:style w:type="character" w:customStyle="1" w:styleId="BodyTextIndent3Char">
    <w:name w:val="Body Text Indent 3 Char"/>
    <w:basedOn w:val="DefaultParagraphFont"/>
    <w:link w:val="BodyTextIndent3"/>
    <w:semiHidden/>
    <w:rsid w:val="006B5F5C"/>
    <w:rPr>
      <w:sz w:val="16"/>
      <w:szCs w:val="16"/>
      <w:lang w:val="en-GB"/>
    </w:rPr>
  </w:style>
  <w:style w:type="character" w:customStyle="1" w:styleId="PlainTextChar">
    <w:name w:val="Plain Text Char"/>
    <w:basedOn w:val="DefaultParagraphFont"/>
    <w:link w:val="PlainText"/>
    <w:semiHidden/>
    <w:rsid w:val="006B5F5C"/>
    <w:rPr>
      <w:rFonts w:ascii="Courier New" w:hAnsi="Courier New" w:cs="Courier New"/>
      <w:szCs w:val="22"/>
      <w:lang w:val="en-GB"/>
    </w:rPr>
  </w:style>
  <w:style w:type="character" w:customStyle="1" w:styleId="SubtitleChar">
    <w:name w:val="Subtitle Char"/>
    <w:basedOn w:val="DefaultParagraphFont"/>
    <w:link w:val="Subtitle"/>
    <w:rsid w:val="006B5F5C"/>
    <w:rPr>
      <w:rFonts w:ascii="Arial" w:hAnsi="Arial" w:cs="Arial"/>
      <w:sz w:val="22"/>
      <w:szCs w:val="22"/>
      <w:lang w:val="en-GB"/>
    </w:rPr>
  </w:style>
  <w:style w:type="character" w:customStyle="1" w:styleId="TitleChar">
    <w:name w:val="Title Char"/>
    <w:basedOn w:val="DefaultParagraphFont"/>
    <w:link w:val="Title"/>
    <w:rsid w:val="006B5F5C"/>
    <w:rPr>
      <w:rFonts w:ascii="Arial" w:hAnsi="Arial" w:cs="Arial"/>
      <w:b/>
      <w:bCs/>
      <w:kern w:val="28"/>
      <w:sz w:val="22"/>
      <w:szCs w:val="22"/>
      <w:lang w:val="en-GB"/>
    </w:rPr>
  </w:style>
  <w:style w:type="character" w:customStyle="1" w:styleId="DateChar">
    <w:name w:val="Date Char"/>
    <w:basedOn w:val="DefaultParagraphFont"/>
    <w:link w:val="Date"/>
    <w:rsid w:val="006B5F5C"/>
    <w:rPr>
      <w:sz w:val="22"/>
      <w:szCs w:val="22"/>
      <w:lang w:val="en-GB"/>
    </w:rPr>
  </w:style>
  <w:style w:type="paragraph" w:customStyle="1" w:styleId="Title2">
    <w:name w:val="Title2"/>
    <w:rsid w:val="006B5F5C"/>
    <w:pPr>
      <w:jc w:val="center"/>
      <w:outlineLvl w:val="0"/>
    </w:pPr>
    <w:rPr>
      <w:b/>
      <w:caps/>
      <w:sz w:val="22"/>
      <w:szCs w:val="22"/>
      <w:lang w:val="en-GB"/>
    </w:rPr>
  </w:style>
  <w:style w:type="paragraph" w:customStyle="1" w:styleId="subhead">
    <w:name w:val="subhead"/>
    <w:basedOn w:val="Normal"/>
    <w:next w:val="Normal"/>
    <w:uiPriority w:val="99"/>
    <w:rsid w:val="006B5F5C"/>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a--">
    <w:name w:val="a-(-)"/>
    <w:basedOn w:val="Normal"/>
    <w:uiPriority w:val="99"/>
    <w:rsid w:val="006B5F5C"/>
    <w:pPr>
      <w:tabs>
        <w:tab w:val="left" w:pos="-720"/>
        <w:tab w:val="left" w:pos="0"/>
        <w:tab w:val="left" w:pos="720"/>
        <w:tab w:val="left" w:pos="1440"/>
        <w:tab w:val="left" w:pos="2160"/>
        <w:tab w:val="left" w:pos="2880"/>
        <w:tab w:val="left" w:pos="3600"/>
      </w:tabs>
      <w:suppressAutoHyphens/>
    </w:pPr>
    <w:rPr>
      <w:b/>
      <w:bCs/>
      <w:sz w:val="24"/>
      <w:szCs w:val="24"/>
    </w:rPr>
  </w:style>
  <w:style w:type="paragraph" w:customStyle="1" w:styleId="Default">
    <w:name w:val="Default"/>
    <w:rsid w:val="006B5F5C"/>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OneDrive%20-%20EURL%20FAE%20TRADUCTION\FAE%20Traduction\CLIENTS\UN\202111_session\F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UNEP/OzL.Pro/ExCom/88/23</Document_x0020_Number>
  </documentManagement>
</p:properties>
</file>

<file path=customXml/itemProps1.xml><?xml version="1.0" encoding="utf-8"?>
<ds:datastoreItem xmlns:ds="http://schemas.openxmlformats.org/officeDocument/2006/customXml" ds:itemID="{25D01B01-AC3C-45E5-AC00-7C9361D5C102}"/>
</file>

<file path=customXml/itemProps2.xml><?xml version="1.0" encoding="utf-8"?>
<ds:datastoreItem xmlns:ds="http://schemas.openxmlformats.org/officeDocument/2006/customXml" ds:itemID="{264F60A3-6E1A-44C5-8D78-8CDFE3315125}"/>
</file>

<file path=customXml/itemProps3.xml><?xml version="1.0" encoding="utf-8"?>
<ds:datastoreItem xmlns:ds="http://schemas.openxmlformats.org/officeDocument/2006/customXml" ds:itemID="{D8AE76C5-0F74-4567-977A-30FC8C229510}"/>
</file>

<file path=customXml/itemProps4.xml><?xml version="1.0" encoding="utf-8"?>
<ds:datastoreItem xmlns:ds="http://schemas.openxmlformats.org/officeDocument/2006/customXml" ds:itemID="{0E5D6877-AC4C-4C97-8D4E-466EC33C4213}"/>
</file>

<file path=docProps/app.xml><?xml version="1.0" encoding="utf-8"?>
<Properties xmlns="http://schemas.openxmlformats.org/officeDocument/2006/extended-properties" xmlns:vt="http://schemas.openxmlformats.org/officeDocument/2006/docPropsVTypes">
  <Template>F88-Template</Template>
  <TotalTime>7</TotalTime>
  <Pages>6</Pages>
  <Words>1850</Words>
  <Characters>10547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Plans d'activtés des agences bilatérales pour 2022-2024</vt:lpstr>
      <vt:lpstr/>
    </vt:vector>
  </TitlesOfParts>
  <Company>UNMFS</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d'activtés des agences bilatérales pour 2022-2024</dc:title>
  <dc:subject/>
  <dc:creator>Maïlys Lejosne</dc:creator>
  <cp:lastModifiedBy>Martine Chery</cp:lastModifiedBy>
  <cp:revision>2</cp:revision>
  <cp:lastPrinted>2001-05-26T16:40:00Z</cp:lastPrinted>
  <dcterms:created xsi:type="dcterms:W3CDTF">2021-10-27T15:32:00Z</dcterms:created>
  <dcterms:modified xsi:type="dcterms:W3CDTF">2021-10-27T15:32:00Z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UNEP/OzL.Pro/ExCom/88/23</vt:lpwstr>
  </property>
  <property fmtid="{D5CDD505-2E9C-101B-9397-08002B2CF9AE}" pid="3" name="Revision date">
    <vt:lpwstr>10/26/2021</vt:lpwstr>
  </property>
  <property fmtid="{D5CDD505-2E9C-101B-9397-08002B2CF9AE}" pid="4" name="ContentTypeId">
    <vt:lpwstr>0x01010009F56DB39A5B9F46AA87ED0A960035E8</vt:lpwstr>
  </property>
</Properties>
</file>