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227215" w14:paraId="55B082FB" w14:textId="77777777" w:rsidTr="009C59F7">
        <w:trPr>
          <w:trHeight w:val="720"/>
        </w:trPr>
        <w:tc>
          <w:tcPr>
            <w:tcW w:w="5490" w:type="dxa"/>
            <w:gridSpan w:val="2"/>
            <w:tcBorders>
              <w:bottom w:val="single" w:sz="18" w:space="0" w:color="auto"/>
            </w:tcBorders>
          </w:tcPr>
          <w:p w14:paraId="2DB1D529" w14:textId="77777777" w:rsidR="00C15867" w:rsidRPr="00227215"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227215">
              <w:rPr>
                <w:rFonts w:ascii="Univers" w:hAnsi="Univers"/>
                <w:b/>
                <w:sz w:val="28"/>
                <w:szCs w:val="28"/>
              </w:rPr>
              <w:t>NATIONS</w:t>
            </w:r>
            <w:r w:rsidRPr="00227215">
              <w:rPr>
                <w:rFonts w:ascii="Univers" w:hAnsi="Univers"/>
                <w:b/>
                <w:sz w:val="28"/>
                <w:szCs w:val="28"/>
              </w:rPr>
              <w:br/>
              <w:t>UNIES</w:t>
            </w:r>
          </w:p>
        </w:tc>
        <w:tc>
          <w:tcPr>
            <w:tcW w:w="4590" w:type="dxa"/>
            <w:tcBorders>
              <w:bottom w:val="single" w:sz="18" w:space="0" w:color="auto"/>
            </w:tcBorders>
          </w:tcPr>
          <w:p w14:paraId="1A4B4C08" w14:textId="77777777" w:rsidR="00C15867" w:rsidRPr="00227215" w:rsidRDefault="00C15867" w:rsidP="009C59F7">
            <w:pPr>
              <w:jc w:val="right"/>
              <w:rPr>
                <w:sz w:val="52"/>
                <w:szCs w:val="52"/>
              </w:rPr>
            </w:pPr>
            <w:r w:rsidRPr="00227215">
              <w:rPr>
                <w:rFonts w:ascii="Univers Bold" w:hAnsi="Univers Bold"/>
                <w:b/>
                <w:sz w:val="72"/>
              </w:rPr>
              <w:t>EP</w:t>
            </w:r>
          </w:p>
        </w:tc>
      </w:tr>
      <w:tr w:rsidR="00C15867" w:rsidRPr="00227215" w14:paraId="16DBC6BF" w14:textId="7777777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F9DBA3C" w14:textId="77777777" w:rsidR="00C15867" w:rsidRPr="00227215" w:rsidRDefault="00E52838" w:rsidP="009C59F7">
            <w:pPr>
              <w:spacing w:before="120"/>
            </w:pPr>
            <w:r w:rsidRPr="00227215">
              <w:rPr>
                <w:noProof/>
                <w:lang w:eastAsia="en-CA"/>
              </w:rPr>
              <mc:AlternateContent>
                <mc:Choice Requires="wpg">
                  <w:drawing>
                    <wp:anchor distT="0" distB="0" distL="114300" distR="114300" simplePos="0" relativeHeight="251660288" behindDoc="0" locked="0" layoutInCell="1" allowOverlap="1" wp14:anchorId="4C76A146" wp14:editId="7E15E340">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9F3A16"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10"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1" o:title=""/>
                      </v:shape>
                    </v:group>
                  </w:pict>
                </mc:Fallback>
              </mc:AlternateContent>
            </w:r>
          </w:p>
        </w:tc>
        <w:tc>
          <w:tcPr>
            <w:tcW w:w="3420" w:type="dxa"/>
            <w:tcBorders>
              <w:top w:val="nil"/>
              <w:left w:val="nil"/>
              <w:bottom w:val="single" w:sz="36" w:space="0" w:color="auto"/>
              <w:right w:val="nil"/>
            </w:tcBorders>
          </w:tcPr>
          <w:p w14:paraId="71075EC2" w14:textId="77777777" w:rsidR="0075272B" w:rsidRDefault="0075272B"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fr-FR"/>
              </w:rPr>
            </w:pPr>
          </w:p>
          <w:p w14:paraId="10FE94F3" w14:textId="1BB45AAD" w:rsidR="00C15867" w:rsidRPr="009C36E5"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fr-FR"/>
              </w:rPr>
            </w:pPr>
            <w:r w:rsidRPr="009C36E5">
              <w:rPr>
                <w:rFonts w:ascii="Univers" w:hAnsi="Univers"/>
                <w:b/>
                <w:sz w:val="32"/>
                <w:lang w:val="fr-FR"/>
              </w:rPr>
              <w:t>Programme des</w:t>
            </w:r>
          </w:p>
          <w:p w14:paraId="11A4D937" w14:textId="77777777" w:rsidR="00C15867" w:rsidRPr="009C36E5"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fr-FR"/>
              </w:rPr>
            </w:pPr>
            <w:r w:rsidRPr="009C36E5">
              <w:rPr>
                <w:rFonts w:ascii="Univers" w:hAnsi="Univers"/>
                <w:b/>
                <w:sz w:val="32"/>
                <w:lang w:val="fr-FR"/>
              </w:rPr>
              <w:t>Nations Unies pour</w:t>
            </w:r>
          </w:p>
          <w:p w14:paraId="7C2DC986" w14:textId="77777777" w:rsidR="00C15867" w:rsidRPr="009C36E5"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fr-FR"/>
              </w:rPr>
            </w:pPr>
            <w:proofErr w:type="gramStart"/>
            <w:r w:rsidRPr="009C36E5">
              <w:rPr>
                <w:rFonts w:ascii="Univers" w:hAnsi="Univers"/>
                <w:b/>
                <w:sz w:val="32"/>
                <w:lang w:val="fr-FR"/>
              </w:rPr>
              <w:t>l’environnement</w:t>
            </w:r>
            <w:proofErr w:type="gramEnd"/>
          </w:p>
          <w:p w14:paraId="039922E1" w14:textId="77777777" w:rsidR="00C15867" w:rsidRPr="009C36E5" w:rsidRDefault="00C15867" w:rsidP="009C59F7">
            <w:pPr>
              <w:spacing w:before="720"/>
              <w:ind w:left="158"/>
              <w:rPr>
                <w:lang w:val="fr-FR"/>
              </w:rPr>
            </w:pPr>
          </w:p>
        </w:tc>
        <w:tc>
          <w:tcPr>
            <w:tcW w:w="4590" w:type="dxa"/>
            <w:tcBorders>
              <w:top w:val="nil"/>
              <w:left w:val="nil"/>
              <w:bottom w:val="single" w:sz="36" w:space="0" w:color="auto"/>
              <w:right w:val="nil"/>
            </w:tcBorders>
          </w:tcPr>
          <w:p w14:paraId="4AC8FD90" w14:textId="77777777" w:rsidR="0075272B" w:rsidRDefault="0075272B" w:rsidP="009C59F7">
            <w:pPr>
              <w:rPr>
                <w:lang w:val="fr-FR"/>
              </w:rPr>
            </w:pPr>
          </w:p>
          <w:p w14:paraId="24DBB555" w14:textId="680CB6AD" w:rsidR="00C15867" w:rsidRPr="009C36E5" w:rsidRDefault="00C15867" w:rsidP="009C59F7">
            <w:pPr>
              <w:rPr>
                <w:lang w:val="fr-FR"/>
              </w:rPr>
            </w:pPr>
            <w:proofErr w:type="spellStart"/>
            <w:r w:rsidRPr="009C36E5">
              <w:rPr>
                <w:lang w:val="fr-FR"/>
              </w:rPr>
              <w:t>Distr</w:t>
            </w:r>
            <w:proofErr w:type="spellEnd"/>
            <w:r w:rsidRPr="009C36E5">
              <w:rPr>
                <w:lang w:val="fr-FR"/>
              </w:rPr>
              <w:t>.</w:t>
            </w:r>
          </w:p>
          <w:p w14:paraId="1BC83C12" w14:textId="77777777" w:rsidR="00923540" w:rsidRPr="009C36E5" w:rsidRDefault="00923540" w:rsidP="00923540">
            <w:pPr>
              <w:rPr>
                <w:lang w:val="fr-FR"/>
              </w:rPr>
            </w:pPr>
            <w:r w:rsidRPr="009C36E5">
              <w:rPr>
                <w:lang w:val="fr-FR"/>
              </w:rPr>
              <w:t>GÉNÉRALE</w:t>
            </w:r>
          </w:p>
          <w:p w14:paraId="6BB54F3C" w14:textId="77777777" w:rsidR="00C15867" w:rsidRPr="009C36E5" w:rsidRDefault="00C15867" w:rsidP="009C59F7">
            <w:pPr>
              <w:rPr>
                <w:lang w:val="fr-FR"/>
              </w:rPr>
            </w:pPr>
          </w:p>
          <w:p w14:paraId="11471760" w14:textId="71346DCC" w:rsidR="00C15867" w:rsidRPr="009C36E5" w:rsidRDefault="000D17D6" w:rsidP="009C59F7">
            <w:pPr>
              <w:rPr>
                <w:lang w:val="fr-FR"/>
              </w:rPr>
            </w:pPr>
            <w:r>
              <w:fldChar w:fldCharType="begin"/>
            </w:r>
            <w:r w:rsidRPr="009C36E5">
              <w:rPr>
                <w:lang w:val="fr-FR"/>
              </w:rPr>
              <w:instrText xml:space="preserve"> DOCPROPERTY "Document number"  \* MERGEFORMAT </w:instrText>
            </w:r>
            <w:r>
              <w:fldChar w:fldCharType="separate"/>
            </w:r>
            <w:r w:rsidR="009C36E5">
              <w:rPr>
                <w:lang w:val="fr-FR"/>
              </w:rPr>
              <w:t>UNEP/</w:t>
            </w:r>
            <w:proofErr w:type="spellStart"/>
            <w:r w:rsidR="009C36E5">
              <w:rPr>
                <w:lang w:val="fr-FR"/>
              </w:rPr>
              <w:t>OzL.Pro</w:t>
            </w:r>
            <w:proofErr w:type="spellEnd"/>
            <w:r w:rsidR="009C36E5">
              <w:rPr>
                <w:lang w:val="fr-FR"/>
              </w:rPr>
              <w:t>/</w:t>
            </w:r>
            <w:proofErr w:type="spellStart"/>
            <w:r w:rsidR="009C36E5">
              <w:rPr>
                <w:lang w:val="fr-FR"/>
              </w:rPr>
              <w:t>ExCom</w:t>
            </w:r>
            <w:proofErr w:type="spellEnd"/>
            <w:r w:rsidR="009C36E5">
              <w:rPr>
                <w:lang w:val="fr-FR"/>
              </w:rPr>
              <w:t>/88/27</w:t>
            </w:r>
            <w:r>
              <w:fldChar w:fldCharType="end"/>
            </w:r>
          </w:p>
          <w:p w14:paraId="6F5884C1" w14:textId="483DA43F" w:rsidR="00C15867" w:rsidRPr="00227215" w:rsidRDefault="00BC2495" w:rsidP="009C59F7">
            <w:r w:rsidRPr="00227215">
              <w:fldChar w:fldCharType="begin"/>
            </w:r>
            <w:r w:rsidR="00851352" w:rsidRPr="00227215">
              <w:instrText xml:space="preserve"> DOCPROPERTY "Revision date" \@ "d MMMM YYYY"  \* MERGEFORMAT </w:instrText>
            </w:r>
            <w:r w:rsidRPr="00227215">
              <w:fldChar w:fldCharType="separate"/>
            </w:r>
            <w:r w:rsidR="000D17D6">
              <w:t xml:space="preserve">26 </w:t>
            </w:r>
            <w:proofErr w:type="spellStart"/>
            <w:r w:rsidR="000D17D6">
              <w:t>octobre</w:t>
            </w:r>
            <w:proofErr w:type="spellEnd"/>
            <w:r w:rsidR="009C4FD0">
              <w:t xml:space="preserve"> 2021</w:t>
            </w:r>
            <w:r w:rsidRPr="00227215">
              <w:fldChar w:fldCharType="end"/>
            </w:r>
          </w:p>
          <w:p w14:paraId="31E9D9DF" w14:textId="77777777" w:rsidR="00C15867" w:rsidRPr="00227215" w:rsidRDefault="00C15867" w:rsidP="009C59F7">
            <w:pPr>
              <w:rPr>
                <w:caps/>
              </w:rPr>
            </w:pPr>
          </w:p>
          <w:p w14:paraId="20CB9806" w14:textId="77777777" w:rsidR="0075272B" w:rsidRDefault="0075272B" w:rsidP="0075272B">
            <w:pPr>
              <w:rPr>
                <w:caps/>
                <w:lang w:val="fr-FR"/>
              </w:rPr>
            </w:pPr>
            <w:r>
              <w:rPr>
                <w:caps/>
                <w:lang w:val="fr-FR"/>
              </w:rPr>
              <w:t>FRANÇAIS</w:t>
            </w:r>
          </w:p>
          <w:p w14:paraId="7358204B" w14:textId="3D93F060" w:rsidR="00C15867" w:rsidRPr="00227215" w:rsidRDefault="0075272B" w:rsidP="0075272B">
            <w:r>
              <w:t>ORIGINAL: ANGLAIS</w:t>
            </w:r>
          </w:p>
        </w:tc>
      </w:tr>
    </w:tbl>
    <w:p w14:paraId="08645DA3" w14:textId="77777777" w:rsidR="00B86471" w:rsidRPr="009C36E5" w:rsidRDefault="00C15867" w:rsidP="00B86471">
      <w:pPr>
        <w:jc w:val="left"/>
        <w:rPr>
          <w:lang w:val="fr-FR"/>
        </w:rPr>
      </w:pPr>
      <w:r w:rsidRPr="009C36E5">
        <w:rPr>
          <w:lang w:val="fr-FR"/>
        </w:rPr>
        <w:t>COMITÉ EXÉCUTIF</w:t>
      </w:r>
      <w:r w:rsidRPr="009C36E5">
        <w:rPr>
          <w:lang w:val="fr-FR"/>
        </w:rPr>
        <w:br/>
        <w:t xml:space="preserve">  DU FONDS MULTILATÉRAL AUX FINS</w:t>
      </w:r>
      <w:r w:rsidRPr="009C36E5">
        <w:rPr>
          <w:lang w:val="fr-FR"/>
        </w:rPr>
        <w:br/>
        <w:t xml:space="preserve">  D’APPLICATION DU PROTOCOLE DE MONTRÉAL</w:t>
      </w:r>
      <w:r w:rsidRPr="009C36E5">
        <w:rPr>
          <w:lang w:val="fr-FR"/>
        </w:rPr>
        <w:br/>
        <w:t>Quatre-vingt-huitième réunion</w:t>
      </w:r>
    </w:p>
    <w:p w14:paraId="0D68FE4D" w14:textId="77777777" w:rsidR="00066CE8" w:rsidRPr="009C36E5" w:rsidRDefault="00B86471" w:rsidP="00B86471">
      <w:pPr>
        <w:jc w:val="left"/>
        <w:rPr>
          <w:lang w:val="fr-FR"/>
        </w:rPr>
      </w:pPr>
      <w:r w:rsidRPr="009C36E5">
        <w:rPr>
          <w:lang w:val="fr-FR"/>
        </w:rPr>
        <w:t>Montréal, 15 – 19 novembre 2021</w:t>
      </w:r>
      <w:r w:rsidRPr="00227215">
        <w:rPr>
          <w:rStyle w:val="FootnoteReference"/>
        </w:rPr>
        <w:footnoteReference w:id="1"/>
      </w:r>
    </w:p>
    <w:p w14:paraId="0FF07969" w14:textId="77777777" w:rsidR="00837A0F" w:rsidRPr="009C36E5" w:rsidRDefault="00837A0F" w:rsidP="00837A0F">
      <w:pPr>
        <w:jc w:val="left"/>
        <w:rPr>
          <w:lang w:val="fr-FR"/>
        </w:rPr>
      </w:pPr>
    </w:p>
    <w:p w14:paraId="03A93BD2" w14:textId="77777777" w:rsidR="00837A0F" w:rsidRPr="009C36E5" w:rsidRDefault="00837A0F" w:rsidP="00837A0F">
      <w:pPr>
        <w:jc w:val="left"/>
        <w:rPr>
          <w:lang w:val="fr-FR"/>
        </w:rPr>
      </w:pPr>
    </w:p>
    <w:p w14:paraId="0E68A9AE" w14:textId="66972CA4" w:rsidR="00837A0F" w:rsidRDefault="008E577D" w:rsidP="00837A0F">
      <w:pPr>
        <w:pStyle w:val="Title2"/>
        <w:rPr>
          <w:caps w:val="0"/>
          <w:lang w:val="fr-FR"/>
        </w:rPr>
      </w:pPr>
      <w:r>
        <w:rPr>
          <w:lang w:val="fr-FR"/>
        </w:rPr>
        <w:t>P</w:t>
      </w:r>
      <w:bookmarkStart w:id="0" w:name="_GoBack"/>
      <w:bookmarkEnd w:id="0"/>
      <w:r w:rsidR="00837A0F" w:rsidRPr="009C36E5">
        <w:rPr>
          <w:lang w:val="fr-FR"/>
        </w:rPr>
        <w:t xml:space="preserve">lan d'activités de la BANQUE MONDIALE pour </w:t>
      </w:r>
      <w:r w:rsidR="0075272B">
        <w:rPr>
          <w:lang w:val="fr-FR"/>
        </w:rPr>
        <w:t xml:space="preserve">LA PERIODE </w:t>
      </w:r>
      <w:r w:rsidR="00837A0F" w:rsidRPr="009C36E5">
        <w:rPr>
          <w:caps w:val="0"/>
          <w:lang w:val="fr-FR"/>
        </w:rPr>
        <w:t>2022-2024</w:t>
      </w:r>
    </w:p>
    <w:p w14:paraId="08F120E5" w14:textId="77777777" w:rsidR="0075272B" w:rsidRPr="009C36E5" w:rsidRDefault="0075272B" w:rsidP="00837A0F">
      <w:pPr>
        <w:pStyle w:val="Title2"/>
        <w:rPr>
          <w:lang w:val="fr-FR"/>
        </w:rPr>
      </w:pPr>
    </w:p>
    <w:p w14:paraId="60422923" w14:textId="77777777" w:rsidR="00837A0F" w:rsidRPr="009C36E5" w:rsidRDefault="00837A0F" w:rsidP="00837A0F">
      <w:pPr>
        <w:pStyle w:val="Heading1"/>
        <w:numPr>
          <w:ilvl w:val="0"/>
          <w:numId w:val="0"/>
        </w:numPr>
        <w:spacing w:after="0"/>
        <w:rPr>
          <w:lang w:val="fr-FR"/>
        </w:rPr>
      </w:pPr>
    </w:p>
    <w:p w14:paraId="65311501" w14:textId="08794918" w:rsidR="00837A0F" w:rsidRPr="009C36E5" w:rsidRDefault="00837A0F" w:rsidP="00837A0F">
      <w:pPr>
        <w:pStyle w:val="Heading1"/>
        <w:rPr>
          <w:lang w:val="fr-FR"/>
        </w:rPr>
      </w:pPr>
      <w:r w:rsidRPr="009C36E5">
        <w:rPr>
          <w:lang w:val="fr-FR"/>
        </w:rPr>
        <w:t>Le présent document présente le plan d'activités de la Banque mondiale pour 2022-2024</w:t>
      </w:r>
      <w:r w:rsidRPr="00227215">
        <w:rPr>
          <w:rStyle w:val="FootnoteReference"/>
        </w:rPr>
        <w:footnoteReference w:id="2"/>
      </w:r>
      <w:r w:rsidRPr="009C36E5">
        <w:rPr>
          <w:lang w:val="fr-FR"/>
        </w:rPr>
        <w:t xml:space="preserve"> et comprend les activités prévues pour l'élimination des substances contrôlées au titre du Protocole de Montréal (substances contrôlées) au cours de la période 2022-2024, les indicateurs d'efficacité du plan d'activités et une recommandation aux fins d'examen par le Comité exécutif. </w:t>
      </w:r>
      <w:r w:rsidR="009C36E5" w:rsidRPr="009C36E5">
        <w:rPr>
          <w:lang w:val="fr-FR"/>
        </w:rPr>
        <w:t>Le descriptif</w:t>
      </w:r>
      <w:r w:rsidRPr="009C36E5">
        <w:rPr>
          <w:lang w:val="fr-FR"/>
        </w:rPr>
        <w:t xml:space="preserve"> du plan d'activités de la Banque mondiale pour 2022-2024 y est joint. </w:t>
      </w:r>
    </w:p>
    <w:p w14:paraId="26FFB9C8" w14:textId="77777777" w:rsidR="00837A0F" w:rsidRPr="009C36E5" w:rsidRDefault="00837A0F" w:rsidP="00837A0F">
      <w:pPr>
        <w:rPr>
          <w:b/>
          <w:lang w:val="fr-FR"/>
        </w:rPr>
      </w:pPr>
      <w:r w:rsidRPr="009C36E5">
        <w:rPr>
          <w:b/>
          <w:lang w:val="fr-FR"/>
        </w:rPr>
        <w:t>Activités prévues au cours de la période 2022-2024</w:t>
      </w:r>
    </w:p>
    <w:p w14:paraId="3B86EF25" w14:textId="77777777" w:rsidR="00837A0F" w:rsidRPr="009C36E5" w:rsidRDefault="00837A0F" w:rsidP="00837A0F">
      <w:pPr>
        <w:rPr>
          <w:lang w:val="fr-FR"/>
        </w:rPr>
      </w:pPr>
    </w:p>
    <w:p w14:paraId="42912ED7" w14:textId="77777777" w:rsidR="00837A0F" w:rsidRPr="009C36E5" w:rsidRDefault="00837A0F" w:rsidP="00837A0F">
      <w:pPr>
        <w:pStyle w:val="Heading1"/>
        <w:rPr>
          <w:lang w:val="fr-FR"/>
        </w:rPr>
      </w:pPr>
      <w:r w:rsidRPr="009C36E5">
        <w:rPr>
          <w:lang w:val="fr-FR"/>
        </w:rPr>
        <w:t>Le Tableau 1 indique, année par année, le coût des activités prévues dans le plan d’activités de la Banque mondiale.</w:t>
      </w:r>
    </w:p>
    <w:p w14:paraId="56BEC41F" w14:textId="20A75B75" w:rsidR="00837A0F" w:rsidRPr="009C36E5" w:rsidRDefault="00837A0F" w:rsidP="00837A0F">
      <w:pPr>
        <w:pStyle w:val="subhead"/>
        <w:keepNext/>
        <w:jc w:val="both"/>
        <w:rPr>
          <w:b/>
          <w:sz w:val="21"/>
          <w:szCs w:val="21"/>
          <w:lang w:val="fr-FR"/>
        </w:rPr>
      </w:pPr>
      <w:r w:rsidRPr="00227215">
        <w:rPr>
          <w:b/>
          <w:sz w:val="21"/>
          <w:szCs w:val="21"/>
          <w:lang w:val="fr"/>
        </w:rPr>
        <w:t>Tableau 1. Affectation des ressources dans le plan d’activités de la Banque mondiale soumis pour 2022</w:t>
      </w:r>
      <w:r w:rsidR="009C36E5">
        <w:rPr>
          <w:b/>
          <w:sz w:val="21"/>
          <w:szCs w:val="21"/>
          <w:lang w:val="fr"/>
        </w:rPr>
        <w:noBreakHyphen/>
      </w:r>
      <w:r w:rsidRPr="00227215">
        <w:rPr>
          <w:b/>
          <w:sz w:val="21"/>
          <w:szCs w:val="21"/>
          <w:lang w:val="fr"/>
        </w:rPr>
        <w:t>2024 (en milliers de $</w:t>
      </w:r>
      <w:proofErr w:type="gramStart"/>
      <w:r w:rsidRPr="00227215">
        <w:rPr>
          <w:b/>
          <w:sz w:val="21"/>
          <w:szCs w:val="21"/>
          <w:lang w:val="fr"/>
        </w:rPr>
        <w:t>US)*</w:t>
      </w:r>
      <w:proofErr w:type="gramEnd"/>
    </w:p>
    <w:tbl>
      <w:tblPr>
        <w:tblW w:w="9474" w:type="dxa"/>
        <w:tblInd w:w="-5" w:type="dxa"/>
        <w:tblLayout w:type="fixed"/>
        <w:tblLook w:val="04A0" w:firstRow="1" w:lastRow="0" w:firstColumn="1" w:lastColumn="0" w:noHBand="0" w:noVBand="1"/>
      </w:tblPr>
      <w:tblGrid>
        <w:gridCol w:w="3261"/>
        <w:gridCol w:w="1242"/>
        <w:gridCol w:w="1243"/>
        <w:gridCol w:w="1242"/>
        <w:gridCol w:w="1243"/>
        <w:gridCol w:w="1243"/>
      </w:tblGrid>
      <w:tr w:rsidR="00553085" w:rsidRPr="00227215" w14:paraId="7C2771BD" w14:textId="77777777" w:rsidTr="009871A8">
        <w:trPr>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6C72E" w14:textId="77777777" w:rsidR="00553085" w:rsidRPr="00227215" w:rsidRDefault="00553085" w:rsidP="00553085">
            <w:pPr>
              <w:jc w:val="left"/>
              <w:rPr>
                <w:b/>
                <w:bCs/>
                <w:sz w:val="21"/>
                <w:szCs w:val="21"/>
                <w:lang w:eastAsia="en-CA"/>
              </w:rPr>
            </w:pPr>
            <w:r w:rsidRPr="00227215">
              <w:rPr>
                <w:b/>
                <w:bCs/>
                <w:sz w:val="21"/>
                <w:szCs w:val="21"/>
                <w:lang w:eastAsia="fr"/>
              </w:rPr>
              <w:t>Description</w:t>
            </w:r>
          </w:p>
        </w:tc>
        <w:tc>
          <w:tcPr>
            <w:tcW w:w="124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AC41B75" w14:textId="77777777" w:rsidR="00553085" w:rsidRPr="00227215" w:rsidRDefault="00553085" w:rsidP="00553085">
            <w:pPr>
              <w:jc w:val="center"/>
              <w:rPr>
                <w:b/>
                <w:bCs/>
                <w:sz w:val="21"/>
                <w:szCs w:val="21"/>
                <w:lang w:eastAsia="en-CA"/>
              </w:rPr>
            </w:pPr>
            <w:r w:rsidRPr="00227215">
              <w:rPr>
                <w:b/>
                <w:bCs/>
                <w:sz w:val="21"/>
                <w:szCs w:val="21"/>
                <w:lang w:eastAsia="fr"/>
              </w:rPr>
              <w:t>2022</w:t>
            </w:r>
          </w:p>
        </w:tc>
        <w:tc>
          <w:tcPr>
            <w:tcW w:w="124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05E3924" w14:textId="77777777" w:rsidR="00553085" w:rsidRPr="00227215" w:rsidRDefault="00553085" w:rsidP="00553085">
            <w:pPr>
              <w:jc w:val="center"/>
              <w:rPr>
                <w:b/>
                <w:bCs/>
                <w:sz w:val="21"/>
                <w:szCs w:val="21"/>
                <w:lang w:eastAsia="en-CA"/>
              </w:rPr>
            </w:pPr>
            <w:r w:rsidRPr="00227215">
              <w:rPr>
                <w:b/>
                <w:bCs/>
                <w:sz w:val="21"/>
                <w:szCs w:val="21"/>
                <w:lang w:eastAsia="fr"/>
              </w:rPr>
              <w:t>2023</w:t>
            </w:r>
          </w:p>
        </w:tc>
        <w:tc>
          <w:tcPr>
            <w:tcW w:w="124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9C2C132" w14:textId="77777777" w:rsidR="00553085" w:rsidRPr="00227215" w:rsidRDefault="00553085" w:rsidP="00553085">
            <w:pPr>
              <w:jc w:val="center"/>
              <w:rPr>
                <w:b/>
                <w:bCs/>
                <w:sz w:val="21"/>
                <w:szCs w:val="21"/>
                <w:lang w:eastAsia="en-CA"/>
              </w:rPr>
            </w:pPr>
            <w:r w:rsidRPr="00227215">
              <w:rPr>
                <w:b/>
                <w:bCs/>
                <w:sz w:val="21"/>
                <w:szCs w:val="21"/>
                <w:lang w:eastAsia="fr"/>
              </w:rPr>
              <w:t>2024</w:t>
            </w:r>
          </w:p>
        </w:tc>
        <w:tc>
          <w:tcPr>
            <w:tcW w:w="124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BFDF2AD" w14:textId="77777777" w:rsidR="009871A8" w:rsidRDefault="00553085" w:rsidP="009871A8">
            <w:pPr>
              <w:jc w:val="center"/>
              <w:rPr>
                <w:b/>
                <w:bCs/>
                <w:sz w:val="21"/>
                <w:szCs w:val="21"/>
                <w:lang w:eastAsia="en-CA"/>
              </w:rPr>
            </w:pPr>
            <w:r w:rsidRPr="00227215">
              <w:rPr>
                <w:b/>
                <w:bCs/>
                <w:sz w:val="21"/>
                <w:szCs w:val="21"/>
                <w:lang w:eastAsia="fr"/>
              </w:rPr>
              <w:t xml:space="preserve">Total </w:t>
            </w:r>
          </w:p>
          <w:p w14:paraId="61198768" w14:textId="1CD3FF82" w:rsidR="00553085" w:rsidRPr="00227215" w:rsidRDefault="00553085" w:rsidP="009871A8">
            <w:pPr>
              <w:jc w:val="center"/>
              <w:rPr>
                <w:b/>
                <w:bCs/>
                <w:sz w:val="21"/>
                <w:szCs w:val="21"/>
                <w:lang w:eastAsia="en-CA"/>
              </w:rPr>
            </w:pPr>
            <w:r w:rsidRPr="00227215">
              <w:rPr>
                <w:b/>
                <w:bCs/>
                <w:sz w:val="21"/>
                <w:szCs w:val="21"/>
                <w:lang w:eastAsia="fr"/>
              </w:rPr>
              <w:t>(2022-2024)</w:t>
            </w:r>
          </w:p>
        </w:tc>
        <w:tc>
          <w:tcPr>
            <w:tcW w:w="124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B6C7DEB" w14:textId="77777777" w:rsidR="00553085" w:rsidRPr="00227215" w:rsidRDefault="00553085" w:rsidP="00553085">
            <w:pPr>
              <w:jc w:val="center"/>
              <w:rPr>
                <w:b/>
                <w:bCs/>
                <w:sz w:val="21"/>
                <w:szCs w:val="21"/>
                <w:lang w:eastAsia="en-CA"/>
              </w:rPr>
            </w:pPr>
            <w:r w:rsidRPr="00227215">
              <w:rPr>
                <w:b/>
                <w:bCs/>
                <w:sz w:val="21"/>
                <w:szCs w:val="21"/>
                <w:lang w:eastAsia="fr"/>
              </w:rPr>
              <w:t>Total après 2024</w:t>
            </w:r>
          </w:p>
        </w:tc>
      </w:tr>
      <w:tr w:rsidR="00553085" w:rsidRPr="00227215" w14:paraId="0542A1B5" w14:textId="77777777" w:rsidTr="009871A8">
        <w:tc>
          <w:tcPr>
            <w:tcW w:w="94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369E8" w14:textId="77777777" w:rsidR="00553085" w:rsidRPr="00227215" w:rsidRDefault="00553085" w:rsidP="00553085">
            <w:pPr>
              <w:jc w:val="left"/>
              <w:rPr>
                <w:b/>
                <w:bCs/>
                <w:sz w:val="21"/>
                <w:szCs w:val="21"/>
                <w:lang w:eastAsia="en-CA"/>
              </w:rPr>
            </w:pPr>
            <w:proofErr w:type="spellStart"/>
            <w:r w:rsidRPr="00227215">
              <w:rPr>
                <w:b/>
                <w:bCs/>
                <w:sz w:val="21"/>
                <w:szCs w:val="21"/>
                <w:lang w:eastAsia="fr"/>
              </w:rPr>
              <w:t>Activités</w:t>
            </w:r>
            <w:proofErr w:type="spellEnd"/>
            <w:r w:rsidRPr="00227215">
              <w:rPr>
                <w:b/>
                <w:bCs/>
                <w:sz w:val="21"/>
                <w:szCs w:val="21"/>
                <w:lang w:eastAsia="fr"/>
              </w:rPr>
              <w:t xml:space="preserve"> </w:t>
            </w:r>
            <w:proofErr w:type="spellStart"/>
            <w:r w:rsidRPr="00227215">
              <w:rPr>
                <w:b/>
                <w:bCs/>
                <w:sz w:val="21"/>
                <w:szCs w:val="21"/>
                <w:lang w:eastAsia="fr"/>
              </w:rPr>
              <w:t>liées</w:t>
            </w:r>
            <w:proofErr w:type="spellEnd"/>
            <w:r w:rsidRPr="00227215">
              <w:rPr>
                <w:b/>
                <w:bCs/>
                <w:sz w:val="21"/>
                <w:szCs w:val="21"/>
                <w:lang w:eastAsia="fr"/>
              </w:rPr>
              <w:t xml:space="preserve"> aux HCFC</w:t>
            </w:r>
          </w:p>
        </w:tc>
      </w:tr>
      <w:tr w:rsidR="00553085" w:rsidRPr="00227215" w14:paraId="23D17C3F"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842479C" w14:textId="77777777" w:rsidR="00553085" w:rsidRPr="009C36E5" w:rsidRDefault="00553085" w:rsidP="00553085">
            <w:pPr>
              <w:jc w:val="left"/>
              <w:rPr>
                <w:sz w:val="21"/>
                <w:szCs w:val="21"/>
                <w:lang w:val="fr-FR" w:eastAsia="en-CA"/>
              </w:rPr>
            </w:pPr>
            <w:r w:rsidRPr="009C36E5">
              <w:rPr>
                <w:sz w:val="21"/>
                <w:szCs w:val="21"/>
                <w:lang w:val="fr-FR" w:eastAsia="fr"/>
              </w:rPr>
              <w:t>Plans approuvés de gestion de l'élimination des HCFC (PGEH)</w:t>
            </w:r>
          </w:p>
        </w:tc>
        <w:tc>
          <w:tcPr>
            <w:tcW w:w="1242" w:type="dxa"/>
            <w:tcBorders>
              <w:top w:val="nil"/>
              <w:left w:val="nil"/>
              <w:bottom w:val="single" w:sz="4" w:space="0" w:color="auto"/>
              <w:right w:val="single" w:sz="4" w:space="0" w:color="auto"/>
            </w:tcBorders>
            <w:shd w:val="clear" w:color="auto" w:fill="auto"/>
            <w:noWrap/>
            <w:vAlign w:val="center"/>
            <w:hideMark/>
          </w:tcPr>
          <w:p w14:paraId="51C227FA" w14:textId="77777777" w:rsidR="00553085" w:rsidRPr="00227215" w:rsidRDefault="00553085" w:rsidP="00553085">
            <w:pPr>
              <w:jc w:val="right"/>
              <w:rPr>
                <w:sz w:val="21"/>
                <w:szCs w:val="21"/>
                <w:lang w:eastAsia="en-CA"/>
              </w:rPr>
            </w:pPr>
            <w:r w:rsidRPr="00227215">
              <w:rPr>
                <w:sz w:val="21"/>
                <w:szCs w:val="21"/>
                <w:lang w:eastAsia="fr"/>
              </w:rPr>
              <w:t>30 770</w:t>
            </w:r>
          </w:p>
        </w:tc>
        <w:tc>
          <w:tcPr>
            <w:tcW w:w="1243" w:type="dxa"/>
            <w:tcBorders>
              <w:top w:val="nil"/>
              <w:left w:val="nil"/>
              <w:bottom w:val="single" w:sz="4" w:space="0" w:color="auto"/>
              <w:right w:val="single" w:sz="4" w:space="0" w:color="auto"/>
            </w:tcBorders>
            <w:shd w:val="clear" w:color="auto" w:fill="auto"/>
            <w:noWrap/>
            <w:vAlign w:val="center"/>
            <w:hideMark/>
          </w:tcPr>
          <w:p w14:paraId="208488C6" w14:textId="77777777" w:rsidR="00553085" w:rsidRPr="00227215" w:rsidRDefault="00553085" w:rsidP="00553085">
            <w:pPr>
              <w:jc w:val="right"/>
              <w:rPr>
                <w:sz w:val="21"/>
                <w:szCs w:val="21"/>
                <w:lang w:eastAsia="en-CA"/>
              </w:rPr>
            </w:pPr>
            <w:r w:rsidRPr="00227215">
              <w:rPr>
                <w:sz w:val="21"/>
                <w:szCs w:val="21"/>
                <w:lang w:eastAsia="fr"/>
              </w:rPr>
              <w:t>8 671</w:t>
            </w:r>
          </w:p>
        </w:tc>
        <w:tc>
          <w:tcPr>
            <w:tcW w:w="1242" w:type="dxa"/>
            <w:tcBorders>
              <w:top w:val="nil"/>
              <w:left w:val="nil"/>
              <w:bottom w:val="single" w:sz="4" w:space="0" w:color="auto"/>
              <w:right w:val="single" w:sz="4" w:space="0" w:color="auto"/>
            </w:tcBorders>
            <w:shd w:val="clear" w:color="auto" w:fill="auto"/>
            <w:noWrap/>
            <w:vAlign w:val="center"/>
            <w:hideMark/>
          </w:tcPr>
          <w:p w14:paraId="177FDD70" w14:textId="77777777" w:rsidR="00553085" w:rsidRPr="00227215" w:rsidRDefault="00553085" w:rsidP="00553085">
            <w:pPr>
              <w:jc w:val="right"/>
              <w:rPr>
                <w:sz w:val="21"/>
                <w:szCs w:val="21"/>
                <w:lang w:eastAsia="en-CA"/>
              </w:rPr>
            </w:pPr>
            <w:r w:rsidRPr="00227215">
              <w:rPr>
                <w:sz w:val="21"/>
                <w:szCs w:val="21"/>
                <w:lang w:eastAsia="fr"/>
              </w:rPr>
              <w:t>25 085</w:t>
            </w:r>
          </w:p>
        </w:tc>
        <w:tc>
          <w:tcPr>
            <w:tcW w:w="1243" w:type="dxa"/>
            <w:tcBorders>
              <w:top w:val="nil"/>
              <w:left w:val="nil"/>
              <w:bottom w:val="single" w:sz="4" w:space="0" w:color="auto"/>
              <w:right w:val="single" w:sz="4" w:space="0" w:color="auto"/>
            </w:tcBorders>
            <w:shd w:val="clear" w:color="auto" w:fill="auto"/>
            <w:noWrap/>
            <w:vAlign w:val="center"/>
            <w:hideMark/>
          </w:tcPr>
          <w:p w14:paraId="1F5ECC6F" w14:textId="77777777" w:rsidR="00553085" w:rsidRPr="00227215" w:rsidRDefault="00553085" w:rsidP="00553085">
            <w:pPr>
              <w:jc w:val="right"/>
              <w:rPr>
                <w:sz w:val="21"/>
                <w:szCs w:val="21"/>
                <w:lang w:eastAsia="en-CA"/>
              </w:rPr>
            </w:pPr>
            <w:r w:rsidRPr="00227215">
              <w:rPr>
                <w:sz w:val="21"/>
                <w:szCs w:val="21"/>
                <w:lang w:eastAsia="fr"/>
              </w:rPr>
              <w:t>64 526</w:t>
            </w:r>
          </w:p>
        </w:tc>
        <w:tc>
          <w:tcPr>
            <w:tcW w:w="1243" w:type="dxa"/>
            <w:tcBorders>
              <w:top w:val="nil"/>
              <w:left w:val="nil"/>
              <w:bottom w:val="single" w:sz="4" w:space="0" w:color="auto"/>
              <w:right w:val="single" w:sz="4" w:space="0" w:color="auto"/>
            </w:tcBorders>
            <w:shd w:val="clear" w:color="auto" w:fill="auto"/>
            <w:noWrap/>
            <w:vAlign w:val="center"/>
            <w:hideMark/>
          </w:tcPr>
          <w:p w14:paraId="12D58163" w14:textId="77777777" w:rsidR="00553085" w:rsidRPr="00227215" w:rsidRDefault="00553085" w:rsidP="00553085">
            <w:pPr>
              <w:jc w:val="right"/>
              <w:rPr>
                <w:sz w:val="21"/>
                <w:szCs w:val="21"/>
                <w:lang w:eastAsia="en-CA"/>
              </w:rPr>
            </w:pPr>
            <w:r w:rsidRPr="00227215">
              <w:rPr>
                <w:sz w:val="21"/>
                <w:szCs w:val="21"/>
                <w:lang w:eastAsia="fr"/>
              </w:rPr>
              <w:t>9 844</w:t>
            </w:r>
          </w:p>
        </w:tc>
      </w:tr>
      <w:tr w:rsidR="00553085" w:rsidRPr="00227215" w14:paraId="0D0C044D"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6984917" w14:textId="77777777" w:rsidR="00553085" w:rsidRPr="009C36E5" w:rsidRDefault="00553085" w:rsidP="00553085">
            <w:pPr>
              <w:jc w:val="left"/>
              <w:rPr>
                <w:sz w:val="21"/>
                <w:szCs w:val="21"/>
                <w:lang w:val="fr-FR" w:eastAsia="en-CA"/>
              </w:rPr>
            </w:pPr>
            <w:r w:rsidRPr="009C36E5">
              <w:rPr>
                <w:sz w:val="21"/>
                <w:szCs w:val="21"/>
                <w:lang w:val="fr-FR" w:eastAsia="fr"/>
              </w:rPr>
              <w:t>Élaboration de PGEH - phase III</w:t>
            </w:r>
          </w:p>
        </w:tc>
        <w:tc>
          <w:tcPr>
            <w:tcW w:w="1242" w:type="dxa"/>
            <w:tcBorders>
              <w:top w:val="nil"/>
              <w:left w:val="nil"/>
              <w:bottom w:val="single" w:sz="4" w:space="0" w:color="auto"/>
              <w:right w:val="single" w:sz="4" w:space="0" w:color="auto"/>
            </w:tcBorders>
            <w:shd w:val="clear" w:color="auto" w:fill="auto"/>
            <w:noWrap/>
            <w:vAlign w:val="center"/>
            <w:hideMark/>
          </w:tcPr>
          <w:p w14:paraId="0B38C6C8" w14:textId="6C9E5C87" w:rsidR="00553085" w:rsidRPr="00227215" w:rsidRDefault="003F5B57" w:rsidP="009871A8">
            <w:pPr>
              <w:jc w:val="right"/>
              <w:rPr>
                <w:sz w:val="21"/>
                <w:szCs w:val="21"/>
                <w:lang w:eastAsia="en-CA"/>
              </w:rPr>
            </w:pPr>
            <w:r>
              <w:rPr>
                <w:sz w:val="21"/>
                <w:szCs w:val="21"/>
                <w:lang w:eastAsia="fr"/>
              </w:rPr>
              <w:t>0</w:t>
            </w:r>
          </w:p>
        </w:tc>
        <w:tc>
          <w:tcPr>
            <w:tcW w:w="1243" w:type="dxa"/>
            <w:tcBorders>
              <w:top w:val="nil"/>
              <w:left w:val="nil"/>
              <w:bottom w:val="single" w:sz="4" w:space="0" w:color="auto"/>
              <w:right w:val="single" w:sz="4" w:space="0" w:color="auto"/>
            </w:tcBorders>
            <w:shd w:val="clear" w:color="auto" w:fill="auto"/>
            <w:noWrap/>
            <w:vAlign w:val="center"/>
            <w:hideMark/>
          </w:tcPr>
          <w:p w14:paraId="1C2EAED1" w14:textId="77777777" w:rsidR="00553085" w:rsidRPr="00227215" w:rsidRDefault="00553085" w:rsidP="00553085">
            <w:pPr>
              <w:jc w:val="right"/>
              <w:rPr>
                <w:sz w:val="21"/>
                <w:szCs w:val="21"/>
                <w:lang w:eastAsia="en-CA"/>
              </w:rPr>
            </w:pPr>
            <w:r w:rsidRPr="00227215">
              <w:rPr>
                <w:sz w:val="21"/>
                <w:szCs w:val="21"/>
                <w:lang w:eastAsia="fr"/>
              </w:rPr>
              <w:t>321</w:t>
            </w:r>
          </w:p>
        </w:tc>
        <w:tc>
          <w:tcPr>
            <w:tcW w:w="1242" w:type="dxa"/>
            <w:tcBorders>
              <w:top w:val="nil"/>
              <w:left w:val="nil"/>
              <w:bottom w:val="single" w:sz="4" w:space="0" w:color="auto"/>
              <w:right w:val="single" w:sz="4" w:space="0" w:color="auto"/>
            </w:tcBorders>
            <w:shd w:val="clear" w:color="auto" w:fill="auto"/>
            <w:noWrap/>
            <w:vAlign w:val="center"/>
            <w:hideMark/>
          </w:tcPr>
          <w:p w14:paraId="45F53854" w14:textId="12509929" w:rsidR="00553085" w:rsidRPr="00227215" w:rsidRDefault="003F5B57" w:rsidP="00553085">
            <w:pPr>
              <w:jc w:val="right"/>
              <w:rPr>
                <w:sz w:val="21"/>
                <w:szCs w:val="21"/>
                <w:lang w:eastAsia="en-CA"/>
              </w:rPr>
            </w:pPr>
            <w:r>
              <w:rPr>
                <w:sz w:val="21"/>
                <w:szCs w:val="21"/>
                <w:lang w:eastAsia="fr"/>
              </w:rPr>
              <w:t>0</w:t>
            </w:r>
          </w:p>
        </w:tc>
        <w:tc>
          <w:tcPr>
            <w:tcW w:w="1243" w:type="dxa"/>
            <w:tcBorders>
              <w:top w:val="nil"/>
              <w:left w:val="nil"/>
              <w:bottom w:val="single" w:sz="4" w:space="0" w:color="auto"/>
              <w:right w:val="single" w:sz="4" w:space="0" w:color="auto"/>
            </w:tcBorders>
            <w:shd w:val="clear" w:color="auto" w:fill="auto"/>
            <w:noWrap/>
            <w:vAlign w:val="center"/>
            <w:hideMark/>
          </w:tcPr>
          <w:p w14:paraId="6B7ED564" w14:textId="77777777" w:rsidR="00553085" w:rsidRPr="00227215" w:rsidRDefault="00553085" w:rsidP="00553085">
            <w:pPr>
              <w:jc w:val="right"/>
              <w:rPr>
                <w:sz w:val="21"/>
                <w:szCs w:val="21"/>
                <w:lang w:eastAsia="en-CA"/>
              </w:rPr>
            </w:pPr>
            <w:r w:rsidRPr="00227215">
              <w:rPr>
                <w:sz w:val="21"/>
                <w:szCs w:val="21"/>
                <w:lang w:eastAsia="fr"/>
              </w:rPr>
              <w:t>321</w:t>
            </w:r>
          </w:p>
        </w:tc>
        <w:tc>
          <w:tcPr>
            <w:tcW w:w="1243" w:type="dxa"/>
            <w:tcBorders>
              <w:top w:val="nil"/>
              <w:left w:val="nil"/>
              <w:bottom w:val="single" w:sz="4" w:space="0" w:color="auto"/>
              <w:right w:val="single" w:sz="4" w:space="0" w:color="auto"/>
            </w:tcBorders>
            <w:shd w:val="clear" w:color="auto" w:fill="auto"/>
            <w:noWrap/>
            <w:vAlign w:val="center"/>
            <w:hideMark/>
          </w:tcPr>
          <w:p w14:paraId="7BCD4639" w14:textId="391085F3" w:rsidR="00553085" w:rsidRPr="00227215" w:rsidRDefault="003F5B57" w:rsidP="00553085">
            <w:pPr>
              <w:jc w:val="right"/>
              <w:rPr>
                <w:sz w:val="21"/>
                <w:szCs w:val="21"/>
                <w:lang w:eastAsia="en-CA"/>
              </w:rPr>
            </w:pPr>
            <w:r>
              <w:rPr>
                <w:sz w:val="21"/>
                <w:szCs w:val="21"/>
                <w:lang w:eastAsia="fr"/>
              </w:rPr>
              <w:t>0</w:t>
            </w:r>
          </w:p>
        </w:tc>
      </w:tr>
      <w:tr w:rsidR="00553085" w:rsidRPr="00227215" w14:paraId="6FA1CBDA"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10DC0BC" w14:textId="77777777" w:rsidR="00553085" w:rsidRPr="009C36E5" w:rsidRDefault="00553085" w:rsidP="00553085">
            <w:pPr>
              <w:jc w:val="left"/>
              <w:rPr>
                <w:b/>
                <w:bCs/>
                <w:sz w:val="21"/>
                <w:szCs w:val="21"/>
                <w:lang w:val="fr-FR" w:eastAsia="en-CA"/>
              </w:rPr>
            </w:pPr>
            <w:r w:rsidRPr="009C36E5">
              <w:rPr>
                <w:b/>
                <w:bCs/>
                <w:sz w:val="21"/>
                <w:szCs w:val="21"/>
                <w:lang w:val="fr-FR" w:eastAsia="fr"/>
              </w:rPr>
              <w:t>Activités liées aux HCFC – total partiel</w:t>
            </w:r>
          </w:p>
        </w:tc>
        <w:tc>
          <w:tcPr>
            <w:tcW w:w="1242" w:type="dxa"/>
            <w:tcBorders>
              <w:top w:val="nil"/>
              <w:left w:val="nil"/>
              <w:bottom w:val="single" w:sz="4" w:space="0" w:color="auto"/>
              <w:right w:val="single" w:sz="4" w:space="0" w:color="auto"/>
            </w:tcBorders>
            <w:shd w:val="clear" w:color="auto" w:fill="auto"/>
            <w:noWrap/>
            <w:vAlign w:val="center"/>
            <w:hideMark/>
          </w:tcPr>
          <w:p w14:paraId="27A7C012" w14:textId="77777777" w:rsidR="00553085" w:rsidRPr="00227215" w:rsidRDefault="00553085" w:rsidP="00553085">
            <w:pPr>
              <w:jc w:val="right"/>
              <w:rPr>
                <w:b/>
                <w:bCs/>
                <w:sz w:val="21"/>
                <w:szCs w:val="21"/>
                <w:lang w:eastAsia="en-CA"/>
              </w:rPr>
            </w:pPr>
            <w:r w:rsidRPr="00227215">
              <w:rPr>
                <w:b/>
                <w:bCs/>
                <w:sz w:val="21"/>
                <w:szCs w:val="21"/>
                <w:lang w:eastAsia="fr"/>
              </w:rPr>
              <w:t>30 770</w:t>
            </w:r>
          </w:p>
        </w:tc>
        <w:tc>
          <w:tcPr>
            <w:tcW w:w="1243" w:type="dxa"/>
            <w:tcBorders>
              <w:top w:val="nil"/>
              <w:left w:val="nil"/>
              <w:bottom w:val="single" w:sz="4" w:space="0" w:color="auto"/>
              <w:right w:val="single" w:sz="4" w:space="0" w:color="auto"/>
            </w:tcBorders>
            <w:shd w:val="clear" w:color="auto" w:fill="auto"/>
            <w:noWrap/>
            <w:vAlign w:val="center"/>
            <w:hideMark/>
          </w:tcPr>
          <w:p w14:paraId="698028DC" w14:textId="77777777" w:rsidR="00553085" w:rsidRPr="00227215" w:rsidRDefault="00553085" w:rsidP="00553085">
            <w:pPr>
              <w:jc w:val="right"/>
              <w:rPr>
                <w:b/>
                <w:bCs/>
                <w:sz w:val="21"/>
                <w:szCs w:val="21"/>
                <w:lang w:eastAsia="en-CA"/>
              </w:rPr>
            </w:pPr>
            <w:r w:rsidRPr="00227215">
              <w:rPr>
                <w:b/>
                <w:bCs/>
                <w:sz w:val="21"/>
                <w:szCs w:val="21"/>
                <w:lang w:eastAsia="fr"/>
              </w:rPr>
              <w:t>8 992</w:t>
            </w:r>
          </w:p>
        </w:tc>
        <w:tc>
          <w:tcPr>
            <w:tcW w:w="1242" w:type="dxa"/>
            <w:tcBorders>
              <w:top w:val="nil"/>
              <w:left w:val="nil"/>
              <w:bottom w:val="single" w:sz="4" w:space="0" w:color="auto"/>
              <w:right w:val="single" w:sz="4" w:space="0" w:color="auto"/>
            </w:tcBorders>
            <w:shd w:val="clear" w:color="auto" w:fill="auto"/>
            <w:noWrap/>
            <w:vAlign w:val="center"/>
            <w:hideMark/>
          </w:tcPr>
          <w:p w14:paraId="74AC7435" w14:textId="77777777" w:rsidR="00553085" w:rsidRPr="00227215" w:rsidRDefault="00553085" w:rsidP="00553085">
            <w:pPr>
              <w:jc w:val="right"/>
              <w:rPr>
                <w:b/>
                <w:bCs/>
                <w:sz w:val="21"/>
                <w:szCs w:val="21"/>
                <w:lang w:eastAsia="en-CA"/>
              </w:rPr>
            </w:pPr>
            <w:r w:rsidRPr="00227215">
              <w:rPr>
                <w:b/>
                <w:bCs/>
                <w:sz w:val="21"/>
                <w:szCs w:val="21"/>
                <w:lang w:eastAsia="fr"/>
              </w:rPr>
              <w:t>25 085</w:t>
            </w:r>
          </w:p>
        </w:tc>
        <w:tc>
          <w:tcPr>
            <w:tcW w:w="1243" w:type="dxa"/>
            <w:tcBorders>
              <w:top w:val="nil"/>
              <w:left w:val="nil"/>
              <w:bottom w:val="single" w:sz="4" w:space="0" w:color="auto"/>
              <w:right w:val="single" w:sz="4" w:space="0" w:color="auto"/>
            </w:tcBorders>
            <w:shd w:val="clear" w:color="auto" w:fill="auto"/>
            <w:noWrap/>
            <w:vAlign w:val="center"/>
            <w:hideMark/>
          </w:tcPr>
          <w:p w14:paraId="16F311DD" w14:textId="77777777" w:rsidR="00553085" w:rsidRPr="00227215" w:rsidRDefault="00553085" w:rsidP="00553085">
            <w:pPr>
              <w:jc w:val="right"/>
              <w:rPr>
                <w:b/>
                <w:bCs/>
                <w:sz w:val="21"/>
                <w:szCs w:val="21"/>
                <w:lang w:eastAsia="en-CA"/>
              </w:rPr>
            </w:pPr>
            <w:r w:rsidRPr="00227215">
              <w:rPr>
                <w:b/>
                <w:bCs/>
                <w:sz w:val="21"/>
                <w:szCs w:val="21"/>
                <w:lang w:eastAsia="fr"/>
              </w:rPr>
              <w:t>64 847</w:t>
            </w:r>
          </w:p>
        </w:tc>
        <w:tc>
          <w:tcPr>
            <w:tcW w:w="1243" w:type="dxa"/>
            <w:tcBorders>
              <w:top w:val="nil"/>
              <w:left w:val="nil"/>
              <w:bottom w:val="single" w:sz="4" w:space="0" w:color="auto"/>
              <w:right w:val="single" w:sz="4" w:space="0" w:color="auto"/>
            </w:tcBorders>
            <w:shd w:val="clear" w:color="auto" w:fill="auto"/>
            <w:noWrap/>
            <w:vAlign w:val="center"/>
            <w:hideMark/>
          </w:tcPr>
          <w:p w14:paraId="06010176" w14:textId="77777777" w:rsidR="00553085" w:rsidRPr="00227215" w:rsidRDefault="00553085" w:rsidP="00553085">
            <w:pPr>
              <w:jc w:val="right"/>
              <w:rPr>
                <w:b/>
                <w:bCs/>
                <w:sz w:val="21"/>
                <w:szCs w:val="21"/>
                <w:lang w:eastAsia="en-CA"/>
              </w:rPr>
            </w:pPr>
            <w:r w:rsidRPr="00227215">
              <w:rPr>
                <w:b/>
                <w:bCs/>
                <w:sz w:val="21"/>
                <w:szCs w:val="21"/>
                <w:lang w:eastAsia="fr"/>
              </w:rPr>
              <w:t>9 844</w:t>
            </w:r>
          </w:p>
        </w:tc>
      </w:tr>
      <w:tr w:rsidR="00553085" w:rsidRPr="00227215" w14:paraId="50AED4C8" w14:textId="77777777" w:rsidTr="009871A8">
        <w:tc>
          <w:tcPr>
            <w:tcW w:w="94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66F0B" w14:textId="77777777" w:rsidR="00553085" w:rsidRPr="00227215" w:rsidRDefault="00553085" w:rsidP="00553085">
            <w:pPr>
              <w:jc w:val="left"/>
              <w:rPr>
                <w:b/>
                <w:bCs/>
                <w:sz w:val="21"/>
                <w:szCs w:val="21"/>
                <w:lang w:eastAsia="en-CA"/>
              </w:rPr>
            </w:pPr>
            <w:proofErr w:type="spellStart"/>
            <w:r w:rsidRPr="00227215">
              <w:rPr>
                <w:b/>
                <w:bCs/>
                <w:sz w:val="21"/>
                <w:szCs w:val="21"/>
                <w:lang w:eastAsia="fr"/>
              </w:rPr>
              <w:lastRenderedPageBreak/>
              <w:t>Activités</w:t>
            </w:r>
            <w:proofErr w:type="spellEnd"/>
            <w:r w:rsidRPr="00227215">
              <w:rPr>
                <w:b/>
                <w:bCs/>
                <w:sz w:val="21"/>
                <w:szCs w:val="21"/>
                <w:lang w:eastAsia="fr"/>
              </w:rPr>
              <w:t xml:space="preserve"> </w:t>
            </w:r>
            <w:proofErr w:type="spellStart"/>
            <w:r w:rsidRPr="00227215">
              <w:rPr>
                <w:b/>
                <w:bCs/>
                <w:sz w:val="21"/>
                <w:szCs w:val="21"/>
                <w:lang w:eastAsia="fr"/>
              </w:rPr>
              <w:t>liées</w:t>
            </w:r>
            <w:proofErr w:type="spellEnd"/>
            <w:r w:rsidRPr="00227215">
              <w:rPr>
                <w:b/>
                <w:bCs/>
                <w:sz w:val="21"/>
                <w:szCs w:val="21"/>
                <w:lang w:eastAsia="fr"/>
              </w:rPr>
              <w:t xml:space="preserve"> aux HFC</w:t>
            </w:r>
            <w:r w:rsidRPr="00227215">
              <w:rPr>
                <w:sz w:val="21"/>
                <w:szCs w:val="21"/>
                <w:lang w:eastAsia="fr"/>
              </w:rPr>
              <w:t> </w:t>
            </w:r>
          </w:p>
        </w:tc>
      </w:tr>
      <w:tr w:rsidR="00553085" w:rsidRPr="00227215" w14:paraId="4287B371"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E25EA0D" w14:textId="77777777" w:rsidR="00553085" w:rsidRPr="009C36E5" w:rsidRDefault="00EF6A82" w:rsidP="00EF6A82">
            <w:pPr>
              <w:jc w:val="left"/>
              <w:rPr>
                <w:sz w:val="21"/>
                <w:szCs w:val="21"/>
                <w:lang w:val="fr-FR" w:eastAsia="en-CA"/>
              </w:rPr>
            </w:pPr>
            <w:r w:rsidRPr="009C36E5">
              <w:rPr>
                <w:sz w:val="21"/>
                <w:szCs w:val="21"/>
                <w:lang w:val="fr-FR" w:eastAsia="fr"/>
              </w:rPr>
              <w:t>Préparation du plan de mise en œuvre des HFC de Kigali (KIP)</w:t>
            </w:r>
          </w:p>
        </w:tc>
        <w:tc>
          <w:tcPr>
            <w:tcW w:w="1242" w:type="dxa"/>
            <w:tcBorders>
              <w:top w:val="nil"/>
              <w:left w:val="nil"/>
              <w:bottom w:val="single" w:sz="4" w:space="0" w:color="auto"/>
              <w:right w:val="single" w:sz="4" w:space="0" w:color="auto"/>
            </w:tcBorders>
            <w:shd w:val="clear" w:color="auto" w:fill="auto"/>
            <w:noWrap/>
            <w:vAlign w:val="center"/>
            <w:hideMark/>
          </w:tcPr>
          <w:p w14:paraId="6F90D60D" w14:textId="77777777" w:rsidR="00553085" w:rsidRPr="00227215" w:rsidRDefault="00553085" w:rsidP="00553085">
            <w:pPr>
              <w:jc w:val="right"/>
              <w:rPr>
                <w:sz w:val="21"/>
                <w:szCs w:val="21"/>
                <w:lang w:eastAsia="en-CA"/>
              </w:rPr>
            </w:pPr>
            <w:r w:rsidRPr="00227215">
              <w:rPr>
                <w:sz w:val="21"/>
                <w:szCs w:val="21"/>
                <w:lang w:eastAsia="fr"/>
              </w:rPr>
              <w:t>471</w:t>
            </w:r>
          </w:p>
        </w:tc>
        <w:tc>
          <w:tcPr>
            <w:tcW w:w="1243" w:type="dxa"/>
            <w:tcBorders>
              <w:top w:val="nil"/>
              <w:left w:val="nil"/>
              <w:bottom w:val="single" w:sz="4" w:space="0" w:color="auto"/>
              <w:right w:val="single" w:sz="4" w:space="0" w:color="auto"/>
            </w:tcBorders>
            <w:shd w:val="clear" w:color="auto" w:fill="auto"/>
            <w:noWrap/>
            <w:vAlign w:val="center"/>
            <w:hideMark/>
          </w:tcPr>
          <w:p w14:paraId="2270AF0E" w14:textId="49EF7CC4" w:rsidR="00553085" w:rsidRPr="00227215" w:rsidRDefault="003F5B57" w:rsidP="00553085">
            <w:pPr>
              <w:jc w:val="right"/>
              <w:rPr>
                <w:sz w:val="21"/>
                <w:szCs w:val="21"/>
                <w:lang w:eastAsia="en-CA"/>
              </w:rPr>
            </w:pPr>
            <w:r>
              <w:rPr>
                <w:sz w:val="21"/>
                <w:szCs w:val="21"/>
                <w:lang w:eastAsia="fr"/>
              </w:rPr>
              <w:t>0</w:t>
            </w:r>
          </w:p>
        </w:tc>
        <w:tc>
          <w:tcPr>
            <w:tcW w:w="1242" w:type="dxa"/>
            <w:tcBorders>
              <w:top w:val="nil"/>
              <w:left w:val="nil"/>
              <w:bottom w:val="single" w:sz="4" w:space="0" w:color="auto"/>
              <w:right w:val="single" w:sz="4" w:space="0" w:color="auto"/>
            </w:tcBorders>
            <w:shd w:val="clear" w:color="auto" w:fill="auto"/>
            <w:noWrap/>
            <w:vAlign w:val="center"/>
            <w:hideMark/>
          </w:tcPr>
          <w:p w14:paraId="57F86927" w14:textId="03923B9B" w:rsidR="00553085" w:rsidRPr="00227215" w:rsidRDefault="003F5B57" w:rsidP="00553085">
            <w:pPr>
              <w:jc w:val="right"/>
              <w:rPr>
                <w:sz w:val="21"/>
                <w:szCs w:val="21"/>
                <w:lang w:eastAsia="en-CA"/>
              </w:rPr>
            </w:pPr>
            <w:r>
              <w:rPr>
                <w:sz w:val="21"/>
                <w:szCs w:val="21"/>
                <w:lang w:eastAsia="fr"/>
              </w:rPr>
              <w:t>0</w:t>
            </w:r>
          </w:p>
        </w:tc>
        <w:tc>
          <w:tcPr>
            <w:tcW w:w="1243" w:type="dxa"/>
            <w:tcBorders>
              <w:top w:val="nil"/>
              <w:left w:val="nil"/>
              <w:bottom w:val="single" w:sz="4" w:space="0" w:color="auto"/>
              <w:right w:val="single" w:sz="4" w:space="0" w:color="auto"/>
            </w:tcBorders>
            <w:shd w:val="clear" w:color="auto" w:fill="auto"/>
            <w:noWrap/>
            <w:vAlign w:val="center"/>
            <w:hideMark/>
          </w:tcPr>
          <w:p w14:paraId="6FE6D86E" w14:textId="77777777" w:rsidR="00553085" w:rsidRPr="00227215" w:rsidRDefault="00553085" w:rsidP="00553085">
            <w:pPr>
              <w:jc w:val="right"/>
              <w:rPr>
                <w:sz w:val="21"/>
                <w:szCs w:val="21"/>
                <w:lang w:eastAsia="en-CA"/>
              </w:rPr>
            </w:pPr>
            <w:r w:rsidRPr="00227215">
              <w:rPr>
                <w:sz w:val="21"/>
                <w:szCs w:val="21"/>
                <w:lang w:eastAsia="fr"/>
              </w:rPr>
              <w:t>471</w:t>
            </w:r>
          </w:p>
        </w:tc>
        <w:tc>
          <w:tcPr>
            <w:tcW w:w="1243" w:type="dxa"/>
            <w:tcBorders>
              <w:top w:val="nil"/>
              <w:left w:val="nil"/>
              <w:bottom w:val="single" w:sz="4" w:space="0" w:color="auto"/>
              <w:right w:val="single" w:sz="4" w:space="0" w:color="auto"/>
            </w:tcBorders>
            <w:shd w:val="clear" w:color="auto" w:fill="auto"/>
            <w:noWrap/>
            <w:vAlign w:val="center"/>
            <w:hideMark/>
          </w:tcPr>
          <w:p w14:paraId="0609D6F2" w14:textId="1C0558F7" w:rsidR="00553085" w:rsidRPr="00227215" w:rsidRDefault="003F5B57" w:rsidP="00553085">
            <w:pPr>
              <w:jc w:val="right"/>
              <w:rPr>
                <w:sz w:val="21"/>
                <w:szCs w:val="21"/>
                <w:lang w:eastAsia="en-CA"/>
              </w:rPr>
            </w:pPr>
            <w:r>
              <w:rPr>
                <w:sz w:val="21"/>
                <w:szCs w:val="21"/>
                <w:lang w:eastAsia="fr"/>
              </w:rPr>
              <w:t>0</w:t>
            </w:r>
          </w:p>
        </w:tc>
      </w:tr>
      <w:tr w:rsidR="00553085" w:rsidRPr="00227215" w14:paraId="4D1531FA"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AFBD25C" w14:textId="3C57E558" w:rsidR="00553085" w:rsidRPr="00227215" w:rsidRDefault="00EF6A82" w:rsidP="00553085">
            <w:pPr>
              <w:jc w:val="left"/>
              <w:rPr>
                <w:sz w:val="21"/>
                <w:szCs w:val="21"/>
                <w:lang w:eastAsia="en-CA"/>
              </w:rPr>
            </w:pPr>
            <w:r>
              <w:rPr>
                <w:sz w:val="21"/>
                <w:szCs w:val="21"/>
                <w:lang w:eastAsia="fr"/>
              </w:rPr>
              <w:t xml:space="preserve">KIP </w:t>
            </w:r>
          </w:p>
        </w:tc>
        <w:tc>
          <w:tcPr>
            <w:tcW w:w="1242" w:type="dxa"/>
            <w:tcBorders>
              <w:top w:val="nil"/>
              <w:left w:val="nil"/>
              <w:bottom w:val="single" w:sz="4" w:space="0" w:color="auto"/>
              <w:right w:val="single" w:sz="4" w:space="0" w:color="auto"/>
            </w:tcBorders>
            <w:shd w:val="clear" w:color="auto" w:fill="auto"/>
            <w:noWrap/>
            <w:vAlign w:val="center"/>
            <w:hideMark/>
          </w:tcPr>
          <w:p w14:paraId="59C20B3B" w14:textId="1432C34A" w:rsidR="00553085" w:rsidRPr="00227215" w:rsidRDefault="003F5B57" w:rsidP="00553085">
            <w:pPr>
              <w:jc w:val="right"/>
              <w:rPr>
                <w:sz w:val="21"/>
                <w:szCs w:val="21"/>
                <w:lang w:eastAsia="en-CA"/>
              </w:rPr>
            </w:pPr>
            <w:r>
              <w:rPr>
                <w:sz w:val="21"/>
                <w:szCs w:val="21"/>
                <w:lang w:eastAsia="fr"/>
              </w:rPr>
              <w:t>0</w:t>
            </w:r>
          </w:p>
        </w:tc>
        <w:tc>
          <w:tcPr>
            <w:tcW w:w="1243" w:type="dxa"/>
            <w:tcBorders>
              <w:top w:val="nil"/>
              <w:left w:val="nil"/>
              <w:bottom w:val="single" w:sz="4" w:space="0" w:color="auto"/>
              <w:right w:val="single" w:sz="4" w:space="0" w:color="auto"/>
            </w:tcBorders>
            <w:shd w:val="clear" w:color="auto" w:fill="auto"/>
            <w:noWrap/>
            <w:vAlign w:val="center"/>
            <w:hideMark/>
          </w:tcPr>
          <w:p w14:paraId="0435C15C" w14:textId="77777777" w:rsidR="00553085" w:rsidRPr="00227215" w:rsidRDefault="00553085" w:rsidP="00553085">
            <w:pPr>
              <w:jc w:val="right"/>
              <w:rPr>
                <w:sz w:val="21"/>
                <w:szCs w:val="21"/>
                <w:lang w:eastAsia="en-CA"/>
              </w:rPr>
            </w:pPr>
            <w:r w:rsidRPr="00227215">
              <w:rPr>
                <w:sz w:val="21"/>
                <w:szCs w:val="21"/>
                <w:lang w:eastAsia="fr"/>
              </w:rPr>
              <w:t>10 700</w:t>
            </w:r>
          </w:p>
        </w:tc>
        <w:tc>
          <w:tcPr>
            <w:tcW w:w="1242" w:type="dxa"/>
            <w:tcBorders>
              <w:top w:val="nil"/>
              <w:left w:val="nil"/>
              <w:bottom w:val="single" w:sz="4" w:space="0" w:color="auto"/>
              <w:right w:val="single" w:sz="4" w:space="0" w:color="auto"/>
            </w:tcBorders>
            <w:shd w:val="clear" w:color="auto" w:fill="auto"/>
            <w:noWrap/>
            <w:vAlign w:val="center"/>
            <w:hideMark/>
          </w:tcPr>
          <w:p w14:paraId="1D47A19E" w14:textId="7A7AB343" w:rsidR="00553085" w:rsidRPr="00227215" w:rsidRDefault="003F5B57" w:rsidP="00553085">
            <w:pPr>
              <w:jc w:val="right"/>
              <w:rPr>
                <w:sz w:val="21"/>
                <w:szCs w:val="21"/>
                <w:lang w:eastAsia="en-CA"/>
              </w:rPr>
            </w:pPr>
            <w:r>
              <w:rPr>
                <w:sz w:val="21"/>
                <w:szCs w:val="21"/>
                <w:lang w:eastAsia="fr"/>
              </w:rPr>
              <w:t>0</w:t>
            </w:r>
          </w:p>
        </w:tc>
        <w:tc>
          <w:tcPr>
            <w:tcW w:w="1243" w:type="dxa"/>
            <w:tcBorders>
              <w:top w:val="nil"/>
              <w:left w:val="nil"/>
              <w:bottom w:val="single" w:sz="4" w:space="0" w:color="auto"/>
              <w:right w:val="single" w:sz="4" w:space="0" w:color="auto"/>
            </w:tcBorders>
            <w:shd w:val="clear" w:color="auto" w:fill="auto"/>
            <w:noWrap/>
            <w:vAlign w:val="center"/>
            <w:hideMark/>
          </w:tcPr>
          <w:p w14:paraId="600FF0E8" w14:textId="77777777" w:rsidR="00553085" w:rsidRPr="00227215" w:rsidRDefault="00553085" w:rsidP="00553085">
            <w:pPr>
              <w:jc w:val="right"/>
              <w:rPr>
                <w:sz w:val="21"/>
                <w:szCs w:val="21"/>
                <w:lang w:eastAsia="en-CA"/>
              </w:rPr>
            </w:pPr>
            <w:r w:rsidRPr="00227215">
              <w:rPr>
                <w:sz w:val="21"/>
                <w:szCs w:val="21"/>
                <w:lang w:eastAsia="fr"/>
              </w:rPr>
              <w:t>10 700</w:t>
            </w:r>
          </w:p>
        </w:tc>
        <w:tc>
          <w:tcPr>
            <w:tcW w:w="1243" w:type="dxa"/>
            <w:tcBorders>
              <w:top w:val="nil"/>
              <w:left w:val="nil"/>
              <w:bottom w:val="single" w:sz="4" w:space="0" w:color="auto"/>
              <w:right w:val="single" w:sz="4" w:space="0" w:color="auto"/>
            </w:tcBorders>
            <w:shd w:val="clear" w:color="auto" w:fill="auto"/>
            <w:noWrap/>
            <w:vAlign w:val="center"/>
            <w:hideMark/>
          </w:tcPr>
          <w:p w14:paraId="5E99CB32" w14:textId="503C192F" w:rsidR="00553085" w:rsidRPr="00227215" w:rsidRDefault="003F5B57" w:rsidP="00553085">
            <w:pPr>
              <w:jc w:val="right"/>
              <w:rPr>
                <w:sz w:val="21"/>
                <w:szCs w:val="21"/>
                <w:lang w:eastAsia="en-CA"/>
              </w:rPr>
            </w:pPr>
            <w:r>
              <w:rPr>
                <w:sz w:val="21"/>
                <w:szCs w:val="21"/>
                <w:lang w:eastAsia="fr"/>
              </w:rPr>
              <w:t>0</w:t>
            </w:r>
          </w:p>
        </w:tc>
      </w:tr>
      <w:tr w:rsidR="00553085" w:rsidRPr="00227215" w14:paraId="5495F5B2"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12B247A" w14:textId="77777777" w:rsidR="00553085" w:rsidRPr="009C36E5" w:rsidRDefault="00553085" w:rsidP="00553085">
            <w:pPr>
              <w:jc w:val="left"/>
              <w:rPr>
                <w:b/>
                <w:bCs/>
                <w:sz w:val="21"/>
                <w:szCs w:val="21"/>
                <w:lang w:val="fr-FR" w:eastAsia="en-CA"/>
              </w:rPr>
            </w:pPr>
            <w:r w:rsidRPr="009C36E5">
              <w:rPr>
                <w:b/>
                <w:bCs/>
                <w:sz w:val="21"/>
                <w:szCs w:val="21"/>
                <w:lang w:val="fr-FR" w:eastAsia="fr"/>
              </w:rPr>
              <w:t>Activités liées aux HFC – total partiel</w:t>
            </w:r>
          </w:p>
        </w:tc>
        <w:tc>
          <w:tcPr>
            <w:tcW w:w="1242" w:type="dxa"/>
            <w:tcBorders>
              <w:top w:val="nil"/>
              <w:left w:val="nil"/>
              <w:bottom w:val="single" w:sz="4" w:space="0" w:color="auto"/>
              <w:right w:val="single" w:sz="4" w:space="0" w:color="auto"/>
            </w:tcBorders>
            <w:shd w:val="clear" w:color="auto" w:fill="auto"/>
            <w:noWrap/>
            <w:vAlign w:val="center"/>
            <w:hideMark/>
          </w:tcPr>
          <w:p w14:paraId="2F23424D" w14:textId="77777777" w:rsidR="00553085" w:rsidRPr="00227215" w:rsidRDefault="00553085" w:rsidP="00553085">
            <w:pPr>
              <w:jc w:val="right"/>
              <w:rPr>
                <w:b/>
                <w:bCs/>
                <w:sz w:val="21"/>
                <w:szCs w:val="21"/>
                <w:lang w:eastAsia="en-CA"/>
              </w:rPr>
            </w:pPr>
            <w:r w:rsidRPr="00227215">
              <w:rPr>
                <w:b/>
                <w:bCs/>
                <w:sz w:val="21"/>
                <w:szCs w:val="21"/>
                <w:lang w:eastAsia="fr"/>
              </w:rPr>
              <w:t>471</w:t>
            </w:r>
          </w:p>
        </w:tc>
        <w:tc>
          <w:tcPr>
            <w:tcW w:w="1243" w:type="dxa"/>
            <w:tcBorders>
              <w:top w:val="nil"/>
              <w:left w:val="nil"/>
              <w:bottom w:val="single" w:sz="4" w:space="0" w:color="auto"/>
              <w:right w:val="single" w:sz="4" w:space="0" w:color="auto"/>
            </w:tcBorders>
            <w:shd w:val="clear" w:color="auto" w:fill="auto"/>
            <w:noWrap/>
            <w:vAlign w:val="center"/>
            <w:hideMark/>
          </w:tcPr>
          <w:p w14:paraId="76B33F9D" w14:textId="77777777" w:rsidR="00553085" w:rsidRPr="00227215" w:rsidRDefault="00553085" w:rsidP="00553085">
            <w:pPr>
              <w:jc w:val="right"/>
              <w:rPr>
                <w:b/>
                <w:bCs/>
                <w:sz w:val="21"/>
                <w:szCs w:val="21"/>
                <w:lang w:eastAsia="en-CA"/>
              </w:rPr>
            </w:pPr>
            <w:r w:rsidRPr="00227215">
              <w:rPr>
                <w:b/>
                <w:bCs/>
                <w:sz w:val="21"/>
                <w:szCs w:val="21"/>
                <w:lang w:eastAsia="fr"/>
              </w:rPr>
              <w:t>10 700</w:t>
            </w:r>
          </w:p>
        </w:tc>
        <w:tc>
          <w:tcPr>
            <w:tcW w:w="1242" w:type="dxa"/>
            <w:tcBorders>
              <w:top w:val="nil"/>
              <w:left w:val="nil"/>
              <w:bottom w:val="single" w:sz="4" w:space="0" w:color="auto"/>
              <w:right w:val="single" w:sz="4" w:space="0" w:color="auto"/>
            </w:tcBorders>
            <w:shd w:val="clear" w:color="auto" w:fill="auto"/>
            <w:noWrap/>
            <w:vAlign w:val="center"/>
            <w:hideMark/>
          </w:tcPr>
          <w:p w14:paraId="559C5A5A" w14:textId="77777777" w:rsidR="00553085" w:rsidRPr="00227215" w:rsidRDefault="00553085" w:rsidP="00553085">
            <w:pPr>
              <w:jc w:val="right"/>
              <w:rPr>
                <w:b/>
                <w:bCs/>
                <w:sz w:val="21"/>
                <w:szCs w:val="21"/>
                <w:lang w:eastAsia="en-CA"/>
              </w:rPr>
            </w:pPr>
            <w:r w:rsidRPr="00227215">
              <w:rPr>
                <w:b/>
                <w:bCs/>
                <w:sz w:val="21"/>
                <w:szCs w:val="21"/>
                <w:lang w:eastAsia="fr"/>
              </w:rPr>
              <w:t>0</w:t>
            </w:r>
          </w:p>
        </w:tc>
        <w:tc>
          <w:tcPr>
            <w:tcW w:w="1243" w:type="dxa"/>
            <w:tcBorders>
              <w:top w:val="nil"/>
              <w:left w:val="nil"/>
              <w:bottom w:val="single" w:sz="4" w:space="0" w:color="auto"/>
              <w:right w:val="single" w:sz="4" w:space="0" w:color="auto"/>
            </w:tcBorders>
            <w:shd w:val="clear" w:color="auto" w:fill="auto"/>
            <w:noWrap/>
            <w:vAlign w:val="center"/>
            <w:hideMark/>
          </w:tcPr>
          <w:p w14:paraId="6A431352" w14:textId="77777777" w:rsidR="00553085" w:rsidRPr="00227215" w:rsidRDefault="00553085" w:rsidP="00553085">
            <w:pPr>
              <w:jc w:val="right"/>
              <w:rPr>
                <w:b/>
                <w:bCs/>
                <w:sz w:val="21"/>
                <w:szCs w:val="21"/>
                <w:lang w:eastAsia="en-CA"/>
              </w:rPr>
            </w:pPr>
            <w:r w:rsidRPr="00227215">
              <w:rPr>
                <w:b/>
                <w:bCs/>
                <w:sz w:val="21"/>
                <w:szCs w:val="21"/>
                <w:lang w:eastAsia="fr"/>
              </w:rPr>
              <w:t>11 171</w:t>
            </w:r>
          </w:p>
        </w:tc>
        <w:tc>
          <w:tcPr>
            <w:tcW w:w="1243" w:type="dxa"/>
            <w:tcBorders>
              <w:top w:val="nil"/>
              <w:left w:val="nil"/>
              <w:bottom w:val="single" w:sz="4" w:space="0" w:color="auto"/>
              <w:right w:val="single" w:sz="4" w:space="0" w:color="auto"/>
            </w:tcBorders>
            <w:shd w:val="clear" w:color="auto" w:fill="auto"/>
            <w:noWrap/>
            <w:vAlign w:val="center"/>
            <w:hideMark/>
          </w:tcPr>
          <w:p w14:paraId="2A492ED2" w14:textId="77777777" w:rsidR="00553085" w:rsidRPr="00227215" w:rsidRDefault="00553085" w:rsidP="00553085">
            <w:pPr>
              <w:jc w:val="right"/>
              <w:rPr>
                <w:b/>
                <w:bCs/>
                <w:sz w:val="21"/>
                <w:szCs w:val="21"/>
                <w:lang w:eastAsia="en-CA"/>
              </w:rPr>
            </w:pPr>
            <w:r w:rsidRPr="00227215">
              <w:rPr>
                <w:b/>
                <w:bCs/>
                <w:sz w:val="21"/>
                <w:szCs w:val="21"/>
                <w:lang w:eastAsia="fr"/>
              </w:rPr>
              <w:t>0</w:t>
            </w:r>
          </w:p>
        </w:tc>
      </w:tr>
      <w:tr w:rsidR="00553085" w:rsidRPr="00227215" w14:paraId="41968AAE" w14:textId="77777777" w:rsidTr="009871A8">
        <w:tc>
          <w:tcPr>
            <w:tcW w:w="94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F8B7A" w14:textId="77777777" w:rsidR="00553085" w:rsidRPr="00227215" w:rsidRDefault="00553085" w:rsidP="00553085">
            <w:pPr>
              <w:jc w:val="left"/>
              <w:rPr>
                <w:b/>
                <w:bCs/>
                <w:sz w:val="21"/>
                <w:szCs w:val="21"/>
                <w:lang w:eastAsia="en-CA"/>
              </w:rPr>
            </w:pPr>
            <w:proofErr w:type="spellStart"/>
            <w:r w:rsidRPr="00227215">
              <w:rPr>
                <w:b/>
                <w:bCs/>
                <w:sz w:val="21"/>
                <w:szCs w:val="21"/>
                <w:lang w:eastAsia="fr"/>
              </w:rPr>
              <w:t>Activités</w:t>
            </w:r>
            <w:proofErr w:type="spellEnd"/>
            <w:r w:rsidRPr="00227215">
              <w:rPr>
                <w:b/>
                <w:bCs/>
                <w:sz w:val="21"/>
                <w:szCs w:val="21"/>
                <w:lang w:eastAsia="fr"/>
              </w:rPr>
              <w:t xml:space="preserve"> </w:t>
            </w:r>
            <w:proofErr w:type="spellStart"/>
            <w:r w:rsidRPr="00227215">
              <w:rPr>
                <w:b/>
                <w:bCs/>
                <w:sz w:val="21"/>
                <w:szCs w:val="21"/>
                <w:lang w:eastAsia="fr"/>
              </w:rPr>
              <w:t>normalisées</w:t>
            </w:r>
            <w:proofErr w:type="spellEnd"/>
          </w:p>
        </w:tc>
      </w:tr>
      <w:tr w:rsidR="00553085" w:rsidRPr="00227215" w14:paraId="662867D6"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7531A5D" w14:textId="77777777" w:rsidR="00553085" w:rsidRPr="00227215" w:rsidRDefault="00553085" w:rsidP="00553085">
            <w:pPr>
              <w:jc w:val="left"/>
              <w:rPr>
                <w:sz w:val="21"/>
                <w:szCs w:val="21"/>
                <w:lang w:eastAsia="en-CA"/>
              </w:rPr>
            </w:pPr>
            <w:proofErr w:type="spellStart"/>
            <w:r w:rsidRPr="00227215">
              <w:rPr>
                <w:sz w:val="21"/>
                <w:szCs w:val="21"/>
                <w:lang w:eastAsia="fr"/>
              </w:rPr>
              <w:t>Coûts</w:t>
            </w:r>
            <w:proofErr w:type="spellEnd"/>
            <w:r w:rsidRPr="00227215">
              <w:rPr>
                <w:sz w:val="21"/>
                <w:szCs w:val="21"/>
                <w:lang w:eastAsia="fr"/>
              </w:rPr>
              <w:t xml:space="preserve"> de base</w:t>
            </w:r>
          </w:p>
        </w:tc>
        <w:tc>
          <w:tcPr>
            <w:tcW w:w="1242" w:type="dxa"/>
            <w:tcBorders>
              <w:top w:val="nil"/>
              <w:left w:val="nil"/>
              <w:bottom w:val="single" w:sz="4" w:space="0" w:color="auto"/>
              <w:right w:val="single" w:sz="4" w:space="0" w:color="auto"/>
            </w:tcBorders>
            <w:shd w:val="clear" w:color="auto" w:fill="auto"/>
            <w:noWrap/>
            <w:vAlign w:val="center"/>
            <w:hideMark/>
          </w:tcPr>
          <w:p w14:paraId="5A2743DD" w14:textId="77777777" w:rsidR="00553085" w:rsidRPr="00227215" w:rsidRDefault="00553085" w:rsidP="00553085">
            <w:pPr>
              <w:jc w:val="right"/>
              <w:rPr>
                <w:sz w:val="21"/>
                <w:szCs w:val="21"/>
                <w:lang w:eastAsia="en-CA"/>
              </w:rPr>
            </w:pPr>
            <w:r w:rsidRPr="00227215">
              <w:rPr>
                <w:sz w:val="21"/>
                <w:szCs w:val="21"/>
                <w:lang w:eastAsia="fr"/>
              </w:rPr>
              <w:t>1 759</w:t>
            </w:r>
          </w:p>
        </w:tc>
        <w:tc>
          <w:tcPr>
            <w:tcW w:w="1243" w:type="dxa"/>
            <w:tcBorders>
              <w:top w:val="nil"/>
              <w:left w:val="nil"/>
              <w:bottom w:val="single" w:sz="4" w:space="0" w:color="auto"/>
              <w:right w:val="single" w:sz="4" w:space="0" w:color="auto"/>
            </w:tcBorders>
            <w:shd w:val="clear" w:color="auto" w:fill="auto"/>
            <w:noWrap/>
            <w:vAlign w:val="center"/>
            <w:hideMark/>
          </w:tcPr>
          <w:p w14:paraId="2F636C93" w14:textId="77777777" w:rsidR="00553085" w:rsidRPr="00227215" w:rsidRDefault="00553085" w:rsidP="00553085">
            <w:pPr>
              <w:jc w:val="right"/>
              <w:rPr>
                <w:sz w:val="21"/>
                <w:szCs w:val="21"/>
                <w:lang w:eastAsia="en-CA"/>
              </w:rPr>
            </w:pPr>
            <w:r w:rsidRPr="00227215">
              <w:rPr>
                <w:sz w:val="21"/>
                <w:szCs w:val="21"/>
                <w:lang w:eastAsia="fr"/>
              </w:rPr>
              <w:t>1 772</w:t>
            </w:r>
          </w:p>
        </w:tc>
        <w:tc>
          <w:tcPr>
            <w:tcW w:w="1242" w:type="dxa"/>
            <w:tcBorders>
              <w:top w:val="nil"/>
              <w:left w:val="nil"/>
              <w:bottom w:val="single" w:sz="4" w:space="0" w:color="auto"/>
              <w:right w:val="single" w:sz="4" w:space="0" w:color="auto"/>
            </w:tcBorders>
            <w:shd w:val="clear" w:color="auto" w:fill="auto"/>
            <w:noWrap/>
            <w:vAlign w:val="center"/>
            <w:hideMark/>
          </w:tcPr>
          <w:p w14:paraId="1448FD7A" w14:textId="77777777" w:rsidR="00553085" w:rsidRPr="00227215" w:rsidRDefault="00553085" w:rsidP="00553085">
            <w:pPr>
              <w:jc w:val="right"/>
              <w:rPr>
                <w:sz w:val="21"/>
                <w:szCs w:val="21"/>
                <w:lang w:eastAsia="en-CA"/>
              </w:rPr>
            </w:pPr>
            <w:r w:rsidRPr="00227215">
              <w:rPr>
                <w:sz w:val="21"/>
                <w:szCs w:val="21"/>
                <w:lang w:eastAsia="fr"/>
              </w:rPr>
              <w:t>1 784</w:t>
            </w:r>
          </w:p>
        </w:tc>
        <w:tc>
          <w:tcPr>
            <w:tcW w:w="1243" w:type="dxa"/>
            <w:tcBorders>
              <w:top w:val="nil"/>
              <w:left w:val="nil"/>
              <w:bottom w:val="single" w:sz="4" w:space="0" w:color="auto"/>
              <w:right w:val="single" w:sz="4" w:space="0" w:color="auto"/>
            </w:tcBorders>
            <w:shd w:val="clear" w:color="auto" w:fill="auto"/>
            <w:noWrap/>
            <w:vAlign w:val="center"/>
            <w:hideMark/>
          </w:tcPr>
          <w:p w14:paraId="4F30DC07" w14:textId="77777777" w:rsidR="00553085" w:rsidRPr="00227215" w:rsidRDefault="00553085" w:rsidP="00553085">
            <w:pPr>
              <w:jc w:val="right"/>
              <w:rPr>
                <w:sz w:val="21"/>
                <w:szCs w:val="21"/>
                <w:lang w:eastAsia="en-CA"/>
              </w:rPr>
            </w:pPr>
            <w:r w:rsidRPr="00227215">
              <w:rPr>
                <w:sz w:val="21"/>
                <w:szCs w:val="21"/>
                <w:lang w:eastAsia="fr"/>
              </w:rPr>
              <w:t>5 315</w:t>
            </w:r>
          </w:p>
        </w:tc>
        <w:tc>
          <w:tcPr>
            <w:tcW w:w="1243" w:type="dxa"/>
            <w:tcBorders>
              <w:top w:val="nil"/>
              <w:left w:val="nil"/>
              <w:bottom w:val="single" w:sz="4" w:space="0" w:color="auto"/>
              <w:right w:val="single" w:sz="4" w:space="0" w:color="auto"/>
            </w:tcBorders>
            <w:shd w:val="clear" w:color="auto" w:fill="auto"/>
            <w:noWrap/>
            <w:vAlign w:val="center"/>
            <w:hideMark/>
          </w:tcPr>
          <w:p w14:paraId="2075E6EA" w14:textId="2C9F060E" w:rsidR="00553085" w:rsidRPr="00227215" w:rsidRDefault="003F5B57" w:rsidP="00553085">
            <w:pPr>
              <w:jc w:val="right"/>
              <w:rPr>
                <w:sz w:val="21"/>
                <w:szCs w:val="21"/>
                <w:lang w:eastAsia="en-CA"/>
              </w:rPr>
            </w:pPr>
            <w:r>
              <w:rPr>
                <w:sz w:val="21"/>
                <w:szCs w:val="21"/>
                <w:lang w:eastAsia="fr"/>
              </w:rPr>
              <w:t>0</w:t>
            </w:r>
          </w:p>
        </w:tc>
      </w:tr>
      <w:tr w:rsidR="00553085" w:rsidRPr="00227215" w14:paraId="5726B8A9"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7246BDD" w14:textId="77C8A5DD" w:rsidR="00553085" w:rsidRPr="00227215" w:rsidRDefault="00553085" w:rsidP="00553085">
            <w:pPr>
              <w:jc w:val="left"/>
              <w:rPr>
                <w:sz w:val="21"/>
                <w:szCs w:val="21"/>
                <w:lang w:eastAsia="en-CA"/>
              </w:rPr>
            </w:pPr>
            <w:proofErr w:type="spellStart"/>
            <w:r w:rsidRPr="00227215">
              <w:rPr>
                <w:sz w:val="21"/>
                <w:szCs w:val="21"/>
                <w:lang w:eastAsia="fr"/>
              </w:rPr>
              <w:t>Renforcement</w:t>
            </w:r>
            <w:proofErr w:type="spellEnd"/>
            <w:r w:rsidRPr="00227215">
              <w:rPr>
                <w:sz w:val="21"/>
                <w:szCs w:val="21"/>
                <w:lang w:eastAsia="fr"/>
              </w:rPr>
              <w:t xml:space="preserve"> des institutions</w:t>
            </w:r>
          </w:p>
        </w:tc>
        <w:tc>
          <w:tcPr>
            <w:tcW w:w="1242" w:type="dxa"/>
            <w:tcBorders>
              <w:top w:val="nil"/>
              <w:left w:val="nil"/>
              <w:bottom w:val="single" w:sz="4" w:space="0" w:color="auto"/>
              <w:right w:val="single" w:sz="4" w:space="0" w:color="auto"/>
            </w:tcBorders>
            <w:shd w:val="clear" w:color="auto" w:fill="auto"/>
            <w:noWrap/>
            <w:vAlign w:val="center"/>
            <w:hideMark/>
          </w:tcPr>
          <w:p w14:paraId="0B4ABF13" w14:textId="77777777" w:rsidR="00553085" w:rsidRPr="00227215" w:rsidRDefault="00553085" w:rsidP="00553085">
            <w:pPr>
              <w:jc w:val="right"/>
              <w:rPr>
                <w:sz w:val="21"/>
                <w:szCs w:val="21"/>
                <w:lang w:eastAsia="en-CA"/>
              </w:rPr>
            </w:pPr>
            <w:r w:rsidRPr="00227215">
              <w:rPr>
                <w:sz w:val="21"/>
                <w:szCs w:val="21"/>
                <w:lang w:eastAsia="fr"/>
              </w:rPr>
              <w:t>202</w:t>
            </w:r>
          </w:p>
        </w:tc>
        <w:tc>
          <w:tcPr>
            <w:tcW w:w="1243" w:type="dxa"/>
            <w:tcBorders>
              <w:top w:val="nil"/>
              <w:left w:val="nil"/>
              <w:bottom w:val="single" w:sz="4" w:space="0" w:color="auto"/>
              <w:right w:val="single" w:sz="4" w:space="0" w:color="auto"/>
            </w:tcBorders>
            <w:shd w:val="clear" w:color="auto" w:fill="auto"/>
            <w:noWrap/>
            <w:vAlign w:val="center"/>
            <w:hideMark/>
          </w:tcPr>
          <w:p w14:paraId="4D9101CF" w14:textId="77777777" w:rsidR="00553085" w:rsidRPr="00227215" w:rsidRDefault="00553085" w:rsidP="00553085">
            <w:pPr>
              <w:jc w:val="right"/>
              <w:rPr>
                <w:sz w:val="21"/>
                <w:szCs w:val="21"/>
                <w:lang w:eastAsia="en-CA"/>
              </w:rPr>
            </w:pPr>
            <w:r w:rsidRPr="00227215">
              <w:rPr>
                <w:sz w:val="21"/>
                <w:szCs w:val="21"/>
                <w:lang w:eastAsia="fr"/>
              </w:rPr>
              <w:t>475</w:t>
            </w:r>
          </w:p>
        </w:tc>
        <w:tc>
          <w:tcPr>
            <w:tcW w:w="1242" w:type="dxa"/>
            <w:tcBorders>
              <w:top w:val="nil"/>
              <w:left w:val="nil"/>
              <w:bottom w:val="single" w:sz="4" w:space="0" w:color="auto"/>
              <w:right w:val="single" w:sz="4" w:space="0" w:color="auto"/>
            </w:tcBorders>
            <w:shd w:val="clear" w:color="auto" w:fill="auto"/>
            <w:noWrap/>
            <w:vAlign w:val="center"/>
            <w:hideMark/>
          </w:tcPr>
          <w:p w14:paraId="4EFF4E18" w14:textId="77777777" w:rsidR="00553085" w:rsidRPr="00227215" w:rsidRDefault="00553085" w:rsidP="00553085">
            <w:pPr>
              <w:jc w:val="right"/>
              <w:rPr>
                <w:sz w:val="21"/>
                <w:szCs w:val="21"/>
                <w:lang w:eastAsia="en-CA"/>
              </w:rPr>
            </w:pPr>
            <w:r w:rsidRPr="00227215">
              <w:rPr>
                <w:sz w:val="21"/>
                <w:szCs w:val="21"/>
                <w:lang w:eastAsia="fr"/>
              </w:rPr>
              <w:t>202</w:t>
            </w:r>
          </w:p>
        </w:tc>
        <w:tc>
          <w:tcPr>
            <w:tcW w:w="1243" w:type="dxa"/>
            <w:tcBorders>
              <w:top w:val="nil"/>
              <w:left w:val="nil"/>
              <w:bottom w:val="single" w:sz="4" w:space="0" w:color="auto"/>
              <w:right w:val="single" w:sz="4" w:space="0" w:color="auto"/>
            </w:tcBorders>
            <w:shd w:val="clear" w:color="auto" w:fill="auto"/>
            <w:noWrap/>
            <w:vAlign w:val="center"/>
            <w:hideMark/>
          </w:tcPr>
          <w:p w14:paraId="3363DE23" w14:textId="77777777" w:rsidR="00553085" w:rsidRPr="00227215" w:rsidRDefault="00553085" w:rsidP="00553085">
            <w:pPr>
              <w:jc w:val="right"/>
              <w:rPr>
                <w:sz w:val="21"/>
                <w:szCs w:val="21"/>
                <w:lang w:eastAsia="en-CA"/>
              </w:rPr>
            </w:pPr>
            <w:r w:rsidRPr="00227215">
              <w:rPr>
                <w:sz w:val="21"/>
                <w:szCs w:val="21"/>
                <w:lang w:eastAsia="fr"/>
              </w:rPr>
              <w:t>878</w:t>
            </w:r>
          </w:p>
        </w:tc>
        <w:tc>
          <w:tcPr>
            <w:tcW w:w="1243" w:type="dxa"/>
            <w:tcBorders>
              <w:top w:val="nil"/>
              <w:left w:val="nil"/>
              <w:bottom w:val="single" w:sz="4" w:space="0" w:color="auto"/>
              <w:right w:val="single" w:sz="4" w:space="0" w:color="auto"/>
            </w:tcBorders>
            <w:shd w:val="clear" w:color="auto" w:fill="auto"/>
            <w:noWrap/>
            <w:vAlign w:val="center"/>
            <w:hideMark/>
          </w:tcPr>
          <w:p w14:paraId="194DC261" w14:textId="6BB802BA" w:rsidR="00553085" w:rsidRPr="00227215" w:rsidRDefault="003F5B57" w:rsidP="00553085">
            <w:pPr>
              <w:jc w:val="right"/>
              <w:rPr>
                <w:sz w:val="21"/>
                <w:szCs w:val="21"/>
                <w:lang w:eastAsia="en-CA"/>
              </w:rPr>
            </w:pPr>
            <w:r>
              <w:rPr>
                <w:sz w:val="21"/>
                <w:szCs w:val="21"/>
                <w:lang w:eastAsia="fr"/>
              </w:rPr>
              <w:t>0</w:t>
            </w:r>
          </w:p>
        </w:tc>
      </w:tr>
      <w:tr w:rsidR="00553085" w:rsidRPr="00227215" w14:paraId="432FD3E6"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38718CB" w14:textId="77777777" w:rsidR="00553085" w:rsidRPr="00227215" w:rsidRDefault="00553085" w:rsidP="00553085">
            <w:pPr>
              <w:jc w:val="left"/>
              <w:rPr>
                <w:b/>
                <w:bCs/>
                <w:sz w:val="21"/>
                <w:szCs w:val="21"/>
                <w:lang w:eastAsia="en-CA"/>
              </w:rPr>
            </w:pPr>
            <w:proofErr w:type="spellStart"/>
            <w:r w:rsidRPr="00227215">
              <w:rPr>
                <w:b/>
                <w:bCs/>
                <w:sz w:val="21"/>
                <w:szCs w:val="21"/>
                <w:lang w:eastAsia="fr"/>
              </w:rPr>
              <w:t>Activités</w:t>
            </w:r>
            <w:proofErr w:type="spellEnd"/>
            <w:r w:rsidRPr="00227215">
              <w:rPr>
                <w:b/>
                <w:bCs/>
                <w:sz w:val="21"/>
                <w:szCs w:val="21"/>
                <w:lang w:eastAsia="fr"/>
              </w:rPr>
              <w:t xml:space="preserve"> </w:t>
            </w:r>
            <w:proofErr w:type="spellStart"/>
            <w:r w:rsidRPr="00227215">
              <w:rPr>
                <w:b/>
                <w:bCs/>
                <w:sz w:val="21"/>
                <w:szCs w:val="21"/>
                <w:lang w:eastAsia="fr"/>
              </w:rPr>
              <w:t>normalisées</w:t>
            </w:r>
            <w:proofErr w:type="spellEnd"/>
            <w:r w:rsidRPr="00227215">
              <w:rPr>
                <w:b/>
                <w:bCs/>
                <w:sz w:val="21"/>
                <w:szCs w:val="21"/>
                <w:lang w:eastAsia="fr"/>
              </w:rPr>
              <w:t xml:space="preserve"> - total </w:t>
            </w:r>
            <w:proofErr w:type="spellStart"/>
            <w:r w:rsidRPr="00227215">
              <w:rPr>
                <w:b/>
                <w:bCs/>
                <w:sz w:val="21"/>
                <w:szCs w:val="21"/>
                <w:lang w:eastAsia="fr"/>
              </w:rPr>
              <w:t>partiel</w:t>
            </w:r>
            <w:proofErr w:type="spellEnd"/>
          </w:p>
        </w:tc>
        <w:tc>
          <w:tcPr>
            <w:tcW w:w="1242" w:type="dxa"/>
            <w:tcBorders>
              <w:top w:val="nil"/>
              <w:left w:val="nil"/>
              <w:bottom w:val="single" w:sz="4" w:space="0" w:color="auto"/>
              <w:right w:val="single" w:sz="4" w:space="0" w:color="auto"/>
            </w:tcBorders>
            <w:shd w:val="clear" w:color="auto" w:fill="auto"/>
            <w:noWrap/>
            <w:vAlign w:val="center"/>
            <w:hideMark/>
          </w:tcPr>
          <w:p w14:paraId="70CEDEB6" w14:textId="77777777" w:rsidR="00553085" w:rsidRPr="00227215" w:rsidRDefault="00553085" w:rsidP="00553085">
            <w:pPr>
              <w:jc w:val="right"/>
              <w:rPr>
                <w:b/>
                <w:bCs/>
                <w:sz w:val="21"/>
                <w:szCs w:val="21"/>
                <w:lang w:eastAsia="en-CA"/>
              </w:rPr>
            </w:pPr>
            <w:r w:rsidRPr="00227215">
              <w:rPr>
                <w:b/>
                <w:bCs/>
                <w:sz w:val="21"/>
                <w:szCs w:val="21"/>
                <w:lang w:eastAsia="fr"/>
              </w:rPr>
              <w:t>1 961</w:t>
            </w:r>
          </w:p>
        </w:tc>
        <w:tc>
          <w:tcPr>
            <w:tcW w:w="1243" w:type="dxa"/>
            <w:tcBorders>
              <w:top w:val="nil"/>
              <w:left w:val="nil"/>
              <w:bottom w:val="single" w:sz="4" w:space="0" w:color="auto"/>
              <w:right w:val="single" w:sz="4" w:space="0" w:color="auto"/>
            </w:tcBorders>
            <w:shd w:val="clear" w:color="auto" w:fill="auto"/>
            <w:noWrap/>
            <w:vAlign w:val="center"/>
            <w:hideMark/>
          </w:tcPr>
          <w:p w14:paraId="4B42EA72" w14:textId="77777777" w:rsidR="00553085" w:rsidRPr="00227215" w:rsidRDefault="00553085" w:rsidP="00553085">
            <w:pPr>
              <w:jc w:val="right"/>
              <w:rPr>
                <w:b/>
                <w:bCs/>
                <w:sz w:val="21"/>
                <w:szCs w:val="21"/>
                <w:lang w:eastAsia="en-CA"/>
              </w:rPr>
            </w:pPr>
            <w:r w:rsidRPr="00227215">
              <w:rPr>
                <w:b/>
                <w:bCs/>
                <w:sz w:val="21"/>
                <w:szCs w:val="21"/>
                <w:lang w:eastAsia="fr"/>
              </w:rPr>
              <w:t>2 246</w:t>
            </w:r>
          </w:p>
        </w:tc>
        <w:tc>
          <w:tcPr>
            <w:tcW w:w="1242" w:type="dxa"/>
            <w:tcBorders>
              <w:top w:val="nil"/>
              <w:left w:val="nil"/>
              <w:bottom w:val="single" w:sz="4" w:space="0" w:color="auto"/>
              <w:right w:val="single" w:sz="4" w:space="0" w:color="auto"/>
            </w:tcBorders>
            <w:shd w:val="clear" w:color="auto" w:fill="auto"/>
            <w:noWrap/>
            <w:vAlign w:val="center"/>
            <w:hideMark/>
          </w:tcPr>
          <w:p w14:paraId="6128FAD8" w14:textId="77777777" w:rsidR="00553085" w:rsidRPr="00227215" w:rsidRDefault="00553085" w:rsidP="00553085">
            <w:pPr>
              <w:jc w:val="right"/>
              <w:rPr>
                <w:b/>
                <w:bCs/>
                <w:sz w:val="21"/>
                <w:szCs w:val="21"/>
                <w:lang w:eastAsia="en-CA"/>
              </w:rPr>
            </w:pPr>
            <w:r w:rsidRPr="00227215">
              <w:rPr>
                <w:b/>
                <w:bCs/>
                <w:sz w:val="21"/>
                <w:szCs w:val="21"/>
                <w:lang w:eastAsia="fr"/>
              </w:rPr>
              <w:t>1 986</w:t>
            </w:r>
          </w:p>
        </w:tc>
        <w:tc>
          <w:tcPr>
            <w:tcW w:w="1243" w:type="dxa"/>
            <w:tcBorders>
              <w:top w:val="nil"/>
              <w:left w:val="nil"/>
              <w:bottom w:val="single" w:sz="4" w:space="0" w:color="auto"/>
              <w:right w:val="single" w:sz="4" w:space="0" w:color="auto"/>
            </w:tcBorders>
            <w:shd w:val="clear" w:color="auto" w:fill="auto"/>
            <w:noWrap/>
            <w:vAlign w:val="center"/>
            <w:hideMark/>
          </w:tcPr>
          <w:p w14:paraId="7C2C0BBA" w14:textId="77777777" w:rsidR="00553085" w:rsidRPr="00227215" w:rsidRDefault="00553085" w:rsidP="00553085">
            <w:pPr>
              <w:jc w:val="right"/>
              <w:rPr>
                <w:b/>
                <w:bCs/>
                <w:sz w:val="21"/>
                <w:szCs w:val="21"/>
                <w:lang w:eastAsia="en-CA"/>
              </w:rPr>
            </w:pPr>
            <w:r w:rsidRPr="00227215">
              <w:rPr>
                <w:b/>
                <w:bCs/>
                <w:sz w:val="21"/>
                <w:szCs w:val="21"/>
                <w:lang w:eastAsia="fr"/>
              </w:rPr>
              <w:t>6 194</w:t>
            </w:r>
          </w:p>
        </w:tc>
        <w:tc>
          <w:tcPr>
            <w:tcW w:w="1243" w:type="dxa"/>
            <w:tcBorders>
              <w:top w:val="nil"/>
              <w:left w:val="nil"/>
              <w:bottom w:val="single" w:sz="4" w:space="0" w:color="auto"/>
              <w:right w:val="single" w:sz="4" w:space="0" w:color="auto"/>
            </w:tcBorders>
            <w:shd w:val="clear" w:color="auto" w:fill="auto"/>
            <w:noWrap/>
            <w:vAlign w:val="center"/>
            <w:hideMark/>
          </w:tcPr>
          <w:p w14:paraId="40CAE7EA" w14:textId="77777777" w:rsidR="00553085" w:rsidRPr="00227215" w:rsidRDefault="00553085" w:rsidP="00553085">
            <w:pPr>
              <w:jc w:val="right"/>
              <w:rPr>
                <w:b/>
                <w:bCs/>
                <w:sz w:val="21"/>
                <w:szCs w:val="21"/>
                <w:lang w:eastAsia="en-CA"/>
              </w:rPr>
            </w:pPr>
            <w:r w:rsidRPr="00227215">
              <w:rPr>
                <w:b/>
                <w:bCs/>
                <w:sz w:val="21"/>
                <w:szCs w:val="21"/>
                <w:lang w:eastAsia="fr"/>
              </w:rPr>
              <w:t>0</w:t>
            </w:r>
          </w:p>
        </w:tc>
      </w:tr>
      <w:tr w:rsidR="00553085" w:rsidRPr="00227215" w14:paraId="345BBF9D"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CE0FADE" w14:textId="77777777" w:rsidR="00553085" w:rsidRPr="00227215" w:rsidRDefault="00553085" w:rsidP="00553085">
            <w:pPr>
              <w:jc w:val="left"/>
              <w:rPr>
                <w:b/>
                <w:bCs/>
                <w:sz w:val="21"/>
                <w:szCs w:val="21"/>
                <w:lang w:eastAsia="en-CA"/>
              </w:rPr>
            </w:pPr>
            <w:r w:rsidRPr="00227215">
              <w:rPr>
                <w:b/>
                <w:bCs/>
                <w:sz w:val="21"/>
                <w:szCs w:val="21"/>
                <w:lang w:eastAsia="fr"/>
              </w:rPr>
              <w:t>Total</w:t>
            </w:r>
          </w:p>
        </w:tc>
        <w:tc>
          <w:tcPr>
            <w:tcW w:w="1242" w:type="dxa"/>
            <w:tcBorders>
              <w:top w:val="nil"/>
              <w:left w:val="nil"/>
              <w:bottom w:val="single" w:sz="4" w:space="0" w:color="auto"/>
              <w:right w:val="single" w:sz="4" w:space="0" w:color="auto"/>
            </w:tcBorders>
            <w:shd w:val="clear" w:color="auto" w:fill="auto"/>
            <w:noWrap/>
            <w:vAlign w:val="center"/>
            <w:hideMark/>
          </w:tcPr>
          <w:p w14:paraId="7E04E818" w14:textId="77777777" w:rsidR="00553085" w:rsidRPr="00227215" w:rsidRDefault="00553085" w:rsidP="00553085">
            <w:pPr>
              <w:jc w:val="right"/>
              <w:rPr>
                <w:b/>
                <w:bCs/>
                <w:sz w:val="21"/>
                <w:szCs w:val="21"/>
                <w:lang w:eastAsia="en-CA"/>
              </w:rPr>
            </w:pPr>
            <w:r w:rsidRPr="00227215">
              <w:rPr>
                <w:b/>
                <w:bCs/>
                <w:sz w:val="21"/>
                <w:szCs w:val="21"/>
                <w:lang w:eastAsia="fr"/>
              </w:rPr>
              <w:t>33 202</w:t>
            </w:r>
          </w:p>
        </w:tc>
        <w:tc>
          <w:tcPr>
            <w:tcW w:w="1243" w:type="dxa"/>
            <w:tcBorders>
              <w:top w:val="nil"/>
              <w:left w:val="nil"/>
              <w:bottom w:val="single" w:sz="4" w:space="0" w:color="auto"/>
              <w:right w:val="single" w:sz="4" w:space="0" w:color="auto"/>
            </w:tcBorders>
            <w:shd w:val="clear" w:color="auto" w:fill="auto"/>
            <w:noWrap/>
            <w:vAlign w:val="center"/>
            <w:hideMark/>
          </w:tcPr>
          <w:p w14:paraId="1D48CB92" w14:textId="77777777" w:rsidR="00553085" w:rsidRPr="00227215" w:rsidRDefault="00553085" w:rsidP="00553085">
            <w:pPr>
              <w:jc w:val="right"/>
              <w:rPr>
                <w:b/>
                <w:bCs/>
                <w:sz w:val="21"/>
                <w:szCs w:val="21"/>
                <w:lang w:eastAsia="en-CA"/>
              </w:rPr>
            </w:pPr>
            <w:r w:rsidRPr="00227215">
              <w:rPr>
                <w:b/>
                <w:bCs/>
                <w:sz w:val="21"/>
                <w:szCs w:val="21"/>
                <w:lang w:eastAsia="fr"/>
              </w:rPr>
              <w:t>21 938</w:t>
            </w:r>
          </w:p>
        </w:tc>
        <w:tc>
          <w:tcPr>
            <w:tcW w:w="1242" w:type="dxa"/>
            <w:tcBorders>
              <w:top w:val="nil"/>
              <w:left w:val="nil"/>
              <w:bottom w:val="single" w:sz="4" w:space="0" w:color="auto"/>
              <w:right w:val="single" w:sz="4" w:space="0" w:color="auto"/>
            </w:tcBorders>
            <w:shd w:val="clear" w:color="auto" w:fill="auto"/>
            <w:noWrap/>
            <w:vAlign w:val="center"/>
            <w:hideMark/>
          </w:tcPr>
          <w:p w14:paraId="0CB6546B" w14:textId="77777777" w:rsidR="00553085" w:rsidRPr="00227215" w:rsidRDefault="00553085" w:rsidP="00553085">
            <w:pPr>
              <w:jc w:val="right"/>
              <w:rPr>
                <w:b/>
                <w:bCs/>
                <w:sz w:val="21"/>
                <w:szCs w:val="21"/>
                <w:lang w:eastAsia="en-CA"/>
              </w:rPr>
            </w:pPr>
            <w:r w:rsidRPr="00227215">
              <w:rPr>
                <w:b/>
                <w:bCs/>
                <w:sz w:val="21"/>
                <w:szCs w:val="21"/>
                <w:lang w:eastAsia="fr"/>
              </w:rPr>
              <w:t>27 071</w:t>
            </w:r>
          </w:p>
        </w:tc>
        <w:tc>
          <w:tcPr>
            <w:tcW w:w="1243" w:type="dxa"/>
            <w:tcBorders>
              <w:top w:val="nil"/>
              <w:left w:val="nil"/>
              <w:bottom w:val="single" w:sz="4" w:space="0" w:color="auto"/>
              <w:right w:val="single" w:sz="4" w:space="0" w:color="auto"/>
            </w:tcBorders>
            <w:shd w:val="clear" w:color="auto" w:fill="auto"/>
            <w:noWrap/>
            <w:vAlign w:val="center"/>
            <w:hideMark/>
          </w:tcPr>
          <w:p w14:paraId="49D13F13" w14:textId="77777777" w:rsidR="00553085" w:rsidRPr="00227215" w:rsidRDefault="00553085" w:rsidP="00553085">
            <w:pPr>
              <w:jc w:val="right"/>
              <w:rPr>
                <w:b/>
                <w:bCs/>
                <w:sz w:val="21"/>
                <w:szCs w:val="21"/>
                <w:lang w:eastAsia="en-CA"/>
              </w:rPr>
            </w:pPr>
            <w:r w:rsidRPr="00227215">
              <w:rPr>
                <w:b/>
                <w:bCs/>
                <w:sz w:val="21"/>
                <w:szCs w:val="21"/>
                <w:lang w:eastAsia="fr"/>
              </w:rPr>
              <w:t>82 211</w:t>
            </w:r>
          </w:p>
        </w:tc>
        <w:tc>
          <w:tcPr>
            <w:tcW w:w="1243" w:type="dxa"/>
            <w:tcBorders>
              <w:top w:val="nil"/>
              <w:left w:val="nil"/>
              <w:bottom w:val="single" w:sz="4" w:space="0" w:color="auto"/>
              <w:right w:val="single" w:sz="4" w:space="0" w:color="auto"/>
            </w:tcBorders>
            <w:shd w:val="clear" w:color="auto" w:fill="auto"/>
            <w:noWrap/>
            <w:vAlign w:val="center"/>
            <w:hideMark/>
          </w:tcPr>
          <w:p w14:paraId="7B6D8A33" w14:textId="77777777" w:rsidR="00553085" w:rsidRPr="00227215" w:rsidRDefault="00553085" w:rsidP="00553085">
            <w:pPr>
              <w:jc w:val="right"/>
              <w:rPr>
                <w:b/>
                <w:bCs/>
                <w:sz w:val="21"/>
                <w:szCs w:val="21"/>
                <w:lang w:eastAsia="en-CA"/>
              </w:rPr>
            </w:pPr>
            <w:r w:rsidRPr="00227215">
              <w:rPr>
                <w:b/>
                <w:bCs/>
                <w:sz w:val="21"/>
                <w:szCs w:val="21"/>
                <w:lang w:eastAsia="fr"/>
              </w:rPr>
              <w:t>9 844</w:t>
            </w:r>
          </w:p>
        </w:tc>
      </w:tr>
    </w:tbl>
    <w:p w14:paraId="3ED2B1E4" w14:textId="77777777" w:rsidR="00837A0F" w:rsidRPr="009C36E5" w:rsidRDefault="00837A0F" w:rsidP="00837A0F">
      <w:pPr>
        <w:rPr>
          <w:sz w:val="20"/>
          <w:szCs w:val="20"/>
          <w:lang w:val="fr-FR"/>
        </w:rPr>
      </w:pPr>
      <w:r w:rsidRPr="009C36E5">
        <w:rPr>
          <w:sz w:val="20"/>
          <w:szCs w:val="20"/>
          <w:lang w:val="fr-FR"/>
        </w:rPr>
        <w:t xml:space="preserve">*Y compris les coûts d'appui d'agence, s'il y a lieu. </w:t>
      </w:r>
    </w:p>
    <w:p w14:paraId="33FF5916" w14:textId="77777777" w:rsidR="00837A0F" w:rsidRPr="009C36E5" w:rsidRDefault="00837A0F" w:rsidP="00837A0F">
      <w:pPr>
        <w:pStyle w:val="Heading1"/>
        <w:keepNext/>
        <w:numPr>
          <w:ilvl w:val="0"/>
          <w:numId w:val="0"/>
        </w:numPr>
        <w:spacing w:after="0"/>
        <w:rPr>
          <w:b/>
          <w:lang w:val="fr-FR"/>
        </w:rPr>
      </w:pPr>
    </w:p>
    <w:p w14:paraId="660971FD" w14:textId="77777777" w:rsidR="00837A0F" w:rsidRPr="009C36E5" w:rsidRDefault="00837A0F" w:rsidP="00837A0F">
      <w:pPr>
        <w:pStyle w:val="Heading1"/>
        <w:numPr>
          <w:ilvl w:val="0"/>
          <w:numId w:val="0"/>
        </w:numPr>
        <w:rPr>
          <w:b/>
          <w:lang w:val="fr-FR"/>
        </w:rPr>
      </w:pPr>
      <w:r w:rsidRPr="009C36E5">
        <w:rPr>
          <w:b/>
          <w:lang w:val="fr-FR"/>
        </w:rPr>
        <w:t xml:space="preserve">Observations du Secrétariat </w:t>
      </w:r>
    </w:p>
    <w:p w14:paraId="1366DE50" w14:textId="77777777" w:rsidR="00837A0F" w:rsidRPr="009C36E5" w:rsidRDefault="00837A0F" w:rsidP="00837A0F">
      <w:pPr>
        <w:pStyle w:val="Heading1"/>
        <w:numPr>
          <w:ilvl w:val="0"/>
          <w:numId w:val="0"/>
        </w:numPr>
        <w:rPr>
          <w:u w:val="single"/>
          <w:lang w:val="fr-FR"/>
        </w:rPr>
      </w:pPr>
      <w:r w:rsidRPr="009C36E5">
        <w:rPr>
          <w:u w:val="single"/>
          <w:lang w:val="fr-FR"/>
        </w:rPr>
        <w:t>Phase III du PGEH - Préparation de projets</w:t>
      </w:r>
    </w:p>
    <w:p w14:paraId="6C6B7003" w14:textId="6EEBEDA3" w:rsidR="00837A0F" w:rsidRPr="009C36E5" w:rsidRDefault="00837A0F" w:rsidP="00837A0F">
      <w:pPr>
        <w:pStyle w:val="Heading1"/>
        <w:rPr>
          <w:lang w:val="fr-FR"/>
        </w:rPr>
      </w:pPr>
      <w:r w:rsidRPr="009C36E5">
        <w:rPr>
          <w:lang w:val="fr-FR"/>
        </w:rPr>
        <w:t xml:space="preserve">Le plan d'activités 2022-2024 alloue 321 000 $US au total à la préparation de projets en lien avec la phase II des PGEH pour les pays pour lesquels la phase II a été approuvée et dont les objectifs de réduction se situent en-deçà des objectifs de conformité pour 2025 (décision 84/46 (e)). </w:t>
      </w:r>
    </w:p>
    <w:p w14:paraId="70B511D5" w14:textId="77777777" w:rsidR="00837A0F" w:rsidRPr="00227215" w:rsidRDefault="00837A0F" w:rsidP="00837A0F">
      <w:pPr>
        <w:rPr>
          <w:u w:val="single"/>
        </w:rPr>
      </w:pPr>
      <w:proofErr w:type="spellStart"/>
      <w:r w:rsidRPr="00227215">
        <w:rPr>
          <w:u w:val="single"/>
        </w:rPr>
        <w:t>Activités</w:t>
      </w:r>
      <w:proofErr w:type="spellEnd"/>
      <w:r w:rsidRPr="00227215">
        <w:rPr>
          <w:u w:val="single"/>
        </w:rPr>
        <w:t xml:space="preserve"> relatives aux HFC</w:t>
      </w:r>
    </w:p>
    <w:p w14:paraId="6D7A0433" w14:textId="77777777" w:rsidR="00837A0F" w:rsidRPr="00227215" w:rsidRDefault="00837A0F" w:rsidP="00837A0F">
      <w:pPr>
        <w:rPr>
          <w:b/>
        </w:rPr>
      </w:pPr>
    </w:p>
    <w:p w14:paraId="7D00010D" w14:textId="77777777" w:rsidR="00837A0F" w:rsidRPr="009C36E5" w:rsidRDefault="00837A0F" w:rsidP="00837A0F">
      <w:pPr>
        <w:pStyle w:val="Heading1"/>
        <w:rPr>
          <w:lang w:val="fr-FR"/>
        </w:rPr>
      </w:pPr>
      <w:r w:rsidRPr="009C36E5">
        <w:rPr>
          <w:lang w:val="fr-FR"/>
        </w:rPr>
        <w:t>Un total de 470 800 $US est inclus pour les activités de préparation du projets KIP</w:t>
      </w:r>
      <w:r w:rsidRPr="00227215">
        <w:rPr>
          <w:rStyle w:val="FootnoteReference"/>
        </w:rPr>
        <w:footnoteReference w:id="3"/>
      </w:r>
      <w:r w:rsidRPr="009C36E5">
        <w:rPr>
          <w:lang w:val="fr-FR"/>
        </w:rPr>
        <w:t xml:space="preserve"> dans le </w:t>
      </w:r>
      <w:r w:rsidRPr="009C36E5">
        <w:rPr>
          <w:lang w:val="fr-FR"/>
        </w:rPr>
        <w:noBreakHyphen/>
        <w:t xml:space="preserve">plan d'affaires 2022 202 4 pour deux pays (à savoir l'Indonésie et la Thaïlande). Ces deux pays n'ont pas ratifié l'Amendement de Kigali mais ont soumis la lettre requise de leur gouvernement indiquant leur intention de faire de son mieux pour ratifier cet Amendement. </w:t>
      </w:r>
    </w:p>
    <w:p w14:paraId="0435388D" w14:textId="2A101075" w:rsidR="009F2542" w:rsidRPr="009C36E5" w:rsidRDefault="009F2542" w:rsidP="009F2542">
      <w:pPr>
        <w:pStyle w:val="Heading1"/>
        <w:rPr>
          <w:lang w:val="fr-FR"/>
        </w:rPr>
      </w:pPr>
      <w:r w:rsidRPr="009C36E5">
        <w:rPr>
          <w:lang w:val="fr-FR"/>
        </w:rPr>
        <w:t>Concernant les KIP, la décision 84/46(g) autorisait l'inclusion de tels plans dans le plan d'activités, mais uniquement pour les pays qui avaient ratifié l'Amendement de Kigali. Un total de 10,7</w:t>
      </w:r>
      <w:r w:rsidR="009C36E5">
        <w:rPr>
          <w:lang w:val="fr-FR"/>
        </w:rPr>
        <w:t> </w:t>
      </w:r>
      <w:r w:rsidRPr="009C36E5">
        <w:rPr>
          <w:lang w:val="fr-FR"/>
        </w:rPr>
        <w:t>millions de $ US est inclus pour les KIP de deux pays (Malaisie et Viet Nam) qui ont ratifié l'Amendement de Kigali.</w:t>
      </w:r>
    </w:p>
    <w:p w14:paraId="08C73133" w14:textId="77777777" w:rsidR="00837A0F" w:rsidRPr="00227215" w:rsidRDefault="00837A0F" w:rsidP="00837A0F">
      <w:pPr>
        <w:pStyle w:val="Heading1"/>
        <w:keepNext/>
        <w:numPr>
          <w:ilvl w:val="0"/>
          <w:numId w:val="0"/>
        </w:numPr>
        <w:rPr>
          <w:u w:val="single"/>
        </w:rPr>
      </w:pPr>
      <w:proofErr w:type="spellStart"/>
      <w:r w:rsidRPr="00227215">
        <w:rPr>
          <w:u w:val="single"/>
        </w:rPr>
        <w:t>Coûts</w:t>
      </w:r>
      <w:proofErr w:type="spellEnd"/>
      <w:r w:rsidRPr="00227215">
        <w:rPr>
          <w:u w:val="single"/>
        </w:rPr>
        <w:t xml:space="preserve"> de base</w:t>
      </w:r>
    </w:p>
    <w:p w14:paraId="5CB718F0" w14:textId="4595BE03" w:rsidR="00837A0F" w:rsidRPr="009C36E5" w:rsidRDefault="00837A0F" w:rsidP="00837A0F">
      <w:pPr>
        <w:pStyle w:val="Heading1"/>
        <w:keepNext/>
        <w:rPr>
          <w:lang w:val="fr-FR"/>
        </w:rPr>
      </w:pPr>
      <w:r w:rsidRPr="009C36E5">
        <w:rPr>
          <w:lang w:val="fr-FR"/>
        </w:rPr>
        <w:t>Les coûts de base</w:t>
      </w:r>
      <w:r w:rsidRPr="00227215">
        <w:rPr>
          <w:rStyle w:val="FootnoteReference"/>
        </w:rPr>
        <w:footnoteReference w:id="4"/>
      </w:r>
      <w:r w:rsidRPr="009C36E5">
        <w:rPr>
          <w:lang w:val="fr-FR"/>
        </w:rPr>
        <w:t xml:space="preserve"> devraient augmenter de 0,7 % par an, comme convenu. </w:t>
      </w:r>
    </w:p>
    <w:p w14:paraId="77449DDB" w14:textId="77777777" w:rsidR="00837A0F" w:rsidRPr="00227215" w:rsidRDefault="00837A0F" w:rsidP="00837A0F">
      <w:pPr>
        <w:spacing w:after="240"/>
        <w:rPr>
          <w:b/>
        </w:rPr>
      </w:pPr>
      <w:r w:rsidRPr="00227215">
        <w:rPr>
          <w:b/>
          <w:bCs/>
        </w:rPr>
        <w:t xml:space="preserve">Modifications </w:t>
      </w:r>
      <w:proofErr w:type="spellStart"/>
      <w:r w:rsidRPr="00227215">
        <w:rPr>
          <w:b/>
          <w:bCs/>
        </w:rPr>
        <w:t>proposées</w:t>
      </w:r>
      <w:proofErr w:type="spellEnd"/>
      <w:r w:rsidRPr="00227215">
        <w:rPr>
          <w:b/>
          <w:bCs/>
        </w:rPr>
        <w:t xml:space="preserve"> par le </w:t>
      </w:r>
      <w:proofErr w:type="spellStart"/>
      <w:r w:rsidRPr="00227215">
        <w:rPr>
          <w:b/>
          <w:bCs/>
        </w:rPr>
        <w:t>Secrétariat</w:t>
      </w:r>
      <w:proofErr w:type="spellEnd"/>
    </w:p>
    <w:p w14:paraId="1E68BF44" w14:textId="77777777" w:rsidR="00837A0F" w:rsidRPr="009C36E5" w:rsidRDefault="00837A0F" w:rsidP="00837A0F">
      <w:pPr>
        <w:pStyle w:val="Heading1"/>
        <w:rPr>
          <w:lang w:val="fr-FR"/>
        </w:rPr>
      </w:pPr>
      <w:r w:rsidRPr="009C36E5">
        <w:rPr>
          <w:lang w:val="fr-FR"/>
        </w:rPr>
        <w:t xml:space="preserve">Le plan d'affaires de la Banque mondiale pour 2022-2024 a été soumis sur la base des décisions applicables du Comité exécutif. Par conséquent, aucun ajustement n'a été effectué par le Secrétariat. </w:t>
      </w:r>
      <w:r w:rsidRPr="009C36E5">
        <w:rPr>
          <w:lang w:val="fr-FR"/>
        </w:rPr>
        <w:lastRenderedPageBreak/>
        <w:t>D'autres modifications pourraient se révéler nécessaires jusqu'à ce que les Parties prennent une décision quant au niveau de la reconstitution du Fonds multilatéral pour la période triennale 2021-2023.</w:t>
      </w:r>
      <w:r w:rsidRPr="00227215">
        <w:rPr>
          <w:rStyle w:val="FootnoteReference"/>
        </w:rPr>
        <w:footnoteReference w:id="5"/>
      </w:r>
      <w:r w:rsidRPr="009C36E5">
        <w:rPr>
          <w:lang w:val="fr-FR"/>
        </w:rPr>
        <w:t xml:space="preserve"> </w:t>
      </w:r>
    </w:p>
    <w:p w14:paraId="337E4BFA" w14:textId="77777777" w:rsidR="00837A0F" w:rsidRPr="00227215" w:rsidRDefault="00837A0F" w:rsidP="00837A0F">
      <w:pPr>
        <w:widowControl w:val="0"/>
        <w:jc w:val="left"/>
        <w:rPr>
          <w:b/>
        </w:rPr>
      </w:pPr>
      <w:proofErr w:type="spellStart"/>
      <w:r w:rsidRPr="00227215">
        <w:rPr>
          <w:b/>
        </w:rPr>
        <w:t>Indicateurs</w:t>
      </w:r>
      <w:proofErr w:type="spellEnd"/>
      <w:r w:rsidRPr="00227215">
        <w:rPr>
          <w:b/>
        </w:rPr>
        <w:t xml:space="preserve"> </w:t>
      </w:r>
      <w:proofErr w:type="spellStart"/>
      <w:r w:rsidRPr="00227215">
        <w:rPr>
          <w:b/>
        </w:rPr>
        <w:t>d’efficacité</w:t>
      </w:r>
      <w:proofErr w:type="spellEnd"/>
    </w:p>
    <w:p w14:paraId="0F35791C" w14:textId="77777777" w:rsidR="00837A0F" w:rsidRPr="00227215" w:rsidRDefault="00837A0F" w:rsidP="00837A0F">
      <w:pPr>
        <w:widowControl w:val="0"/>
        <w:jc w:val="left"/>
      </w:pPr>
    </w:p>
    <w:p w14:paraId="1173DEFF" w14:textId="77777777" w:rsidR="00837A0F" w:rsidRPr="009C36E5" w:rsidRDefault="00837A0F" w:rsidP="00837A0F">
      <w:pPr>
        <w:pStyle w:val="Heading1"/>
        <w:widowControl w:val="0"/>
        <w:rPr>
          <w:lang w:val="fr-FR"/>
        </w:rPr>
      </w:pPr>
      <w:r w:rsidRPr="009C36E5">
        <w:rPr>
          <w:lang w:val="fr-FR"/>
        </w:rPr>
        <w:t>Conformément à la décision 71/28, la Banque mondiale a inclus des indicateurs d'efficacité dans le descriptif de son plan d'activités. Le Secrétariat a informé la Banque mondiale des objectifs figurant au tableau 2.</w:t>
      </w:r>
    </w:p>
    <w:p w14:paraId="253E9C7A" w14:textId="77777777" w:rsidR="00837A0F" w:rsidRPr="009C36E5" w:rsidRDefault="00837A0F" w:rsidP="00837A0F">
      <w:pPr>
        <w:pStyle w:val="subhead"/>
        <w:keepNext/>
        <w:jc w:val="left"/>
        <w:rPr>
          <w:b/>
          <w:sz w:val="22"/>
          <w:szCs w:val="22"/>
          <w:lang w:val="fr-FR"/>
        </w:rPr>
      </w:pPr>
      <w:r w:rsidRPr="009C36E5">
        <w:rPr>
          <w:b/>
          <w:sz w:val="22"/>
          <w:szCs w:val="22"/>
          <w:lang w:val="fr-FR"/>
        </w:rPr>
        <w:t>Tableau 2. Indicateurs d'efficacité de la Banque mondiale pour 2022</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3"/>
        <w:gridCol w:w="3861"/>
        <w:gridCol w:w="1522"/>
      </w:tblGrid>
      <w:tr w:rsidR="00837A0F" w:rsidRPr="00227215" w14:paraId="214B7F12" w14:textId="77777777" w:rsidTr="002E41D2">
        <w:trPr>
          <w:tblHeader/>
          <w:jc w:val="center"/>
        </w:trPr>
        <w:tc>
          <w:tcPr>
            <w:tcW w:w="1701" w:type="dxa"/>
            <w:shd w:val="clear" w:color="auto" w:fill="auto"/>
            <w:hideMark/>
          </w:tcPr>
          <w:p w14:paraId="6E05C4DE" w14:textId="77777777" w:rsidR="00837A0F" w:rsidRPr="00227215" w:rsidRDefault="00837A0F" w:rsidP="002E41D2">
            <w:pPr>
              <w:keepNext/>
              <w:jc w:val="left"/>
              <w:rPr>
                <w:b/>
                <w:bCs/>
                <w:sz w:val="20"/>
                <w:szCs w:val="20"/>
                <w:lang w:eastAsia="en-CA"/>
              </w:rPr>
            </w:pPr>
            <w:r w:rsidRPr="00227215">
              <w:rPr>
                <w:b/>
                <w:bCs/>
                <w:sz w:val="20"/>
                <w:szCs w:val="20"/>
                <w:lang w:eastAsia="fr"/>
              </w:rPr>
              <w:t xml:space="preserve">Type </w:t>
            </w:r>
            <w:proofErr w:type="spellStart"/>
            <w:r w:rsidRPr="00227215">
              <w:rPr>
                <w:b/>
                <w:bCs/>
                <w:sz w:val="20"/>
                <w:szCs w:val="20"/>
                <w:lang w:eastAsia="fr"/>
              </w:rPr>
              <w:t>d’indicateur</w:t>
            </w:r>
            <w:proofErr w:type="spellEnd"/>
            <w:r w:rsidRPr="00227215">
              <w:rPr>
                <w:b/>
                <w:bCs/>
                <w:sz w:val="20"/>
                <w:szCs w:val="20"/>
                <w:lang w:eastAsia="fr"/>
              </w:rPr>
              <w:t xml:space="preserve"> </w:t>
            </w:r>
          </w:p>
        </w:tc>
        <w:tc>
          <w:tcPr>
            <w:tcW w:w="2263" w:type="dxa"/>
            <w:shd w:val="clear" w:color="auto" w:fill="auto"/>
            <w:hideMark/>
          </w:tcPr>
          <w:p w14:paraId="6E5E5C9A" w14:textId="77777777" w:rsidR="00837A0F" w:rsidRPr="00227215" w:rsidRDefault="00837A0F" w:rsidP="002E41D2">
            <w:pPr>
              <w:keepNext/>
              <w:jc w:val="center"/>
              <w:rPr>
                <w:b/>
                <w:bCs/>
                <w:sz w:val="20"/>
                <w:szCs w:val="20"/>
                <w:lang w:eastAsia="en-CA"/>
              </w:rPr>
            </w:pPr>
            <w:r w:rsidRPr="00227215">
              <w:rPr>
                <w:b/>
                <w:bCs/>
                <w:sz w:val="20"/>
                <w:szCs w:val="20"/>
                <w:lang w:eastAsia="fr"/>
              </w:rPr>
              <w:t xml:space="preserve">Titre </w:t>
            </w:r>
            <w:proofErr w:type="spellStart"/>
            <w:r w:rsidRPr="00227215">
              <w:rPr>
                <w:b/>
                <w:bCs/>
                <w:sz w:val="20"/>
                <w:szCs w:val="20"/>
                <w:lang w:eastAsia="fr"/>
              </w:rPr>
              <w:t>abrégé</w:t>
            </w:r>
            <w:proofErr w:type="spellEnd"/>
          </w:p>
        </w:tc>
        <w:tc>
          <w:tcPr>
            <w:tcW w:w="3861" w:type="dxa"/>
            <w:shd w:val="clear" w:color="auto" w:fill="auto"/>
            <w:hideMark/>
          </w:tcPr>
          <w:p w14:paraId="351365C6" w14:textId="77777777" w:rsidR="00837A0F" w:rsidRPr="00227215" w:rsidRDefault="00837A0F" w:rsidP="002E41D2">
            <w:pPr>
              <w:keepNext/>
              <w:jc w:val="center"/>
              <w:rPr>
                <w:b/>
                <w:bCs/>
                <w:sz w:val="20"/>
                <w:szCs w:val="20"/>
                <w:lang w:eastAsia="en-CA"/>
              </w:rPr>
            </w:pPr>
            <w:proofErr w:type="spellStart"/>
            <w:r w:rsidRPr="00227215">
              <w:rPr>
                <w:b/>
                <w:bCs/>
                <w:sz w:val="20"/>
                <w:szCs w:val="20"/>
                <w:lang w:eastAsia="fr"/>
              </w:rPr>
              <w:t>Calcul</w:t>
            </w:r>
            <w:proofErr w:type="spellEnd"/>
          </w:p>
        </w:tc>
        <w:tc>
          <w:tcPr>
            <w:tcW w:w="1522" w:type="dxa"/>
          </w:tcPr>
          <w:p w14:paraId="44343113" w14:textId="77777777" w:rsidR="00837A0F" w:rsidRPr="00227215" w:rsidRDefault="00837A0F" w:rsidP="002B7B4A">
            <w:pPr>
              <w:keepNext/>
              <w:jc w:val="center"/>
              <w:rPr>
                <w:b/>
                <w:bCs/>
                <w:sz w:val="20"/>
                <w:szCs w:val="20"/>
                <w:lang w:eastAsia="en-CA"/>
              </w:rPr>
            </w:pPr>
            <w:r w:rsidRPr="00227215">
              <w:rPr>
                <w:b/>
                <w:bCs/>
                <w:sz w:val="20"/>
                <w:szCs w:val="20"/>
                <w:lang w:eastAsia="fr"/>
              </w:rPr>
              <w:t>Objectif pour 2022</w:t>
            </w:r>
          </w:p>
        </w:tc>
      </w:tr>
      <w:tr w:rsidR="00837A0F" w:rsidRPr="00227215" w14:paraId="279C65BF" w14:textId="77777777" w:rsidTr="002E41D2">
        <w:trPr>
          <w:jc w:val="center"/>
        </w:trPr>
        <w:tc>
          <w:tcPr>
            <w:tcW w:w="1701" w:type="dxa"/>
            <w:shd w:val="clear" w:color="auto" w:fill="auto"/>
          </w:tcPr>
          <w:p w14:paraId="68568EDB" w14:textId="77777777" w:rsidR="00837A0F" w:rsidRPr="00227215" w:rsidRDefault="00837A0F" w:rsidP="002E41D2">
            <w:pPr>
              <w:widowControl w:val="0"/>
              <w:jc w:val="left"/>
              <w:rPr>
                <w:sz w:val="20"/>
                <w:szCs w:val="20"/>
                <w:lang w:eastAsia="en-CA"/>
              </w:rPr>
            </w:pPr>
            <w:r w:rsidRPr="00227215">
              <w:rPr>
                <w:sz w:val="20"/>
                <w:szCs w:val="20"/>
                <w:lang w:val="fr"/>
              </w:rPr>
              <w:t>Planification -- Approbation</w:t>
            </w:r>
          </w:p>
        </w:tc>
        <w:tc>
          <w:tcPr>
            <w:tcW w:w="2263" w:type="dxa"/>
            <w:shd w:val="clear" w:color="auto" w:fill="auto"/>
          </w:tcPr>
          <w:p w14:paraId="5BB36609" w14:textId="77777777" w:rsidR="00837A0F" w:rsidRPr="00227215" w:rsidRDefault="00837A0F" w:rsidP="002E41D2">
            <w:pPr>
              <w:widowControl w:val="0"/>
              <w:jc w:val="left"/>
              <w:rPr>
                <w:sz w:val="20"/>
                <w:szCs w:val="20"/>
                <w:lang w:eastAsia="en-CA"/>
              </w:rPr>
            </w:pPr>
            <w:r w:rsidRPr="00227215">
              <w:rPr>
                <w:sz w:val="20"/>
                <w:szCs w:val="20"/>
                <w:lang w:val="fr"/>
              </w:rPr>
              <w:t>Tranches approuvées</w:t>
            </w:r>
          </w:p>
        </w:tc>
        <w:tc>
          <w:tcPr>
            <w:tcW w:w="3861" w:type="dxa"/>
            <w:shd w:val="clear" w:color="auto" w:fill="auto"/>
          </w:tcPr>
          <w:p w14:paraId="0C5E587D" w14:textId="77777777" w:rsidR="00837A0F" w:rsidRPr="009C36E5" w:rsidRDefault="00837A0F" w:rsidP="002E41D2">
            <w:pPr>
              <w:widowControl w:val="0"/>
              <w:jc w:val="left"/>
              <w:rPr>
                <w:sz w:val="20"/>
                <w:szCs w:val="20"/>
                <w:lang w:val="fr-FR" w:eastAsia="en-CA"/>
              </w:rPr>
            </w:pPr>
            <w:r w:rsidRPr="00227215">
              <w:rPr>
                <w:sz w:val="20"/>
                <w:szCs w:val="20"/>
                <w:lang w:val="fr"/>
              </w:rPr>
              <w:t>Nombre de tranches approuvées par rapport au nombre de tranches prévu*</w:t>
            </w:r>
          </w:p>
        </w:tc>
        <w:tc>
          <w:tcPr>
            <w:tcW w:w="1522" w:type="dxa"/>
          </w:tcPr>
          <w:p w14:paraId="1A75787F" w14:textId="77777777" w:rsidR="00837A0F" w:rsidRPr="00227215" w:rsidRDefault="004E576E" w:rsidP="002E41D2">
            <w:pPr>
              <w:keepNext/>
              <w:jc w:val="right"/>
              <w:rPr>
                <w:sz w:val="20"/>
                <w:szCs w:val="20"/>
                <w:lang w:eastAsia="en-CA"/>
              </w:rPr>
            </w:pPr>
            <w:r w:rsidRPr="00227215">
              <w:rPr>
                <w:iCs/>
                <w:sz w:val="20"/>
                <w:szCs w:val="20"/>
                <w:lang w:eastAsia="zh-CN"/>
              </w:rPr>
              <w:t xml:space="preserve">4 </w:t>
            </w:r>
          </w:p>
        </w:tc>
      </w:tr>
      <w:tr w:rsidR="00837A0F" w:rsidRPr="00227215" w14:paraId="78DDE8B5" w14:textId="77777777" w:rsidTr="002E41D2">
        <w:trPr>
          <w:jc w:val="center"/>
        </w:trPr>
        <w:tc>
          <w:tcPr>
            <w:tcW w:w="1701" w:type="dxa"/>
            <w:shd w:val="clear" w:color="auto" w:fill="auto"/>
          </w:tcPr>
          <w:p w14:paraId="35F82069" w14:textId="77777777" w:rsidR="00837A0F" w:rsidRPr="00227215" w:rsidRDefault="00837A0F" w:rsidP="002E41D2">
            <w:pPr>
              <w:widowControl w:val="0"/>
              <w:jc w:val="left"/>
              <w:rPr>
                <w:sz w:val="20"/>
                <w:szCs w:val="20"/>
                <w:lang w:eastAsia="en-CA"/>
              </w:rPr>
            </w:pPr>
            <w:r w:rsidRPr="00227215">
              <w:rPr>
                <w:sz w:val="20"/>
                <w:szCs w:val="20"/>
                <w:lang w:val="fr"/>
              </w:rPr>
              <w:t>Planification -- Approbation</w:t>
            </w:r>
          </w:p>
        </w:tc>
        <w:tc>
          <w:tcPr>
            <w:tcW w:w="2263" w:type="dxa"/>
            <w:shd w:val="clear" w:color="auto" w:fill="auto"/>
          </w:tcPr>
          <w:p w14:paraId="0B0035B0" w14:textId="77777777" w:rsidR="00837A0F" w:rsidRPr="00227215" w:rsidRDefault="00837A0F" w:rsidP="002E41D2">
            <w:pPr>
              <w:widowControl w:val="0"/>
              <w:jc w:val="left"/>
              <w:rPr>
                <w:sz w:val="20"/>
                <w:szCs w:val="20"/>
                <w:lang w:eastAsia="en-CA"/>
              </w:rPr>
            </w:pPr>
            <w:r w:rsidRPr="00227215">
              <w:rPr>
                <w:sz w:val="20"/>
                <w:szCs w:val="20"/>
                <w:lang w:val="fr"/>
              </w:rPr>
              <w:t>Projets/activités approuvés</w:t>
            </w:r>
          </w:p>
        </w:tc>
        <w:tc>
          <w:tcPr>
            <w:tcW w:w="3861" w:type="dxa"/>
            <w:shd w:val="clear" w:color="auto" w:fill="auto"/>
          </w:tcPr>
          <w:p w14:paraId="221856BD" w14:textId="77777777" w:rsidR="00837A0F" w:rsidRPr="009C36E5" w:rsidRDefault="00837A0F" w:rsidP="002E41D2">
            <w:pPr>
              <w:widowControl w:val="0"/>
              <w:jc w:val="left"/>
              <w:rPr>
                <w:sz w:val="20"/>
                <w:szCs w:val="20"/>
                <w:lang w:val="fr-FR" w:eastAsia="en-CA"/>
              </w:rPr>
            </w:pPr>
            <w:r w:rsidRPr="00227215">
              <w:rPr>
                <w:sz w:val="20"/>
                <w:szCs w:val="20"/>
                <w:lang w:val="fr"/>
              </w:rPr>
              <w:t>Nombre de projets ou d'activités approuvés par rapport au nombre prévu (y compris les activités de préparation de projet)**</w:t>
            </w:r>
          </w:p>
        </w:tc>
        <w:tc>
          <w:tcPr>
            <w:tcW w:w="1522" w:type="dxa"/>
          </w:tcPr>
          <w:p w14:paraId="1AC4542C" w14:textId="77777777" w:rsidR="00837A0F" w:rsidRPr="00227215" w:rsidRDefault="004E576E" w:rsidP="002E41D2">
            <w:pPr>
              <w:jc w:val="right"/>
              <w:rPr>
                <w:sz w:val="20"/>
                <w:szCs w:val="20"/>
              </w:rPr>
            </w:pPr>
            <w:r w:rsidRPr="00227215">
              <w:rPr>
                <w:sz w:val="20"/>
                <w:szCs w:val="20"/>
              </w:rPr>
              <w:t xml:space="preserve">4 </w:t>
            </w:r>
          </w:p>
        </w:tc>
      </w:tr>
      <w:tr w:rsidR="00837A0F" w:rsidRPr="00227215" w14:paraId="5F747ACF" w14:textId="77777777" w:rsidTr="002E41D2">
        <w:trPr>
          <w:jc w:val="center"/>
        </w:trPr>
        <w:tc>
          <w:tcPr>
            <w:tcW w:w="1701" w:type="dxa"/>
            <w:shd w:val="clear" w:color="auto" w:fill="auto"/>
          </w:tcPr>
          <w:p w14:paraId="743567F4" w14:textId="77777777" w:rsidR="00837A0F" w:rsidRPr="00227215" w:rsidRDefault="00837A0F" w:rsidP="002E41D2">
            <w:pPr>
              <w:widowControl w:val="0"/>
              <w:jc w:val="left"/>
              <w:rPr>
                <w:sz w:val="20"/>
                <w:szCs w:val="20"/>
                <w:lang w:eastAsia="en-CA"/>
              </w:rPr>
            </w:pPr>
            <w:r w:rsidRPr="00227215">
              <w:rPr>
                <w:sz w:val="20"/>
                <w:szCs w:val="20"/>
                <w:lang w:val="fr"/>
              </w:rPr>
              <w:t>Mise en œuvre</w:t>
            </w:r>
          </w:p>
        </w:tc>
        <w:tc>
          <w:tcPr>
            <w:tcW w:w="2263" w:type="dxa"/>
            <w:shd w:val="clear" w:color="auto" w:fill="auto"/>
          </w:tcPr>
          <w:p w14:paraId="3FE1F3C0" w14:textId="77777777" w:rsidR="00837A0F" w:rsidRPr="00227215" w:rsidRDefault="00837A0F" w:rsidP="002E41D2">
            <w:pPr>
              <w:widowControl w:val="0"/>
              <w:jc w:val="left"/>
              <w:rPr>
                <w:sz w:val="20"/>
                <w:szCs w:val="20"/>
                <w:lang w:eastAsia="en-CA"/>
              </w:rPr>
            </w:pPr>
            <w:r w:rsidRPr="00227215">
              <w:rPr>
                <w:sz w:val="20"/>
                <w:szCs w:val="20"/>
                <w:lang w:val="fr"/>
              </w:rPr>
              <w:t>Fonds décaissés</w:t>
            </w:r>
          </w:p>
        </w:tc>
        <w:tc>
          <w:tcPr>
            <w:tcW w:w="3861" w:type="dxa"/>
            <w:shd w:val="clear" w:color="auto" w:fill="auto"/>
          </w:tcPr>
          <w:p w14:paraId="5A50ED2E" w14:textId="77777777" w:rsidR="00837A0F" w:rsidRPr="009C36E5" w:rsidRDefault="00837A0F" w:rsidP="002E41D2">
            <w:pPr>
              <w:widowControl w:val="0"/>
              <w:jc w:val="left"/>
              <w:rPr>
                <w:sz w:val="20"/>
                <w:szCs w:val="20"/>
                <w:lang w:val="fr-FR" w:eastAsia="en-CA"/>
              </w:rPr>
            </w:pPr>
            <w:r w:rsidRPr="00227215">
              <w:rPr>
                <w:sz w:val="20"/>
                <w:szCs w:val="20"/>
                <w:lang w:val="fr"/>
              </w:rPr>
              <w:t>Selon l’estimation de décaissement figurant dans le rapport périodique</w:t>
            </w:r>
          </w:p>
        </w:tc>
        <w:tc>
          <w:tcPr>
            <w:tcW w:w="1522" w:type="dxa"/>
          </w:tcPr>
          <w:p w14:paraId="6DA7F525" w14:textId="77777777" w:rsidR="00837A0F" w:rsidRPr="00227215" w:rsidRDefault="00837A0F" w:rsidP="004E576E">
            <w:pPr>
              <w:jc w:val="right"/>
              <w:rPr>
                <w:sz w:val="20"/>
                <w:szCs w:val="20"/>
                <w:lang w:eastAsia="en-CA"/>
              </w:rPr>
            </w:pPr>
            <w:r w:rsidRPr="00227215">
              <w:rPr>
                <w:sz w:val="20"/>
                <w:szCs w:val="20"/>
                <w:lang w:eastAsia="fr"/>
              </w:rPr>
              <w:t>5 060 187 $ US</w:t>
            </w:r>
          </w:p>
        </w:tc>
      </w:tr>
      <w:tr w:rsidR="00837A0F" w:rsidRPr="00227215" w14:paraId="0842D945" w14:textId="77777777" w:rsidTr="002E41D2">
        <w:trPr>
          <w:jc w:val="center"/>
        </w:trPr>
        <w:tc>
          <w:tcPr>
            <w:tcW w:w="1701" w:type="dxa"/>
            <w:shd w:val="clear" w:color="auto" w:fill="auto"/>
          </w:tcPr>
          <w:p w14:paraId="12984679" w14:textId="77777777" w:rsidR="00837A0F" w:rsidRPr="00227215" w:rsidRDefault="00837A0F" w:rsidP="002E41D2">
            <w:pPr>
              <w:widowControl w:val="0"/>
              <w:jc w:val="left"/>
              <w:rPr>
                <w:sz w:val="20"/>
                <w:szCs w:val="20"/>
                <w:lang w:eastAsia="en-CA"/>
              </w:rPr>
            </w:pPr>
            <w:r w:rsidRPr="00227215">
              <w:rPr>
                <w:sz w:val="20"/>
                <w:szCs w:val="20"/>
                <w:lang w:val="fr"/>
              </w:rPr>
              <w:t>Mise en œuvre</w:t>
            </w:r>
          </w:p>
        </w:tc>
        <w:tc>
          <w:tcPr>
            <w:tcW w:w="2263" w:type="dxa"/>
            <w:shd w:val="clear" w:color="auto" w:fill="auto"/>
          </w:tcPr>
          <w:p w14:paraId="76D43950" w14:textId="77777777" w:rsidR="00837A0F" w:rsidRPr="00227215" w:rsidRDefault="00837A0F" w:rsidP="002E41D2">
            <w:pPr>
              <w:widowControl w:val="0"/>
              <w:jc w:val="left"/>
              <w:rPr>
                <w:sz w:val="20"/>
                <w:szCs w:val="20"/>
                <w:lang w:eastAsia="en-CA"/>
              </w:rPr>
            </w:pPr>
            <w:r w:rsidRPr="00227215">
              <w:rPr>
                <w:sz w:val="20"/>
                <w:szCs w:val="20"/>
                <w:lang w:val="fr"/>
              </w:rPr>
              <w:t>Élimination des SAO</w:t>
            </w:r>
          </w:p>
        </w:tc>
        <w:tc>
          <w:tcPr>
            <w:tcW w:w="3861" w:type="dxa"/>
            <w:shd w:val="clear" w:color="auto" w:fill="auto"/>
          </w:tcPr>
          <w:p w14:paraId="46A7BC74" w14:textId="77777777" w:rsidR="00837A0F" w:rsidRPr="009C36E5" w:rsidRDefault="00837A0F" w:rsidP="002E41D2">
            <w:pPr>
              <w:widowControl w:val="0"/>
              <w:jc w:val="left"/>
              <w:rPr>
                <w:sz w:val="20"/>
                <w:szCs w:val="20"/>
                <w:lang w:val="fr-FR" w:eastAsia="en-CA"/>
              </w:rPr>
            </w:pPr>
            <w:r w:rsidRPr="00227215">
              <w:rPr>
                <w:sz w:val="20"/>
                <w:szCs w:val="20"/>
                <w:lang w:val="fr"/>
              </w:rPr>
              <w:t>Élimination de SAO rendue possible par la tranche, au moment de l'approbation de la tranche suivante, par rapport aux prévisions des plans d’activités*</w:t>
            </w:r>
          </w:p>
        </w:tc>
        <w:tc>
          <w:tcPr>
            <w:tcW w:w="1522" w:type="dxa"/>
          </w:tcPr>
          <w:p w14:paraId="2BF59ADD" w14:textId="77777777" w:rsidR="00837A0F" w:rsidRPr="00227215" w:rsidRDefault="004E576E" w:rsidP="002E41D2">
            <w:pPr>
              <w:keepNext/>
              <w:jc w:val="right"/>
              <w:rPr>
                <w:sz w:val="20"/>
                <w:szCs w:val="20"/>
              </w:rPr>
            </w:pPr>
            <w:r w:rsidRPr="00227215">
              <w:rPr>
                <w:sz w:val="20"/>
                <w:szCs w:val="20"/>
                <w:lang w:val="fr"/>
              </w:rPr>
              <w:t xml:space="preserve">5 362,5 tonnes PAO </w:t>
            </w:r>
          </w:p>
        </w:tc>
      </w:tr>
      <w:tr w:rsidR="00837A0F" w:rsidRPr="00227215" w14:paraId="471D66AE" w14:textId="77777777" w:rsidTr="002E41D2">
        <w:trPr>
          <w:jc w:val="center"/>
        </w:trPr>
        <w:tc>
          <w:tcPr>
            <w:tcW w:w="1701" w:type="dxa"/>
            <w:shd w:val="clear" w:color="auto" w:fill="auto"/>
          </w:tcPr>
          <w:p w14:paraId="0795DC66" w14:textId="77777777" w:rsidR="00837A0F" w:rsidRPr="00227215" w:rsidRDefault="00837A0F" w:rsidP="002E41D2">
            <w:pPr>
              <w:widowControl w:val="0"/>
              <w:jc w:val="left"/>
              <w:rPr>
                <w:sz w:val="20"/>
                <w:szCs w:val="20"/>
                <w:lang w:eastAsia="en-CA"/>
              </w:rPr>
            </w:pPr>
            <w:r w:rsidRPr="00227215">
              <w:rPr>
                <w:sz w:val="20"/>
                <w:szCs w:val="20"/>
                <w:lang w:val="fr"/>
              </w:rPr>
              <w:t>Mise en œuvre</w:t>
            </w:r>
          </w:p>
        </w:tc>
        <w:tc>
          <w:tcPr>
            <w:tcW w:w="2263" w:type="dxa"/>
            <w:shd w:val="clear" w:color="auto" w:fill="auto"/>
          </w:tcPr>
          <w:p w14:paraId="1B34EE9A" w14:textId="77777777" w:rsidR="00837A0F" w:rsidRPr="009C36E5" w:rsidRDefault="00837A0F" w:rsidP="002E41D2">
            <w:pPr>
              <w:widowControl w:val="0"/>
              <w:jc w:val="left"/>
              <w:rPr>
                <w:sz w:val="20"/>
                <w:szCs w:val="20"/>
                <w:lang w:val="fr-FR" w:eastAsia="en-CA"/>
              </w:rPr>
            </w:pPr>
            <w:r w:rsidRPr="00227215">
              <w:rPr>
                <w:sz w:val="20"/>
                <w:szCs w:val="20"/>
                <w:lang w:val="fr"/>
              </w:rPr>
              <w:t>Achèvement de projet au niveau des activités</w:t>
            </w:r>
          </w:p>
        </w:tc>
        <w:tc>
          <w:tcPr>
            <w:tcW w:w="3861" w:type="dxa"/>
            <w:shd w:val="clear" w:color="auto" w:fill="auto"/>
          </w:tcPr>
          <w:p w14:paraId="58B2509A" w14:textId="77777777" w:rsidR="00837A0F" w:rsidRPr="009C36E5" w:rsidRDefault="00837A0F" w:rsidP="002E41D2">
            <w:pPr>
              <w:widowControl w:val="0"/>
              <w:autoSpaceDE w:val="0"/>
              <w:autoSpaceDN w:val="0"/>
              <w:adjustRightInd w:val="0"/>
              <w:jc w:val="left"/>
              <w:rPr>
                <w:sz w:val="20"/>
                <w:szCs w:val="20"/>
                <w:lang w:val="fr-FR"/>
              </w:rPr>
            </w:pPr>
            <w:r w:rsidRPr="00227215">
              <w:rPr>
                <w:sz w:val="20"/>
                <w:szCs w:val="20"/>
                <w:lang w:val="fr"/>
              </w:rPr>
              <w:t>Achèvement de projets par rapport aux projets prévus dans les rapports périodiques pour toutes les activités (mise à part la préparation de projet)</w:t>
            </w:r>
          </w:p>
        </w:tc>
        <w:tc>
          <w:tcPr>
            <w:tcW w:w="1522" w:type="dxa"/>
          </w:tcPr>
          <w:p w14:paraId="4BCB08CC" w14:textId="77777777" w:rsidR="00837A0F" w:rsidRPr="00227215" w:rsidRDefault="009422D3" w:rsidP="002E41D2">
            <w:pPr>
              <w:jc w:val="right"/>
              <w:rPr>
                <w:sz w:val="20"/>
                <w:szCs w:val="20"/>
              </w:rPr>
            </w:pPr>
            <w:r w:rsidRPr="00227215">
              <w:rPr>
                <w:sz w:val="20"/>
                <w:szCs w:val="20"/>
                <w:lang w:val="fr"/>
              </w:rPr>
              <w:t>4</w:t>
            </w:r>
          </w:p>
        </w:tc>
      </w:tr>
      <w:tr w:rsidR="00837A0F" w:rsidRPr="00227215" w14:paraId="333077A8" w14:textId="77777777" w:rsidTr="002E41D2">
        <w:trPr>
          <w:jc w:val="center"/>
        </w:trPr>
        <w:tc>
          <w:tcPr>
            <w:tcW w:w="1701" w:type="dxa"/>
            <w:shd w:val="clear" w:color="auto" w:fill="auto"/>
          </w:tcPr>
          <w:p w14:paraId="4DF9029E" w14:textId="77777777" w:rsidR="00837A0F" w:rsidRPr="00227215" w:rsidRDefault="00837A0F" w:rsidP="002E41D2">
            <w:pPr>
              <w:widowControl w:val="0"/>
              <w:jc w:val="left"/>
              <w:rPr>
                <w:sz w:val="20"/>
                <w:szCs w:val="20"/>
                <w:lang w:eastAsia="en-CA"/>
              </w:rPr>
            </w:pPr>
            <w:r w:rsidRPr="00227215">
              <w:rPr>
                <w:sz w:val="20"/>
                <w:szCs w:val="20"/>
                <w:lang w:val="fr"/>
              </w:rPr>
              <w:t>Administratif</w:t>
            </w:r>
          </w:p>
        </w:tc>
        <w:tc>
          <w:tcPr>
            <w:tcW w:w="2263" w:type="dxa"/>
            <w:shd w:val="clear" w:color="auto" w:fill="auto"/>
          </w:tcPr>
          <w:p w14:paraId="64E64655" w14:textId="77777777" w:rsidR="00837A0F" w:rsidRPr="009C36E5" w:rsidRDefault="00837A0F" w:rsidP="002E41D2">
            <w:pPr>
              <w:widowControl w:val="0"/>
              <w:jc w:val="left"/>
              <w:rPr>
                <w:sz w:val="20"/>
                <w:szCs w:val="20"/>
                <w:lang w:val="fr-FR" w:eastAsia="en-CA"/>
              </w:rPr>
            </w:pPr>
            <w:r w:rsidRPr="00227215">
              <w:rPr>
                <w:sz w:val="20"/>
                <w:szCs w:val="20"/>
                <w:lang w:val="fr"/>
              </w:rPr>
              <w:t>Rapidité de la clôture financière</w:t>
            </w:r>
          </w:p>
        </w:tc>
        <w:tc>
          <w:tcPr>
            <w:tcW w:w="3861" w:type="dxa"/>
            <w:shd w:val="clear" w:color="auto" w:fill="auto"/>
          </w:tcPr>
          <w:p w14:paraId="71250A09" w14:textId="77777777" w:rsidR="00837A0F" w:rsidRPr="009C36E5" w:rsidRDefault="00837A0F" w:rsidP="002E41D2">
            <w:pPr>
              <w:widowControl w:val="0"/>
              <w:autoSpaceDE w:val="0"/>
              <w:autoSpaceDN w:val="0"/>
              <w:adjustRightInd w:val="0"/>
              <w:jc w:val="left"/>
              <w:rPr>
                <w:sz w:val="20"/>
                <w:szCs w:val="20"/>
                <w:lang w:val="fr-FR"/>
              </w:rPr>
            </w:pPr>
            <w:r w:rsidRPr="00227215">
              <w:rPr>
                <w:sz w:val="20"/>
                <w:szCs w:val="20"/>
                <w:lang w:val="fr"/>
              </w:rPr>
              <w:t>Mesure dans laquelle les projets sont clos, sur le plan financier, 12 mois après leur achèvement</w:t>
            </w:r>
          </w:p>
        </w:tc>
        <w:tc>
          <w:tcPr>
            <w:tcW w:w="1522" w:type="dxa"/>
          </w:tcPr>
          <w:p w14:paraId="34FEEF56" w14:textId="77777777" w:rsidR="00837A0F" w:rsidRPr="00227215" w:rsidRDefault="009422D3" w:rsidP="002E41D2">
            <w:pPr>
              <w:jc w:val="right"/>
              <w:rPr>
                <w:sz w:val="20"/>
                <w:szCs w:val="20"/>
                <w:lang w:val="en-US"/>
              </w:rPr>
            </w:pPr>
            <w:r w:rsidRPr="00227215">
              <w:rPr>
                <w:sz w:val="20"/>
                <w:szCs w:val="20"/>
                <w:lang w:val="fr"/>
              </w:rPr>
              <w:t>90%</w:t>
            </w:r>
          </w:p>
        </w:tc>
      </w:tr>
      <w:tr w:rsidR="00837A0F" w:rsidRPr="00227215" w14:paraId="7C2D90F1" w14:textId="77777777" w:rsidTr="002E41D2">
        <w:trPr>
          <w:jc w:val="center"/>
        </w:trPr>
        <w:tc>
          <w:tcPr>
            <w:tcW w:w="1701" w:type="dxa"/>
            <w:shd w:val="clear" w:color="auto" w:fill="auto"/>
          </w:tcPr>
          <w:p w14:paraId="656B3176" w14:textId="77777777" w:rsidR="00837A0F" w:rsidRPr="00227215" w:rsidRDefault="00837A0F" w:rsidP="002E41D2">
            <w:pPr>
              <w:widowControl w:val="0"/>
              <w:jc w:val="left"/>
              <w:rPr>
                <w:sz w:val="20"/>
                <w:szCs w:val="20"/>
                <w:lang w:eastAsia="en-CA"/>
              </w:rPr>
            </w:pPr>
            <w:r w:rsidRPr="00227215">
              <w:rPr>
                <w:sz w:val="20"/>
                <w:szCs w:val="20"/>
                <w:lang w:val="fr"/>
              </w:rPr>
              <w:t>Administratif</w:t>
            </w:r>
          </w:p>
        </w:tc>
        <w:tc>
          <w:tcPr>
            <w:tcW w:w="2263" w:type="dxa"/>
            <w:shd w:val="clear" w:color="auto" w:fill="auto"/>
          </w:tcPr>
          <w:p w14:paraId="5C555601" w14:textId="77777777" w:rsidR="00837A0F" w:rsidRPr="009C36E5" w:rsidRDefault="00837A0F" w:rsidP="002E41D2">
            <w:pPr>
              <w:widowControl w:val="0"/>
              <w:jc w:val="left"/>
              <w:rPr>
                <w:sz w:val="20"/>
                <w:szCs w:val="20"/>
                <w:lang w:val="fr-FR" w:eastAsia="en-CA"/>
              </w:rPr>
            </w:pPr>
            <w:r w:rsidRPr="00227215">
              <w:rPr>
                <w:sz w:val="20"/>
                <w:szCs w:val="20"/>
                <w:lang w:val="fr"/>
              </w:rPr>
              <w:t>Présentation en temps voulu des rapports d’achèvement de projet</w:t>
            </w:r>
          </w:p>
        </w:tc>
        <w:tc>
          <w:tcPr>
            <w:tcW w:w="3861" w:type="dxa"/>
            <w:shd w:val="clear" w:color="auto" w:fill="auto"/>
          </w:tcPr>
          <w:p w14:paraId="50D151E8" w14:textId="77777777" w:rsidR="00837A0F" w:rsidRPr="009C36E5" w:rsidRDefault="00837A0F" w:rsidP="002E41D2">
            <w:pPr>
              <w:widowControl w:val="0"/>
              <w:autoSpaceDE w:val="0"/>
              <w:autoSpaceDN w:val="0"/>
              <w:adjustRightInd w:val="0"/>
              <w:jc w:val="left"/>
              <w:rPr>
                <w:sz w:val="20"/>
                <w:szCs w:val="20"/>
                <w:lang w:val="fr-FR" w:eastAsia="en-CA"/>
              </w:rPr>
            </w:pPr>
            <w:r w:rsidRPr="00227215">
              <w:rPr>
                <w:sz w:val="20"/>
                <w:szCs w:val="20"/>
                <w:lang w:val="fr"/>
              </w:rPr>
              <w:t>Présentation en temps voulu des rapports d'achèvement de projet, en fonction de ce qui était convenu</w:t>
            </w:r>
          </w:p>
        </w:tc>
        <w:tc>
          <w:tcPr>
            <w:tcW w:w="1522" w:type="dxa"/>
          </w:tcPr>
          <w:p w14:paraId="0940208E" w14:textId="77777777" w:rsidR="00837A0F" w:rsidRPr="00227215" w:rsidRDefault="00837A0F" w:rsidP="001F0BAD">
            <w:pPr>
              <w:jc w:val="right"/>
              <w:rPr>
                <w:sz w:val="20"/>
                <w:szCs w:val="20"/>
                <w:lang w:eastAsia="en-CA"/>
              </w:rPr>
            </w:pPr>
            <w:proofErr w:type="spellStart"/>
            <w:r w:rsidRPr="00227215">
              <w:rPr>
                <w:sz w:val="20"/>
                <w:szCs w:val="20"/>
                <w:lang w:eastAsia="fr"/>
              </w:rPr>
              <w:t>En</w:t>
            </w:r>
            <w:proofErr w:type="spellEnd"/>
            <w:r w:rsidRPr="00227215">
              <w:rPr>
                <w:sz w:val="20"/>
                <w:szCs w:val="20"/>
                <w:lang w:eastAsia="fr"/>
              </w:rPr>
              <w:t xml:space="preserve"> temps </w:t>
            </w:r>
            <w:proofErr w:type="spellStart"/>
            <w:r w:rsidRPr="00227215">
              <w:rPr>
                <w:sz w:val="20"/>
                <w:szCs w:val="20"/>
                <w:lang w:eastAsia="fr"/>
              </w:rPr>
              <w:t>voulu</w:t>
            </w:r>
            <w:proofErr w:type="spellEnd"/>
            <w:r w:rsidRPr="00227215">
              <w:rPr>
                <w:sz w:val="20"/>
                <w:szCs w:val="20"/>
                <w:lang w:eastAsia="fr"/>
              </w:rPr>
              <w:t xml:space="preserve"> (10)</w:t>
            </w:r>
          </w:p>
        </w:tc>
      </w:tr>
      <w:tr w:rsidR="00837A0F" w:rsidRPr="00227215" w14:paraId="09F9B48B" w14:textId="77777777" w:rsidTr="002E41D2">
        <w:trPr>
          <w:jc w:val="center"/>
        </w:trPr>
        <w:tc>
          <w:tcPr>
            <w:tcW w:w="1701" w:type="dxa"/>
            <w:shd w:val="clear" w:color="auto" w:fill="auto"/>
          </w:tcPr>
          <w:p w14:paraId="7B1E77F1" w14:textId="77777777" w:rsidR="00837A0F" w:rsidRPr="00227215" w:rsidRDefault="00837A0F" w:rsidP="002E41D2">
            <w:pPr>
              <w:widowControl w:val="0"/>
              <w:jc w:val="left"/>
              <w:rPr>
                <w:sz w:val="20"/>
                <w:szCs w:val="20"/>
                <w:lang w:eastAsia="en-CA"/>
              </w:rPr>
            </w:pPr>
            <w:r w:rsidRPr="00227215">
              <w:rPr>
                <w:sz w:val="20"/>
                <w:szCs w:val="20"/>
                <w:lang w:val="fr"/>
              </w:rPr>
              <w:t>Administratif</w:t>
            </w:r>
          </w:p>
        </w:tc>
        <w:tc>
          <w:tcPr>
            <w:tcW w:w="2263" w:type="dxa"/>
            <w:shd w:val="clear" w:color="auto" w:fill="auto"/>
          </w:tcPr>
          <w:p w14:paraId="5AEC4545" w14:textId="77777777" w:rsidR="00837A0F" w:rsidRPr="009C36E5" w:rsidRDefault="00837A0F" w:rsidP="002E41D2">
            <w:pPr>
              <w:widowControl w:val="0"/>
              <w:jc w:val="left"/>
              <w:rPr>
                <w:sz w:val="20"/>
                <w:szCs w:val="20"/>
                <w:lang w:val="fr-FR" w:eastAsia="en-CA"/>
              </w:rPr>
            </w:pPr>
            <w:r w:rsidRPr="00227215">
              <w:rPr>
                <w:sz w:val="20"/>
                <w:szCs w:val="20"/>
                <w:lang w:val="fr"/>
              </w:rPr>
              <w:t>Soumission de rapports périodiques en temps voulu</w:t>
            </w:r>
          </w:p>
        </w:tc>
        <w:tc>
          <w:tcPr>
            <w:tcW w:w="3861" w:type="dxa"/>
            <w:shd w:val="clear" w:color="auto" w:fill="auto"/>
          </w:tcPr>
          <w:p w14:paraId="352A577C" w14:textId="77777777" w:rsidR="00837A0F" w:rsidRPr="009C36E5" w:rsidRDefault="00837A0F" w:rsidP="002E41D2">
            <w:pPr>
              <w:widowControl w:val="0"/>
              <w:autoSpaceDE w:val="0"/>
              <w:autoSpaceDN w:val="0"/>
              <w:adjustRightInd w:val="0"/>
              <w:jc w:val="left"/>
              <w:rPr>
                <w:sz w:val="20"/>
                <w:szCs w:val="20"/>
                <w:lang w:val="fr-FR"/>
              </w:rPr>
            </w:pPr>
            <w:r w:rsidRPr="00227215">
              <w:rPr>
                <w:sz w:val="20"/>
                <w:szCs w:val="20"/>
                <w:lang w:val="fr"/>
              </w:rPr>
              <w:t>Soumission en temps voulu de rapports périodiques, de plans d’activités et de réponses, sauf accord contraire</w:t>
            </w:r>
          </w:p>
        </w:tc>
        <w:tc>
          <w:tcPr>
            <w:tcW w:w="1522" w:type="dxa"/>
          </w:tcPr>
          <w:p w14:paraId="346B0DB5" w14:textId="77777777" w:rsidR="00837A0F" w:rsidRPr="00227215" w:rsidRDefault="00837A0F" w:rsidP="002E41D2">
            <w:pPr>
              <w:jc w:val="right"/>
              <w:rPr>
                <w:sz w:val="20"/>
                <w:szCs w:val="20"/>
                <w:lang w:eastAsia="en-CA"/>
              </w:rPr>
            </w:pPr>
            <w:proofErr w:type="spellStart"/>
            <w:r w:rsidRPr="00227215">
              <w:rPr>
                <w:sz w:val="20"/>
                <w:szCs w:val="20"/>
                <w:lang w:eastAsia="fr"/>
              </w:rPr>
              <w:t>En</w:t>
            </w:r>
            <w:proofErr w:type="spellEnd"/>
            <w:r w:rsidRPr="00227215">
              <w:rPr>
                <w:sz w:val="20"/>
                <w:szCs w:val="20"/>
                <w:lang w:eastAsia="fr"/>
              </w:rPr>
              <w:t xml:space="preserve"> temps </w:t>
            </w:r>
            <w:proofErr w:type="spellStart"/>
            <w:r w:rsidRPr="00227215">
              <w:rPr>
                <w:sz w:val="20"/>
                <w:szCs w:val="20"/>
                <w:lang w:eastAsia="fr"/>
              </w:rPr>
              <w:t>voulu</w:t>
            </w:r>
            <w:proofErr w:type="spellEnd"/>
          </w:p>
        </w:tc>
      </w:tr>
    </w:tbl>
    <w:p w14:paraId="4B8FFF87" w14:textId="77777777" w:rsidR="00837A0F" w:rsidRPr="009C36E5" w:rsidRDefault="00837A0F" w:rsidP="00837A0F">
      <w:pPr>
        <w:autoSpaceDE w:val="0"/>
        <w:autoSpaceDN w:val="0"/>
        <w:adjustRightInd w:val="0"/>
        <w:rPr>
          <w:sz w:val="19"/>
          <w:szCs w:val="19"/>
          <w:lang w:val="fr-FR"/>
        </w:rPr>
      </w:pPr>
      <w:r w:rsidRPr="00227215">
        <w:rPr>
          <w:sz w:val="19"/>
          <w:szCs w:val="19"/>
          <w:lang w:val="fr"/>
        </w:rPr>
        <w:t>* L’objectif d’une agence serait réduit si elle ne parvenait pas à présenter une tranche due à une autre agence principale ou de coopération, sur accord de cette dernière.</w:t>
      </w:r>
    </w:p>
    <w:p w14:paraId="6E4ABF5F" w14:textId="77777777" w:rsidR="00837A0F" w:rsidRPr="009C36E5" w:rsidRDefault="00837A0F" w:rsidP="00837A0F">
      <w:pPr>
        <w:pStyle w:val="Heading1"/>
        <w:numPr>
          <w:ilvl w:val="0"/>
          <w:numId w:val="0"/>
        </w:numPr>
        <w:spacing w:after="0"/>
        <w:rPr>
          <w:sz w:val="19"/>
          <w:szCs w:val="19"/>
          <w:lang w:val="fr-FR"/>
        </w:rPr>
      </w:pPr>
      <w:r w:rsidRPr="00227215">
        <w:rPr>
          <w:sz w:val="19"/>
          <w:szCs w:val="19"/>
          <w:lang w:val="fr"/>
        </w:rPr>
        <w:t>** La préparation du projet ne doit pas être évaluée si le Comité exécutif n’a pas pris de décision quant à son financement.</w:t>
      </w:r>
    </w:p>
    <w:p w14:paraId="449C9DD7" w14:textId="77777777" w:rsidR="00837A0F" w:rsidRPr="009C36E5" w:rsidRDefault="00837A0F" w:rsidP="00837A0F">
      <w:pPr>
        <w:rPr>
          <w:lang w:val="fr-FR"/>
        </w:rPr>
      </w:pPr>
    </w:p>
    <w:p w14:paraId="47602489" w14:textId="77777777" w:rsidR="00837A0F" w:rsidRPr="00227215" w:rsidRDefault="00837A0F" w:rsidP="00837A0F">
      <w:pPr>
        <w:pStyle w:val="sub-title"/>
        <w:keepNext/>
        <w:spacing w:after="240"/>
        <w:rPr>
          <w:noProof w:val="0"/>
          <w:lang w:val="en-GB"/>
        </w:rPr>
      </w:pPr>
      <w:r w:rsidRPr="00227215">
        <w:rPr>
          <w:noProof w:val="0"/>
          <w:lang w:val="fr"/>
        </w:rPr>
        <w:t>RECOMMANDATION</w:t>
      </w:r>
    </w:p>
    <w:p w14:paraId="4E667708" w14:textId="77777777" w:rsidR="00837A0F" w:rsidRPr="009C36E5" w:rsidRDefault="00837A0F" w:rsidP="00837A0F">
      <w:pPr>
        <w:pStyle w:val="Heading1"/>
        <w:rPr>
          <w:lang w:val="fr-FR"/>
        </w:rPr>
      </w:pPr>
      <w:r w:rsidRPr="009C36E5">
        <w:rPr>
          <w:lang w:val="fr-FR"/>
        </w:rPr>
        <w:t>Le Comité exécutif pourrait souhaiter :</w:t>
      </w:r>
    </w:p>
    <w:p w14:paraId="4BF150E3" w14:textId="753004E5" w:rsidR="00837A0F" w:rsidRPr="009C36E5" w:rsidRDefault="00837A0F" w:rsidP="00837A0F">
      <w:pPr>
        <w:pStyle w:val="Heading2"/>
        <w:numPr>
          <w:ilvl w:val="1"/>
          <w:numId w:val="1"/>
        </w:numPr>
        <w:rPr>
          <w:lang w:val="fr-FR"/>
        </w:rPr>
      </w:pPr>
      <w:r w:rsidRPr="009C36E5">
        <w:rPr>
          <w:lang w:val="fr-FR"/>
        </w:rPr>
        <w:t>Prendre note du plan d’activités de la Banque mondiale pour 2022-2024, figurant dans le document PNUE/</w:t>
      </w:r>
      <w:proofErr w:type="spellStart"/>
      <w:r w:rsidRPr="009C36E5">
        <w:rPr>
          <w:lang w:val="fr-FR"/>
        </w:rPr>
        <w:t>OzL.Pro</w:t>
      </w:r>
      <w:proofErr w:type="spellEnd"/>
      <w:r w:rsidRPr="009C36E5">
        <w:rPr>
          <w:lang w:val="fr-FR"/>
        </w:rPr>
        <w:t>/</w:t>
      </w:r>
      <w:proofErr w:type="spellStart"/>
      <w:r w:rsidRPr="009C36E5">
        <w:rPr>
          <w:lang w:val="fr-FR"/>
        </w:rPr>
        <w:t>ExCom</w:t>
      </w:r>
      <w:proofErr w:type="spellEnd"/>
      <w:r w:rsidRPr="009C36E5">
        <w:rPr>
          <w:lang w:val="fr-FR"/>
        </w:rPr>
        <w:t>/88/27 ; et</w:t>
      </w:r>
    </w:p>
    <w:p w14:paraId="03B8EC49" w14:textId="77777777" w:rsidR="00837A0F" w:rsidRPr="009C36E5" w:rsidRDefault="00837A0F" w:rsidP="00837A0F">
      <w:pPr>
        <w:pStyle w:val="Heading2"/>
        <w:numPr>
          <w:ilvl w:val="1"/>
          <w:numId w:val="1"/>
        </w:numPr>
        <w:rPr>
          <w:lang w:val="fr-FR"/>
        </w:rPr>
      </w:pPr>
      <w:r w:rsidRPr="009C36E5">
        <w:rPr>
          <w:lang w:val="fr-FR"/>
        </w:rPr>
        <w:t>Approuver les indicateurs d'efficacité de la Banque mondiale figurant au Tableau 2 du document UNEP/</w:t>
      </w:r>
      <w:proofErr w:type="spellStart"/>
      <w:r w:rsidRPr="009C36E5">
        <w:rPr>
          <w:lang w:val="fr-FR"/>
        </w:rPr>
        <w:t>OzL.Pro</w:t>
      </w:r>
      <w:proofErr w:type="spellEnd"/>
      <w:r w:rsidRPr="009C36E5">
        <w:rPr>
          <w:lang w:val="fr-FR"/>
        </w:rPr>
        <w:t>/</w:t>
      </w:r>
      <w:proofErr w:type="spellStart"/>
      <w:r w:rsidRPr="009C36E5">
        <w:rPr>
          <w:lang w:val="fr-FR"/>
        </w:rPr>
        <w:t>ExCom</w:t>
      </w:r>
      <w:proofErr w:type="spellEnd"/>
      <w:r w:rsidRPr="009C36E5">
        <w:rPr>
          <w:lang w:val="fr-FR"/>
        </w:rPr>
        <w:t>/88/27.</w:t>
      </w:r>
    </w:p>
    <w:sectPr w:rsidR="00837A0F" w:rsidRPr="009C36E5"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625E9" w14:textId="77777777" w:rsidR="00E83CC6" w:rsidRDefault="00E83CC6" w:rsidP="004A504B">
      <w:r>
        <w:separator/>
      </w:r>
    </w:p>
  </w:endnote>
  <w:endnote w:type="continuationSeparator" w:id="0">
    <w:p w14:paraId="0CC6E6F2" w14:textId="77777777" w:rsidR="00E83CC6" w:rsidRDefault="00E83CC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7BE8" w14:textId="43A0E8D4" w:rsidR="00DC6A10" w:rsidRPr="0033525D" w:rsidRDefault="00BC2495">
    <w:pPr>
      <w:jc w:val="center"/>
    </w:pPr>
    <w:r>
      <w:fldChar w:fldCharType="begin"/>
    </w:r>
    <w:r w:rsidR="00851352">
      <w:instrText xml:space="preserve"> PAGE </w:instrText>
    </w:r>
    <w:r>
      <w:fldChar w:fldCharType="separate"/>
    </w:r>
    <w:r w:rsidR="008E577D">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FF0C" w14:textId="325CABB4" w:rsidR="00DC6A10" w:rsidRPr="0033525D" w:rsidRDefault="00BC2495">
    <w:pPr>
      <w:jc w:val="center"/>
    </w:pPr>
    <w:r>
      <w:fldChar w:fldCharType="begin"/>
    </w:r>
    <w:r w:rsidR="00851352">
      <w:instrText xml:space="preserve"> PAGE </w:instrText>
    </w:r>
    <w:r>
      <w:fldChar w:fldCharType="separate"/>
    </w:r>
    <w:r w:rsidR="008E577D">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361EE" w14:textId="77777777" w:rsidR="004E7F9C" w:rsidRPr="009C36E5" w:rsidRDefault="004E7F9C" w:rsidP="004E7F9C">
    <w:pPr>
      <w:pBdr>
        <w:top w:val="single" w:sz="4" w:space="1" w:color="auto"/>
        <w:left w:val="single" w:sz="4" w:space="4" w:color="auto"/>
        <w:bottom w:val="single" w:sz="4" w:space="1" w:color="auto"/>
        <w:right w:val="single" w:sz="4" w:space="4" w:color="auto"/>
      </w:pBdr>
      <w:jc w:val="center"/>
      <w:rPr>
        <w:sz w:val="18"/>
        <w:szCs w:val="18"/>
        <w:lang w:val="fr-FR"/>
      </w:rPr>
    </w:pPr>
    <w:r w:rsidRPr="009C36E5">
      <w:rPr>
        <w:sz w:val="18"/>
        <w:szCs w:val="18"/>
        <w:lang w:val="fr-FR"/>
      </w:rPr>
      <w:t>Les documents de présession du Comité exécutif du Fonds multilatéral aux fins d’application du Protocole de Montréal sont présentés sous réserve des décisions pouvant être prises par le Comité exécutif après leur publication.</w:t>
    </w:r>
  </w:p>
  <w:p w14:paraId="3F409F5C" w14:textId="77777777" w:rsidR="004E7F9C" w:rsidRPr="009C36E5" w:rsidRDefault="004E7F9C" w:rsidP="004E7F9C">
    <w:pPr>
      <w:pBdr>
        <w:top w:val="single" w:sz="4" w:space="1" w:color="auto"/>
        <w:left w:val="single" w:sz="4" w:space="4" w:color="auto"/>
        <w:bottom w:val="single" w:sz="4" w:space="1" w:color="auto"/>
        <w:right w:val="single" w:sz="4" w:space="4" w:color="auto"/>
      </w:pBdr>
      <w:jc w:val="center"/>
      <w:rPr>
        <w:sz w:val="18"/>
        <w:szCs w:val="18"/>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50420" w14:textId="77777777" w:rsidR="00E83CC6" w:rsidRDefault="00E83CC6" w:rsidP="004A504B">
      <w:r>
        <w:separator/>
      </w:r>
    </w:p>
  </w:footnote>
  <w:footnote w:type="continuationSeparator" w:id="0">
    <w:p w14:paraId="0C0B989E" w14:textId="77777777" w:rsidR="00E83CC6" w:rsidRDefault="00E83CC6" w:rsidP="004A504B">
      <w:r>
        <w:continuationSeparator/>
      </w:r>
    </w:p>
  </w:footnote>
  <w:footnote w:id="1">
    <w:p w14:paraId="41E23E40" w14:textId="77777777" w:rsidR="00B86471" w:rsidRPr="009C36E5" w:rsidRDefault="00B86471">
      <w:pPr>
        <w:pStyle w:val="FootnoteText"/>
        <w:rPr>
          <w:lang w:val="fr-FR"/>
        </w:rPr>
      </w:pPr>
      <w:r w:rsidRPr="00227215">
        <w:rPr>
          <w:rStyle w:val="FootnoteReference"/>
        </w:rPr>
        <w:footnoteRef/>
      </w:r>
      <w:r w:rsidRPr="009C36E5">
        <w:rPr>
          <w:lang w:val="fr-FR"/>
        </w:rPr>
        <w:t xml:space="preserve"> Des réunions en ligne et un processus d'approbation intersessions auront lieu en novembre et décembre 2021 en raison de la maladie à coronavirus (COVID-19).</w:t>
      </w:r>
    </w:p>
  </w:footnote>
  <w:footnote w:id="2">
    <w:p w14:paraId="1F7AFF69" w14:textId="23408903" w:rsidR="00837A0F" w:rsidRDefault="00837A0F" w:rsidP="00837A0F">
      <w:pPr>
        <w:pStyle w:val="FootnoteText"/>
        <w:rPr>
          <w:lang w:val="fr-FR"/>
        </w:rPr>
      </w:pPr>
      <w:r w:rsidRPr="00227215">
        <w:rPr>
          <w:rStyle w:val="FootnoteReference"/>
        </w:rPr>
        <w:footnoteRef/>
      </w:r>
      <w:r w:rsidRPr="009C36E5">
        <w:rPr>
          <w:lang w:val="fr-FR"/>
        </w:rPr>
        <w:t xml:space="preserve"> Compte tenu des contraintes imposées par la pandémie de COVID-19, les commentaires du Secrétariat sur la soumission initiale du plan d'activités de la Banque mondiale pour 2022-2024 ont été traités dans le cadre de discussions bilatérales et de nombreux échanges de messages électroniques. Tous les problèmes ont été résolus de manière satisfaisante.</w:t>
      </w:r>
    </w:p>
    <w:p w14:paraId="7DD4F83A" w14:textId="6E43B57D" w:rsidR="0075272B" w:rsidRDefault="0075272B" w:rsidP="00837A0F">
      <w:pPr>
        <w:pStyle w:val="FootnoteText"/>
        <w:rPr>
          <w:lang w:val="fr-FR"/>
        </w:rPr>
      </w:pPr>
    </w:p>
    <w:p w14:paraId="36967652" w14:textId="4545EFA5" w:rsidR="0075272B" w:rsidRDefault="0075272B" w:rsidP="00837A0F">
      <w:pPr>
        <w:pStyle w:val="FootnoteText"/>
        <w:rPr>
          <w:lang w:val="fr-FR"/>
        </w:rPr>
      </w:pPr>
    </w:p>
    <w:p w14:paraId="27076E33" w14:textId="77777777" w:rsidR="0075272B" w:rsidRPr="009C36E5" w:rsidRDefault="0075272B" w:rsidP="00837A0F">
      <w:pPr>
        <w:pStyle w:val="FootnoteText"/>
        <w:rPr>
          <w:lang w:val="fr-FR"/>
        </w:rPr>
      </w:pPr>
    </w:p>
  </w:footnote>
  <w:footnote w:id="3">
    <w:p w14:paraId="4CA510AC" w14:textId="132577AF" w:rsidR="00837A0F" w:rsidRPr="009C36E5" w:rsidRDefault="00837A0F" w:rsidP="00837A0F">
      <w:pPr>
        <w:pStyle w:val="FootnoteText"/>
        <w:rPr>
          <w:lang w:val="fr-FR"/>
        </w:rPr>
      </w:pPr>
      <w:r w:rsidRPr="00227215">
        <w:rPr>
          <w:rStyle w:val="FootnoteReference"/>
        </w:rPr>
        <w:footnoteRef/>
      </w:r>
      <w:r w:rsidRPr="009C36E5">
        <w:rPr>
          <w:lang w:val="fr-FR"/>
        </w:rPr>
        <w:t xml:space="preserve"> Un financement pourrait être accordé pour la préparation de plans nationaux de mise en œuvre afin de respecter les premières obligations de réduction dans le cadre de la réduction progressive cinq ans avant ces obligations, au plus tôt, à la suite de la ratification de l’Amendement de Kigali par le pays et conformémentaux lignes directrices qui seront approuvées (décision 79/46 b) iii)). En outre, la décision 84/46 (f) a autorisé l'inclusion des activités de préparation de la réduction progressive des HFC dans les pays qui n’ont pas ratifié l’Amendement de Kigali, mais qui ont remis une lettre précisant l’intention du gouvernement de faire de son mieux pour ratifier cet Amendement. Les lignes directrices pour la préparation des KIP ont été approuvées à la 87</w:t>
      </w:r>
      <w:r w:rsidR="00F50C85" w:rsidRPr="009C36E5">
        <w:rPr>
          <w:vertAlign w:val="superscript"/>
          <w:lang w:val="fr-FR"/>
        </w:rPr>
        <w:t>e</w:t>
      </w:r>
      <w:r w:rsidRPr="009C36E5">
        <w:rPr>
          <w:lang w:val="fr-FR"/>
        </w:rPr>
        <w:t xml:space="preserve"> réunion (décision 87/50). </w:t>
      </w:r>
    </w:p>
  </w:footnote>
  <w:footnote w:id="4">
    <w:p w14:paraId="737D72CB" w14:textId="1F6D2C66" w:rsidR="00837A0F" w:rsidRPr="009C36E5" w:rsidRDefault="00837A0F" w:rsidP="00837A0F">
      <w:pPr>
        <w:pStyle w:val="FootnoteText"/>
        <w:rPr>
          <w:lang w:val="fr-FR"/>
        </w:rPr>
      </w:pPr>
      <w:r w:rsidRPr="00227215">
        <w:rPr>
          <w:rStyle w:val="FootnoteReference"/>
        </w:rPr>
        <w:footnoteRef/>
      </w:r>
      <w:r w:rsidRPr="009C36E5">
        <w:rPr>
          <w:lang w:val="fr-FR"/>
        </w:rPr>
        <w:t xml:space="preserve"> Les coûts unitaires de base retenus par la Banque mondiale pour 2022 seront examinés lors de la 88</w:t>
      </w:r>
      <w:r w:rsidRPr="009C36E5">
        <w:rPr>
          <w:vertAlign w:val="superscript"/>
          <w:lang w:val="fr-FR"/>
        </w:rPr>
        <w:t>e</w:t>
      </w:r>
      <w:r w:rsidRPr="009C36E5">
        <w:rPr>
          <w:lang w:val="fr-FR"/>
        </w:rPr>
        <w:t xml:space="preserve"> réunion (UNEP/OzL.Pro/ExCom/88/35).</w:t>
      </w:r>
    </w:p>
  </w:footnote>
  <w:footnote w:id="5">
    <w:p w14:paraId="2EA9CD8F" w14:textId="363D7C9F" w:rsidR="00837A0F" w:rsidRPr="009C36E5" w:rsidRDefault="00837A0F" w:rsidP="00837A0F">
      <w:pPr>
        <w:pStyle w:val="FootnoteText"/>
        <w:rPr>
          <w:lang w:val="fr-FR"/>
        </w:rPr>
      </w:pPr>
      <w:r w:rsidRPr="00227215">
        <w:rPr>
          <w:rStyle w:val="FootnoteReference"/>
        </w:rPr>
        <w:footnoteRef/>
      </w:r>
      <w:r w:rsidRPr="009C36E5">
        <w:rPr>
          <w:lang w:val="fr-FR"/>
        </w:rPr>
        <w:t xml:space="preserve"> En l'absence de décision des Parties sur le niveau de la reconstitution du Fonds multilatéral pour la période triennale 2021</w:t>
      </w:r>
      <w:r w:rsidRPr="009C36E5">
        <w:rPr>
          <w:lang w:val="fr-FR"/>
        </w:rPr>
        <w:noBreakHyphen/>
        <w:t>2023 et à la lumière de la décision XXXII/1, il a été estimé que le budget indicatif pour l'allocation des ressources du plan d'activités pour 2022-2024 serait au même niveau que la reconstitution de la période triennale 2018-2020. Cette question est abordée dans le plan d'activités consolidé du Fonds multilatéral pour 2022-2024 (UNEP/OzL.Pro/ExCom/88/22).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8399" w14:textId="197A70B9" w:rsidR="00DC6A10" w:rsidRPr="0033525D" w:rsidRDefault="000D17D6">
    <w:r>
      <w:fldChar w:fldCharType="begin"/>
    </w:r>
    <w:r>
      <w:instrText xml:space="preserve"> DOCPROPERTY "Document number"  \* MERGEFORMAT </w:instrText>
    </w:r>
    <w:r>
      <w:fldChar w:fldCharType="separate"/>
    </w:r>
    <w:r w:rsidR="009C36E5">
      <w:t xml:space="preserve"> UNEP/</w:t>
    </w:r>
    <w:proofErr w:type="spellStart"/>
    <w:r w:rsidR="009C36E5">
      <w:t>OzL.Pro</w:t>
    </w:r>
    <w:proofErr w:type="spellEnd"/>
    <w:r w:rsidR="009C36E5">
      <w:t>/</w:t>
    </w:r>
    <w:proofErr w:type="spellStart"/>
    <w:r w:rsidR="009C36E5">
      <w:t>ExCom</w:t>
    </w:r>
    <w:proofErr w:type="spellEnd"/>
    <w:r w:rsidR="009C36E5">
      <w:t>/88/27</w:t>
    </w:r>
    <w:r>
      <w:fldChar w:fldCharType="end"/>
    </w:r>
  </w:p>
  <w:p w14:paraId="37552B65" w14:textId="77777777" w:rsidR="00DC6A10" w:rsidRPr="0033525D" w:rsidRDefault="00DC6A10"/>
  <w:p w14:paraId="596E9EFA" w14:textId="77777777"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91EC" w14:textId="0BD46953" w:rsidR="00DC6A10" w:rsidRPr="0033525D" w:rsidRDefault="000D17D6">
    <w:pPr>
      <w:jc w:val="right"/>
    </w:pPr>
    <w:r>
      <w:fldChar w:fldCharType="begin"/>
    </w:r>
    <w:r>
      <w:instrText xml:space="preserve"> DOCPROPERTY "Document number"  \* MERGEFORMAT </w:instrText>
    </w:r>
    <w:r>
      <w:fldChar w:fldCharType="separate"/>
    </w:r>
    <w:r w:rsidR="009C36E5">
      <w:t xml:space="preserve"> UNEP/</w:t>
    </w:r>
    <w:proofErr w:type="spellStart"/>
    <w:r w:rsidR="009C36E5">
      <w:t>OzL.Pro</w:t>
    </w:r>
    <w:proofErr w:type="spellEnd"/>
    <w:r w:rsidR="009C36E5">
      <w:t>/</w:t>
    </w:r>
    <w:proofErr w:type="spellStart"/>
    <w:r w:rsidR="009C36E5">
      <w:t>ExCom</w:t>
    </w:r>
    <w:proofErr w:type="spellEnd"/>
    <w:r w:rsidR="009C36E5">
      <w:t>/88/27</w:t>
    </w:r>
    <w:r>
      <w:fldChar w:fldCharType="end"/>
    </w:r>
  </w:p>
  <w:p w14:paraId="6617EB04" w14:textId="77777777" w:rsidR="00DC6A10" w:rsidRPr="0033525D" w:rsidRDefault="00DC6A10"/>
  <w:p w14:paraId="3E9FE1F4" w14:textId="77777777"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837A0F"/>
    <w:rsid w:val="00000FED"/>
    <w:rsid w:val="0000434E"/>
    <w:rsid w:val="000211A9"/>
    <w:rsid w:val="00031260"/>
    <w:rsid w:val="0003681A"/>
    <w:rsid w:val="000372B7"/>
    <w:rsid w:val="00050F6E"/>
    <w:rsid w:val="00061EC2"/>
    <w:rsid w:val="00066CE8"/>
    <w:rsid w:val="00080ED0"/>
    <w:rsid w:val="00085B8F"/>
    <w:rsid w:val="00090481"/>
    <w:rsid w:val="000A3826"/>
    <w:rsid w:val="000A6C26"/>
    <w:rsid w:val="000B7D87"/>
    <w:rsid w:val="000C59B5"/>
    <w:rsid w:val="000D17D6"/>
    <w:rsid w:val="000D52A4"/>
    <w:rsid w:val="000E07BC"/>
    <w:rsid w:val="000E7CF2"/>
    <w:rsid w:val="000F1CD4"/>
    <w:rsid w:val="000F4103"/>
    <w:rsid w:val="000F70A7"/>
    <w:rsid w:val="00113CCA"/>
    <w:rsid w:val="00122F25"/>
    <w:rsid w:val="00135980"/>
    <w:rsid w:val="00164719"/>
    <w:rsid w:val="00166FC4"/>
    <w:rsid w:val="001677AC"/>
    <w:rsid w:val="001804EA"/>
    <w:rsid w:val="00190245"/>
    <w:rsid w:val="00190A61"/>
    <w:rsid w:val="001A2215"/>
    <w:rsid w:val="001A3342"/>
    <w:rsid w:val="001A3E3D"/>
    <w:rsid w:val="001A7049"/>
    <w:rsid w:val="001B1E40"/>
    <w:rsid w:val="001C764E"/>
    <w:rsid w:val="001E1052"/>
    <w:rsid w:val="001E21B1"/>
    <w:rsid w:val="001E2F93"/>
    <w:rsid w:val="001E4554"/>
    <w:rsid w:val="001E61E5"/>
    <w:rsid w:val="001F0BAD"/>
    <w:rsid w:val="001F2159"/>
    <w:rsid w:val="001F3F97"/>
    <w:rsid w:val="00210B8B"/>
    <w:rsid w:val="00214863"/>
    <w:rsid w:val="002156B4"/>
    <w:rsid w:val="00224FCD"/>
    <w:rsid w:val="00227215"/>
    <w:rsid w:val="00253222"/>
    <w:rsid w:val="00262847"/>
    <w:rsid w:val="00281BB2"/>
    <w:rsid w:val="002B254E"/>
    <w:rsid w:val="002B532E"/>
    <w:rsid w:val="002B72E9"/>
    <w:rsid w:val="002B7B4A"/>
    <w:rsid w:val="002C7998"/>
    <w:rsid w:val="002F1E53"/>
    <w:rsid w:val="002F2CAA"/>
    <w:rsid w:val="0030052C"/>
    <w:rsid w:val="003306E1"/>
    <w:rsid w:val="003320E4"/>
    <w:rsid w:val="0033525D"/>
    <w:rsid w:val="003414F3"/>
    <w:rsid w:val="00353FB4"/>
    <w:rsid w:val="0035613E"/>
    <w:rsid w:val="00363EE9"/>
    <w:rsid w:val="00376128"/>
    <w:rsid w:val="0037742E"/>
    <w:rsid w:val="00377D56"/>
    <w:rsid w:val="0038245A"/>
    <w:rsid w:val="003840E6"/>
    <w:rsid w:val="00385CFC"/>
    <w:rsid w:val="0039337A"/>
    <w:rsid w:val="003A3189"/>
    <w:rsid w:val="003A3CA7"/>
    <w:rsid w:val="003B33BD"/>
    <w:rsid w:val="003B569D"/>
    <w:rsid w:val="003C3C0E"/>
    <w:rsid w:val="003D42A6"/>
    <w:rsid w:val="003D4F21"/>
    <w:rsid w:val="003D4FAC"/>
    <w:rsid w:val="003E7906"/>
    <w:rsid w:val="003F3C50"/>
    <w:rsid w:val="003F5B57"/>
    <w:rsid w:val="00406A6A"/>
    <w:rsid w:val="00406B22"/>
    <w:rsid w:val="004328A7"/>
    <w:rsid w:val="00434C74"/>
    <w:rsid w:val="00456EB4"/>
    <w:rsid w:val="004718F3"/>
    <w:rsid w:val="00475040"/>
    <w:rsid w:val="00486FF9"/>
    <w:rsid w:val="00493D40"/>
    <w:rsid w:val="004967B6"/>
    <w:rsid w:val="004A504B"/>
    <w:rsid w:val="004A6911"/>
    <w:rsid w:val="004B54E0"/>
    <w:rsid w:val="004B7384"/>
    <w:rsid w:val="004C4269"/>
    <w:rsid w:val="004D6236"/>
    <w:rsid w:val="004D7F90"/>
    <w:rsid w:val="004E4DBB"/>
    <w:rsid w:val="004E4E41"/>
    <w:rsid w:val="004E576E"/>
    <w:rsid w:val="004E7F9C"/>
    <w:rsid w:val="004F3493"/>
    <w:rsid w:val="004F5143"/>
    <w:rsid w:val="00512B09"/>
    <w:rsid w:val="005220ED"/>
    <w:rsid w:val="00533796"/>
    <w:rsid w:val="00537343"/>
    <w:rsid w:val="00553085"/>
    <w:rsid w:val="00555D75"/>
    <w:rsid w:val="00560DF0"/>
    <w:rsid w:val="0056759C"/>
    <w:rsid w:val="0059513E"/>
    <w:rsid w:val="005A6AA4"/>
    <w:rsid w:val="005A6D8D"/>
    <w:rsid w:val="005A6D9F"/>
    <w:rsid w:val="005B48FF"/>
    <w:rsid w:val="005D363F"/>
    <w:rsid w:val="005F426D"/>
    <w:rsid w:val="00604C15"/>
    <w:rsid w:val="006158D5"/>
    <w:rsid w:val="00625D83"/>
    <w:rsid w:val="006623E7"/>
    <w:rsid w:val="00662B80"/>
    <w:rsid w:val="00670F6C"/>
    <w:rsid w:val="006852C7"/>
    <w:rsid w:val="006852CE"/>
    <w:rsid w:val="00692D14"/>
    <w:rsid w:val="006B65C7"/>
    <w:rsid w:val="006C1727"/>
    <w:rsid w:val="006C1E9F"/>
    <w:rsid w:val="006C32FD"/>
    <w:rsid w:val="006C39CE"/>
    <w:rsid w:val="006D0FCC"/>
    <w:rsid w:val="006D21F5"/>
    <w:rsid w:val="006E126D"/>
    <w:rsid w:val="006E1FC3"/>
    <w:rsid w:val="00704CE9"/>
    <w:rsid w:val="0070616B"/>
    <w:rsid w:val="00706295"/>
    <w:rsid w:val="00706FDA"/>
    <w:rsid w:val="00711F9A"/>
    <w:rsid w:val="00713810"/>
    <w:rsid w:val="0071678B"/>
    <w:rsid w:val="007303A5"/>
    <w:rsid w:val="00730B3E"/>
    <w:rsid w:val="0073420B"/>
    <w:rsid w:val="00747596"/>
    <w:rsid w:val="0074760E"/>
    <w:rsid w:val="0075272B"/>
    <w:rsid w:val="00754ABA"/>
    <w:rsid w:val="00782B0D"/>
    <w:rsid w:val="007A1546"/>
    <w:rsid w:val="007A228C"/>
    <w:rsid w:val="007A368E"/>
    <w:rsid w:val="007A5868"/>
    <w:rsid w:val="007B04CE"/>
    <w:rsid w:val="007B6871"/>
    <w:rsid w:val="007B7A2F"/>
    <w:rsid w:val="007C3D33"/>
    <w:rsid w:val="007D294A"/>
    <w:rsid w:val="007D47D2"/>
    <w:rsid w:val="007D6EC0"/>
    <w:rsid w:val="007D7E1D"/>
    <w:rsid w:val="008128A5"/>
    <w:rsid w:val="00831979"/>
    <w:rsid w:val="00837A0F"/>
    <w:rsid w:val="00851352"/>
    <w:rsid w:val="00857077"/>
    <w:rsid w:val="00863230"/>
    <w:rsid w:val="00865BD0"/>
    <w:rsid w:val="008717D8"/>
    <w:rsid w:val="0087215C"/>
    <w:rsid w:val="00875D25"/>
    <w:rsid w:val="00880E35"/>
    <w:rsid w:val="008875FE"/>
    <w:rsid w:val="00887F8E"/>
    <w:rsid w:val="00896234"/>
    <w:rsid w:val="00897E43"/>
    <w:rsid w:val="008C5738"/>
    <w:rsid w:val="008C7EAD"/>
    <w:rsid w:val="008D0CFE"/>
    <w:rsid w:val="008D6152"/>
    <w:rsid w:val="008E577D"/>
    <w:rsid w:val="008E7BA9"/>
    <w:rsid w:val="008F0F81"/>
    <w:rsid w:val="008F27BF"/>
    <w:rsid w:val="009142EC"/>
    <w:rsid w:val="009154C3"/>
    <w:rsid w:val="00923540"/>
    <w:rsid w:val="00926767"/>
    <w:rsid w:val="009361D5"/>
    <w:rsid w:val="009422D3"/>
    <w:rsid w:val="009428A4"/>
    <w:rsid w:val="009659F4"/>
    <w:rsid w:val="00970D60"/>
    <w:rsid w:val="009871A8"/>
    <w:rsid w:val="0099390E"/>
    <w:rsid w:val="009960E5"/>
    <w:rsid w:val="009A7ADC"/>
    <w:rsid w:val="009B0D30"/>
    <w:rsid w:val="009C19B7"/>
    <w:rsid w:val="009C36E5"/>
    <w:rsid w:val="009C4FD0"/>
    <w:rsid w:val="009C5ABB"/>
    <w:rsid w:val="009D7C51"/>
    <w:rsid w:val="009E196C"/>
    <w:rsid w:val="009F1E3D"/>
    <w:rsid w:val="009F2542"/>
    <w:rsid w:val="009F36BF"/>
    <w:rsid w:val="00A111B6"/>
    <w:rsid w:val="00A26D27"/>
    <w:rsid w:val="00A325CA"/>
    <w:rsid w:val="00A35B21"/>
    <w:rsid w:val="00A376EE"/>
    <w:rsid w:val="00A42A99"/>
    <w:rsid w:val="00A465FE"/>
    <w:rsid w:val="00A5151A"/>
    <w:rsid w:val="00A57E0A"/>
    <w:rsid w:val="00A823F6"/>
    <w:rsid w:val="00A8719E"/>
    <w:rsid w:val="00AA0A89"/>
    <w:rsid w:val="00AA6429"/>
    <w:rsid w:val="00AB6ADA"/>
    <w:rsid w:val="00AC01AA"/>
    <w:rsid w:val="00AC4F72"/>
    <w:rsid w:val="00AC5F59"/>
    <w:rsid w:val="00AF741A"/>
    <w:rsid w:val="00B01ADB"/>
    <w:rsid w:val="00B04161"/>
    <w:rsid w:val="00B056F9"/>
    <w:rsid w:val="00B11E3D"/>
    <w:rsid w:val="00B17E82"/>
    <w:rsid w:val="00B312D1"/>
    <w:rsid w:val="00B4575A"/>
    <w:rsid w:val="00B575BA"/>
    <w:rsid w:val="00B71608"/>
    <w:rsid w:val="00B76429"/>
    <w:rsid w:val="00B86471"/>
    <w:rsid w:val="00B956D4"/>
    <w:rsid w:val="00B97446"/>
    <w:rsid w:val="00BA7432"/>
    <w:rsid w:val="00BB1F74"/>
    <w:rsid w:val="00BB2764"/>
    <w:rsid w:val="00BC1AA0"/>
    <w:rsid w:val="00BC2495"/>
    <w:rsid w:val="00BC7EB9"/>
    <w:rsid w:val="00BD2643"/>
    <w:rsid w:val="00BD56B1"/>
    <w:rsid w:val="00BD6558"/>
    <w:rsid w:val="00BF2F76"/>
    <w:rsid w:val="00BF3022"/>
    <w:rsid w:val="00BF3214"/>
    <w:rsid w:val="00BF5573"/>
    <w:rsid w:val="00C15867"/>
    <w:rsid w:val="00C2296D"/>
    <w:rsid w:val="00C23155"/>
    <w:rsid w:val="00C40C41"/>
    <w:rsid w:val="00C45885"/>
    <w:rsid w:val="00C50F22"/>
    <w:rsid w:val="00C57971"/>
    <w:rsid w:val="00C65BD7"/>
    <w:rsid w:val="00C76BA4"/>
    <w:rsid w:val="00C83A48"/>
    <w:rsid w:val="00C85865"/>
    <w:rsid w:val="00C85E85"/>
    <w:rsid w:val="00C975BD"/>
    <w:rsid w:val="00CA2EAE"/>
    <w:rsid w:val="00CA4AC1"/>
    <w:rsid w:val="00CB0316"/>
    <w:rsid w:val="00CB0B11"/>
    <w:rsid w:val="00CB426A"/>
    <w:rsid w:val="00CB5354"/>
    <w:rsid w:val="00CC3C9E"/>
    <w:rsid w:val="00CC6A14"/>
    <w:rsid w:val="00CC70A3"/>
    <w:rsid w:val="00CD4442"/>
    <w:rsid w:val="00CD53C3"/>
    <w:rsid w:val="00CD574E"/>
    <w:rsid w:val="00CE4C22"/>
    <w:rsid w:val="00CE76E5"/>
    <w:rsid w:val="00CF4149"/>
    <w:rsid w:val="00CF41EC"/>
    <w:rsid w:val="00CF5D04"/>
    <w:rsid w:val="00D04DE4"/>
    <w:rsid w:val="00D050A1"/>
    <w:rsid w:val="00D063F1"/>
    <w:rsid w:val="00D14F22"/>
    <w:rsid w:val="00D4741C"/>
    <w:rsid w:val="00D57918"/>
    <w:rsid w:val="00D73DC6"/>
    <w:rsid w:val="00D74C1A"/>
    <w:rsid w:val="00D754C1"/>
    <w:rsid w:val="00D77393"/>
    <w:rsid w:val="00D77A35"/>
    <w:rsid w:val="00D81B3E"/>
    <w:rsid w:val="00D90C70"/>
    <w:rsid w:val="00D90E49"/>
    <w:rsid w:val="00D96ADE"/>
    <w:rsid w:val="00DA0CE2"/>
    <w:rsid w:val="00DC6A10"/>
    <w:rsid w:val="00DE657E"/>
    <w:rsid w:val="00DF4704"/>
    <w:rsid w:val="00E024AA"/>
    <w:rsid w:val="00E15C77"/>
    <w:rsid w:val="00E250F1"/>
    <w:rsid w:val="00E3550D"/>
    <w:rsid w:val="00E52838"/>
    <w:rsid w:val="00E614E0"/>
    <w:rsid w:val="00E73F7F"/>
    <w:rsid w:val="00E83CC6"/>
    <w:rsid w:val="00E85409"/>
    <w:rsid w:val="00EA429F"/>
    <w:rsid w:val="00EA4F9E"/>
    <w:rsid w:val="00EA63CA"/>
    <w:rsid w:val="00EA6D3B"/>
    <w:rsid w:val="00EB00AD"/>
    <w:rsid w:val="00EB136C"/>
    <w:rsid w:val="00EB480E"/>
    <w:rsid w:val="00EB5EC6"/>
    <w:rsid w:val="00EB77AA"/>
    <w:rsid w:val="00EB7FC9"/>
    <w:rsid w:val="00ED27E8"/>
    <w:rsid w:val="00ED7137"/>
    <w:rsid w:val="00EE126D"/>
    <w:rsid w:val="00EF06EA"/>
    <w:rsid w:val="00EF6A82"/>
    <w:rsid w:val="00F21088"/>
    <w:rsid w:val="00F327E7"/>
    <w:rsid w:val="00F35746"/>
    <w:rsid w:val="00F447C7"/>
    <w:rsid w:val="00F459B4"/>
    <w:rsid w:val="00F50C85"/>
    <w:rsid w:val="00F5211B"/>
    <w:rsid w:val="00F554A9"/>
    <w:rsid w:val="00F617C3"/>
    <w:rsid w:val="00F716FD"/>
    <w:rsid w:val="00F80355"/>
    <w:rsid w:val="00F87C43"/>
    <w:rsid w:val="00FA5722"/>
    <w:rsid w:val="00FB0C81"/>
    <w:rsid w:val="00FC2200"/>
    <w:rsid w:val="00FC2540"/>
    <w:rsid w:val="00FD3067"/>
    <w:rsid w:val="00FE1FA7"/>
    <w:rsid w:val="00FE718E"/>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09487"/>
  <w15:docId w15:val="{00DDA678-9438-4D78-86FE-6C845AA3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semiHidden/>
    <w:unhideWhenUsed/>
    <w:rsid w:val="006E126D"/>
    <w:rPr>
      <w:sz w:val="20"/>
      <w:szCs w:val="20"/>
    </w:rPr>
  </w:style>
  <w:style w:type="character" w:customStyle="1" w:styleId="FootnoteTextChar">
    <w:name w:val="Footnote Text Char"/>
    <w:basedOn w:val="DefaultParagraphFont"/>
    <w:link w:val="FootnoteText"/>
    <w:semiHidden/>
    <w:rsid w:val="006E126D"/>
    <w:rPr>
      <w:lang w:val="en-GB"/>
    </w:rPr>
  </w:style>
  <w:style w:type="character" w:styleId="FootnoteReference">
    <w:name w:val="footnote reference"/>
    <w:basedOn w:val="DefaultParagraphFont"/>
    <w:semiHidden/>
    <w:unhideWhenUsed/>
    <w:rsid w:val="006E126D"/>
    <w:rPr>
      <w:vertAlign w:val="superscript"/>
    </w:rPr>
  </w:style>
  <w:style w:type="paragraph" w:customStyle="1" w:styleId="Title2">
    <w:name w:val="Title2"/>
    <w:rsid w:val="00837A0F"/>
    <w:pPr>
      <w:jc w:val="center"/>
      <w:outlineLvl w:val="0"/>
    </w:pPr>
    <w:rPr>
      <w:b/>
      <w:caps/>
      <w:sz w:val="22"/>
      <w:szCs w:val="22"/>
      <w:lang w:val="en-GB"/>
    </w:rPr>
  </w:style>
  <w:style w:type="paragraph" w:customStyle="1" w:styleId="subhead">
    <w:name w:val="subhead"/>
    <w:basedOn w:val="Normal"/>
    <w:next w:val="Normal"/>
    <w:uiPriority w:val="99"/>
    <w:rsid w:val="00837A0F"/>
    <w:pPr>
      <w:tabs>
        <w:tab w:val="left" w:pos="-720"/>
        <w:tab w:val="left" w:pos="0"/>
        <w:tab w:val="left" w:pos="720"/>
        <w:tab w:val="left" w:pos="1440"/>
        <w:tab w:val="left" w:pos="2160"/>
        <w:tab w:val="left" w:pos="2880"/>
        <w:tab w:val="left" w:pos="3600"/>
      </w:tabs>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3076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645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8th\Templates\Eec8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F56DB39A5B9F46AA87ED0A960035E8" ma:contentTypeVersion="2" ma:contentTypeDescription="Create a new document." ma:contentTypeScope="" ma:versionID="9a9384c066cc674c8397f85f8985ec5f">
  <xsd:schema xmlns:xsd="http://www.w3.org/2001/XMLSchema" xmlns:p="http://schemas.microsoft.com/office/2006/metadata/properties" xmlns:ns2="8662b4aa-cf42-4f00-a3f0-9d3b4acad230" xmlns:ns3="310e179b-1379-4e79-9b74-d5a32b1812d3" targetNamespace="http://schemas.microsoft.com/office/2006/metadata/properties" ma:root="true" ma:fieldsID="e0755585b90475625861c97e4ef1469a"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UNEP/OzL.Pro/ExCom/88/27</Document_x0020_Number>
  </documentManagement>
</p:properties>
</file>

<file path=customXml/itemProps1.xml><?xml version="1.0" encoding="utf-8"?>
<ds:datastoreItem xmlns:ds="http://schemas.openxmlformats.org/officeDocument/2006/customXml" ds:itemID="{71C1663D-5B05-4793-8F03-1F95EF528379}"/>
</file>

<file path=customXml/itemProps2.xml><?xml version="1.0" encoding="utf-8"?>
<ds:datastoreItem xmlns:ds="http://schemas.openxmlformats.org/officeDocument/2006/customXml" ds:itemID="{A720A99E-A683-4152-9134-EA043504DC2D}"/>
</file>

<file path=customXml/itemProps3.xml><?xml version="1.0" encoding="utf-8"?>
<ds:datastoreItem xmlns:ds="http://schemas.openxmlformats.org/officeDocument/2006/customXml" ds:itemID="{10DDFCC0-A615-4E1E-AECF-1F24ACE76828}"/>
</file>

<file path=customXml/itemProps4.xml><?xml version="1.0" encoding="utf-8"?>
<ds:datastoreItem xmlns:ds="http://schemas.openxmlformats.org/officeDocument/2006/customXml" ds:itemID="{F23AE47C-DE3A-4073-A36D-8C9BA861C537}"/>
</file>

<file path=docProps/app.xml><?xml version="1.0" encoding="utf-8"?>
<Properties xmlns="http://schemas.openxmlformats.org/officeDocument/2006/extended-properties" xmlns:vt="http://schemas.openxmlformats.org/officeDocument/2006/docPropsVTypes">
  <Template>Eec88G</Template>
  <TotalTime>1</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Plan d'activites de la Banque Mondiale pour la période 2022-2024</vt:lpstr>
    </vt:vector>
  </TitlesOfParts>
  <Company>UNMFS</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d'activites de la Banque Mondiale pour la période 2022-2024</dc:title>
  <dc:subject/>
  <dc:creator>Laura Duong</dc:creator>
  <cp:lastModifiedBy>HBE</cp:lastModifiedBy>
  <cp:revision>3</cp:revision>
  <cp:lastPrinted>2001-05-26T16:40:00Z</cp:lastPrinted>
  <dcterms:created xsi:type="dcterms:W3CDTF">2021-11-05T05:27:00Z</dcterms:created>
  <dcterms:modified xsi:type="dcterms:W3CDTF">2021-11-09T15:51:00Z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UNEP/OzL.Pro/ExCom/88/27</vt:lpwstr>
  </property>
  <property fmtid="{D5CDD505-2E9C-101B-9397-08002B2CF9AE}" pid="3" name="Revision date">
    <vt:lpwstr>26/10/2021</vt:lpwstr>
  </property>
  <property fmtid="{D5CDD505-2E9C-101B-9397-08002B2CF9AE}" pid="4" name="ContentTypeId">
    <vt:lpwstr>0x01010009F56DB39A5B9F46AA87ED0A960035E8</vt:lpwstr>
  </property>
</Properties>
</file>