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3" w:type="dxa"/>
        <w:tblInd w:w="-432" w:type="dxa"/>
        <w:tblLayout w:type="fixed"/>
        <w:tblLook w:val="0000" w:firstRow="0" w:lastRow="0" w:firstColumn="0" w:lastColumn="0" w:noHBand="0" w:noVBand="0"/>
      </w:tblPr>
      <w:tblGrid>
        <w:gridCol w:w="1935"/>
        <w:gridCol w:w="4665"/>
        <w:gridCol w:w="3313"/>
      </w:tblGrid>
      <w:tr w:rsidR="00441083" w14:paraId="20F60BEE" w14:textId="77777777" w:rsidTr="00321196">
        <w:trPr>
          <w:trHeight w:val="699"/>
        </w:trPr>
        <w:tc>
          <w:tcPr>
            <w:tcW w:w="6600" w:type="dxa"/>
            <w:gridSpan w:val="2"/>
            <w:tcBorders>
              <w:bottom w:val="single" w:sz="18" w:space="0" w:color="auto"/>
            </w:tcBorders>
          </w:tcPr>
          <w:p w14:paraId="35E54D52"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38D40434"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313" w:type="dxa"/>
            <w:tcBorders>
              <w:bottom w:val="single" w:sz="18" w:space="0" w:color="auto"/>
            </w:tcBorders>
          </w:tcPr>
          <w:p w14:paraId="38B20852" w14:textId="77777777" w:rsidR="00441083" w:rsidRDefault="00E60D9C">
            <w:pPr>
              <w:tabs>
                <w:tab w:val="left" w:pos="3010"/>
              </w:tabs>
              <w:jc w:val="center"/>
              <w:rPr>
                <w:sz w:val="52"/>
                <w:szCs w:val="52"/>
              </w:rPr>
            </w:pPr>
            <w:r>
              <w:rPr>
                <w:rFonts w:ascii="Univers Bold" w:hAnsi="Univers Bold"/>
                <w:b/>
                <w:sz w:val="72"/>
                <w:lang w:val="fr-CA"/>
              </w:rPr>
              <w:t xml:space="preserve">          EP</w:t>
            </w:r>
          </w:p>
        </w:tc>
      </w:tr>
      <w:tr w:rsidR="00441083" w14:paraId="540712C9" w14:textId="77777777" w:rsidTr="00DB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3"/>
        </w:trPr>
        <w:tc>
          <w:tcPr>
            <w:tcW w:w="1935" w:type="dxa"/>
            <w:tcBorders>
              <w:top w:val="nil"/>
              <w:left w:val="nil"/>
              <w:bottom w:val="single" w:sz="36" w:space="0" w:color="auto"/>
              <w:right w:val="nil"/>
            </w:tcBorders>
          </w:tcPr>
          <w:p w14:paraId="1A3470A5" w14:textId="77777777" w:rsidR="00441083" w:rsidRDefault="00C6443E">
            <w:pPr>
              <w:spacing w:before="120"/>
            </w:pPr>
            <w:r>
              <w:rPr>
                <w:noProof/>
                <w:lang w:val="en-CA" w:eastAsia="en-CA"/>
              </w:rPr>
              <w:drawing>
                <wp:anchor distT="0" distB="0" distL="114300" distR="114300" simplePos="0" relativeHeight="251660288" behindDoc="0" locked="0" layoutInCell="1" allowOverlap="1" wp14:anchorId="3A26CD2D" wp14:editId="31DC1F3B">
                  <wp:simplePos x="0" y="0"/>
                  <wp:positionH relativeFrom="column">
                    <wp:posOffset>76835</wp:posOffset>
                  </wp:positionH>
                  <wp:positionV relativeFrom="paragraph">
                    <wp:posOffset>834390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17452D23" wp14:editId="53E1581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65" w:type="dxa"/>
            <w:tcBorders>
              <w:top w:val="nil"/>
              <w:left w:val="nil"/>
              <w:bottom w:val="single" w:sz="36" w:space="0" w:color="auto"/>
              <w:right w:val="nil"/>
            </w:tcBorders>
          </w:tcPr>
          <w:p w14:paraId="202CEB17" w14:textId="77777777" w:rsidR="007C7003" w:rsidRDefault="007C700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62F57E8E" w14:textId="7E626796"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7F04F19D" w14:textId="77777777" w:rsidR="00441083" w:rsidRDefault="00E60D9C">
            <w:pPr>
              <w:rPr>
                <w:rFonts w:ascii="Univers" w:hAnsi="Univers"/>
                <w:b/>
                <w:sz w:val="32"/>
                <w:lang w:val="fr-CA"/>
              </w:rPr>
            </w:pPr>
            <w:r>
              <w:rPr>
                <w:rFonts w:ascii="Univers" w:hAnsi="Univers"/>
                <w:b/>
                <w:sz w:val="32"/>
                <w:lang w:val="fr-CA"/>
              </w:rPr>
              <w:t>Nations Unies pour</w:t>
            </w:r>
          </w:p>
          <w:p w14:paraId="7BB600AE" w14:textId="77777777" w:rsidR="00441083" w:rsidRDefault="00E60D9C">
            <w:pPr>
              <w:rPr>
                <w:rFonts w:ascii="Univers" w:hAnsi="Univers"/>
                <w:b/>
                <w:sz w:val="32"/>
                <w:lang w:val="fr-CA"/>
              </w:rPr>
            </w:pPr>
            <w:r>
              <w:rPr>
                <w:rFonts w:ascii="Univers" w:hAnsi="Univers"/>
                <w:b/>
                <w:sz w:val="32"/>
                <w:lang w:val="fr-CA"/>
              </w:rPr>
              <w:t>l’environnement</w:t>
            </w:r>
          </w:p>
          <w:p w14:paraId="1044FBBD" w14:textId="77777777" w:rsidR="00441083" w:rsidRDefault="00E60D9C">
            <w:pPr>
              <w:spacing w:before="720"/>
              <w:ind w:left="158"/>
              <w:rPr>
                <w:lang w:val="fr-FR"/>
              </w:rPr>
            </w:pPr>
            <w:r>
              <w:rPr>
                <w:lang w:val="fr-FR"/>
              </w:rPr>
              <w:t xml:space="preserve"> </w:t>
            </w:r>
          </w:p>
        </w:tc>
        <w:tc>
          <w:tcPr>
            <w:tcW w:w="3313" w:type="dxa"/>
            <w:tcBorders>
              <w:top w:val="nil"/>
              <w:left w:val="nil"/>
              <w:bottom w:val="single" w:sz="36" w:space="0" w:color="auto"/>
              <w:right w:val="nil"/>
            </w:tcBorders>
          </w:tcPr>
          <w:p w14:paraId="11DB6E7D" w14:textId="77777777" w:rsidR="007C7003" w:rsidRDefault="007C7003">
            <w:pPr>
              <w:rPr>
                <w:lang w:val="fr-FR"/>
              </w:rPr>
            </w:pPr>
          </w:p>
          <w:p w14:paraId="0A943786" w14:textId="607C0BBE" w:rsidR="00441083" w:rsidRPr="00DD3433" w:rsidRDefault="00E60D9C">
            <w:pPr>
              <w:rPr>
                <w:lang w:val="fr-FR"/>
              </w:rPr>
            </w:pPr>
            <w:proofErr w:type="spellStart"/>
            <w:r w:rsidRPr="00DD3433">
              <w:rPr>
                <w:lang w:val="fr-FR"/>
              </w:rPr>
              <w:t>Distr</w:t>
            </w:r>
            <w:proofErr w:type="spellEnd"/>
            <w:r w:rsidRPr="00DD3433">
              <w:rPr>
                <w:lang w:val="fr-FR"/>
              </w:rPr>
              <w:t>.</w:t>
            </w:r>
          </w:p>
          <w:p w14:paraId="7322D67C" w14:textId="77777777"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14:paraId="1A8B45D7" w14:textId="77777777" w:rsidR="00441083" w:rsidRPr="00DD3433" w:rsidRDefault="00441083">
            <w:pPr>
              <w:rPr>
                <w:lang w:val="fr-FR"/>
              </w:rPr>
            </w:pPr>
          </w:p>
          <w:p w14:paraId="6C030712" w14:textId="15BDD42D" w:rsidR="00441083" w:rsidRPr="00177812" w:rsidRDefault="00E60D9C">
            <w:pPr>
              <w:rPr>
                <w:lang w:val="fr-CA"/>
              </w:rPr>
            </w:pPr>
            <w:r>
              <w:fldChar w:fldCharType="begin"/>
            </w:r>
            <w:r w:rsidRPr="00177812">
              <w:rPr>
                <w:lang w:val="fr-CA"/>
              </w:rPr>
              <w:instrText xml:space="preserve"> DOCPROPERTY "Document number"  \* MERGEFORMAT </w:instrText>
            </w:r>
            <w:r>
              <w:fldChar w:fldCharType="separate"/>
            </w:r>
            <w:r w:rsidR="00813F9A" w:rsidRPr="00177812">
              <w:rPr>
                <w:lang w:val="fr-CA"/>
              </w:rPr>
              <w:t>UNEP/</w:t>
            </w:r>
            <w:proofErr w:type="spellStart"/>
            <w:r w:rsidR="00813F9A" w:rsidRPr="00177812">
              <w:rPr>
                <w:lang w:val="fr-CA"/>
              </w:rPr>
              <w:t>OzL.Pro</w:t>
            </w:r>
            <w:proofErr w:type="spellEnd"/>
            <w:r w:rsidR="00813F9A" w:rsidRPr="00177812">
              <w:rPr>
                <w:lang w:val="fr-CA"/>
              </w:rPr>
              <w:t>/</w:t>
            </w:r>
            <w:proofErr w:type="spellStart"/>
            <w:r w:rsidR="00813F9A" w:rsidRPr="00177812">
              <w:rPr>
                <w:lang w:val="fr-CA"/>
              </w:rPr>
              <w:t>ExCom</w:t>
            </w:r>
            <w:proofErr w:type="spellEnd"/>
            <w:r w:rsidR="00813F9A" w:rsidRPr="00177812">
              <w:rPr>
                <w:lang w:val="fr-CA"/>
              </w:rPr>
              <w:t>/88/</w:t>
            </w:r>
            <w:r w:rsidR="004B7B02" w:rsidRPr="00177812">
              <w:rPr>
                <w:lang w:val="fr-CA"/>
              </w:rPr>
              <w:t>29</w:t>
            </w:r>
            <w:r>
              <w:fldChar w:fldCharType="end"/>
            </w:r>
          </w:p>
          <w:p w14:paraId="4B331FB2" w14:textId="2A10A517" w:rsidR="002F0B57" w:rsidRPr="00321196" w:rsidRDefault="002F0B57" w:rsidP="00C9547D">
            <w:pPr>
              <w:rPr>
                <w:lang w:val="fr-FR"/>
              </w:rPr>
            </w:pPr>
            <w:r>
              <w:fldChar w:fldCharType="begin"/>
            </w:r>
            <w:r w:rsidRPr="00321196">
              <w:rPr>
                <w:lang w:val="fr-FR"/>
              </w:rPr>
              <w:instrText xml:space="preserve"> DOCPROPERTY "Revision date" \@ "d MMMM YYYY"  \* MERGEFORMAT </w:instrText>
            </w:r>
            <w:r>
              <w:fldChar w:fldCharType="separate"/>
            </w:r>
            <w:r w:rsidR="00813F9A" w:rsidRPr="00321196">
              <w:rPr>
                <w:lang w:val="fr-FR"/>
              </w:rPr>
              <w:t>10</w:t>
            </w:r>
            <w:r w:rsidR="00125662" w:rsidRPr="00321196">
              <w:rPr>
                <w:lang w:val="fr-FR"/>
              </w:rPr>
              <w:t> </w:t>
            </w:r>
            <w:r w:rsidR="004B7B02" w:rsidRPr="00321196">
              <w:rPr>
                <w:lang w:val="fr-FR"/>
              </w:rPr>
              <w:t>novembre</w:t>
            </w:r>
            <w:r w:rsidR="00125662" w:rsidRPr="00321196">
              <w:rPr>
                <w:lang w:val="fr-FR"/>
              </w:rPr>
              <w:t> </w:t>
            </w:r>
            <w:r w:rsidR="00813F9A" w:rsidRPr="00321196">
              <w:rPr>
                <w:lang w:val="fr-FR"/>
              </w:rPr>
              <w:t>2021</w:t>
            </w:r>
            <w:r>
              <w:fldChar w:fldCharType="end"/>
            </w:r>
          </w:p>
          <w:p w14:paraId="0353C7B5" w14:textId="77777777" w:rsidR="00441083" w:rsidRDefault="00FC5578">
            <w:pPr>
              <w:rPr>
                <w:caps/>
                <w:lang w:val="fr-FR"/>
              </w:rPr>
            </w:pPr>
            <w:r w:rsidRPr="00321196">
              <w:rPr>
                <w:caps/>
                <w:lang w:val="fr-FR"/>
              </w:rPr>
              <w:br/>
            </w:r>
            <w:r w:rsidR="00E60D9C">
              <w:rPr>
                <w:caps/>
                <w:lang w:val="fr-FR"/>
              </w:rPr>
              <w:t>FRANÇAIS</w:t>
            </w:r>
          </w:p>
          <w:p w14:paraId="40212EA4" w14:textId="77777777" w:rsidR="00441083" w:rsidRDefault="00E60D9C">
            <w:r>
              <w:t xml:space="preserve">ORIGINAL: </w:t>
            </w:r>
            <w:r w:rsidR="0091161A">
              <w:t>ANGLAIS</w:t>
            </w:r>
          </w:p>
        </w:tc>
      </w:tr>
    </w:tbl>
    <w:p w14:paraId="7ACCFF74" w14:textId="77777777" w:rsidR="00441083" w:rsidRDefault="00E60D9C" w:rsidP="009F6617">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9F6617">
        <w:rPr>
          <w:lang w:val="fr-CA"/>
        </w:rPr>
        <w:t>huit</w:t>
      </w:r>
      <w:r w:rsidR="004C2C87">
        <w:rPr>
          <w:lang w:val="fr-CA"/>
        </w:rPr>
        <w:t>i</w:t>
      </w:r>
      <w:r w:rsidR="00E54871">
        <w:rPr>
          <w:lang w:val="fr-CA"/>
        </w:rPr>
        <w:t>ème</w:t>
      </w:r>
      <w:r w:rsidR="00FC5578" w:rsidRPr="00FC5578">
        <w:rPr>
          <w:lang w:val="fr-CA"/>
        </w:rPr>
        <w:t xml:space="preserve"> </w:t>
      </w:r>
      <w:r>
        <w:rPr>
          <w:lang w:val="fr-CA"/>
        </w:rPr>
        <w:t>réunion</w:t>
      </w:r>
    </w:p>
    <w:p w14:paraId="2570F41D" w14:textId="435644F0" w:rsidR="00441083" w:rsidRDefault="00E54871" w:rsidP="009F6617">
      <w:pPr>
        <w:jc w:val="left"/>
        <w:rPr>
          <w:lang w:val="fr-CA"/>
        </w:rPr>
      </w:pPr>
      <w:r>
        <w:rPr>
          <w:lang w:val="fr-CA"/>
        </w:rPr>
        <w:t>Montr</w:t>
      </w:r>
      <w:r w:rsidRPr="009F6617">
        <w:rPr>
          <w:lang w:val="fr-CA"/>
        </w:rPr>
        <w:t>é</w:t>
      </w:r>
      <w:r>
        <w:rPr>
          <w:lang w:val="fr-CA"/>
        </w:rPr>
        <w:t>al,</w:t>
      </w:r>
      <w:r w:rsidR="00FC5578">
        <w:rPr>
          <w:lang w:val="fr-CA"/>
        </w:rPr>
        <w:t xml:space="preserve"> </w:t>
      </w:r>
      <w:r w:rsidR="009F6617">
        <w:rPr>
          <w:lang w:val="fr-CA"/>
        </w:rPr>
        <w:t>15</w:t>
      </w:r>
      <w:r w:rsidR="00AC013C">
        <w:rPr>
          <w:lang w:val="fr-CA"/>
        </w:rPr>
        <w:t xml:space="preserve"> </w:t>
      </w:r>
      <w:r w:rsidR="00E60D9C">
        <w:rPr>
          <w:lang w:val="fr-CA"/>
        </w:rPr>
        <w:t xml:space="preserve">– </w:t>
      </w:r>
      <w:r w:rsidR="009F6617">
        <w:rPr>
          <w:lang w:val="fr-CA"/>
        </w:rPr>
        <w:t>19</w:t>
      </w:r>
      <w:r w:rsidR="00125662">
        <w:rPr>
          <w:lang w:val="fr-CA"/>
        </w:rPr>
        <w:t> </w:t>
      </w:r>
      <w:r w:rsidR="009F6617">
        <w:rPr>
          <w:lang w:val="fr-CA"/>
        </w:rPr>
        <w:t>novembre</w:t>
      </w:r>
      <w:r w:rsidR="00125662">
        <w:rPr>
          <w:lang w:val="fr-CA"/>
        </w:rPr>
        <w:t> </w:t>
      </w:r>
      <w:r w:rsidR="004C2C87">
        <w:rPr>
          <w:lang w:val="fr-CA"/>
        </w:rPr>
        <w:t>20</w:t>
      </w:r>
      <w:r w:rsidR="002C06D4">
        <w:rPr>
          <w:lang w:val="fr-CA"/>
        </w:rPr>
        <w:t>2</w:t>
      </w:r>
      <w:r w:rsidR="004C2C87">
        <w:rPr>
          <w:lang w:val="fr-CA"/>
        </w:rPr>
        <w:t>1</w:t>
      </w:r>
      <w:r w:rsidR="002C06D4">
        <w:rPr>
          <w:rStyle w:val="FootnoteReference"/>
          <w:lang w:val="fr-CA"/>
        </w:rPr>
        <w:footnoteReference w:id="1"/>
      </w:r>
    </w:p>
    <w:p w14:paraId="7951B075" w14:textId="77777777" w:rsidR="00441083" w:rsidRDefault="00441083">
      <w:pPr>
        <w:jc w:val="left"/>
        <w:rPr>
          <w:lang w:val="fr-CA"/>
        </w:rPr>
      </w:pPr>
    </w:p>
    <w:p w14:paraId="4DEB73FC" w14:textId="5FE93770" w:rsidR="00441083" w:rsidRDefault="00441083">
      <w:pPr>
        <w:pStyle w:val="Heading3"/>
        <w:numPr>
          <w:ilvl w:val="0"/>
          <w:numId w:val="0"/>
        </w:numPr>
        <w:spacing w:after="0"/>
        <w:rPr>
          <w:lang w:val="fr-FR"/>
        </w:rPr>
      </w:pPr>
    </w:p>
    <w:p w14:paraId="1100A47F" w14:textId="77777777" w:rsidR="007C7003" w:rsidRPr="007C7003" w:rsidRDefault="007C7003" w:rsidP="007C7003">
      <w:pPr>
        <w:rPr>
          <w:lang w:val="fr-FR"/>
        </w:rPr>
      </w:pPr>
    </w:p>
    <w:p w14:paraId="11FAA70A" w14:textId="3831E019" w:rsidR="004B7B02" w:rsidRDefault="00321196" w:rsidP="004B7B02">
      <w:pPr>
        <w:jc w:val="center"/>
        <w:outlineLvl w:val="0"/>
        <w:rPr>
          <w:b/>
        </w:rPr>
      </w:pPr>
      <w:r>
        <w:rPr>
          <w:b/>
        </w:rPr>
        <w:t xml:space="preserve">COOPÉRATION BILATÉRALE </w:t>
      </w:r>
    </w:p>
    <w:p w14:paraId="6C6EFCF7" w14:textId="77777777" w:rsidR="007C7003" w:rsidRDefault="007C7003" w:rsidP="004B7B02">
      <w:pPr>
        <w:jc w:val="center"/>
        <w:outlineLvl w:val="0"/>
        <w:rPr>
          <w:b/>
        </w:rPr>
      </w:pPr>
    </w:p>
    <w:p w14:paraId="58DB7D6E" w14:textId="77777777" w:rsidR="007C7003" w:rsidRDefault="007C7003" w:rsidP="004B7B02">
      <w:pPr>
        <w:jc w:val="center"/>
        <w:outlineLvl w:val="0"/>
        <w:rPr>
          <w:b/>
          <w:caps/>
        </w:rPr>
      </w:pPr>
    </w:p>
    <w:p w14:paraId="41D29831" w14:textId="77777777" w:rsidR="00441083" w:rsidRDefault="00441083">
      <w:pPr>
        <w:jc w:val="center"/>
        <w:rPr>
          <w:lang w:val="fr-CA"/>
        </w:rPr>
      </w:pPr>
    </w:p>
    <w:p w14:paraId="1E9C6097" w14:textId="5BEC3709" w:rsidR="00106FAE" w:rsidRPr="00177812" w:rsidRDefault="00AF5C96" w:rsidP="00321196">
      <w:pPr>
        <w:pStyle w:val="Heading1"/>
        <w:numPr>
          <w:ilvl w:val="0"/>
          <w:numId w:val="23"/>
        </w:numPr>
        <w:spacing w:after="120"/>
        <w:rPr>
          <w:lang w:val="fr-CA"/>
        </w:rPr>
      </w:pPr>
      <w:r w:rsidRPr="00177812">
        <w:rPr>
          <w:lang w:val="fr-CA"/>
        </w:rPr>
        <w:t xml:space="preserve">Le présent document donne un aperçu des demandes présentées par les agences bilatérales. </w:t>
      </w:r>
    </w:p>
    <w:p w14:paraId="703243EA" w14:textId="02550588" w:rsidR="00106FAE" w:rsidRPr="00177812" w:rsidRDefault="00AF5C96" w:rsidP="00321196">
      <w:pPr>
        <w:pStyle w:val="Heading1"/>
        <w:numPr>
          <w:ilvl w:val="0"/>
          <w:numId w:val="23"/>
        </w:numPr>
        <w:spacing w:after="120"/>
        <w:rPr>
          <w:lang w:val="fr-CA"/>
        </w:rPr>
      </w:pPr>
      <w:r w:rsidRPr="00177812">
        <w:rPr>
          <w:lang w:val="fr-CA"/>
        </w:rPr>
        <w:t xml:space="preserve">En raison des contraintes imposées </w:t>
      </w:r>
      <w:r w:rsidR="00AD2B65">
        <w:rPr>
          <w:lang w:val="fr-CA"/>
        </w:rPr>
        <w:t>à cause</w:t>
      </w:r>
      <w:r w:rsidRPr="00177812">
        <w:rPr>
          <w:lang w:val="fr-CA"/>
        </w:rPr>
        <w:t xml:space="preserve"> de la pandémie de COVID-19, les Parties au Protocole de Montréal n’ont pas été en mesure d’approuver le niveau de reconstitution du Fonds multilatéral pour</w:t>
      </w:r>
      <w:r w:rsidR="003561EE" w:rsidRPr="00177812">
        <w:rPr>
          <w:lang w:val="fr-CA"/>
        </w:rPr>
        <w:t> </w:t>
      </w:r>
      <w:r w:rsidRPr="00177812">
        <w:rPr>
          <w:lang w:val="fr-CA"/>
        </w:rPr>
        <w:t xml:space="preserve">2021-2023. Les Parties à la </w:t>
      </w:r>
      <w:r w:rsidR="00BD4E2C">
        <w:rPr>
          <w:lang w:val="fr-CA"/>
        </w:rPr>
        <w:t>Trente-troisième</w:t>
      </w:r>
      <w:r w:rsidR="003561EE" w:rsidRPr="00177812">
        <w:rPr>
          <w:lang w:val="fr-CA"/>
        </w:rPr>
        <w:t> </w:t>
      </w:r>
      <w:r w:rsidRPr="00177812">
        <w:rPr>
          <w:lang w:val="fr-CA"/>
        </w:rPr>
        <w:t xml:space="preserve">Réunion ont notamment décidé d’adopter </w:t>
      </w:r>
      <w:r w:rsidR="0067290C">
        <w:rPr>
          <w:lang w:val="fr-CA"/>
        </w:rPr>
        <w:t>un</w:t>
      </w:r>
      <w:r w:rsidRPr="00177812">
        <w:rPr>
          <w:lang w:val="fr-CA"/>
        </w:rPr>
        <w:t xml:space="preserve"> budget provisoire à jour </w:t>
      </w:r>
      <w:r w:rsidR="00AD2B65">
        <w:rPr>
          <w:lang w:val="fr-CA"/>
        </w:rPr>
        <w:t>du</w:t>
      </w:r>
      <w:r w:rsidRPr="00177812">
        <w:rPr>
          <w:lang w:val="fr-CA"/>
        </w:rPr>
        <w:t xml:space="preserve"> Fonds multilatéral pour la période triennale</w:t>
      </w:r>
      <w:r w:rsidR="00BF7518" w:rsidRPr="00177812">
        <w:rPr>
          <w:lang w:val="fr-CA"/>
        </w:rPr>
        <w:t> </w:t>
      </w:r>
      <w:r w:rsidRPr="00177812">
        <w:rPr>
          <w:lang w:val="fr-CA"/>
        </w:rPr>
        <w:t>2021-2023 (décision</w:t>
      </w:r>
      <w:r w:rsidR="00BF7518" w:rsidRPr="00177812">
        <w:rPr>
          <w:lang w:val="fr-CA"/>
        </w:rPr>
        <w:t> X</w:t>
      </w:r>
      <w:r w:rsidRPr="00177812">
        <w:rPr>
          <w:lang w:val="fr-CA"/>
        </w:rPr>
        <w:t>XXIII/1) et un niveau de contribution indicati</w:t>
      </w:r>
      <w:r w:rsidR="00AD2B65">
        <w:rPr>
          <w:lang w:val="fr-CA"/>
        </w:rPr>
        <w:t>f</w:t>
      </w:r>
      <w:r w:rsidRPr="00177812">
        <w:rPr>
          <w:lang w:val="fr-CA"/>
        </w:rPr>
        <w:t xml:space="preserve"> </w:t>
      </w:r>
      <w:r w:rsidR="00AD2B65">
        <w:rPr>
          <w:lang w:val="fr-CA"/>
        </w:rPr>
        <w:t xml:space="preserve">provisoire </w:t>
      </w:r>
      <w:r w:rsidRPr="00177812">
        <w:rPr>
          <w:lang w:val="fr-CA"/>
        </w:rPr>
        <w:t>pour les Parties en</w:t>
      </w:r>
      <w:r w:rsidR="00BF7518" w:rsidRPr="00177812">
        <w:rPr>
          <w:lang w:val="fr-CA"/>
        </w:rPr>
        <w:t> </w:t>
      </w:r>
      <w:r w:rsidRPr="00177812">
        <w:rPr>
          <w:lang w:val="fr-CA"/>
        </w:rPr>
        <w:t>2022</w:t>
      </w:r>
      <w:r w:rsidR="00AD2B65">
        <w:rPr>
          <w:lang w:val="fr-CA"/>
        </w:rPr>
        <w:t xml:space="preserve">, </w:t>
      </w:r>
      <w:r w:rsidRPr="00177812">
        <w:rPr>
          <w:lang w:val="fr-CA"/>
        </w:rPr>
        <w:t>dans l’attente de la décision finale des Parties concernant un budget révisé du Fonds pour la période triennale</w:t>
      </w:r>
      <w:r w:rsidR="00BF7518" w:rsidRPr="00177812">
        <w:rPr>
          <w:lang w:val="fr-CA"/>
        </w:rPr>
        <w:t> </w:t>
      </w:r>
      <w:r w:rsidRPr="00177812">
        <w:rPr>
          <w:lang w:val="fr-CA"/>
        </w:rPr>
        <w:t>2021-2023 (décision</w:t>
      </w:r>
      <w:r w:rsidR="00BF7518" w:rsidRPr="00177812">
        <w:rPr>
          <w:lang w:val="fr-CA"/>
        </w:rPr>
        <w:t> </w:t>
      </w:r>
      <w:r w:rsidRPr="00177812">
        <w:rPr>
          <w:lang w:val="fr-CA"/>
        </w:rPr>
        <w:t xml:space="preserve">XXXIII/2). </w:t>
      </w:r>
    </w:p>
    <w:p w14:paraId="536457A6" w14:textId="3C660066" w:rsidR="00106FAE" w:rsidRPr="00177812" w:rsidRDefault="00AF5C96" w:rsidP="00321196">
      <w:pPr>
        <w:pStyle w:val="Heading1"/>
        <w:numPr>
          <w:ilvl w:val="0"/>
          <w:numId w:val="23"/>
        </w:numPr>
        <w:spacing w:after="120"/>
        <w:rPr>
          <w:lang w:val="fr-CA"/>
        </w:rPr>
      </w:pPr>
      <w:r w:rsidRPr="00177812">
        <w:rPr>
          <w:lang w:val="fr-CA"/>
        </w:rPr>
        <w:t>Le financement de ces demandes, outre le financement de la demande concernant les projets de coopération bilatérale approuvé</w:t>
      </w:r>
      <w:r w:rsidR="009C3B4D" w:rsidRPr="00177812">
        <w:rPr>
          <w:lang w:val="fr-CA"/>
        </w:rPr>
        <w:t>e</w:t>
      </w:r>
      <w:r w:rsidRPr="00177812">
        <w:rPr>
          <w:lang w:val="fr-CA"/>
        </w:rPr>
        <w:t xml:space="preserve"> lors de la 87</w:t>
      </w:r>
      <w:r w:rsidRPr="00177812">
        <w:rPr>
          <w:vertAlign w:val="superscript"/>
          <w:lang w:val="fr-CA"/>
        </w:rPr>
        <w:t>e</w:t>
      </w:r>
      <w:r w:rsidR="009C3B4D" w:rsidRPr="00177812">
        <w:rPr>
          <w:lang w:val="fr-CA"/>
        </w:rPr>
        <w:t>,</w:t>
      </w:r>
      <w:r w:rsidR="00106FAE">
        <w:rPr>
          <w:rStyle w:val="FootnoteReference"/>
        </w:rPr>
        <w:footnoteReference w:id="2"/>
      </w:r>
      <w:r w:rsidR="00106FAE" w:rsidRPr="00177812">
        <w:rPr>
          <w:lang w:val="fr-CA"/>
        </w:rPr>
        <w:t xml:space="preserve"> </w:t>
      </w:r>
      <w:r w:rsidR="00D51EB3" w:rsidRPr="00177812">
        <w:rPr>
          <w:lang w:val="fr-CA"/>
        </w:rPr>
        <w:t>le cas échéant, est inférieur au niveau maximal de coopération bilatérale autorisé calculé</w:t>
      </w:r>
      <w:r w:rsidR="00D0073B" w:rsidRPr="00177812">
        <w:rPr>
          <w:lang w:val="fr-CA"/>
        </w:rPr>
        <w:t xml:space="preserve"> </w:t>
      </w:r>
      <w:r w:rsidR="00D51EB3" w:rsidRPr="00177812">
        <w:rPr>
          <w:lang w:val="fr-CA"/>
        </w:rPr>
        <w:t xml:space="preserve">en fonction des décisions susmentionnées des Parties. Le présent document renvoie aux documents de réunion pertinents qui comprennent une analyse des demandes bilatérales et une recommandation sur l’année d’affectation pour la coopération bilatérale. </w:t>
      </w:r>
    </w:p>
    <w:p w14:paraId="4B836E05" w14:textId="5611C056" w:rsidR="00106FAE" w:rsidRDefault="00D51EB3" w:rsidP="00321196">
      <w:pPr>
        <w:tabs>
          <w:tab w:val="left" w:pos="720"/>
        </w:tabs>
        <w:spacing w:after="120"/>
        <w:outlineLvl w:val="0"/>
      </w:pPr>
      <w:r>
        <w:rPr>
          <w:b/>
        </w:rPr>
        <w:t xml:space="preserve">Aperçu </w:t>
      </w:r>
    </w:p>
    <w:p w14:paraId="0C20932E" w14:textId="511EB063" w:rsidR="00106FAE" w:rsidRPr="00177812" w:rsidRDefault="00D0073B" w:rsidP="00321196">
      <w:pPr>
        <w:pStyle w:val="Heading1"/>
        <w:spacing w:after="120"/>
        <w:rPr>
          <w:lang w:val="fr-CA"/>
        </w:rPr>
      </w:pPr>
      <w:r w:rsidRPr="00177812">
        <w:rPr>
          <w:lang w:val="fr-CA"/>
        </w:rPr>
        <w:t>Dix</w:t>
      </w:r>
      <w:r w:rsidR="00D51EB3" w:rsidRPr="00177812">
        <w:rPr>
          <w:lang w:val="fr-CA"/>
        </w:rPr>
        <w:t xml:space="preserve"> projets, d’une valeur de 4 </w:t>
      </w:r>
      <w:r w:rsidRPr="00177812">
        <w:rPr>
          <w:lang w:val="fr-CA"/>
        </w:rPr>
        <w:t>14</w:t>
      </w:r>
      <w:r w:rsidR="00D51EB3" w:rsidRPr="00177812">
        <w:rPr>
          <w:lang w:val="fr-CA"/>
        </w:rPr>
        <w:t>2</w:t>
      </w:r>
      <w:r w:rsidRPr="00177812">
        <w:rPr>
          <w:lang w:val="fr-CA"/>
        </w:rPr>
        <w:t> </w:t>
      </w:r>
      <w:r w:rsidR="00D51EB3" w:rsidRPr="00177812">
        <w:rPr>
          <w:lang w:val="fr-CA"/>
        </w:rPr>
        <w:t>026</w:t>
      </w:r>
      <w:r w:rsidRPr="00177812">
        <w:rPr>
          <w:lang w:val="fr-CA"/>
        </w:rPr>
        <w:t> </w:t>
      </w:r>
      <w:r w:rsidR="00D51EB3" w:rsidRPr="00177812">
        <w:rPr>
          <w:lang w:val="fr-CA"/>
        </w:rPr>
        <w:t>$US, ont été soumis par quatre agences bilatérales, comme cela est indiqué au tableau</w:t>
      </w:r>
      <w:r w:rsidR="00125662" w:rsidRPr="00177812">
        <w:rPr>
          <w:lang w:val="fr-CA"/>
        </w:rPr>
        <w:t> </w:t>
      </w:r>
      <w:r w:rsidR="00D51EB3" w:rsidRPr="00177812">
        <w:rPr>
          <w:lang w:val="fr-CA"/>
        </w:rPr>
        <w:t>1.</w:t>
      </w:r>
      <w:r w:rsidR="00106FAE" w:rsidRPr="00177812">
        <w:rPr>
          <w:lang w:val="fr-CA"/>
        </w:rPr>
        <w:t xml:space="preserve"> </w:t>
      </w:r>
    </w:p>
    <w:p w14:paraId="58BB0BA0" w14:textId="3C30717F" w:rsidR="00106FAE" w:rsidRPr="00177812" w:rsidRDefault="00D51EB3" w:rsidP="00106FAE">
      <w:pPr>
        <w:keepNext/>
        <w:rPr>
          <w:b/>
          <w:lang w:val="fr-CA"/>
        </w:rPr>
      </w:pPr>
      <w:r w:rsidRPr="00177812">
        <w:rPr>
          <w:b/>
          <w:lang w:val="fr-CA"/>
        </w:rPr>
        <w:lastRenderedPageBreak/>
        <w:t>Tableau</w:t>
      </w:r>
      <w:r w:rsidR="00125662" w:rsidRPr="00177812">
        <w:rPr>
          <w:b/>
          <w:lang w:val="fr-CA"/>
        </w:rPr>
        <w:t> </w:t>
      </w:r>
      <w:r w:rsidRPr="00177812">
        <w:rPr>
          <w:b/>
          <w:lang w:val="fr-CA"/>
        </w:rPr>
        <w:t>1. Projets de coopération bilatérale soumis à la 88</w:t>
      </w:r>
      <w:r w:rsidRPr="00177812">
        <w:rPr>
          <w:b/>
          <w:vertAlign w:val="superscript"/>
          <w:lang w:val="fr-CA"/>
        </w:rPr>
        <w:t>e</w:t>
      </w:r>
      <w:r w:rsidR="00D0073B" w:rsidRPr="00177812">
        <w:rPr>
          <w:b/>
          <w:lang w:val="fr-CA"/>
        </w:rPr>
        <w:t> </w:t>
      </w:r>
      <w:r w:rsidRPr="00177812">
        <w:rPr>
          <w:b/>
          <w:lang w:val="fr-CA"/>
        </w:rPr>
        <w:t xml:space="preserve">réunion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939"/>
        <w:gridCol w:w="2928"/>
        <w:gridCol w:w="1236"/>
        <w:gridCol w:w="924"/>
        <w:gridCol w:w="1260"/>
        <w:gridCol w:w="1080"/>
      </w:tblGrid>
      <w:tr w:rsidR="00106FAE" w14:paraId="56E5A3EC" w14:textId="77777777" w:rsidTr="00A41F4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14:paraId="1AB9D0A5" w14:textId="2BBC8EAE" w:rsidR="00106FAE" w:rsidRDefault="00106FAE">
            <w:pPr>
              <w:jc w:val="center"/>
              <w:outlineLvl w:val="0"/>
              <w:rPr>
                <w:b/>
                <w:bCs/>
                <w:sz w:val="20"/>
                <w:szCs w:val="20"/>
              </w:rPr>
            </w:pPr>
            <w:proofErr w:type="spellStart"/>
            <w:r>
              <w:rPr>
                <w:b/>
                <w:bCs/>
                <w:sz w:val="20"/>
                <w:szCs w:val="20"/>
              </w:rPr>
              <w:t>Agenc</w:t>
            </w:r>
            <w:r w:rsidR="008A2FA1">
              <w:rPr>
                <w:b/>
                <w:bCs/>
                <w:sz w:val="20"/>
                <w:szCs w:val="20"/>
              </w:rPr>
              <w:t>e</w:t>
            </w:r>
            <w:proofErr w:type="spellEnd"/>
          </w:p>
        </w:tc>
        <w:tc>
          <w:tcPr>
            <w:tcW w:w="939" w:type="dxa"/>
            <w:tcBorders>
              <w:top w:val="single" w:sz="4" w:space="0" w:color="auto"/>
              <w:left w:val="single" w:sz="4" w:space="0" w:color="auto"/>
              <w:bottom w:val="single" w:sz="4" w:space="0" w:color="auto"/>
              <w:right w:val="single" w:sz="4" w:space="0" w:color="auto"/>
            </w:tcBorders>
            <w:vAlign w:val="center"/>
            <w:hideMark/>
          </w:tcPr>
          <w:p w14:paraId="65860369" w14:textId="075B56DC" w:rsidR="00106FAE" w:rsidRDefault="008A2FA1">
            <w:pPr>
              <w:jc w:val="center"/>
              <w:rPr>
                <w:b/>
                <w:bCs/>
                <w:sz w:val="20"/>
                <w:szCs w:val="20"/>
              </w:rPr>
            </w:pPr>
            <w:r>
              <w:rPr>
                <w:b/>
                <w:bCs/>
                <w:sz w:val="20"/>
                <w:szCs w:val="20"/>
              </w:rPr>
              <w:t>Pays</w:t>
            </w:r>
          </w:p>
        </w:tc>
        <w:tc>
          <w:tcPr>
            <w:tcW w:w="2928" w:type="dxa"/>
            <w:tcBorders>
              <w:top w:val="single" w:sz="4" w:space="0" w:color="auto"/>
              <w:left w:val="single" w:sz="4" w:space="0" w:color="auto"/>
              <w:bottom w:val="single" w:sz="4" w:space="0" w:color="auto"/>
              <w:right w:val="single" w:sz="4" w:space="0" w:color="auto"/>
            </w:tcBorders>
            <w:vAlign w:val="center"/>
            <w:hideMark/>
          </w:tcPr>
          <w:p w14:paraId="613DB932" w14:textId="7D5D7E99" w:rsidR="00106FAE" w:rsidRDefault="008A2FA1">
            <w:pPr>
              <w:jc w:val="center"/>
              <w:rPr>
                <w:b/>
                <w:bCs/>
                <w:sz w:val="20"/>
                <w:szCs w:val="20"/>
              </w:rPr>
            </w:pPr>
            <w:r>
              <w:rPr>
                <w:b/>
                <w:bCs/>
                <w:sz w:val="20"/>
                <w:szCs w:val="20"/>
              </w:rPr>
              <w:t xml:space="preserve">Titre du </w:t>
            </w:r>
            <w:proofErr w:type="spellStart"/>
            <w:r>
              <w:rPr>
                <w:b/>
                <w:bCs/>
                <w:sz w:val="20"/>
                <w:szCs w:val="20"/>
              </w:rPr>
              <w:t>projet</w:t>
            </w:r>
            <w:proofErr w:type="spellEnd"/>
          </w:p>
        </w:tc>
        <w:tc>
          <w:tcPr>
            <w:tcW w:w="1236" w:type="dxa"/>
            <w:tcBorders>
              <w:top w:val="single" w:sz="4" w:space="0" w:color="auto"/>
              <w:left w:val="single" w:sz="4" w:space="0" w:color="auto"/>
              <w:bottom w:val="single" w:sz="4" w:space="0" w:color="auto"/>
              <w:right w:val="single" w:sz="4" w:space="0" w:color="auto"/>
            </w:tcBorders>
            <w:vAlign w:val="center"/>
            <w:hideMark/>
          </w:tcPr>
          <w:p w14:paraId="17F69C24" w14:textId="3A6C8108" w:rsidR="00106FAE" w:rsidRDefault="008A2FA1">
            <w:pPr>
              <w:jc w:val="center"/>
              <w:rPr>
                <w:b/>
                <w:bCs/>
                <w:sz w:val="20"/>
                <w:szCs w:val="20"/>
              </w:rPr>
            </w:pPr>
            <w:proofErr w:type="spellStart"/>
            <w:r>
              <w:rPr>
                <w:b/>
                <w:bCs/>
                <w:sz w:val="20"/>
                <w:szCs w:val="20"/>
              </w:rPr>
              <w:t>Financement</w:t>
            </w:r>
            <w:proofErr w:type="spellEnd"/>
            <w:r>
              <w:rPr>
                <w:b/>
                <w:bCs/>
                <w:sz w:val="20"/>
                <w:szCs w:val="20"/>
              </w:rPr>
              <w:t xml:space="preserve"> </w:t>
            </w:r>
            <w:proofErr w:type="spellStart"/>
            <w:r>
              <w:rPr>
                <w:b/>
                <w:bCs/>
                <w:sz w:val="20"/>
                <w:szCs w:val="20"/>
              </w:rPr>
              <w:t>demandé</w:t>
            </w:r>
            <w:proofErr w:type="spellEnd"/>
            <w:r>
              <w:rPr>
                <w:b/>
                <w:bCs/>
                <w:sz w:val="20"/>
                <w:szCs w:val="20"/>
              </w:rPr>
              <w:t xml:space="preserve"> ($US)</w:t>
            </w:r>
          </w:p>
        </w:tc>
        <w:tc>
          <w:tcPr>
            <w:tcW w:w="924" w:type="dxa"/>
            <w:tcBorders>
              <w:top w:val="single" w:sz="4" w:space="0" w:color="auto"/>
              <w:left w:val="single" w:sz="4" w:space="0" w:color="auto"/>
              <w:bottom w:val="single" w:sz="4" w:space="0" w:color="auto"/>
              <w:right w:val="single" w:sz="4" w:space="0" w:color="auto"/>
            </w:tcBorders>
            <w:vAlign w:val="center"/>
            <w:hideMark/>
          </w:tcPr>
          <w:p w14:paraId="6AD0D6E9" w14:textId="7F241F75" w:rsidR="00106FAE" w:rsidRDefault="008A2FA1">
            <w:pPr>
              <w:jc w:val="center"/>
              <w:rPr>
                <w:b/>
                <w:bCs/>
                <w:sz w:val="20"/>
                <w:szCs w:val="20"/>
              </w:rPr>
            </w:pPr>
            <w:proofErr w:type="spellStart"/>
            <w:r>
              <w:rPr>
                <w:b/>
                <w:bCs/>
                <w:sz w:val="20"/>
                <w:szCs w:val="20"/>
              </w:rPr>
              <w:t>Coûts</w:t>
            </w:r>
            <w:proofErr w:type="spellEnd"/>
            <w:r>
              <w:rPr>
                <w:b/>
                <w:bCs/>
                <w:sz w:val="20"/>
                <w:szCs w:val="20"/>
              </w:rPr>
              <w:t xml:space="preserve"> </w:t>
            </w:r>
            <w:proofErr w:type="spellStart"/>
            <w:r>
              <w:rPr>
                <w:b/>
                <w:bCs/>
                <w:sz w:val="20"/>
                <w:szCs w:val="20"/>
              </w:rPr>
              <w:t>d’appui</w:t>
            </w:r>
            <w:proofErr w:type="spellEnd"/>
            <w:r>
              <w:rPr>
                <w:b/>
                <w:bCs/>
                <w:sz w:val="20"/>
                <w:szCs w:val="20"/>
              </w:rPr>
              <w:t xml:space="preserve"> ($US)</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8D18D92" w14:textId="40B678F1" w:rsidR="00106FAE" w:rsidRDefault="00A41F4B">
            <w:pPr>
              <w:jc w:val="center"/>
              <w:rPr>
                <w:b/>
                <w:bCs/>
                <w:sz w:val="20"/>
                <w:szCs w:val="20"/>
              </w:rPr>
            </w:pPr>
            <w:proofErr w:type="spellStart"/>
            <w:r>
              <w:rPr>
                <w:b/>
                <w:bCs/>
                <w:sz w:val="20"/>
                <w:szCs w:val="20"/>
              </w:rPr>
              <w:t>Montant</w:t>
            </w:r>
            <w:proofErr w:type="spellEnd"/>
            <w:r>
              <w:rPr>
                <w:b/>
                <w:bCs/>
                <w:sz w:val="20"/>
                <w:szCs w:val="20"/>
              </w:rPr>
              <w:t xml:space="preserve"> </w:t>
            </w:r>
            <w:proofErr w:type="spellStart"/>
            <w:r>
              <w:rPr>
                <w:b/>
                <w:bCs/>
                <w:sz w:val="20"/>
                <w:szCs w:val="20"/>
              </w:rPr>
              <w:t>recommandé</w:t>
            </w:r>
            <w:proofErr w:type="spellEnd"/>
            <w:r>
              <w:rPr>
                <w:b/>
                <w:bCs/>
                <w:sz w:val="20"/>
                <w:szCs w:val="20"/>
              </w:rPr>
              <w:t xml:space="preserve"> ($US)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310DA7" w14:textId="77777777" w:rsidR="00106FAE" w:rsidRDefault="00106FAE">
            <w:pPr>
              <w:jc w:val="center"/>
              <w:rPr>
                <w:b/>
                <w:bCs/>
                <w:sz w:val="20"/>
                <w:szCs w:val="20"/>
              </w:rPr>
            </w:pPr>
            <w:r>
              <w:rPr>
                <w:b/>
                <w:bCs/>
                <w:sz w:val="20"/>
                <w:szCs w:val="20"/>
              </w:rPr>
              <w:t>Document</w:t>
            </w:r>
          </w:p>
        </w:tc>
      </w:tr>
      <w:tr w:rsidR="00106FAE" w14:paraId="2498C515"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42CE6FEC" w14:textId="0381B5CC" w:rsidR="00106FAE" w:rsidRDefault="00106FAE">
            <w:pPr>
              <w:rPr>
                <w:sz w:val="20"/>
                <w:szCs w:val="20"/>
              </w:rPr>
            </w:pPr>
            <w:proofErr w:type="spellStart"/>
            <w:r>
              <w:rPr>
                <w:sz w:val="20"/>
                <w:szCs w:val="20"/>
              </w:rPr>
              <w:t>Au</w:t>
            </w:r>
            <w:r w:rsidR="00A41F4B">
              <w:rPr>
                <w:sz w:val="20"/>
                <w:szCs w:val="20"/>
              </w:rPr>
              <w:t>triche</w:t>
            </w:r>
            <w:proofErr w:type="spellEnd"/>
          </w:p>
        </w:tc>
        <w:tc>
          <w:tcPr>
            <w:tcW w:w="939" w:type="dxa"/>
            <w:tcBorders>
              <w:top w:val="single" w:sz="4" w:space="0" w:color="auto"/>
              <w:left w:val="nil"/>
              <w:bottom w:val="single" w:sz="4" w:space="0" w:color="auto"/>
              <w:right w:val="single" w:sz="4" w:space="0" w:color="auto"/>
            </w:tcBorders>
            <w:hideMark/>
          </w:tcPr>
          <w:p w14:paraId="04A88CC0" w14:textId="4530E309" w:rsidR="00106FAE" w:rsidRDefault="00A41F4B">
            <w:pPr>
              <w:jc w:val="left"/>
              <w:rPr>
                <w:sz w:val="20"/>
                <w:szCs w:val="20"/>
              </w:rPr>
            </w:pPr>
            <w:r>
              <w:rPr>
                <w:sz w:val="20"/>
                <w:szCs w:val="20"/>
              </w:rPr>
              <w:t>Chine</w:t>
            </w:r>
          </w:p>
        </w:tc>
        <w:tc>
          <w:tcPr>
            <w:tcW w:w="2928" w:type="dxa"/>
            <w:tcBorders>
              <w:top w:val="single" w:sz="4" w:space="0" w:color="auto"/>
              <w:left w:val="single" w:sz="4" w:space="0" w:color="auto"/>
              <w:bottom w:val="single" w:sz="4" w:space="0" w:color="auto"/>
              <w:right w:val="single" w:sz="4" w:space="0" w:color="auto"/>
            </w:tcBorders>
            <w:hideMark/>
          </w:tcPr>
          <w:p w14:paraId="512C5753" w14:textId="25934F38" w:rsidR="00106FAE" w:rsidRPr="00177812" w:rsidRDefault="00A41F4B">
            <w:pPr>
              <w:jc w:val="left"/>
              <w:rPr>
                <w:color w:val="000000"/>
                <w:sz w:val="20"/>
                <w:szCs w:val="20"/>
                <w:lang w:val="fr-CA"/>
              </w:rPr>
            </w:pPr>
            <w:r w:rsidRPr="00177812">
              <w:rPr>
                <w:color w:val="000000"/>
                <w:sz w:val="20"/>
                <w:szCs w:val="20"/>
                <w:lang w:val="fr-CA"/>
              </w:rPr>
              <w:t xml:space="preserve">Plan de gestion de l’élimination des HCFC </w:t>
            </w:r>
            <w:r w:rsidR="00106FAE" w:rsidRPr="00177812">
              <w:rPr>
                <w:color w:val="000000"/>
                <w:sz w:val="20"/>
                <w:szCs w:val="20"/>
                <w:lang w:val="fr-CA"/>
              </w:rPr>
              <w:t>(</w:t>
            </w:r>
            <w:r w:rsidRPr="00177812">
              <w:rPr>
                <w:color w:val="000000"/>
                <w:sz w:val="20"/>
                <w:szCs w:val="20"/>
                <w:lang w:val="fr-CA"/>
              </w:rPr>
              <w:t>phase</w:t>
            </w:r>
            <w:r w:rsidR="00106FAE" w:rsidRPr="00177812">
              <w:rPr>
                <w:color w:val="000000"/>
                <w:sz w:val="20"/>
                <w:szCs w:val="20"/>
                <w:lang w:val="fr-CA"/>
              </w:rPr>
              <w:t xml:space="preserve"> II, t</w:t>
            </w:r>
            <w:r w:rsidRPr="00177812">
              <w:rPr>
                <w:color w:val="000000"/>
                <w:sz w:val="20"/>
                <w:szCs w:val="20"/>
                <w:lang w:val="fr-CA"/>
              </w:rPr>
              <w:t xml:space="preserve">roisième </w:t>
            </w:r>
            <w:r w:rsidR="00106FAE" w:rsidRPr="00177812">
              <w:rPr>
                <w:color w:val="000000"/>
                <w:sz w:val="20"/>
                <w:szCs w:val="20"/>
                <w:lang w:val="fr-CA"/>
              </w:rPr>
              <w:t>tranche)</w:t>
            </w:r>
          </w:p>
        </w:tc>
        <w:tc>
          <w:tcPr>
            <w:tcW w:w="1236" w:type="dxa"/>
            <w:tcBorders>
              <w:top w:val="single" w:sz="4" w:space="0" w:color="auto"/>
              <w:left w:val="nil"/>
              <w:bottom w:val="single" w:sz="4" w:space="0" w:color="auto"/>
              <w:right w:val="single" w:sz="4" w:space="0" w:color="auto"/>
            </w:tcBorders>
            <w:hideMark/>
          </w:tcPr>
          <w:p w14:paraId="2D1EE01F" w14:textId="0BF1BEF9" w:rsidR="00106FAE" w:rsidRDefault="00106FAE">
            <w:pPr>
              <w:jc w:val="right"/>
              <w:rPr>
                <w:color w:val="000000"/>
                <w:sz w:val="20"/>
                <w:szCs w:val="20"/>
                <w:lang w:val="en-CA"/>
              </w:rPr>
            </w:pPr>
            <w:r>
              <w:rPr>
                <w:color w:val="000000"/>
                <w:sz w:val="20"/>
                <w:szCs w:val="20"/>
              </w:rPr>
              <w:t>350</w:t>
            </w:r>
            <w:r w:rsidR="00A41F4B">
              <w:rPr>
                <w:color w:val="000000"/>
                <w:sz w:val="20"/>
                <w:szCs w:val="20"/>
              </w:rPr>
              <w:t> </w:t>
            </w:r>
            <w:r>
              <w:rPr>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1488DE5B" w14:textId="03217BAD" w:rsidR="00106FAE" w:rsidRDefault="00106FAE">
            <w:pPr>
              <w:jc w:val="right"/>
              <w:rPr>
                <w:color w:val="000000"/>
                <w:sz w:val="20"/>
                <w:szCs w:val="20"/>
              </w:rPr>
            </w:pPr>
            <w:r>
              <w:rPr>
                <w:color w:val="000000"/>
                <w:sz w:val="20"/>
                <w:szCs w:val="20"/>
              </w:rPr>
              <w:t>41</w:t>
            </w:r>
            <w:r w:rsidR="00A41F4B">
              <w:rPr>
                <w:color w:val="000000"/>
                <w:sz w:val="20"/>
                <w:szCs w:val="20"/>
              </w:rPr>
              <w:t> </w:t>
            </w:r>
            <w:r>
              <w:rPr>
                <w:color w:val="000000"/>
                <w:sz w:val="20"/>
                <w:szCs w:val="20"/>
              </w:rPr>
              <w:t>833</w:t>
            </w:r>
          </w:p>
        </w:tc>
        <w:tc>
          <w:tcPr>
            <w:tcW w:w="1260" w:type="dxa"/>
            <w:tcBorders>
              <w:top w:val="single" w:sz="4" w:space="0" w:color="auto"/>
              <w:left w:val="single" w:sz="4" w:space="0" w:color="auto"/>
              <w:bottom w:val="single" w:sz="4" w:space="0" w:color="auto"/>
              <w:right w:val="single" w:sz="4" w:space="0" w:color="auto"/>
            </w:tcBorders>
            <w:hideMark/>
          </w:tcPr>
          <w:p w14:paraId="61C6FB69" w14:textId="248445A4" w:rsidR="00106FAE" w:rsidRDefault="00106FAE">
            <w:pPr>
              <w:jc w:val="right"/>
              <w:rPr>
                <w:color w:val="000000"/>
                <w:sz w:val="20"/>
                <w:szCs w:val="20"/>
              </w:rPr>
            </w:pPr>
            <w:r>
              <w:rPr>
                <w:color w:val="000000"/>
                <w:sz w:val="20"/>
                <w:szCs w:val="20"/>
              </w:rPr>
              <w:t>391</w:t>
            </w:r>
            <w:r w:rsidR="00A41F4B">
              <w:rPr>
                <w:color w:val="000000"/>
                <w:sz w:val="20"/>
                <w:szCs w:val="20"/>
              </w:rPr>
              <w:t> </w:t>
            </w:r>
            <w:r>
              <w:rPr>
                <w:color w:val="000000"/>
                <w:sz w:val="20"/>
                <w:szCs w:val="20"/>
              </w:rPr>
              <w:t>833</w:t>
            </w:r>
          </w:p>
        </w:tc>
        <w:tc>
          <w:tcPr>
            <w:tcW w:w="1080" w:type="dxa"/>
            <w:tcBorders>
              <w:top w:val="single" w:sz="4" w:space="0" w:color="auto"/>
              <w:left w:val="single" w:sz="4" w:space="0" w:color="auto"/>
              <w:bottom w:val="single" w:sz="4" w:space="0" w:color="auto"/>
              <w:right w:val="single" w:sz="4" w:space="0" w:color="auto"/>
            </w:tcBorders>
            <w:hideMark/>
          </w:tcPr>
          <w:p w14:paraId="29A7C762" w14:textId="77777777" w:rsidR="00106FAE" w:rsidRDefault="00106FAE">
            <w:pPr>
              <w:jc w:val="center"/>
              <w:rPr>
                <w:sz w:val="20"/>
                <w:szCs w:val="20"/>
              </w:rPr>
            </w:pPr>
            <w:r>
              <w:rPr>
                <w:sz w:val="20"/>
                <w:szCs w:val="20"/>
              </w:rPr>
              <w:t>(1)</w:t>
            </w:r>
          </w:p>
        </w:tc>
      </w:tr>
      <w:tr w:rsidR="00106FAE" w14:paraId="6D4CB2EF"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13CD7F3D" w14:textId="398780BD" w:rsidR="00106FAE" w:rsidRDefault="00A41F4B">
            <w:pPr>
              <w:rPr>
                <w:sz w:val="20"/>
                <w:szCs w:val="20"/>
              </w:rPr>
            </w:pPr>
            <w:r>
              <w:rPr>
                <w:b/>
                <w:sz w:val="20"/>
                <w:szCs w:val="20"/>
              </w:rPr>
              <w:t>Sous-total</w:t>
            </w:r>
          </w:p>
        </w:tc>
        <w:tc>
          <w:tcPr>
            <w:tcW w:w="939" w:type="dxa"/>
            <w:tcBorders>
              <w:top w:val="single" w:sz="4" w:space="0" w:color="auto"/>
              <w:left w:val="nil"/>
              <w:bottom w:val="single" w:sz="4" w:space="0" w:color="auto"/>
              <w:right w:val="single" w:sz="4" w:space="0" w:color="auto"/>
            </w:tcBorders>
          </w:tcPr>
          <w:p w14:paraId="4D96FB03" w14:textId="77777777" w:rsidR="00106FAE" w:rsidRDefault="00106FAE">
            <w:pPr>
              <w:jc w:val="left"/>
              <w:rPr>
                <w:b/>
                <w:sz w:val="20"/>
                <w:szCs w:val="20"/>
              </w:rPr>
            </w:pPr>
          </w:p>
        </w:tc>
        <w:tc>
          <w:tcPr>
            <w:tcW w:w="2928" w:type="dxa"/>
            <w:tcBorders>
              <w:top w:val="single" w:sz="4" w:space="0" w:color="auto"/>
              <w:left w:val="single" w:sz="4" w:space="0" w:color="auto"/>
              <w:bottom w:val="single" w:sz="4" w:space="0" w:color="auto"/>
              <w:right w:val="single" w:sz="4" w:space="0" w:color="auto"/>
            </w:tcBorders>
          </w:tcPr>
          <w:p w14:paraId="3428703E" w14:textId="77777777" w:rsidR="00106FAE" w:rsidRDefault="00106FAE">
            <w:pPr>
              <w:jc w:val="left"/>
              <w:rPr>
                <w:b/>
                <w:color w:val="000000"/>
                <w:sz w:val="20"/>
                <w:szCs w:val="20"/>
                <w:lang w:val="en-CA"/>
              </w:rPr>
            </w:pPr>
          </w:p>
        </w:tc>
        <w:tc>
          <w:tcPr>
            <w:tcW w:w="1236" w:type="dxa"/>
            <w:tcBorders>
              <w:top w:val="single" w:sz="4" w:space="0" w:color="auto"/>
              <w:left w:val="nil"/>
              <w:bottom w:val="single" w:sz="4" w:space="0" w:color="auto"/>
              <w:right w:val="single" w:sz="4" w:space="0" w:color="auto"/>
            </w:tcBorders>
            <w:hideMark/>
          </w:tcPr>
          <w:p w14:paraId="0E66BF50" w14:textId="511C5E28" w:rsidR="00106FAE" w:rsidRDefault="00106FAE">
            <w:pPr>
              <w:jc w:val="right"/>
              <w:rPr>
                <w:b/>
                <w:color w:val="000000"/>
                <w:sz w:val="20"/>
                <w:szCs w:val="20"/>
              </w:rPr>
            </w:pPr>
            <w:r>
              <w:rPr>
                <w:b/>
                <w:color w:val="000000"/>
                <w:sz w:val="20"/>
                <w:szCs w:val="20"/>
              </w:rPr>
              <w:t>350</w:t>
            </w:r>
            <w:r w:rsidR="00A41F4B">
              <w:rPr>
                <w:b/>
                <w:color w:val="000000"/>
                <w:sz w:val="20"/>
                <w:szCs w:val="20"/>
              </w:rPr>
              <w:t> </w:t>
            </w:r>
            <w:r>
              <w:rPr>
                <w:b/>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16C609CD" w14:textId="031098B9" w:rsidR="00106FAE" w:rsidRDefault="00106FAE">
            <w:pPr>
              <w:jc w:val="right"/>
              <w:rPr>
                <w:b/>
                <w:color w:val="000000"/>
                <w:sz w:val="20"/>
                <w:szCs w:val="20"/>
              </w:rPr>
            </w:pPr>
            <w:r>
              <w:rPr>
                <w:b/>
                <w:color w:val="000000"/>
                <w:sz w:val="20"/>
                <w:szCs w:val="20"/>
              </w:rPr>
              <w:t>41</w:t>
            </w:r>
            <w:r w:rsidR="00A41F4B">
              <w:rPr>
                <w:b/>
                <w:color w:val="000000"/>
                <w:sz w:val="20"/>
                <w:szCs w:val="20"/>
              </w:rPr>
              <w:t> </w:t>
            </w:r>
            <w:r>
              <w:rPr>
                <w:b/>
                <w:color w:val="000000"/>
                <w:sz w:val="20"/>
                <w:szCs w:val="20"/>
              </w:rPr>
              <w:t>833</w:t>
            </w:r>
          </w:p>
        </w:tc>
        <w:tc>
          <w:tcPr>
            <w:tcW w:w="1260" w:type="dxa"/>
            <w:tcBorders>
              <w:top w:val="single" w:sz="4" w:space="0" w:color="auto"/>
              <w:left w:val="single" w:sz="4" w:space="0" w:color="auto"/>
              <w:bottom w:val="single" w:sz="4" w:space="0" w:color="auto"/>
              <w:right w:val="single" w:sz="4" w:space="0" w:color="auto"/>
            </w:tcBorders>
            <w:hideMark/>
          </w:tcPr>
          <w:p w14:paraId="4672B79E" w14:textId="0BAD01C4" w:rsidR="00106FAE" w:rsidRDefault="00106FAE">
            <w:pPr>
              <w:jc w:val="right"/>
              <w:rPr>
                <w:b/>
                <w:color w:val="000000"/>
                <w:sz w:val="20"/>
                <w:szCs w:val="20"/>
              </w:rPr>
            </w:pPr>
            <w:r>
              <w:rPr>
                <w:b/>
                <w:color w:val="000000"/>
                <w:sz w:val="20"/>
                <w:szCs w:val="20"/>
              </w:rPr>
              <w:t>391</w:t>
            </w:r>
            <w:r w:rsidR="00A41F4B">
              <w:rPr>
                <w:b/>
                <w:color w:val="000000"/>
                <w:sz w:val="20"/>
                <w:szCs w:val="20"/>
              </w:rPr>
              <w:t> </w:t>
            </w:r>
            <w:r>
              <w:rPr>
                <w:b/>
                <w:color w:val="000000"/>
                <w:sz w:val="20"/>
                <w:szCs w:val="20"/>
              </w:rPr>
              <w:t>833</w:t>
            </w:r>
          </w:p>
        </w:tc>
        <w:tc>
          <w:tcPr>
            <w:tcW w:w="1080" w:type="dxa"/>
            <w:tcBorders>
              <w:top w:val="single" w:sz="4" w:space="0" w:color="auto"/>
              <w:left w:val="single" w:sz="4" w:space="0" w:color="auto"/>
              <w:bottom w:val="single" w:sz="4" w:space="0" w:color="auto"/>
              <w:right w:val="single" w:sz="4" w:space="0" w:color="auto"/>
            </w:tcBorders>
          </w:tcPr>
          <w:p w14:paraId="39FB0071" w14:textId="77777777" w:rsidR="00106FAE" w:rsidRDefault="00106FAE">
            <w:pPr>
              <w:jc w:val="center"/>
              <w:rPr>
                <w:b/>
                <w:sz w:val="20"/>
                <w:szCs w:val="20"/>
              </w:rPr>
            </w:pPr>
          </w:p>
        </w:tc>
      </w:tr>
      <w:tr w:rsidR="00106FAE" w14:paraId="7BD228DE"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32796A65" w14:textId="4A6C5D14" w:rsidR="00106FAE" w:rsidRDefault="00A41F4B">
            <w:pPr>
              <w:rPr>
                <w:sz w:val="20"/>
                <w:szCs w:val="20"/>
              </w:rPr>
            </w:pPr>
            <w:proofErr w:type="spellStart"/>
            <w:r>
              <w:rPr>
                <w:sz w:val="20"/>
                <w:szCs w:val="20"/>
              </w:rPr>
              <w:t>Allemagne</w:t>
            </w:r>
            <w:proofErr w:type="spellEnd"/>
          </w:p>
        </w:tc>
        <w:tc>
          <w:tcPr>
            <w:tcW w:w="939" w:type="dxa"/>
            <w:tcBorders>
              <w:top w:val="single" w:sz="4" w:space="0" w:color="auto"/>
              <w:left w:val="nil"/>
              <w:bottom w:val="single" w:sz="4" w:space="0" w:color="auto"/>
              <w:right w:val="single" w:sz="4" w:space="0" w:color="auto"/>
            </w:tcBorders>
            <w:hideMark/>
          </w:tcPr>
          <w:p w14:paraId="76F369FF" w14:textId="222AA8A0" w:rsidR="00106FAE" w:rsidRDefault="00106FAE">
            <w:pPr>
              <w:jc w:val="left"/>
              <w:rPr>
                <w:sz w:val="20"/>
                <w:szCs w:val="20"/>
              </w:rPr>
            </w:pPr>
            <w:proofErr w:type="spellStart"/>
            <w:r>
              <w:rPr>
                <w:sz w:val="20"/>
                <w:szCs w:val="20"/>
              </w:rPr>
              <w:t>Br</w:t>
            </w:r>
            <w:r w:rsidR="00A41F4B">
              <w:rPr>
                <w:sz w:val="20"/>
                <w:szCs w:val="20"/>
              </w:rPr>
              <w:t>ésil</w:t>
            </w:r>
            <w:r>
              <w:rPr>
                <w:sz w:val="20"/>
                <w:szCs w:val="20"/>
                <w:vertAlign w:val="superscript"/>
              </w:rPr>
              <w:t>a</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73365C83" w14:textId="6D148DEC" w:rsidR="00106FAE" w:rsidRPr="00177812" w:rsidRDefault="00D51EB3">
            <w:pPr>
              <w:jc w:val="left"/>
              <w:rPr>
                <w:color w:val="000000"/>
                <w:sz w:val="20"/>
                <w:szCs w:val="20"/>
                <w:lang w:val="fr-CA"/>
              </w:rPr>
            </w:pPr>
            <w:r w:rsidRPr="00177812">
              <w:rPr>
                <w:color w:val="000000"/>
                <w:sz w:val="20"/>
                <w:szCs w:val="20"/>
                <w:lang w:val="fr-CA"/>
              </w:rPr>
              <w:t>Préparation du pl</w:t>
            </w:r>
            <w:r w:rsidR="00A41F4B" w:rsidRPr="00177812">
              <w:rPr>
                <w:color w:val="000000"/>
                <w:sz w:val="20"/>
                <w:szCs w:val="20"/>
                <w:lang w:val="fr-CA"/>
              </w:rPr>
              <w:t>an de gestion de l’élimination des HCFC</w:t>
            </w:r>
            <w:r w:rsidR="00820DC6" w:rsidRPr="00177812">
              <w:rPr>
                <w:color w:val="000000"/>
                <w:sz w:val="20"/>
                <w:szCs w:val="20"/>
                <w:lang w:val="fr-CA"/>
              </w:rPr>
              <w:t xml:space="preserve"> </w:t>
            </w:r>
            <w:r w:rsidR="00106FAE" w:rsidRPr="00177812">
              <w:rPr>
                <w:color w:val="000000"/>
                <w:sz w:val="20"/>
                <w:szCs w:val="20"/>
                <w:lang w:val="fr-CA"/>
              </w:rPr>
              <w:t>(</w:t>
            </w:r>
            <w:r w:rsidR="00820DC6" w:rsidRPr="00177812">
              <w:rPr>
                <w:color w:val="000000"/>
                <w:sz w:val="20"/>
                <w:szCs w:val="20"/>
                <w:lang w:val="fr-CA"/>
              </w:rPr>
              <w:t>phase </w:t>
            </w:r>
            <w:r w:rsidR="00106FAE" w:rsidRPr="00177812">
              <w:rPr>
                <w:color w:val="000000"/>
                <w:sz w:val="20"/>
                <w:szCs w:val="20"/>
                <w:lang w:val="fr-CA"/>
              </w:rPr>
              <w:t xml:space="preserve">III) </w:t>
            </w:r>
          </w:p>
        </w:tc>
        <w:tc>
          <w:tcPr>
            <w:tcW w:w="1236" w:type="dxa"/>
            <w:tcBorders>
              <w:top w:val="single" w:sz="4" w:space="0" w:color="auto"/>
              <w:left w:val="nil"/>
              <w:bottom w:val="single" w:sz="4" w:space="0" w:color="auto"/>
              <w:right w:val="single" w:sz="4" w:space="0" w:color="auto"/>
            </w:tcBorders>
            <w:hideMark/>
          </w:tcPr>
          <w:p w14:paraId="0787F79E" w14:textId="5C3B118B" w:rsidR="00106FAE" w:rsidRDefault="00106FAE">
            <w:pPr>
              <w:jc w:val="right"/>
              <w:rPr>
                <w:sz w:val="20"/>
                <w:szCs w:val="20"/>
              </w:rPr>
            </w:pPr>
            <w:r>
              <w:rPr>
                <w:color w:val="000000"/>
                <w:sz w:val="20"/>
                <w:szCs w:val="20"/>
              </w:rPr>
              <w:t>25</w:t>
            </w:r>
            <w:r w:rsidR="00A41F4B">
              <w:rPr>
                <w:color w:val="000000"/>
                <w:sz w:val="20"/>
                <w:szCs w:val="20"/>
              </w:rPr>
              <w:t> </w:t>
            </w:r>
            <w:r>
              <w:rPr>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06331CC7" w14:textId="2F41B3EF" w:rsidR="00106FAE" w:rsidRDefault="00106FAE">
            <w:pPr>
              <w:jc w:val="right"/>
              <w:rPr>
                <w:sz w:val="20"/>
                <w:szCs w:val="20"/>
              </w:rPr>
            </w:pPr>
            <w:r>
              <w:rPr>
                <w:color w:val="000000"/>
                <w:sz w:val="20"/>
                <w:szCs w:val="20"/>
              </w:rPr>
              <w:t>3</w:t>
            </w:r>
            <w:r w:rsidR="00A41F4B">
              <w:rPr>
                <w:color w:val="000000"/>
                <w:sz w:val="20"/>
                <w:szCs w:val="20"/>
              </w:rPr>
              <w:t> </w:t>
            </w:r>
            <w:r>
              <w:rPr>
                <w:color w:val="000000"/>
                <w:sz w:val="20"/>
                <w:szCs w:val="20"/>
              </w:rPr>
              <w:t>250</w:t>
            </w:r>
          </w:p>
        </w:tc>
        <w:tc>
          <w:tcPr>
            <w:tcW w:w="1260" w:type="dxa"/>
            <w:tcBorders>
              <w:top w:val="single" w:sz="4" w:space="0" w:color="auto"/>
              <w:left w:val="single" w:sz="4" w:space="0" w:color="auto"/>
              <w:bottom w:val="single" w:sz="4" w:space="0" w:color="auto"/>
              <w:right w:val="single" w:sz="4" w:space="0" w:color="auto"/>
            </w:tcBorders>
          </w:tcPr>
          <w:p w14:paraId="71E3B07E" w14:textId="5E92EF81" w:rsidR="00106FAE" w:rsidRDefault="00106FAE">
            <w:pPr>
              <w:jc w:val="right"/>
              <w:rPr>
                <w:color w:val="000000"/>
                <w:sz w:val="20"/>
                <w:szCs w:val="20"/>
                <w:lang w:val="en-CA"/>
              </w:rPr>
            </w:pPr>
            <w:r>
              <w:rPr>
                <w:color w:val="000000"/>
                <w:sz w:val="20"/>
                <w:szCs w:val="20"/>
              </w:rPr>
              <w:t>28</w:t>
            </w:r>
            <w:r w:rsidR="00A41F4B">
              <w:rPr>
                <w:color w:val="000000"/>
                <w:sz w:val="20"/>
                <w:szCs w:val="20"/>
              </w:rPr>
              <w:t> </w:t>
            </w:r>
            <w:r>
              <w:rPr>
                <w:color w:val="000000"/>
                <w:sz w:val="20"/>
                <w:szCs w:val="20"/>
              </w:rPr>
              <w:t>250</w:t>
            </w:r>
          </w:p>
          <w:p w14:paraId="46F6C670" w14:textId="77777777" w:rsidR="00106FAE" w:rsidRDefault="00106FAE">
            <w:pPr>
              <w:jc w:val="right"/>
              <w:rPr>
                <w:b/>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0427897D" w14:textId="7FD4D390" w:rsidR="00106FAE" w:rsidRDefault="00D51EB3">
            <w:pPr>
              <w:jc w:val="center"/>
              <w:rPr>
                <w:sz w:val="20"/>
                <w:szCs w:val="20"/>
              </w:rPr>
            </w:pPr>
            <w:proofErr w:type="spellStart"/>
            <w:r>
              <w:rPr>
                <w:sz w:val="20"/>
                <w:szCs w:val="20"/>
              </w:rPr>
              <w:t>Présent</w:t>
            </w:r>
            <w:proofErr w:type="spellEnd"/>
            <w:r>
              <w:rPr>
                <w:sz w:val="20"/>
                <w:szCs w:val="20"/>
              </w:rPr>
              <w:t xml:space="preserve"> document </w:t>
            </w:r>
          </w:p>
        </w:tc>
      </w:tr>
      <w:tr w:rsidR="00106FAE" w14:paraId="30F90A43"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4876D026" w14:textId="1B4868AF" w:rsidR="00106FAE" w:rsidRDefault="00A41F4B">
            <w:pPr>
              <w:rPr>
                <w:sz w:val="20"/>
                <w:szCs w:val="20"/>
              </w:rPr>
            </w:pPr>
            <w:proofErr w:type="spellStart"/>
            <w:r>
              <w:rPr>
                <w:sz w:val="20"/>
                <w:szCs w:val="20"/>
              </w:rPr>
              <w:t>Allemagne</w:t>
            </w:r>
            <w:proofErr w:type="spellEnd"/>
          </w:p>
        </w:tc>
        <w:tc>
          <w:tcPr>
            <w:tcW w:w="939" w:type="dxa"/>
            <w:tcBorders>
              <w:top w:val="single" w:sz="4" w:space="0" w:color="auto"/>
              <w:left w:val="nil"/>
              <w:bottom w:val="single" w:sz="4" w:space="0" w:color="auto"/>
              <w:right w:val="single" w:sz="4" w:space="0" w:color="auto"/>
            </w:tcBorders>
            <w:hideMark/>
          </w:tcPr>
          <w:p w14:paraId="111C1341" w14:textId="40A5C694" w:rsidR="00106FAE" w:rsidRDefault="00106FAE">
            <w:pPr>
              <w:jc w:val="left"/>
              <w:rPr>
                <w:sz w:val="20"/>
                <w:szCs w:val="20"/>
              </w:rPr>
            </w:pPr>
            <w:proofErr w:type="spellStart"/>
            <w:r>
              <w:rPr>
                <w:sz w:val="20"/>
                <w:szCs w:val="20"/>
              </w:rPr>
              <w:t>Br</w:t>
            </w:r>
            <w:r w:rsidR="00A41F4B">
              <w:rPr>
                <w:sz w:val="20"/>
                <w:szCs w:val="20"/>
              </w:rPr>
              <w:t>ésil</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7D1B6918" w14:textId="687EAAC3" w:rsidR="00106FAE" w:rsidRPr="00177812" w:rsidRDefault="00A41F4B">
            <w:pPr>
              <w:jc w:val="left"/>
              <w:rPr>
                <w:color w:val="000000"/>
                <w:sz w:val="20"/>
                <w:szCs w:val="20"/>
                <w:lang w:val="fr-CA"/>
              </w:rPr>
            </w:pPr>
            <w:r w:rsidRPr="00177812">
              <w:rPr>
                <w:color w:val="000000"/>
                <w:sz w:val="20"/>
                <w:szCs w:val="20"/>
                <w:lang w:val="fr-CA"/>
              </w:rPr>
              <w:t>Plan de gestion de l’élimination des HCFC</w:t>
            </w:r>
            <w:r w:rsidR="00820DC6" w:rsidRPr="00177812">
              <w:rPr>
                <w:color w:val="000000"/>
                <w:sz w:val="20"/>
                <w:szCs w:val="20"/>
                <w:lang w:val="fr-CA"/>
              </w:rPr>
              <w:t xml:space="preserve"> </w:t>
            </w:r>
            <w:r w:rsidR="00106FAE" w:rsidRPr="00177812">
              <w:rPr>
                <w:color w:val="000000"/>
                <w:sz w:val="20"/>
                <w:szCs w:val="20"/>
                <w:lang w:val="fr-CA"/>
              </w:rPr>
              <w:t>(</w:t>
            </w:r>
            <w:r w:rsidR="00820DC6" w:rsidRPr="00177812">
              <w:rPr>
                <w:color w:val="000000"/>
                <w:sz w:val="20"/>
                <w:szCs w:val="20"/>
                <w:lang w:val="fr-CA"/>
              </w:rPr>
              <w:t>phase </w:t>
            </w:r>
            <w:r w:rsidR="00106FAE" w:rsidRPr="00177812">
              <w:rPr>
                <w:color w:val="000000"/>
                <w:sz w:val="20"/>
                <w:szCs w:val="20"/>
                <w:lang w:val="fr-CA"/>
              </w:rPr>
              <w:t xml:space="preserve">II, </w:t>
            </w:r>
            <w:r w:rsidR="00820DC6" w:rsidRPr="00177812">
              <w:rPr>
                <w:color w:val="000000"/>
                <w:sz w:val="20"/>
                <w:szCs w:val="20"/>
                <w:lang w:val="fr-CA"/>
              </w:rPr>
              <w:t xml:space="preserve">cinquième </w:t>
            </w:r>
            <w:r w:rsidR="00106FAE" w:rsidRPr="00177812">
              <w:rPr>
                <w:color w:val="000000"/>
                <w:sz w:val="20"/>
                <w:szCs w:val="20"/>
                <w:lang w:val="fr-CA"/>
              </w:rPr>
              <w:t>tranche)</w:t>
            </w:r>
          </w:p>
        </w:tc>
        <w:tc>
          <w:tcPr>
            <w:tcW w:w="1236" w:type="dxa"/>
            <w:tcBorders>
              <w:top w:val="single" w:sz="4" w:space="0" w:color="auto"/>
              <w:left w:val="nil"/>
              <w:bottom w:val="single" w:sz="4" w:space="0" w:color="auto"/>
              <w:right w:val="single" w:sz="4" w:space="0" w:color="auto"/>
            </w:tcBorders>
            <w:hideMark/>
          </w:tcPr>
          <w:p w14:paraId="1F9BBEAC" w14:textId="71B54FEE" w:rsidR="00106FAE" w:rsidRDefault="00106FAE">
            <w:pPr>
              <w:jc w:val="right"/>
              <w:rPr>
                <w:color w:val="000000"/>
                <w:sz w:val="20"/>
                <w:szCs w:val="20"/>
                <w:lang w:val="en-CA"/>
              </w:rPr>
            </w:pPr>
            <w:r>
              <w:rPr>
                <w:color w:val="000000"/>
                <w:sz w:val="20"/>
                <w:szCs w:val="20"/>
              </w:rPr>
              <w:t>1</w:t>
            </w:r>
            <w:r w:rsidR="00A41F4B">
              <w:rPr>
                <w:color w:val="000000"/>
                <w:sz w:val="20"/>
                <w:szCs w:val="20"/>
              </w:rPr>
              <w:t> </w:t>
            </w:r>
            <w:r>
              <w:rPr>
                <w:color w:val="000000"/>
                <w:sz w:val="20"/>
                <w:szCs w:val="20"/>
              </w:rPr>
              <w:t>500</w:t>
            </w:r>
            <w:r w:rsidR="00A41F4B">
              <w:rPr>
                <w:color w:val="000000"/>
                <w:sz w:val="20"/>
                <w:szCs w:val="20"/>
              </w:rPr>
              <w:t> </w:t>
            </w:r>
            <w:r>
              <w:rPr>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34EE9730" w14:textId="462EB1FE" w:rsidR="00106FAE" w:rsidRDefault="00106FAE">
            <w:pPr>
              <w:jc w:val="right"/>
              <w:rPr>
                <w:color w:val="000000"/>
                <w:sz w:val="20"/>
                <w:szCs w:val="20"/>
              </w:rPr>
            </w:pPr>
            <w:r>
              <w:rPr>
                <w:color w:val="000000"/>
                <w:sz w:val="20"/>
                <w:szCs w:val="20"/>
              </w:rPr>
              <w:t>166</w:t>
            </w:r>
            <w:r w:rsidR="00A41F4B">
              <w:rPr>
                <w:color w:val="000000"/>
                <w:sz w:val="20"/>
                <w:szCs w:val="20"/>
              </w:rPr>
              <w:t> </w:t>
            </w:r>
            <w:r>
              <w:rPr>
                <w:color w:val="000000"/>
                <w:sz w:val="20"/>
                <w:szCs w:val="20"/>
              </w:rPr>
              <w:t>941</w:t>
            </w:r>
          </w:p>
        </w:tc>
        <w:tc>
          <w:tcPr>
            <w:tcW w:w="1260" w:type="dxa"/>
            <w:tcBorders>
              <w:top w:val="single" w:sz="4" w:space="0" w:color="auto"/>
              <w:left w:val="single" w:sz="4" w:space="0" w:color="auto"/>
              <w:bottom w:val="single" w:sz="4" w:space="0" w:color="auto"/>
              <w:right w:val="single" w:sz="4" w:space="0" w:color="auto"/>
            </w:tcBorders>
            <w:hideMark/>
          </w:tcPr>
          <w:p w14:paraId="402AE9F3" w14:textId="71BCC416" w:rsidR="00106FAE" w:rsidRDefault="00106FAE">
            <w:pPr>
              <w:jc w:val="right"/>
              <w:rPr>
                <w:color w:val="000000"/>
                <w:sz w:val="20"/>
                <w:szCs w:val="20"/>
              </w:rPr>
            </w:pPr>
            <w:r>
              <w:rPr>
                <w:color w:val="000000"/>
                <w:sz w:val="20"/>
                <w:szCs w:val="20"/>
              </w:rPr>
              <w:t>1</w:t>
            </w:r>
            <w:r w:rsidR="00A41F4B">
              <w:rPr>
                <w:color w:val="000000"/>
                <w:sz w:val="20"/>
                <w:szCs w:val="20"/>
              </w:rPr>
              <w:t> </w:t>
            </w:r>
            <w:r>
              <w:rPr>
                <w:color w:val="000000"/>
                <w:sz w:val="20"/>
                <w:szCs w:val="20"/>
              </w:rPr>
              <w:t>666</w:t>
            </w:r>
            <w:r w:rsidR="00A41F4B">
              <w:rPr>
                <w:color w:val="000000"/>
                <w:sz w:val="20"/>
                <w:szCs w:val="20"/>
              </w:rPr>
              <w:t> </w:t>
            </w:r>
            <w:r>
              <w:rPr>
                <w:color w:val="000000"/>
                <w:sz w:val="20"/>
                <w:szCs w:val="20"/>
              </w:rPr>
              <w:t>941</w:t>
            </w:r>
          </w:p>
        </w:tc>
        <w:tc>
          <w:tcPr>
            <w:tcW w:w="1080" w:type="dxa"/>
            <w:tcBorders>
              <w:top w:val="single" w:sz="4" w:space="0" w:color="auto"/>
              <w:left w:val="single" w:sz="4" w:space="0" w:color="auto"/>
              <w:bottom w:val="single" w:sz="4" w:space="0" w:color="auto"/>
              <w:right w:val="single" w:sz="4" w:space="0" w:color="auto"/>
            </w:tcBorders>
            <w:hideMark/>
          </w:tcPr>
          <w:p w14:paraId="495DDD21" w14:textId="77777777" w:rsidR="00106FAE" w:rsidRDefault="00106FAE">
            <w:pPr>
              <w:jc w:val="center"/>
              <w:rPr>
                <w:sz w:val="20"/>
                <w:szCs w:val="20"/>
              </w:rPr>
            </w:pPr>
            <w:r>
              <w:rPr>
                <w:sz w:val="20"/>
                <w:szCs w:val="20"/>
              </w:rPr>
              <w:t>(2)</w:t>
            </w:r>
          </w:p>
        </w:tc>
      </w:tr>
      <w:tr w:rsidR="00106FAE" w14:paraId="7427C128"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5D0B8CEC" w14:textId="3997D329" w:rsidR="00106FAE" w:rsidRDefault="00A41F4B">
            <w:pPr>
              <w:rPr>
                <w:sz w:val="20"/>
                <w:szCs w:val="20"/>
              </w:rPr>
            </w:pPr>
            <w:proofErr w:type="spellStart"/>
            <w:r>
              <w:rPr>
                <w:sz w:val="20"/>
                <w:szCs w:val="20"/>
              </w:rPr>
              <w:t>Allemagne</w:t>
            </w:r>
            <w:proofErr w:type="spellEnd"/>
          </w:p>
        </w:tc>
        <w:tc>
          <w:tcPr>
            <w:tcW w:w="939" w:type="dxa"/>
            <w:tcBorders>
              <w:top w:val="single" w:sz="4" w:space="0" w:color="auto"/>
              <w:left w:val="nil"/>
              <w:bottom w:val="single" w:sz="4" w:space="0" w:color="auto"/>
              <w:right w:val="single" w:sz="4" w:space="0" w:color="auto"/>
            </w:tcBorders>
            <w:hideMark/>
          </w:tcPr>
          <w:p w14:paraId="1F2A18BF" w14:textId="09FBC473" w:rsidR="00106FAE" w:rsidRDefault="00106FAE">
            <w:pPr>
              <w:jc w:val="left"/>
              <w:rPr>
                <w:sz w:val="20"/>
                <w:szCs w:val="20"/>
              </w:rPr>
            </w:pPr>
            <w:r>
              <w:rPr>
                <w:sz w:val="20"/>
                <w:szCs w:val="20"/>
              </w:rPr>
              <w:t>Chin</w:t>
            </w:r>
            <w:r w:rsidR="00A41F4B">
              <w:rPr>
                <w:sz w:val="20"/>
                <w:szCs w:val="20"/>
              </w:rPr>
              <w:t>e</w:t>
            </w:r>
          </w:p>
        </w:tc>
        <w:tc>
          <w:tcPr>
            <w:tcW w:w="2928" w:type="dxa"/>
            <w:tcBorders>
              <w:top w:val="single" w:sz="4" w:space="0" w:color="auto"/>
              <w:left w:val="single" w:sz="4" w:space="0" w:color="auto"/>
              <w:bottom w:val="single" w:sz="4" w:space="0" w:color="auto"/>
              <w:right w:val="single" w:sz="4" w:space="0" w:color="auto"/>
            </w:tcBorders>
            <w:hideMark/>
          </w:tcPr>
          <w:p w14:paraId="2D041727" w14:textId="43F1C565" w:rsidR="00106FAE" w:rsidRPr="00177812" w:rsidRDefault="00A41F4B">
            <w:pPr>
              <w:jc w:val="left"/>
              <w:rPr>
                <w:color w:val="000000"/>
                <w:sz w:val="20"/>
                <w:szCs w:val="20"/>
                <w:lang w:val="fr-CA"/>
              </w:rPr>
            </w:pPr>
            <w:r w:rsidRPr="00177812">
              <w:rPr>
                <w:color w:val="000000"/>
                <w:sz w:val="20"/>
                <w:szCs w:val="20"/>
                <w:lang w:val="fr-CA"/>
              </w:rPr>
              <w:t>Plan de gestion de l’élimination des HCFC</w:t>
            </w:r>
            <w:r w:rsidR="00820DC6" w:rsidRPr="00177812">
              <w:rPr>
                <w:color w:val="000000"/>
                <w:sz w:val="20"/>
                <w:szCs w:val="20"/>
                <w:lang w:val="fr-CA"/>
              </w:rPr>
              <w:t xml:space="preserve"> </w:t>
            </w:r>
            <w:r w:rsidR="00106FAE" w:rsidRPr="00177812">
              <w:rPr>
                <w:color w:val="000000"/>
                <w:sz w:val="20"/>
                <w:szCs w:val="20"/>
                <w:lang w:val="fr-CA"/>
              </w:rPr>
              <w:t>(</w:t>
            </w:r>
            <w:r w:rsidR="00820DC6" w:rsidRPr="00177812">
              <w:rPr>
                <w:color w:val="000000"/>
                <w:sz w:val="20"/>
                <w:szCs w:val="20"/>
                <w:lang w:val="fr-CA"/>
              </w:rPr>
              <w:t>phase </w:t>
            </w:r>
            <w:r w:rsidR="00106FAE" w:rsidRPr="00177812">
              <w:rPr>
                <w:color w:val="000000"/>
                <w:sz w:val="20"/>
                <w:szCs w:val="20"/>
                <w:lang w:val="fr-CA"/>
              </w:rPr>
              <w:t xml:space="preserve">II, </w:t>
            </w:r>
            <w:r w:rsidR="00820DC6" w:rsidRPr="00177812">
              <w:rPr>
                <w:color w:val="000000"/>
                <w:sz w:val="20"/>
                <w:szCs w:val="20"/>
                <w:lang w:val="fr-CA"/>
              </w:rPr>
              <w:t>quatrième tr</w:t>
            </w:r>
            <w:r w:rsidR="00106FAE" w:rsidRPr="00177812">
              <w:rPr>
                <w:color w:val="000000"/>
                <w:sz w:val="20"/>
                <w:szCs w:val="20"/>
                <w:lang w:val="fr-CA"/>
              </w:rPr>
              <w:t>anche) (</w:t>
            </w:r>
            <w:r w:rsidR="00EF6320" w:rsidRPr="00177812">
              <w:rPr>
                <w:color w:val="000000"/>
                <w:sz w:val="20"/>
                <w:szCs w:val="20"/>
                <w:lang w:val="fr-CA"/>
              </w:rPr>
              <w:t>plan d</w:t>
            </w:r>
            <w:r w:rsidR="00D0073B" w:rsidRPr="00177812">
              <w:rPr>
                <w:color w:val="000000"/>
                <w:sz w:val="20"/>
                <w:szCs w:val="20"/>
                <w:lang w:val="fr-CA"/>
              </w:rPr>
              <w:t>u</w:t>
            </w:r>
            <w:r w:rsidR="00EF6320" w:rsidRPr="00177812">
              <w:rPr>
                <w:color w:val="000000"/>
                <w:sz w:val="20"/>
                <w:szCs w:val="20"/>
                <w:lang w:val="fr-CA"/>
              </w:rPr>
              <w:t xml:space="preserve"> secteur de l’entretien des appareils de réfrigération et de climatisation et programme de facilitation) </w:t>
            </w:r>
          </w:p>
        </w:tc>
        <w:tc>
          <w:tcPr>
            <w:tcW w:w="1236" w:type="dxa"/>
            <w:tcBorders>
              <w:top w:val="single" w:sz="4" w:space="0" w:color="auto"/>
              <w:left w:val="nil"/>
              <w:bottom w:val="single" w:sz="4" w:space="0" w:color="auto"/>
              <w:right w:val="single" w:sz="4" w:space="0" w:color="auto"/>
            </w:tcBorders>
            <w:hideMark/>
          </w:tcPr>
          <w:p w14:paraId="10F8FCC0" w14:textId="3E661030" w:rsidR="00106FAE" w:rsidRDefault="00106FAE">
            <w:pPr>
              <w:jc w:val="right"/>
              <w:rPr>
                <w:b/>
                <w:sz w:val="20"/>
                <w:szCs w:val="20"/>
              </w:rPr>
            </w:pPr>
            <w:r>
              <w:rPr>
                <w:color w:val="000000"/>
                <w:sz w:val="20"/>
                <w:szCs w:val="20"/>
              </w:rPr>
              <w:t>600</w:t>
            </w:r>
            <w:r w:rsidR="00A41F4B">
              <w:rPr>
                <w:color w:val="000000"/>
                <w:sz w:val="20"/>
                <w:szCs w:val="20"/>
              </w:rPr>
              <w:t> </w:t>
            </w:r>
            <w:r>
              <w:rPr>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3B051376" w14:textId="33897DBE" w:rsidR="00106FAE" w:rsidRDefault="00106FAE">
            <w:pPr>
              <w:jc w:val="right"/>
              <w:rPr>
                <w:b/>
                <w:sz w:val="20"/>
                <w:szCs w:val="20"/>
              </w:rPr>
            </w:pPr>
            <w:r>
              <w:rPr>
                <w:color w:val="000000"/>
                <w:sz w:val="20"/>
                <w:szCs w:val="20"/>
              </w:rPr>
              <w:t>71</w:t>
            </w:r>
            <w:r w:rsidR="00A41F4B">
              <w:rPr>
                <w:color w:val="000000"/>
                <w:sz w:val="20"/>
                <w:szCs w:val="20"/>
              </w:rPr>
              <w:t> </w:t>
            </w:r>
            <w:r>
              <w:rPr>
                <w:color w:val="000000"/>
                <w:sz w:val="20"/>
                <w:szCs w:val="20"/>
              </w:rPr>
              <w:t>122</w:t>
            </w:r>
          </w:p>
        </w:tc>
        <w:tc>
          <w:tcPr>
            <w:tcW w:w="1260" w:type="dxa"/>
            <w:tcBorders>
              <w:top w:val="single" w:sz="4" w:space="0" w:color="auto"/>
              <w:left w:val="single" w:sz="4" w:space="0" w:color="auto"/>
              <w:bottom w:val="single" w:sz="4" w:space="0" w:color="auto"/>
              <w:right w:val="single" w:sz="4" w:space="0" w:color="auto"/>
            </w:tcBorders>
          </w:tcPr>
          <w:p w14:paraId="4CC87B2B" w14:textId="532F0645" w:rsidR="00106FAE" w:rsidRDefault="00106FAE">
            <w:pPr>
              <w:jc w:val="right"/>
              <w:rPr>
                <w:color w:val="000000"/>
                <w:sz w:val="20"/>
                <w:szCs w:val="20"/>
                <w:lang w:val="en-CA"/>
              </w:rPr>
            </w:pPr>
            <w:r>
              <w:rPr>
                <w:color w:val="000000"/>
                <w:sz w:val="20"/>
                <w:szCs w:val="20"/>
              </w:rPr>
              <w:t>671</w:t>
            </w:r>
            <w:r w:rsidR="00A41F4B">
              <w:rPr>
                <w:color w:val="000000"/>
                <w:sz w:val="20"/>
                <w:szCs w:val="20"/>
              </w:rPr>
              <w:t> </w:t>
            </w:r>
            <w:r>
              <w:rPr>
                <w:color w:val="000000"/>
                <w:sz w:val="20"/>
                <w:szCs w:val="20"/>
              </w:rPr>
              <w:t>122</w:t>
            </w:r>
          </w:p>
          <w:p w14:paraId="422A10A4" w14:textId="77777777" w:rsidR="00106FAE" w:rsidRDefault="00106FAE">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62CD2C42" w14:textId="77777777" w:rsidR="00106FAE" w:rsidRDefault="00106FAE">
            <w:pPr>
              <w:jc w:val="center"/>
              <w:rPr>
                <w:sz w:val="20"/>
                <w:szCs w:val="20"/>
              </w:rPr>
            </w:pPr>
            <w:r>
              <w:rPr>
                <w:sz w:val="20"/>
                <w:szCs w:val="20"/>
              </w:rPr>
              <w:t>(3)</w:t>
            </w:r>
          </w:p>
        </w:tc>
      </w:tr>
      <w:tr w:rsidR="00106FAE" w14:paraId="17BD2E10"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342A0BED" w14:textId="7DD61971" w:rsidR="00106FAE" w:rsidRDefault="00A41F4B">
            <w:pPr>
              <w:rPr>
                <w:sz w:val="20"/>
                <w:szCs w:val="20"/>
              </w:rPr>
            </w:pPr>
            <w:proofErr w:type="spellStart"/>
            <w:r>
              <w:rPr>
                <w:sz w:val="20"/>
                <w:szCs w:val="20"/>
              </w:rPr>
              <w:t>Allemagne</w:t>
            </w:r>
            <w:proofErr w:type="spellEnd"/>
          </w:p>
        </w:tc>
        <w:tc>
          <w:tcPr>
            <w:tcW w:w="939" w:type="dxa"/>
            <w:tcBorders>
              <w:top w:val="single" w:sz="4" w:space="0" w:color="auto"/>
              <w:left w:val="nil"/>
              <w:bottom w:val="single" w:sz="4" w:space="0" w:color="auto"/>
              <w:right w:val="single" w:sz="4" w:space="0" w:color="auto"/>
            </w:tcBorders>
            <w:hideMark/>
          </w:tcPr>
          <w:p w14:paraId="4C184842" w14:textId="583BCD02" w:rsidR="00106FAE" w:rsidRDefault="00106FAE">
            <w:pPr>
              <w:jc w:val="left"/>
              <w:rPr>
                <w:sz w:val="20"/>
                <w:szCs w:val="20"/>
              </w:rPr>
            </w:pPr>
            <w:r>
              <w:rPr>
                <w:sz w:val="20"/>
                <w:szCs w:val="20"/>
              </w:rPr>
              <w:t>Chin</w:t>
            </w:r>
            <w:r w:rsidR="00A41F4B">
              <w:rPr>
                <w:sz w:val="20"/>
                <w:szCs w:val="20"/>
              </w:rPr>
              <w:t>e</w:t>
            </w:r>
          </w:p>
        </w:tc>
        <w:tc>
          <w:tcPr>
            <w:tcW w:w="2928" w:type="dxa"/>
            <w:tcBorders>
              <w:top w:val="single" w:sz="4" w:space="0" w:color="auto"/>
              <w:left w:val="single" w:sz="4" w:space="0" w:color="auto"/>
              <w:bottom w:val="single" w:sz="4" w:space="0" w:color="auto"/>
              <w:right w:val="single" w:sz="4" w:space="0" w:color="auto"/>
            </w:tcBorders>
            <w:hideMark/>
          </w:tcPr>
          <w:p w14:paraId="5A98D88D" w14:textId="5DEB301D" w:rsidR="00106FAE" w:rsidRPr="00177812" w:rsidRDefault="00A41F4B">
            <w:pPr>
              <w:jc w:val="left"/>
              <w:rPr>
                <w:color w:val="000000"/>
                <w:sz w:val="20"/>
                <w:szCs w:val="20"/>
                <w:lang w:val="fr-CA"/>
              </w:rPr>
            </w:pPr>
            <w:r w:rsidRPr="00177812">
              <w:rPr>
                <w:color w:val="000000"/>
                <w:sz w:val="20"/>
                <w:szCs w:val="20"/>
                <w:lang w:val="fr-CA"/>
              </w:rPr>
              <w:t>Plan de gestion de l’élimination des HCFC</w:t>
            </w:r>
            <w:r w:rsidR="00820DC6" w:rsidRPr="00177812">
              <w:rPr>
                <w:color w:val="000000"/>
                <w:sz w:val="20"/>
                <w:szCs w:val="20"/>
                <w:lang w:val="fr-CA"/>
              </w:rPr>
              <w:t xml:space="preserve"> </w:t>
            </w:r>
            <w:r w:rsidR="00106FAE" w:rsidRPr="00177812">
              <w:rPr>
                <w:color w:val="000000"/>
                <w:sz w:val="20"/>
                <w:szCs w:val="20"/>
                <w:lang w:val="fr-CA"/>
              </w:rPr>
              <w:t>(</w:t>
            </w:r>
            <w:r w:rsidR="00820DC6" w:rsidRPr="00177812">
              <w:rPr>
                <w:color w:val="000000"/>
                <w:sz w:val="20"/>
                <w:szCs w:val="20"/>
                <w:lang w:val="fr-CA"/>
              </w:rPr>
              <w:t>phase </w:t>
            </w:r>
            <w:r w:rsidR="00106FAE" w:rsidRPr="00177812">
              <w:rPr>
                <w:color w:val="000000"/>
                <w:sz w:val="20"/>
                <w:szCs w:val="20"/>
                <w:lang w:val="fr-CA"/>
              </w:rPr>
              <w:t xml:space="preserve">II, </w:t>
            </w:r>
            <w:r w:rsidR="00820DC6" w:rsidRPr="00177812">
              <w:rPr>
                <w:color w:val="000000"/>
                <w:sz w:val="20"/>
                <w:szCs w:val="20"/>
                <w:lang w:val="fr-CA"/>
              </w:rPr>
              <w:t>quatrième</w:t>
            </w:r>
            <w:r w:rsidR="00106FAE" w:rsidRPr="00177812">
              <w:rPr>
                <w:color w:val="000000"/>
                <w:sz w:val="20"/>
                <w:szCs w:val="20"/>
                <w:lang w:val="fr-CA"/>
              </w:rPr>
              <w:t xml:space="preserve"> tranche) (</w:t>
            </w:r>
            <w:r w:rsidR="00EF6320" w:rsidRPr="00177812">
              <w:rPr>
                <w:color w:val="000000"/>
                <w:sz w:val="20"/>
                <w:szCs w:val="20"/>
                <w:lang w:val="fr-CA"/>
              </w:rPr>
              <w:t>plan du secteur de la mousse de polystyrène extrudé</w:t>
            </w:r>
            <w:r w:rsidR="00106FAE" w:rsidRPr="00177812">
              <w:rPr>
                <w:color w:val="000000"/>
                <w:sz w:val="20"/>
                <w:szCs w:val="20"/>
                <w:lang w:val="fr-CA"/>
              </w:rPr>
              <w:t>)</w:t>
            </w:r>
          </w:p>
        </w:tc>
        <w:tc>
          <w:tcPr>
            <w:tcW w:w="1236" w:type="dxa"/>
            <w:tcBorders>
              <w:top w:val="single" w:sz="4" w:space="0" w:color="auto"/>
              <w:left w:val="nil"/>
              <w:bottom w:val="single" w:sz="4" w:space="0" w:color="auto"/>
              <w:right w:val="single" w:sz="4" w:space="0" w:color="auto"/>
            </w:tcBorders>
            <w:hideMark/>
          </w:tcPr>
          <w:p w14:paraId="34B88B7D" w14:textId="68CA5146" w:rsidR="00106FAE" w:rsidRDefault="00106FAE">
            <w:pPr>
              <w:jc w:val="right"/>
              <w:rPr>
                <w:sz w:val="20"/>
                <w:szCs w:val="20"/>
              </w:rPr>
            </w:pPr>
            <w:r>
              <w:rPr>
                <w:color w:val="000000"/>
                <w:sz w:val="20"/>
                <w:szCs w:val="20"/>
              </w:rPr>
              <w:t>600</w:t>
            </w:r>
            <w:r w:rsidR="00A41F4B">
              <w:rPr>
                <w:color w:val="000000"/>
                <w:sz w:val="20"/>
                <w:szCs w:val="20"/>
              </w:rPr>
              <w:t> </w:t>
            </w:r>
            <w:r>
              <w:rPr>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26CC1453" w14:textId="003BB90C" w:rsidR="00106FAE" w:rsidRDefault="00106FAE">
            <w:pPr>
              <w:jc w:val="right"/>
              <w:rPr>
                <w:sz w:val="20"/>
                <w:szCs w:val="20"/>
              </w:rPr>
            </w:pPr>
            <w:r>
              <w:rPr>
                <w:color w:val="000000"/>
                <w:sz w:val="20"/>
                <w:szCs w:val="20"/>
              </w:rPr>
              <w:t>73</w:t>
            </w:r>
            <w:r w:rsidR="00A41F4B">
              <w:rPr>
                <w:color w:val="000000"/>
                <w:sz w:val="20"/>
                <w:szCs w:val="20"/>
              </w:rPr>
              <w:t> </w:t>
            </w:r>
            <w:r>
              <w:rPr>
                <w:color w:val="000000"/>
                <w:sz w:val="20"/>
                <w:szCs w:val="20"/>
              </w:rPr>
              <w:t>535</w:t>
            </w:r>
          </w:p>
        </w:tc>
        <w:tc>
          <w:tcPr>
            <w:tcW w:w="1260" w:type="dxa"/>
            <w:tcBorders>
              <w:top w:val="single" w:sz="4" w:space="0" w:color="auto"/>
              <w:left w:val="single" w:sz="4" w:space="0" w:color="auto"/>
              <w:bottom w:val="single" w:sz="4" w:space="0" w:color="auto"/>
              <w:right w:val="single" w:sz="4" w:space="0" w:color="auto"/>
            </w:tcBorders>
          </w:tcPr>
          <w:p w14:paraId="7E348CCA" w14:textId="65B870E9" w:rsidR="00106FAE" w:rsidRDefault="00106FAE">
            <w:pPr>
              <w:jc w:val="right"/>
              <w:rPr>
                <w:color w:val="000000"/>
                <w:sz w:val="20"/>
                <w:szCs w:val="20"/>
                <w:lang w:val="en-CA"/>
              </w:rPr>
            </w:pPr>
            <w:r>
              <w:rPr>
                <w:color w:val="000000"/>
                <w:sz w:val="20"/>
                <w:szCs w:val="20"/>
              </w:rPr>
              <w:t>673</w:t>
            </w:r>
            <w:r w:rsidR="00A41F4B">
              <w:rPr>
                <w:color w:val="000000"/>
                <w:sz w:val="20"/>
                <w:szCs w:val="20"/>
              </w:rPr>
              <w:t> </w:t>
            </w:r>
            <w:r>
              <w:rPr>
                <w:color w:val="000000"/>
                <w:sz w:val="20"/>
                <w:szCs w:val="20"/>
              </w:rPr>
              <w:t>535</w:t>
            </w:r>
          </w:p>
          <w:p w14:paraId="410A1D04" w14:textId="77777777" w:rsidR="00106FAE" w:rsidRDefault="00106FAE">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3C07F134" w14:textId="77777777" w:rsidR="00106FAE" w:rsidRDefault="00106FAE">
            <w:pPr>
              <w:jc w:val="center"/>
              <w:rPr>
                <w:sz w:val="20"/>
                <w:szCs w:val="20"/>
              </w:rPr>
            </w:pPr>
            <w:r>
              <w:rPr>
                <w:sz w:val="20"/>
                <w:szCs w:val="20"/>
              </w:rPr>
              <w:t>(4)</w:t>
            </w:r>
          </w:p>
        </w:tc>
      </w:tr>
      <w:tr w:rsidR="00106FAE" w14:paraId="317E40D4"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4F9CCAF1" w14:textId="6935F7D9" w:rsidR="00106FAE" w:rsidRDefault="00A41F4B">
            <w:pPr>
              <w:rPr>
                <w:sz w:val="20"/>
                <w:szCs w:val="20"/>
              </w:rPr>
            </w:pPr>
            <w:proofErr w:type="spellStart"/>
            <w:r>
              <w:rPr>
                <w:sz w:val="20"/>
                <w:szCs w:val="20"/>
              </w:rPr>
              <w:t>Allemagne</w:t>
            </w:r>
            <w:proofErr w:type="spellEnd"/>
          </w:p>
        </w:tc>
        <w:tc>
          <w:tcPr>
            <w:tcW w:w="939" w:type="dxa"/>
            <w:tcBorders>
              <w:top w:val="single" w:sz="4" w:space="0" w:color="auto"/>
              <w:left w:val="nil"/>
              <w:bottom w:val="single" w:sz="4" w:space="0" w:color="auto"/>
              <w:right w:val="single" w:sz="4" w:space="0" w:color="auto"/>
            </w:tcBorders>
            <w:hideMark/>
          </w:tcPr>
          <w:p w14:paraId="4D22630E" w14:textId="46276953" w:rsidR="00106FAE" w:rsidRDefault="00106FAE">
            <w:pPr>
              <w:jc w:val="left"/>
              <w:rPr>
                <w:sz w:val="20"/>
                <w:szCs w:val="20"/>
              </w:rPr>
            </w:pPr>
            <w:proofErr w:type="spellStart"/>
            <w:r>
              <w:rPr>
                <w:sz w:val="20"/>
                <w:szCs w:val="20"/>
              </w:rPr>
              <w:t>Colombi</w:t>
            </w:r>
            <w:r w:rsidR="00A41F4B">
              <w:rPr>
                <w:sz w:val="20"/>
                <w:szCs w:val="20"/>
              </w:rPr>
              <w:t>e</w:t>
            </w:r>
            <w:r>
              <w:rPr>
                <w:sz w:val="20"/>
                <w:szCs w:val="20"/>
                <w:vertAlign w:val="superscript"/>
              </w:rPr>
              <w:t>b</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3B3EF251" w14:textId="22A1BCD3" w:rsidR="00106FAE" w:rsidRPr="00177812" w:rsidRDefault="00EF6320">
            <w:pPr>
              <w:jc w:val="left"/>
              <w:rPr>
                <w:color w:val="000000"/>
                <w:sz w:val="20"/>
                <w:szCs w:val="20"/>
                <w:lang w:val="fr-CA"/>
              </w:rPr>
            </w:pPr>
            <w:r w:rsidRPr="00177812">
              <w:rPr>
                <w:color w:val="000000"/>
                <w:sz w:val="20"/>
                <w:szCs w:val="20"/>
                <w:lang w:val="fr-CA"/>
              </w:rPr>
              <w:t xml:space="preserve">Préparation du plan de gestion de Kigali/HFC </w:t>
            </w:r>
          </w:p>
        </w:tc>
        <w:tc>
          <w:tcPr>
            <w:tcW w:w="1236" w:type="dxa"/>
            <w:tcBorders>
              <w:top w:val="single" w:sz="4" w:space="0" w:color="auto"/>
              <w:left w:val="nil"/>
              <w:bottom w:val="single" w:sz="4" w:space="0" w:color="auto"/>
              <w:right w:val="single" w:sz="4" w:space="0" w:color="auto"/>
            </w:tcBorders>
            <w:hideMark/>
          </w:tcPr>
          <w:p w14:paraId="78E2EC48" w14:textId="2EEDA648" w:rsidR="00106FAE" w:rsidRDefault="00106FAE">
            <w:pPr>
              <w:jc w:val="right"/>
              <w:rPr>
                <w:b/>
                <w:color w:val="000000"/>
                <w:sz w:val="20"/>
                <w:szCs w:val="20"/>
              </w:rPr>
            </w:pPr>
            <w:r>
              <w:rPr>
                <w:color w:val="000000"/>
                <w:sz w:val="20"/>
                <w:szCs w:val="20"/>
              </w:rPr>
              <w:t>70</w:t>
            </w:r>
            <w:r w:rsidR="00A41F4B">
              <w:rPr>
                <w:color w:val="000000"/>
                <w:sz w:val="20"/>
                <w:szCs w:val="20"/>
              </w:rPr>
              <w:t> </w:t>
            </w:r>
            <w:r>
              <w:rPr>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348F84B6" w14:textId="1BC18E12" w:rsidR="00106FAE" w:rsidRDefault="00106FAE">
            <w:pPr>
              <w:jc w:val="right"/>
              <w:rPr>
                <w:b/>
                <w:color w:val="000000"/>
                <w:sz w:val="20"/>
                <w:szCs w:val="20"/>
              </w:rPr>
            </w:pPr>
            <w:r>
              <w:rPr>
                <w:color w:val="000000"/>
                <w:sz w:val="20"/>
                <w:szCs w:val="20"/>
              </w:rPr>
              <w:t>9</w:t>
            </w:r>
            <w:r w:rsidR="00A41F4B">
              <w:rPr>
                <w:color w:val="000000"/>
                <w:sz w:val="20"/>
                <w:szCs w:val="20"/>
              </w:rPr>
              <w:t> </w:t>
            </w:r>
            <w:r>
              <w:rPr>
                <w:color w:val="000000"/>
                <w:sz w:val="20"/>
                <w:szCs w:val="20"/>
              </w:rPr>
              <w:t>100</w:t>
            </w:r>
          </w:p>
        </w:tc>
        <w:tc>
          <w:tcPr>
            <w:tcW w:w="1260" w:type="dxa"/>
            <w:tcBorders>
              <w:top w:val="single" w:sz="4" w:space="0" w:color="auto"/>
              <w:left w:val="single" w:sz="4" w:space="0" w:color="auto"/>
              <w:bottom w:val="single" w:sz="4" w:space="0" w:color="auto"/>
              <w:right w:val="single" w:sz="4" w:space="0" w:color="auto"/>
            </w:tcBorders>
            <w:hideMark/>
          </w:tcPr>
          <w:p w14:paraId="00E30C05" w14:textId="5B7578AD" w:rsidR="00106FAE" w:rsidRDefault="00106FAE">
            <w:pPr>
              <w:jc w:val="right"/>
              <w:rPr>
                <w:b/>
                <w:sz w:val="20"/>
                <w:szCs w:val="20"/>
              </w:rPr>
            </w:pPr>
            <w:r>
              <w:rPr>
                <w:color w:val="000000"/>
                <w:sz w:val="20"/>
                <w:szCs w:val="20"/>
              </w:rPr>
              <w:t>79</w:t>
            </w:r>
            <w:r w:rsidR="00A41F4B">
              <w:rPr>
                <w:color w:val="000000"/>
                <w:sz w:val="20"/>
                <w:szCs w:val="20"/>
              </w:rPr>
              <w:t> </w:t>
            </w:r>
            <w:r>
              <w:rPr>
                <w:color w:val="000000"/>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14:paraId="2150BD63" w14:textId="4879571C" w:rsidR="00106FAE" w:rsidRDefault="00D51EB3">
            <w:pPr>
              <w:jc w:val="center"/>
              <w:rPr>
                <w:sz w:val="20"/>
                <w:szCs w:val="20"/>
              </w:rPr>
            </w:pPr>
            <w:proofErr w:type="spellStart"/>
            <w:r>
              <w:rPr>
                <w:sz w:val="20"/>
                <w:szCs w:val="20"/>
              </w:rPr>
              <w:t>Présent</w:t>
            </w:r>
            <w:proofErr w:type="spellEnd"/>
            <w:r>
              <w:rPr>
                <w:sz w:val="20"/>
                <w:szCs w:val="20"/>
              </w:rPr>
              <w:t xml:space="preserve"> document</w:t>
            </w:r>
          </w:p>
        </w:tc>
      </w:tr>
      <w:tr w:rsidR="00106FAE" w14:paraId="3E2F18FD"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5389DD65" w14:textId="72B448A1" w:rsidR="00106FAE" w:rsidRDefault="00A41F4B">
            <w:pPr>
              <w:rPr>
                <w:sz w:val="20"/>
                <w:szCs w:val="20"/>
              </w:rPr>
            </w:pPr>
            <w:proofErr w:type="spellStart"/>
            <w:r>
              <w:rPr>
                <w:sz w:val="20"/>
                <w:szCs w:val="20"/>
              </w:rPr>
              <w:t>Allemagne</w:t>
            </w:r>
            <w:proofErr w:type="spellEnd"/>
          </w:p>
        </w:tc>
        <w:tc>
          <w:tcPr>
            <w:tcW w:w="939" w:type="dxa"/>
            <w:tcBorders>
              <w:top w:val="single" w:sz="4" w:space="0" w:color="auto"/>
              <w:left w:val="nil"/>
              <w:bottom w:val="single" w:sz="4" w:space="0" w:color="auto"/>
              <w:right w:val="single" w:sz="4" w:space="0" w:color="auto"/>
            </w:tcBorders>
            <w:hideMark/>
          </w:tcPr>
          <w:p w14:paraId="6AFF3BC0" w14:textId="3B04BD0C" w:rsidR="00106FAE" w:rsidRDefault="00106FAE">
            <w:pPr>
              <w:jc w:val="left"/>
              <w:rPr>
                <w:sz w:val="20"/>
                <w:szCs w:val="20"/>
              </w:rPr>
            </w:pPr>
            <w:proofErr w:type="spellStart"/>
            <w:r>
              <w:rPr>
                <w:sz w:val="20"/>
                <w:szCs w:val="20"/>
              </w:rPr>
              <w:t>Colombi</w:t>
            </w:r>
            <w:r w:rsidR="00A41F4B">
              <w:rPr>
                <w:sz w:val="20"/>
                <w:szCs w:val="20"/>
              </w:rPr>
              <w:t>e</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5CA424FE" w14:textId="08AF65EC" w:rsidR="00106FAE" w:rsidRPr="00177812" w:rsidRDefault="00A41F4B">
            <w:pPr>
              <w:jc w:val="left"/>
              <w:rPr>
                <w:color w:val="000000"/>
                <w:sz w:val="20"/>
                <w:szCs w:val="20"/>
                <w:lang w:val="fr-CA"/>
              </w:rPr>
            </w:pPr>
            <w:r w:rsidRPr="00177812">
              <w:rPr>
                <w:color w:val="000000"/>
                <w:sz w:val="20"/>
                <w:szCs w:val="20"/>
                <w:lang w:val="fr-CA"/>
              </w:rPr>
              <w:t>Plan de gestion de l’élimination des HCFC</w:t>
            </w:r>
            <w:r w:rsidR="00820DC6" w:rsidRPr="00177812">
              <w:rPr>
                <w:color w:val="000000"/>
                <w:sz w:val="20"/>
                <w:szCs w:val="20"/>
                <w:lang w:val="fr-CA"/>
              </w:rPr>
              <w:t xml:space="preserve"> </w:t>
            </w:r>
            <w:r w:rsidR="00106FAE" w:rsidRPr="00177812">
              <w:rPr>
                <w:color w:val="000000"/>
                <w:sz w:val="20"/>
                <w:szCs w:val="20"/>
                <w:lang w:val="fr-CA"/>
              </w:rPr>
              <w:t>(</w:t>
            </w:r>
            <w:r w:rsidR="00820DC6" w:rsidRPr="00177812">
              <w:rPr>
                <w:color w:val="000000"/>
                <w:sz w:val="20"/>
                <w:szCs w:val="20"/>
                <w:lang w:val="fr-CA"/>
              </w:rPr>
              <w:t>phase </w:t>
            </w:r>
            <w:r w:rsidR="00106FAE" w:rsidRPr="00177812">
              <w:rPr>
                <w:color w:val="000000"/>
                <w:sz w:val="20"/>
                <w:szCs w:val="20"/>
                <w:lang w:val="fr-CA"/>
              </w:rPr>
              <w:t xml:space="preserve">II, </w:t>
            </w:r>
            <w:r w:rsidR="00820DC6" w:rsidRPr="00177812">
              <w:rPr>
                <w:color w:val="000000"/>
                <w:sz w:val="20"/>
                <w:szCs w:val="20"/>
                <w:lang w:val="fr-CA"/>
              </w:rPr>
              <w:t xml:space="preserve">quatrième </w:t>
            </w:r>
            <w:r w:rsidR="00106FAE" w:rsidRPr="00177812">
              <w:rPr>
                <w:color w:val="000000"/>
                <w:sz w:val="20"/>
                <w:szCs w:val="20"/>
                <w:lang w:val="fr-CA"/>
              </w:rPr>
              <w:t>tranche)</w:t>
            </w:r>
          </w:p>
        </w:tc>
        <w:tc>
          <w:tcPr>
            <w:tcW w:w="1236" w:type="dxa"/>
            <w:tcBorders>
              <w:top w:val="single" w:sz="4" w:space="0" w:color="auto"/>
              <w:left w:val="nil"/>
              <w:bottom w:val="single" w:sz="4" w:space="0" w:color="auto"/>
              <w:right w:val="single" w:sz="4" w:space="0" w:color="auto"/>
            </w:tcBorders>
            <w:hideMark/>
          </w:tcPr>
          <w:p w14:paraId="202C0203" w14:textId="4C1244FC" w:rsidR="00106FAE" w:rsidRDefault="00106FAE">
            <w:pPr>
              <w:jc w:val="right"/>
              <w:rPr>
                <w:b/>
                <w:color w:val="000000"/>
                <w:sz w:val="20"/>
                <w:szCs w:val="20"/>
              </w:rPr>
            </w:pPr>
            <w:r>
              <w:rPr>
                <w:color w:val="000000"/>
                <w:sz w:val="20"/>
                <w:szCs w:val="20"/>
              </w:rPr>
              <w:t>54</w:t>
            </w:r>
            <w:r w:rsidR="00A41F4B">
              <w:rPr>
                <w:color w:val="000000"/>
                <w:sz w:val="20"/>
                <w:szCs w:val="20"/>
              </w:rPr>
              <w:t> </w:t>
            </w:r>
            <w:r>
              <w:rPr>
                <w:color w:val="000000"/>
                <w:sz w:val="20"/>
                <w:szCs w:val="20"/>
              </w:rPr>
              <w:t>300</w:t>
            </w:r>
          </w:p>
        </w:tc>
        <w:tc>
          <w:tcPr>
            <w:tcW w:w="924" w:type="dxa"/>
            <w:tcBorders>
              <w:top w:val="single" w:sz="4" w:space="0" w:color="auto"/>
              <w:left w:val="single" w:sz="4" w:space="0" w:color="auto"/>
              <w:bottom w:val="single" w:sz="4" w:space="0" w:color="auto"/>
              <w:right w:val="nil"/>
            </w:tcBorders>
            <w:hideMark/>
          </w:tcPr>
          <w:p w14:paraId="5355E97B" w14:textId="7554B23C" w:rsidR="00106FAE" w:rsidRDefault="00106FAE">
            <w:pPr>
              <w:jc w:val="right"/>
              <w:rPr>
                <w:b/>
                <w:color w:val="000000"/>
                <w:sz w:val="20"/>
                <w:szCs w:val="20"/>
              </w:rPr>
            </w:pPr>
            <w:r>
              <w:rPr>
                <w:color w:val="000000"/>
                <w:sz w:val="20"/>
                <w:szCs w:val="20"/>
              </w:rPr>
              <w:t>6</w:t>
            </w:r>
            <w:r w:rsidR="00A41F4B">
              <w:rPr>
                <w:color w:val="000000"/>
                <w:sz w:val="20"/>
                <w:szCs w:val="20"/>
              </w:rPr>
              <w:t> </w:t>
            </w:r>
            <w:r>
              <w:rPr>
                <w:color w:val="000000"/>
                <w:sz w:val="20"/>
                <w:szCs w:val="20"/>
              </w:rPr>
              <w:t>973</w:t>
            </w:r>
          </w:p>
        </w:tc>
        <w:tc>
          <w:tcPr>
            <w:tcW w:w="1260" w:type="dxa"/>
            <w:tcBorders>
              <w:top w:val="single" w:sz="4" w:space="0" w:color="auto"/>
              <w:left w:val="single" w:sz="4" w:space="0" w:color="auto"/>
              <w:bottom w:val="single" w:sz="4" w:space="0" w:color="auto"/>
              <w:right w:val="single" w:sz="4" w:space="0" w:color="auto"/>
            </w:tcBorders>
          </w:tcPr>
          <w:p w14:paraId="21EAFCF6" w14:textId="2749808C" w:rsidR="00106FAE" w:rsidRDefault="00106FAE">
            <w:pPr>
              <w:jc w:val="right"/>
              <w:rPr>
                <w:color w:val="000000"/>
                <w:sz w:val="20"/>
                <w:szCs w:val="20"/>
                <w:lang w:val="en-CA"/>
              </w:rPr>
            </w:pPr>
            <w:r>
              <w:rPr>
                <w:color w:val="000000"/>
                <w:sz w:val="20"/>
                <w:szCs w:val="20"/>
              </w:rPr>
              <w:t>61</w:t>
            </w:r>
            <w:r w:rsidR="00A41F4B">
              <w:rPr>
                <w:color w:val="000000"/>
                <w:sz w:val="20"/>
                <w:szCs w:val="20"/>
              </w:rPr>
              <w:t> </w:t>
            </w:r>
            <w:r>
              <w:rPr>
                <w:color w:val="000000"/>
                <w:sz w:val="20"/>
                <w:szCs w:val="20"/>
              </w:rPr>
              <w:t>273</w:t>
            </w:r>
          </w:p>
          <w:p w14:paraId="4EF724B6" w14:textId="77777777" w:rsidR="00106FAE" w:rsidRDefault="00106FAE">
            <w:pPr>
              <w:jc w:val="right"/>
              <w:rPr>
                <w:b/>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7A482E8F" w14:textId="77777777" w:rsidR="00106FAE" w:rsidRDefault="00106FAE">
            <w:pPr>
              <w:jc w:val="center"/>
              <w:rPr>
                <w:sz w:val="20"/>
                <w:szCs w:val="20"/>
              </w:rPr>
            </w:pPr>
            <w:r>
              <w:rPr>
                <w:sz w:val="20"/>
                <w:szCs w:val="20"/>
              </w:rPr>
              <w:t>(5)</w:t>
            </w:r>
          </w:p>
        </w:tc>
      </w:tr>
      <w:tr w:rsidR="00106FAE" w14:paraId="10DFC043"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2FDE7143" w14:textId="56A9130E" w:rsidR="00106FAE" w:rsidRDefault="00A41F4B">
            <w:pPr>
              <w:rPr>
                <w:sz w:val="20"/>
                <w:szCs w:val="20"/>
              </w:rPr>
            </w:pPr>
            <w:proofErr w:type="spellStart"/>
            <w:r>
              <w:rPr>
                <w:sz w:val="20"/>
                <w:szCs w:val="20"/>
              </w:rPr>
              <w:t>Allemagne</w:t>
            </w:r>
            <w:proofErr w:type="spellEnd"/>
          </w:p>
        </w:tc>
        <w:tc>
          <w:tcPr>
            <w:tcW w:w="939" w:type="dxa"/>
            <w:tcBorders>
              <w:top w:val="single" w:sz="4" w:space="0" w:color="auto"/>
              <w:left w:val="nil"/>
              <w:bottom w:val="single" w:sz="4" w:space="0" w:color="auto"/>
              <w:right w:val="single" w:sz="4" w:space="0" w:color="auto"/>
            </w:tcBorders>
            <w:hideMark/>
          </w:tcPr>
          <w:p w14:paraId="03ABD888" w14:textId="6A0BF9D2" w:rsidR="00106FAE" w:rsidRDefault="00106FAE">
            <w:pPr>
              <w:jc w:val="left"/>
              <w:rPr>
                <w:color w:val="000000"/>
                <w:sz w:val="20"/>
                <w:szCs w:val="20"/>
                <w:lang w:val="en-CA"/>
              </w:rPr>
            </w:pPr>
            <w:r>
              <w:rPr>
                <w:color w:val="000000"/>
                <w:sz w:val="20"/>
                <w:szCs w:val="20"/>
              </w:rPr>
              <w:t>Mauri</w:t>
            </w:r>
            <w:r w:rsidR="00A41F4B">
              <w:rPr>
                <w:color w:val="000000"/>
                <w:sz w:val="20"/>
                <w:szCs w:val="20"/>
              </w:rPr>
              <w:t>ce</w:t>
            </w:r>
          </w:p>
        </w:tc>
        <w:tc>
          <w:tcPr>
            <w:tcW w:w="2928" w:type="dxa"/>
            <w:tcBorders>
              <w:top w:val="single" w:sz="4" w:space="0" w:color="auto"/>
              <w:left w:val="single" w:sz="4" w:space="0" w:color="auto"/>
              <w:bottom w:val="single" w:sz="4" w:space="0" w:color="auto"/>
              <w:right w:val="single" w:sz="4" w:space="0" w:color="auto"/>
            </w:tcBorders>
            <w:hideMark/>
          </w:tcPr>
          <w:p w14:paraId="729E8DEE" w14:textId="2B8AFF0E" w:rsidR="00106FAE" w:rsidRPr="00177812" w:rsidRDefault="00EF6320">
            <w:pPr>
              <w:jc w:val="left"/>
              <w:rPr>
                <w:color w:val="000000"/>
                <w:sz w:val="20"/>
                <w:szCs w:val="20"/>
                <w:lang w:val="fr-CA"/>
              </w:rPr>
            </w:pPr>
            <w:r w:rsidRPr="00177812">
              <w:rPr>
                <w:color w:val="000000"/>
                <w:sz w:val="20"/>
                <w:szCs w:val="20"/>
                <w:lang w:val="fr-CA"/>
              </w:rPr>
              <w:t>Rapport de vérification de la mise en œuvre de la phase</w:t>
            </w:r>
            <w:r w:rsidR="00C36A78" w:rsidRPr="00177812">
              <w:rPr>
                <w:color w:val="000000"/>
                <w:sz w:val="20"/>
                <w:szCs w:val="20"/>
                <w:lang w:val="fr-CA"/>
              </w:rPr>
              <w:t> I</w:t>
            </w:r>
            <w:r w:rsidRPr="00177812">
              <w:rPr>
                <w:color w:val="000000"/>
                <w:sz w:val="20"/>
                <w:szCs w:val="20"/>
                <w:lang w:val="fr-CA"/>
              </w:rPr>
              <w:t xml:space="preserve"> du plan de gestion de l’élimination des HCFC </w:t>
            </w:r>
          </w:p>
        </w:tc>
        <w:tc>
          <w:tcPr>
            <w:tcW w:w="1236" w:type="dxa"/>
            <w:tcBorders>
              <w:top w:val="single" w:sz="4" w:space="0" w:color="auto"/>
              <w:left w:val="nil"/>
              <w:bottom w:val="single" w:sz="4" w:space="0" w:color="auto"/>
              <w:right w:val="single" w:sz="4" w:space="0" w:color="auto"/>
            </w:tcBorders>
            <w:hideMark/>
          </w:tcPr>
          <w:p w14:paraId="47B7C9F6" w14:textId="14A6F0AA" w:rsidR="00106FAE" w:rsidRDefault="00106FAE">
            <w:pPr>
              <w:jc w:val="right"/>
              <w:rPr>
                <w:sz w:val="20"/>
                <w:szCs w:val="20"/>
              </w:rPr>
            </w:pPr>
            <w:r>
              <w:rPr>
                <w:color w:val="000000"/>
                <w:sz w:val="20"/>
                <w:szCs w:val="20"/>
              </w:rPr>
              <w:t>30</w:t>
            </w:r>
            <w:r w:rsidR="00A41F4B">
              <w:rPr>
                <w:color w:val="000000"/>
                <w:sz w:val="20"/>
                <w:szCs w:val="20"/>
              </w:rPr>
              <w:t> </w:t>
            </w:r>
            <w:r>
              <w:rPr>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70CBCEC9" w14:textId="29EFEC71" w:rsidR="00106FAE" w:rsidRDefault="00106FAE">
            <w:pPr>
              <w:jc w:val="right"/>
              <w:rPr>
                <w:sz w:val="20"/>
                <w:szCs w:val="20"/>
              </w:rPr>
            </w:pPr>
            <w:r>
              <w:rPr>
                <w:color w:val="000000"/>
                <w:sz w:val="20"/>
                <w:szCs w:val="20"/>
              </w:rPr>
              <w:t>3</w:t>
            </w:r>
            <w:r w:rsidR="00A41F4B">
              <w:rPr>
                <w:color w:val="000000"/>
                <w:sz w:val="20"/>
                <w:szCs w:val="20"/>
              </w:rPr>
              <w:t> </w:t>
            </w:r>
            <w:r>
              <w:rPr>
                <w:color w:val="000000"/>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55C8EEDA" w14:textId="034A10A2" w:rsidR="00106FAE" w:rsidRDefault="00106FAE">
            <w:pPr>
              <w:jc w:val="right"/>
              <w:rPr>
                <w:color w:val="000000"/>
                <w:sz w:val="20"/>
                <w:szCs w:val="20"/>
                <w:lang w:val="en-CA"/>
              </w:rPr>
            </w:pPr>
            <w:r>
              <w:rPr>
                <w:color w:val="000000"/>
                <w:sz w:val="20"/>
                <w:szCs w:val="20"/>
              </w:rPr>
              <w:t>33</w:t>
            </w:r>
            <w:r w:rsidR="00A41F4B">
              <w:rPr>
                <w:color w:val="000000"/>
                <w:sz w:val="20"/>
                <w:szCs w:val="20"/>
              </w:rPr>
              <w:t> </w:t>
            </w:r>
            <w:r>
              <w:rPr>
                <w:color w:val="000000"/>
                <w:sz w:val="20"/>
                <w:szCs w:val="20"/>
              </w:rPr>
              <w:t>900</w:t>
            </w:r>
          </w:p>
          <w:p w14:paraId="18800886" w14:textId="77777777" w:rsidR="00106FAE" w:rsidRDefault="00106FAE">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02D3C2AB" w14:textId="5C7CDB7D" w:rsidR="00106FAE" w:rsidRDefault="00D51EB3">
            <w:pPr>
              <w:jc w:val="center"/>
              <w:rPr>
                <w:sz w:val="20"/>
                <w:szCs w:val="20"/>
              </w:rPr>
            </w:pPr>
            <w:proofErr w:type="spellStart"/>
            <w:r>
              <w:rPr>
                <w:sz w:val="20"/>
                <w:szCs w:val="20"/>
              </w:rPr>
              <w:t>Présent</w:t>
            </w:r>
            <w:proofErr w:type="spellEnd"/>
            <w:r>
              <w:rPr>
                <w:sz w:val="20"/>
                <w:szCs w:val="20"/>
              </w:rPr>
              <w:t xml:space="preserve"> document</w:t>
            </w:r>
          </w:p>
        </w:tc>
      </w:tr>
      <w:tr w:rsidR="00106FAE" w14:paraId="09D2C0C2"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72DF8F46" w14:textId="3282E9BA" w:rsidR="00106FAE" w:rsidRDefault="00EF6320">
            <w:pPr>
              <w:rPr>
                <w:b/>
                <w:sz w:val="20"/>
                <w:szCs w:val="20"/>
              </w:rPr>
            </w:pPr>
            <w:r>
              <w:rPr>
                <w:b/>
                <w:sz w:val="20"/>
                <w:szCs w:val="20"/>
              </w:rPr>
              <w:t>Sous</w:t>
            </w:r>
            <w:r w:rsidR="00C36A78">
              <w:rPr>
                <w:b/>
                <w:sz w:val="20"/>
                <w:szCs w:val="20"/>
              </w:rPr>
              <w:t>-</w:t>
            </w:r>
            <w:r>
              <w:rPr>
                <w:b/>
                <w:sz w:val="20"/>
                <w:szCs w:val="20"/>
              </w:rPr>
              <w:t>total</w:t>
            </w:r>
          </w:p>
        </w:tc>
        <w:tc>
          <w:tcPr>
            <w:tcW w:w="939" w:type="dxa"/>
            <w:tcBorders>
              <w:top w:val="single" w:sz="4" w:space="0" w:color="auto"/>
              <w:left w:val="nil"/>
              <w:bottom w:val="single" w:sz="4" w:space="0" w:color="auto"/>
              <w:right w:val="single" w:sz="4" w:space="0" w:color="auto"/>
            </w:tcBorders>
          </w:tcPr>
          <w:p w14:paraId="05886579" w14:textId="77777777" w:rsidR="00106FAE" w:rsidRDefault="00106FAE">
            <w:pPr>
              <w:jc w:val="left"/>
              <w:rPr>
                <w:b/>
                <w:color w:val="000000"/>
                <w:sz w:val="20"/>
                <w:szCs w:val="20"/>
                <w:lang w:val="en-CA"/>
              </w:rPr>
            </w:pPr>
          </w:p>
        </w:tc>
        <w:tc>
          <w:tcPr>
            <w:tcW w:w="2928" w:type="dxa"/>
            <w:tcBorders>
              <w:top w:val="single" w:sz="4" w:space="0" w:color="auto"/>
              <w:left w:val="single" w:sz="4" w:space="0" w:color="auto"/>
              <w:bottom w:val="single" w:sz="4" w:space="0" w:color="auto"/>
              <w:right w:val="single" w:sz="4" w:space="0" w:color="auto"/>
            </w:tcBorders>
          </w:tcPr>
          <w:p w14:paraId="5CA97BF1" w14:textId="77777777" w:rsidR="00106FAE" w:rsidRDefault="00106FAE">
            <w:pPr>
              <w:jc w:val="left"/>
              <w:rPr>
                <w:b/>
                <w:color w:val="000000"/>
                <w:sz w:val="20"/>
                <w:szCs w:val="20"/>
              </w:rPr>
            </w:pPr>
          </w:p>
        </w:tc>
        <w:tc>
          <w:tcPr>
            <w:tcW w:w="1236" w:type="dxa"/>
            <w:tcBorders>
              <w:top w:val="single" w:sz="4" w:space="0" w:color="auto"/>
              <w:left w:val="nil"/>
              <w:bottom w:val="single" w:sz="4" w:space="0" w:color="auto"/>
              <w:right w:val="single" w:sz="4" w:space="0" w:color="auto"/>
            </w:tcBorders>
            <w:vAlign w:val="bottom"/>
            <w:hideMark/>
          </w:tcPr>
          <w:p w14:paraId="6D04B419" w14:textId="28F4F1AE" w:rsidR="00106FAE" w:rsidRDefault="00106FAE">
            <w:pPr>
              <w:jc w:val="right"/>
              <w:rPr>
                <w:b/>
                <w:sz w:val="20"/>
                <w:szCs w:val="20"/>
              </w:rPr>
            </w:pPr>
            <w:r>
              <w:rPr>
                <w:b/>
                <w:sz w:val="20"/>
                <w:szCs w:val="20"/>
              </w:rPr>
              <w:t>2</w:t>
            </w:r>
            <w:r w:rsidR="00A41F4B">
              <w:rPr>
                <w:b/>
                <w:sz w:val="20"/>
                <w:szCs w:val="20"/>
              </w:rPr>
              <w:t> </w:t>
            </w:r>
            <w:r>
              <w:rPr>
                <w:b/>
                <w:sz w:val="20"/>
                <w:szCs w:val="20"/>
              </w:rPr>
              <w:t>879</w:t>
            </w:r>
            <w:r w:rsidR="00A41F4B">
              <w:rPr>
                <w:b/>
                <w:sz w:val="20"/>
                <w:szCs w:val="20"/>
              </w:rPr>
              <w:t> </w:t>
            </w:r>
            <w:r>
              <w:rPr>
                <w:b/>
                <w:sz w:val="20"/>
                <w:szCs w:val="20"/>
              </w:rPr>
              <w:t>300</w:t>
            </w:r>
          </w:p>
        </w:tc>
        <w:tc>
          <w:tcPr>
            <w:tcW w:w="924" w:type="dxa"/>
            <w:tcBorders>
              <w:top w:val="single" w:sz="4" w:space="0" w:color="auto"/>
              <w:left w:val="single" w:sz="4" w:space="0" w:color="auto"/>
              <w:bottom w:val="single" w:sz="4" w:space="0" w:color="auto"/>
              <w:right w:val="single" w:sz="4" w:space="0" w:color="auto"/>
            </w:tcBorders>
            <w:vAlign w:val="bottom"/>
            <w:hideMark/>
          </w:tcPr>
          <w:p w14:paraId="687E2455" w14:textId="073E4B59" w:rsidR="00106FAE" w:rsidRDefault="00106FAE">
            <w:pPr>
              <w:jc w:val="right"/>
              <w:rPr>
                <w:b/>
                <w:sz w:val="20"/>
                <w:szCs w:val="20"/>
              </w:rPr>
            </w:pPr>
            <w:r>
              <w:rPr>
                <w:b/>
                <w:sz w:val="20"/>
                <w:szCs w:val="20"/>
              </w:rPr>
              <w:t>334</w:t>
            </w:r>
            <w:r w:rsidR="00A41F4B">
              <w:rPr>
                <w:b/>
                <w:sz w:val="20"/>
                <w:szCs w:val="20"/>
              </w:rPr>
              <w:t> </w:t>
            </w:r>
            <w:r>
              <w:rPr>
                <w:b/>
                <w:sz w:val="20"/>
                <w:szCs w:val="20"/>
              </w:rPr>
              <w:t>821</w:t>
            </w:r>
          </w:p>
        </w:tc>
        <w:tc>
          <w:tcPr>
            <w:tcW w:w="1260" w:type="dxa"/>
            <w:tcBorders>
              <w:top w:val="single" w:sz="4" w:space="0" w:color="auto"/>
              <w:left w:val="single" w:sz="4" w:space="0" w:color="auto"/>
              <w:bottom w:val="single" w:sz="4" w:space="0" w:color="auto"/>
              <w:right w:val="nil"/>
            </w:tcBorders>
            <w:vAlign w:val="bottom"/>
            <w:hideMark/>
          </w:tcPr>
          <w:p w14:paraId="4A44B775" w14:textId="36979536" w:rsidR="00106FAE" w:rsidRDefault="00106FAE">
            <w:pPr>
              <w:jc w:val="right"/>
              <w:rPr>
                <w:b/>
                <w:sz w:val="20"/>
                <w:szCs w:val="20"/>
              </w:rPr>
            </w:pPr>
            <w:r>
              <w:rPr>
                <w:b/>
                <w:sz w:val="20"/>
                <w:szCs w:val="20"/>
              </w:rPr>
              <w:t>3</w:t>
            </w:r>
            <w:r w:rsidR="00A41F4B">
              <w:rPr>
                <w:b/>
                <w:sz w:val="20"/>
                <w:szCs w:val="20"/>
              </w:rPr>
              <w:t> </w:t>
            </w:r>
            <w:r>
              <w:rPr>
                <w:b/>
                <w:sz w:val="20"/>
                <w:szCs w:val="20"/>
              </w:rPr>
              <w:t>214</w:t>
            </w:r>
            <w:r w:rsidR="00A41F4B">
              <w:rPr>
                <w:b/>
                <w:sz w:val="20"/>
                <w:szCs w:val="20"/>
              </w:rPr>
              <w:t> </w:t>
            </w:r>
            <w:r>
              <w:rPr>
                <w:b/>
                <w:sz w:val="20"/>
                <w:szCs w:val="20"/>
              </w:rPr>
              <w:t>121</w:t>
            </w:r>
          </w:p>
        </w:tc>
        <w:tc>
          <w:tcPr>
            <w:tcW w:w="1080" w:type="dxa"/>
            <w:tcBorders>
              <w:top w:val="single" w:sz="4" w:space="0" w:color="auto"/>
              <w:left w:val="single" w:sz="4" w:space="0" w:color="auto"/>
              <w:bottom w:val="single" w:sz="4" w:space="0" w:color="auto"/>
              <w:right w:val="single" w:sz="4" w:space="0" w:color="auto"/>
            </w:tcBorders>
          </w:tcPr>
          <w:p w14:paraId="493ED088" w14:textId="77777777" w:rsidR="00106FAE" w:rsidRDefault="00106FAE">
            <w:pPr>
              <w:jc w:val="center"/>
              <w:rPr>
                <w:b/>
                <w:sz w:val="20"/>
                <w:szCs w:val="20"/>
              </w:rPr>
            </w:pPr>
          </w:p>
        </w:tc>
      </w:tr>
      <w:tr w:rsidR="00106FAE" w14:paraId="36995642"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753993A9" w14:textId="69DD0C08" w:rsidR="00106FAE" w:rsidRDefault="00106FAE">
            <w:pPr>
              <w:rPr>
                <w:sz w:val="20"/>
                <w:szCs w:val="20"/>
              </w:rPr>
            </w:pPr>
            <w:r>
              <w:rPr>
                <w:sz w:val="20"/>
                <w:szCs w:val="20"/>
              </w:rPr>
              <w:t>Ital</w:t>
            </w:r>
            <w:r w:rsidR="00A41F4B">
              <w:rPr>
                <w:sz w:val="20"/>
                <w:szCs w:val="20"/>
              </w:rPr>
              <w:t>ie</w:t>
            </w:r>
          </w:p>
        </w:tc>
        <w:tc>
          <w:tcPr>
            <w:tcW w:w="939" w:type="dxa"/>
            <w:tcBorders>
              <w:top w:val="single" w:sz="4" w:space="0" w:color="auto"/>
              <w:left w:val="nil"/>
              <w:bottom w:val="single" w:sz="4" w:space="0" w:color="auto"/>
              <w:right w:val="single" w:sz="4" w:space="0" w:color="auto"/>
            </w:tcBorders>
            <w:hideMark/>
          </w:tcPr>
          <w:p w14:paraId="3CE2BBA5" w14:textId="29F50721" w:rsidR="00106FAE" w:rsidRDefault="00106FAE">
            <w:pPr>
              <w:jc w:val="left"/>
              <w:rPr>
                <w:color w:val="000000"/>
                <w:sz w:val="20"/>
                <w:szCs w:val="20"/>
                <w:lang w:val="en-CA"/>
              </w:rPr>
            </w:pPr>
            <w:proofErr w:type="spellStart"/>
            <w:r>
              <w:rPr>
                <w:color w:val="000000"/>
                <w:sz w:val="20"/>
                <w:szCs w:val="20"/>
              </w:rPr>
              <w:t>Nig</w:t>
            </w:r>
            <w:r w:rsidR="00A41F4B">
              <w:rPr>
                <w:color w:val="000000"/>
                <w:sz w:val="20"/>
                <w:szCs w:val="20"/>
              </w:rPr>
              <w:t>éri</w:t>
            </w:r>
            <w:r w:rsidR="00820DC6">
              <w:rPr>
                <w:color w:val="000000"/>
                <w:sz w:val="20"/>
                <w:szCs w:val="20"/>
              </w:rPr>
              <w:t>a</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61458F84" w14:textId="37B3C350" w:rsidR="00106FAE" w:rsidRPr="00177812" w:rsidRDefault="00A41F4B">
            <w:pPr>
              <w:jc w:val="left"/>
              <w:rPr>
                <w:color w:val="000000"/>
                <w:sz w:val="20"/>
                <w:szCs w:val="20"/>
                <w:lang w:val="fr-CA"/>
              </w:rPr>
            </w:pPr>
            <w:r w:rsidRPr="00177812">
              <w:rPr>
                <w:color w:val="000000"/>
                <w:sz w:val="20"/>
                <w:szCs w:val="20"/>
                <w:lang w:val="fr-CA"/>
              </w:rPr>
              <w:t>Plan de gestion de l’élimination des HCFC</w:t>
            </w:r>
            <w:r w:rsidR="00820DC6" w:rsidRPr="00177812">
              <w:rPr>
                <w:color w:val="000000"/>
                <w:sz w:val="20"/>
                <w:szCs w:val="20"/>
                <w:lang w:val="fr-CA"/>
              </w:rPr>
              <w:t xml:space="preserve"> </w:t>
            </w:r>
            <w:r w:rsidR="00106FAE" w:rsidRPr="00177812">
              <w:rPr>
                <w:color w:val="000000"/>
                <w:sz w:val="20"/>
                <w:szCs w:val="20"/>
                <w:lang w:val="fr-CA"/>
              </w:rPr>
              <w:t>(</w:t>
            </w:r>
            <w:r w:rsidR="00820DC6" w:rsidRPr="00177812">
              <w:rPr>
                <w:color w:val="000000"/>
                <w:sz w:val="20"/>
                <w:szCs w:val="20"/>
                <w:lang w:val="fr-CA"/>
              </w:rPr>
              <w:t>phase </w:t>
            </w:r>
            <w:r w:rsidR="00106FAE" w:rsidRPr="00177812">
              <w:rPr>
                <w:color w:val="000000"/>
                <w:sz w:val="20"/>
                <w:szCs w:val="20"/>
                <w:lang w:val="fr-CA"/>
              </w:rPr>
              <w:t xml:space="preserve">II, </w:t>
            </w:r>
            <w:r w:rsidR="00820DC6" w:rsidRPr="00177812">
              <w:rPr>
                <w:color w:val="000000"/>
                <w:sz w:val="20"/>
                <w:szCs w:val="20"/>
                <w:lang w:val="fr-CA"/>
              </w:rPr>
              <w:t>deuxième</w:t>
            </w:r>
            <w:r w:rsidR="00106FAE" w:rsidRPr="00177812">
              <w:rPr>
                <w:color w:val="000000"/>
                <w:sz w:val="20"/>
                <w:szCs w:val="20"/>
                <w:lang w:val="fr-CA"/>
              </w:rPr>
              <w:t xml:space="preserve"> tranche) </w:t>
            </w:r>
          </w:p>
        </w:tc>
        <w:tc>
          <w:tcPr>
            <w:tcW w:w="1236" w:type="dxa"/>
            <w:tcBorders>
              <w:top w:val="single" w:sz="4" w:space="0" w:color="auto"/>
              <w:left w:val="nil"/>
              <w:bottom w:val="single" w:sz="4" w:space="0" w:color="auto"/>
              <w:right w:val="single" w:sz="4" w:space="0" w:color="auto"/>
            </w:tcBorders>
            <w:hideMark/>
          </w:tcPr>
          <w:p w14:paraId="449FAE58" w14:textId="7F035E7B" w:rsidR="00106FAE" w:rsidRDefault="00106FAE">
            <w:pPr>
              <w:jc w:val="right"/>
              <w:rPr>
                <w:sz w:val="20"/>
                <w:szCs w:val="20"/>
              </w:rPr>
            </w:pPr>
            <w:r>
              <w:rPr>
                <w:color w:val="000000"/>
                <w:sz w:val="20"/>
                <w:szCs w:val="20"/>
              </w:rPr>
              <w:t>234</w:t>
            </w:r>
            <w:r w:rsidR="00A41F4B">
              <w:rPr>
                <w:color w:val="000000"/>
                <w:sz w:val="20"/>
                <w:szCs w:val="20"/>
              </w:rPr>
              <w:t> </w:t>
            </w:r>
            <w:r>
              <w:rPr>
                <w:color w:val="000000"/>
                <w:sz w:val="20"/>
                <w:szCs w:val="20"/>
              </w:rPr>
              <w:t>400</w:t>
            </w:r>
          </w:p>
        </w:tc>
        <w:tc>
          <w:tcPr>
            <w:tcW w:w="924" w:type="dxa"/>
            <w:tcBorders>
              <w:top w:val="single" w:sz="4" w:space="0" w:color="auto"/>
              <w:left w:val="single" w:sz="4" w:space="0" w:color="auto"/>
              <w:bottom w:val="single" w:sz="4" w:space="0" w:color="auto"/>
              <w:right w:val="nil"/>
            </w:tcBorders>
            <w:hideMark/>
          </w:tcPr>
          <w:p w14:paraId="3CF03551" w14:textId="797F889F" w:rsidR="00106FAE" w:rsidRDefault="00106FAE">
            <w:pPr>
              <w:jc w:val="right"/>
              <w:rPr>
                <w:sz w:val="20"/>
                <w:szCs w:val="20"/>
              </w:rPr>
            </w:pPr>
            <w:r>
              <w:rPr>
                <w:color w:val="000000"/>
                <w:sz w:val="20"/>
                <w:szCs w:val="20"/>
              </w:rPr>
              <w:t>30</w:t>
            </w:r>
            <w:r w:rsidR="00A41F4B">
              <w:rPr>
                <w:color w:val="000000"/>
                <w:sz w:val="20"/>
                <w:szCs w:val="20"/>
              </w:rPr>
              <w:t> </w:t>
            </w:r>
            <w:r>
              <w:rPr>
                <w:color w:val="000000"/>
                <w:sz w:val="20"/>
                <w:szCs w:val="20"/>
              </w:rPr>
              <w:t>472</w:t>
            </w:r>
          </w:p>
        </w:tc>
        <w:tc>
          <w:tcPr>
            <w:tcW w:w="1260" w:type="dxa"/>
            <w:tcBorders>
              <w:top w:val="single" w:sz="4" w:space="0" w:color="auto"/>
              <w:left w:val="single" w:sz="4" w:space="0" w:color="auto"/>
              <w:bottom w:val="single" w:sz="4" w:space="0" w:color="auto"/>
              <w:right w:val="single" w:sz="4" w:space="0" w:color="auto"/>
            </w:tcBorders>
            <w:hideMark/>
          </w:tcPr>
          <w:p w14:paraId="663A4BFA" w14:textId="70E781A6" w:rsidR="00106FAE" w:rsidRDefault="00106FAE">
            <w:pPr>
              <w:jc w:val="right"/>
              <w:rPr>
                <w:sz w:val="20"/>
                <w:szCs w:val="20"/>
              </w:rPr>
            </w:pPr>
            <w:r>
              <w:rPr>
                <w:color w:val="000000"/>
                <w:sz w:val="20"/>
                <w:szCs w:val="20"/>
              </w:rPr>
              <w:t>264</w:t>
            </w:r>
            <w:r w:rsidR="00A41F4B">
              <w:rPr>
                <w:color w:val="000000"/>
                <w:sz w:val="20"/>
                <w:szCs w:val="20"/>
              </w:rPr>
              <w:t> </w:t>
            </w:r>
            <w:r>
              <w:rPr>
                <w:color w:val="000000"/>
                <w:sz w:val="20"/>
                <w:szCs w:val="20"/>
              </w:rPr>
              <w:t>872</w:t>
            </w:r>
          </w:p>
        </w:tc>
        <w:tc>
          <w:tcPr>
            <w:tcW w:w="1080" w:type="dxa"/>
            <w:tcBorders>
              <w:top w:val="single" w:sz="4" w:space="0" w:color="auto"/>
              <w:left w:val="single" w:sz="4" w:space="0" w:color="auto"/>
              <w:bottom w:val="single" w:sz="4" w:space="0" w:color="auto"/>
              <w:right w:val="single" w:sz="4" w:space="0" w:color="auto"/>
            </w:tcBorders>
            <w:hideMark/>
          </w:tcPr>
          <w:p w14:paraId="658190B5" w14:textId="77777777" w:rsidR="00106FAE" w:rsidRDefault="00106FAE">
            <w:pPr>
              <w:jc w:val="center"/>
              <w:rPr>
                <w:sz w:val="20"/>
                <w:szCs w:val="20"/>
              </w:rPr>
            </w:pPr>
            <w:r>
              <w:rPr>
                <w:sz w:val="20"/>
                <w:szCs w:val="20"/>
              </w:rPr>
              <w:t>(6)</w:t>
            </w:r>
          </w:p>
        </w:tc>
      </w:tr>
      <w:tr w:rsidR="00106FAE" w14:paraId="1BFC6ABF" w14:textId="77777777" w:rsidTr="00A41F4B">
        <w:trPr>
          <w:trHeight w:val="287"/>
        </w:trPr>
        <w:tc>
          <w:tcPr>
            <w:tcW w:w="993" w:type="dxa"/>
            <w:tcBorders>
              <w:top w:val="single" w:sz="4" w:space="0" w:color="auto"/>
              <w:left w:val="single" w:sz="4" w:space="0" w:color="auto"/>
              <w:bottom w:val="single" w:sz="4" w:space="0" w:color="auto"/>
              <w:right w:val="single" w:sz="4" w:space="0" w:color="auto"/>
            </w:tcBorders>
            <w:hideMark/>
          </w:tcPr>
          <w:p w14:paraId="338EE809" w14:textId="6C0ED446" w:rsidR="00106FAE" w:rsidRDefault="00EF6320">
            <w:pPr>
              <w:rPr>
                <w:sz w:val="20"/>
                <w:szCs w:val="20"/>
              </w:rPr>
            </w:pPr>
            <w:r>
              <w:rPr>
                <w:b/>
                <w:sz w:val="20"/>
                <w:szCs w:val="20"/>
              </w:rPr>
              <w:t>Sou</w:t>
            </w:r>
            <w:r w:rsidR="00C36A78">
              <w:rPr>
                <w:b/>
                <w:sz w:val="20"/>
                <w:szCs w:val="20"/>
              </w:rPr>
              <w:t>s-</w:t>
            </w:r>
            <w:r>
              <w:rPr>
                <w:b/>
                <w:sz w:val="20"/>
                <w:szCs w:val="20"/>
              </w:rPr>
              <w:t>total</w:t>
            </w:r>
          </w:p>
        </w:tc>
        <w:tc>
          <w:tcPr>
            <w:tcW w:w="939" w:type="dxa"/>
            <w:tcBorders>
              <w:top w:val="single" w:sz="4" w:space="0" w:color="auto"/>
              <w:left w:val="nil"/>
              <w:bottom w:val="single" w:sz="4" w:space="0" w:color="auto"/>
              <w:right w:val="single" w:sz="4" w:space="0" w:color="auto"/>
            </w:tcBorders>
          </w:tcPr>
          <w:p w14:paraId="0C6874BE" w14:textId="77777777" w:rsidR="00106FAE" w:rsidRDefault="00106FAE">
            <w:pPr>
              <w:jc w:val="left"/>
              <w:rPr>
                <w:sz w:val="20"/>
                <w:szCs w:val="20"/>
              </w:rPr>
            </w:pPr>
          </w:p>
        </w:tc>
        <w:tc>
          <w:tcPr>
            <w:tcW w:w="2928" w:type="dxa"/>
            <w:tcBorders>
              <w:top w:val="single" w:sz="4" w:space="0" w:color="auto"/>
              <w:left w:val="single" w:sz="4" w:space="0" w:color="auto"/>
              <w:bottom w:val="single" w:sz="4" w:space="0" w:color="auto"/>
              <w:right w:val="single" w:sz="4" w:space="0" w:color="auto"/>
            </w:tcBorders>
          </w:tcPr>
          <w:p w14:paraId="1E535DD7" w14:textId="77777777" w:rsidR="00106FAE" w:rsidRDefault="00106FAE">
            <w:pPr>
              <w:jc w:val="left"/>
              <w:rPr>
                <w:bCs/>
                <w:sz w:val="20"/>
                <w:szCs w:val="20"/>
              </w:rPr>
            </w:pPr>
          </w:p>
        </w:tc>
        <w:tc>
          <w:tcPr>
            <w:tcW w:w="1236" w:type="dxa"/>
            <w:tcBorders>
              <w:top w:val="single" w:sz="4" w:space="0" w:color="auto"/>
              <w:left w:val="nil"/>
              <w:bottom w:val="single" w:sz="4" w:space="0" w:color="auto"/>
              <w:right w:val="single" w:sz="4" w:space="0" w:color="auto"/>
            </w:tcBorders>
            <w:hideMark/>
          </w:tcPr>
          <w:p w14:paraId="7F43B926" w14:textId="6363B5BB" w:rsidR="00106FAE" w:rsidRDefault="00106FAE">
            <w:pPr>
              <w:jc w:val="right"/>
              <w:rPr>
                <w:b/>
                <w:bCs/>
                <w:color w:val="000000"/>
                <w:sz w:val="20"/>
                <w:szCs w:val="20"/>
                <w:lang w:val="en-CA"/>
              </w:rPr>
            </w:pPr>
            <w:r>
              <w:rPr>
                <w:b/>
                <w:bCs/>
                <w:color w:val="000000"/>
                <w:sz w:val="20"/>
                <w:szCs w:val="20"/>
              </w:rPr>
              <w:t>234</w:t>
            </w:r>
            <w:r w:rsidR="00A41F4B">
              <w:rPr>
                <w:b/>
                <w:bCs/>
                <w:color w:val="000000"/>
                <w:sz w:val="20"/>
                <w:szCs w:val="20"/>
              </w:rPr>
              <w:t> </w:t>
            </w:r>
            <w:r>
              <w:rPr>
                <w:b/>
                <w:bCs/>
                <w:color w:val="000000"/>
                <w:sz w:val="20"/>
                <w:szCs w:val="20"/>
              </w:rPr>
              <w:t>400</w:t>
            </w:r>
          </w:p>
        </w:tc>
        <w:tc>
          <w:tcPr>
            <w:tcW w:w="924" w:type="dxa"/>
            <w:tcBorders>
              <w:top w:val="single" w:sz="4" w:space="0" w:color="auto"/>
              <w:left w:val="single" w:sz="4" w:space="0" w:color="auto"/>
              <w:bottom w:val="single" w:sz="4" w:space="0" w:color="auto"/>
              <w:right w:val="nil"/>
            </w:tcBorders>
            <w:hideMark/>
          </w:tcPr>
          <w:p w14:paraId="6422E1E9" w14:textId="3EE4711D" w:rsidR="00106FAE" w:rsidRDefault="00106FAE">
            <w:pPr>
              <w:jc w:val="right"/>
              <w:rPr>
                <w:b/>
                <w:bCs/>
                <w:color w:val="000000"/>
                <w:sz w:val="20"/>
                <w:szCs w:val="20"/>
              </w:rPr>
            </w:pPr>
            <w:r>
              <w:rPr>
                <w:b/>
                <w:bCs/>
                <w:color w:val="000000"/>
                <w:sz w:val="20"/>
                <w:szCs w:val="20"/>
              </w:rPr>
              <w:t>30</w:t>
            </w:r>
            <w:r w:rsidR="00A41F4B">
              <w:rPr>
                <w:b/>
                <w:bCs/>
                <w:color w:val="000000"/>
                <w:sz w:val="20"/>
                <w:szCs w:val="20"/>
              </w:rPr>
              <w:t> </w:t>
            </w:r>
            <w:r>
              <w:rPr>
                <w:b/>
                <w:bCs/>
                <w:color w:val="000000"/>
                <w:sz w:val="20"/>
                <w:szCs w:val="20"/>
              </w:rPr>
              <w:t>472</w:t>
            </w:r>
          </w:p>
        </w:tc>
        <w:tc>
          <w:tcPr>
            <w:tcW w:w="1260" w:type="dxa"/>
            <w:tcBorders>
              <w:top w:val="single" w:sz="4" w:space="0" w:color="auto"/>
              <w:left w:val="single" w:sz="4" w:space="0" w:color="auto"/>
              <w:bottom w:val="single" w:sz="4" w:space="0" w:color="auto"/>
              <w:right w:val="single" w:sz="4" w:space="0" w:color="auto"/>
            </w:tcBorders>
            <w:hideMark/>
          </w:tcPr>
          <w:p w14:paraId="29419245" w14:textId="55C3EC39" w:rsidR="00106FAE" w:rsidRDefault="00106FAE">
            <w:pPr>
              <w:jc w:val="right"/>
              <w:rPr>
                <w:b/>
                <w:bCs/>
                <w:color w:val="000000"/>
                <w:sz w:val="20"/>
                <w:szCs w:val="20"/>
              </w:rPr>
            </w:pPr>
            <w:r>
              <w:rPr>
                <w:b/>
                <w:bCs/>
                <w:color w:val="000000"/>
                <w:sz w:val="20"/>
                <w:szCs w:val="20"/>
              </w:rPr>
              <w:t>264</w:t>
            </w:r>
            <w:r w:rsidR="00A41F4B">
              <w:rPr>
                <w:b/>
                <w:bCs/>
                <w:color w:val="000000"/>
                <w:sz w:val="20"/>
                <w:szCs w:val="20"/>
              </w:rPr>
              <w:t> </w:t>
            </w:r>
            <w:r>
              <w:rPr>
                <w:b/>
                <w:bCs/>
                <w:color w:val="000000"/>
                <w:sz w:val="20"/>
                <w:szCs w:val="20"/>
              </w:rPr>
              <w:t>872</w:t>
            </w:r>
          </w:p>
        </w:tc>
        <w:tc>
          <w:tcPr>
            <w:tcW w:w="1080" w:type="dxa"/>
            <w:tcBorders>
              <w:top w:val="single" w:sz="4" w:space="0" w:color="auto"/>
              <w:left w:val="single" w:sz="4" w:space="0" w:color="auto"/>
              <w:bottom w:val="single" w:sz="4" w:space="0" w:color="auto"/>
              <w:right w:val="single" w:sz="4" w:space="0" w:color="auto"/>
            </w:tcBorders>
          </w:tcPr>
          <w:p w14:paraId="539526C0" w14:textId="77777777" w:rsidR="00106FAE" w:rsidRDefault="00106FAE">
            <w:pPr>
              <w:rPr>
                <w:sz w:val="20"/>
                <w:szCs w:val="20"/>
              </w:rPr>
            </w:pPr>
          </w:p>
        </w:tc>
      </w:tr>
      <w:tr w:rsidR="00106FAE" w14:paraId="0768F895"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3D97D071" w14:textId="04E263DF" w:rsidR="00106FAE" w:rsidRDefault="00106FAE">
            <w:pPr>
              <w:rPr>
                <w:sz w:val="20"/>
                <w:szCs w:val="20"/>
              </w:rPr>
            </w:pPr>
            <w:proofErr w:type="spellStart"/>
            <w:r>
              <w:rPr>
                <w:sz w:val="20"/>
                <w:szCs w:val="20"/>
              </w:rPr>
              <w:t>Jap</w:t>
            </w:r>
            <w:r w:rsidR="00A41F4B">
              <w:rPr>
                <w:sz w:val="20"/>
                <w:szCs w:val="20"/>
              </w:rPr>
              <w:t>on</w:t>
            </w:r>
            <w:proofErr w:type="spellEnd"/>
          </w:p>
        </w:tc>
        <w:tc>
          <w:tcPr>
            <w:tcW w:w="939" w:type="dxa"/>
            <w:tcBorders>
              <w:top w:val="single" w:sz="4" w:space="0" w:color="auto"/>
              <w:left w:val="nil"/>
              <w:bottom w:val="single" w:sz="4" w:space="0" w:color="auto"/>
              <w:right w:val="single" w:sz="4" w:space="0" w:color="auto"/>
            </w:tcBorders>
            <w:hideMark/>
          </w:tcPr>
          <w:p w14:paraId="04245B97" w14:textId="14A59063" w:rsidR="00106FAE" w:rsidRDefault="00106FAE">
            <w:pPr>
              <w:jc w:val="left"/>
              <w:rPr>
                <w:color w:val="000000"/>
                <w:sz w:val="20"/>
                <w:szCs w:val="20"/>
                <w:lang w:val="en-CA"/>
              </w:rPr>
            </w:pPr>
            <w:r>
              <w:rPr>
                <w:color w:val="000000"/>
                <w:sz w:val="20"/>
                <w:szCs w:val="20"/>
              </w:rPr>
              <w:t>Chin</w:t>
            </w:r>
            <w:r w:rsidR="00A41F4B">
              <w:rPr>
                <w:color w:val="000000"/>
                <w:sz w:val="20"/>
                <w:szCs w:val="20"/>
              </w:rPr>
              <w:t>e</w:t>
            </w:r>
          </w:p>
        </w:tc>
        <w:tc>
          <w:tcPr>
            <w:tcW w:w="2928" w:type="dxa"/>
            <w:tcBorders>
              <w:top w:val="single" w:sz="4" w:space="0" w:color="auto"/>
              <w:left w:val="single" w:sz="4" w:space="0" w:color="auto"/>
              <w:bottom w:val="single" w:sz="4" w:space="0" w:color="auto"/>
              <w:right w:val="single" w:sz="4" w:space="0" w:color="auto"/>
            </w:tcBorders>
            <w:hideMark/>
          </w:tcPr>
          <w:p w14:paraId="01DA6FD9" w14:textId="65137938" w:rsidR="00106FAE" w:rsidRPr="00177812" w:rsidRDefault="00A41F4B">
            <w:pPr>
              <w:jc w:val="left"/>
              <w:rPr>
                <w:color w:val="000000"/>
                <w:sz w:val="20"/>
                <w:szCs w:val="20"/>
                <w:lang w:val="fr-CA"/>
              </w:rPr>
            </w:pPr>
            <w:r w:rsidRPr="00177812">
              <w:rPr>
                <w:color w:val="000000"/>
                <w:sz w:val="20"/>
                <w:szCs w:val="20"/>
                <w:lang w:val="fr-CA"/>
              </w:rPr>
              <w:t>Plan de gestion de l’élimination des HCFC</w:t>
            </w:r>
            <w:r w:rsidR="00820DC6" w:rsidRPr="00177812">
              <w:rPr>
                <w:color w:val="000000"/>
                <w:sz w:val="20"/>
                <w:szCs w:val="20"/>
                <w:lang w:val="fr-CA"/>
              </w:rPr>
              <w:t xml:space="preserve"> </w:t>
            </w:r>
            <w:r w:rsidR="00106FAE" w:rsidRPr="00177812">
              <w:rPr>
                <w:color w:val="000000"/>
                <w:sz w:val="20"/>
                <w:szCs w:val="20"/>
                <w:lang w:val="fr-CA"/>
              </w:rPr>
              <w:t>(</w:t>
            </w:r>
            <w:r w:rsidR="00820DC6" w:rsidRPr="00177812">
              <w:rPr>
                <w:color w:val="000000"/>
                <w:sz w:val="20"/>
                <w:szCs w:val="20"/>
                <w:lang w:val="fr-CA"/>
              </w:rPr>
              <w:t>phase</w:t>
            </w:r>
            <w:r w:rsidR="00C36A78" w:rsidRPr="00177812">
              <w:rPr>
                <w:color w:val="000000"/>
                <w:sz w:val="20"/>
                <w:szCs w:val="20"/>
                <w:lang w:val="fr-CA"/>
              </w:rPr>
              <w:t> </w:t>
            </w:r>
            <w:r w:rsidR="00106FAE" w:rsidRPr="00177812">
              <w:rPr>
                <w:color w:val="000000"/>
                <w:sz w:val="20"/>
                <w:szCs w:val="20"/>
                <w:lang w:val="fr-CA"/>
              </w:rPr>
              <w:t xml:space="preserve">II, </w:t>
            </w:r>
            <w:r w:rsidR="00820DC6" w:rsidRPr="00177812">
              <w:rPr>
                <w:color w:val="000000"/>
                <w:sz w:val="20"/>
                <w:szCs w:val="20"/>
                <w:lang w:val="fr-CA"/>
              </w:rPr>
              <w:t>quatrième</w:t>
            </w:r>
            <w:r w:rsidR="00106FAE" w:rsidRPr="00177812">
              <w:rPr>
                <w:color w:val="000000"/>
                <w:sz w:val="20"/>
                <w:szCs w:val="20"/>
                <w:lang w:val="fr-CA"/>
              </w:rPr>
              <w:t xml:space="preserve"> tranche)</w:t>
            </w:r>
          </w:p>
        </w:tc>
        <w:tc>
          <w:tcPr>
            <w:tcW w:w="1236" w:type="dxa"/>
            <w:tcBorders>
              <w:top w:val="single" w:sz="4" w:space="0" w:color="auto"/>
              <w:left w:val="nil"/>
              <w:bottom w:val="single" w:sz="4" w:space="0" w:color="auto"/>
              <w:right w:val="single" w:sz="4" w:space="0" w:color="auto"/>
            </w:tcBorders>
            <w:hideMark/>
          </w:tcPr>
          <w:p w14:paraId="34018FF4" w14:textId="2DC4188F" w:rsidR="00106FAE" w:rsidRDefault="00106FAE">
            <w:pPr>
              <w:jc w:val="right"/>
              <w:rPr>
                <w:sz w:val="20"/>
                <w:szCs w:val="20"/>
              </w:rPr>
            </w:pPr>
            <w:r>
              <w:rPr>
                <w:color w:val="000000"/>
                <w:sz w:val="20"/>
                <w:szCs w:val="20"/>
              </w:rPr>
              <w:t>240</w:t>
            </w:r>
            <w:r w:rsidR="00A41F4B">
              <w:rPr>
                <w:color w:val="000000"/>
                <w:sz w:val="20"/>
                <w:szCs w:val="20"/>
              </w:rPr>
              <w:t> </w:t>
            </w:r>
            <w:r>
              <w:rPr>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3AFC5F5B" w14:textId="29B81B7B" w:rsidR="00106FAE" w:rsidRDefault="00106FAE">
            <w:pPr>
              <w:jc w:val="right"/>
              <w:rPr>
                <w:sz w:val="20"/>
                <w:szCs w:val="20"/>
              </w:rPr>
            </w:pPr>
            <w:r>
              <w:rPr>
                <w:color w:val="000000"/>
                <w:sz w:val="20"/>
                <w:szCs w:val="20"/>
              </w:rPr>
              <w:t>31</w:t>
            </w:r>
            <w:r w:rsidR="00A41F4B">
              <w:rPr>
                <w:color w:val="000000"/>
                <w:sz w:val="20"/>
                <w:szCs w:val="20"/>
              </w:rPr>
              <w:t> </w:t>
            </w:r>
            <w:r>
              <w:rPr>
                <w:color w:val="000000"/>
                <w:sz w:val="20"/>
                <w:szCs w:val="20"/>
              </w:rPr>
              <w:t>200</w:t>
            </w:r>
          </w:p>
        </w:tc>
        <w:tc>
          <w:tcPr>
            <w:tcW w:w="1260" w:type="dxa"/>
            <w:tcBorders>
              <w:top w:val="single" w:sz="4" w:space="0" w:color="auto"/>
              <w:left w:val="single" w:sz="4" w:space="0" w:color="auto"/>
              <w:bottom w:val="single" w:sz="4" w:space="0" w:color="auto"/>
              <w:right w:val="single" w:sz="4" w:space="0" w:color="auto"/>
            </w:tcBorders>
            <w:hideMark/>
          </w:tcPr>
          <w:p w14:paraId="7EE2FD1F" w14:textId="67E49850" w:rsidR="00106FAE" w:rsidRDefault="00106FAE">
            <w:pPr>
              <w:tabs>
                <w:tab w:val="center" w:pos="633"/>
                <w:tab w:val="right" w:pos="1267"/>
              </w:tabs>
              <w:jc w:val="right"/>
              <w:rPr>
                <w:sz w:val="20"/>
                <w:szCs w:val="20"/>
              </w:rPr>
            </w:pPr>
            <w:r>
              <w:rPr>
                <w:color w:val="000000"/>
                <w:sz w:val="20"/>
                <w:szCs w:val="20"/>
              </w:rPr>
              <w:t>271</w:t>
            </w:r>
            <w:r w:rsidR="00A41F4B">
              <w:rPr>
                <w:color w:val="000000"/>
                <w:sz w:val="20"/>
                <w:szCs w:val="20"/>
              </w:rPr>
              <w:t> </w:t>
            </w:r>
            <w:r>
              <w:rPr>
                <w:color w:val="000000"/>
                <w:sz w:val="20"/>
                <w:szCs w:val="20"/>
              </w:rPr>
              <w:t>200</w:t>
            </w:r>
          </w:p>
        </w:tc>
        <w:tc>
          <w:tcPr>
            <w:tcW w:w="1080" w:type="dxa"/>
            <w:tcBorders>
              <w:top w:val="single" w:sz="4" w:space="0" w:color="auto"/>
              <w:left w:val="single" w:sz="4" w:space="0" w:color="auto"/>
              <w:bottom w:val="single" w:sz="4" w:space="0" w:color="auto"/>
              <w:right w:val="single" w:sz="4" w:space="0" w:color="auto"/>
            </w:tcBorders>
            <w:hideMark/>
          </w:tcPr>
          <w:p w14:paraId="65159102" w14:textId="77777777" w:rsidR="00106FAE" w:rsidRDefault="00106FAE">
            <w:pPr>
              <w:jc w:val="center"/>
              <w:rPr>
                <w:sz w:val="20"/>
                <w:szCs w:val="20"/>
              </w:rPr>
            </w:pPr>
            <w:r>
              <w:rPr>
                <w:sz w:val="20"/>
                <w:szCs w:val="20"/>
              </w:rPr>
              <w:t>(7)</w:t>
            </w:r>
          </w:p>
        </w:tc>
      </w:tr>
      <w:tr w:rsidR="00106FAE" w14:paraId="29269ABF" w14:textId="77777777" w:rsidTr="00A41F4B">
        <w:tc>
          <w:tcPr>
            <w:tcW w:w="993" w:type="dxa"/>
            <w:tcBorders>
              <w:top w:val="single" w:sz="4" w:space="0" w:color="auto"/>
              <w:left w:val="single" w:sz="4" w:space="0" w:color="auto"/>
              <w:bottom w:val="single" w:sz="4" w:space="0" w:color="auto"/>
              <w:right w:val="single" w:sz="4" w:space="0" w:color="auto"/>
            </w:tcBorders>
            <w:hideMark/>
          </w:tcPr>
          <w:p w14:paraId="61153375" w14:textId="661E0D67" w:rsidR="00106FAE" w:rsidRDefault="00106FAE">
            <w:pPr>
              <w:rPr>
                <w:sz w:val="20"/>
                <w:szCs w:val="20"/>
              </w:rPr>
            </w:pPr>
            <w:r>
              <w:rPr>
                <w:b/>
                <w:sz w:val="20"/>
                <w:szCs w:val="20"/>
              </w:rPr>
              <w:t>S</w:t>
            </w:r>
            <w:r w:rsidR="00A41F4B">
              <w:rPr>
                <w:b/>
                <w:sz w:val="20"/>
                <w:szCs w:val="20"/>
              </w:rPr>
              <w:t>ous-</w:t>
            </w:r>
            <w:r>
              <w:rPr>
                <w:b/>
                <w:sz w:val="20"/>
                <w:szCs w:val="20"/>
              </w:rPr>
              <w:t xml:space="preserve">total </w:t>
            </w:r>
          </w:p>
        </w:tc>
        <w:tc>
          <w:tcPr>
            <w:tcW w:w="939" w:type="dxa"/>
            <w:tcBorders>
              <w:top w:val="single" w:sz="4" w:space="0" w:color="auto"/>
              <w:left w:val="nil"/>
              <w:bottom w:val="single" w:sz="4" w:space="0" w:color="auto"/>
              <w:right w:val="single" w:sz="4" w:space="0" w:color="auto"/>
            </w:tcBorders>
          </w:tcPr>
          <w:p w14:paraId="05640CB7" w14:textId="77777777" w:rsidR="00106FAE" w:rsidRDefault="00106FAE">
            <w:pPr>
              <w:jc w:val="left"/>
              <w:rPr>
                <w:sz w:val="20"/>
                <w:szCs w:val="20"/>
              </w:rPr>
            </w:pPr>
          </w:p>
        </w:tc>
        <w:tc>
          <w:tcPr>
            <w:tcW w:w="2928" w:type="dxa"/>
            <w:tcBorders>
              <w:top w:val="single" w:sz="4" w:space="0" w:color="auto"/>
              <w:left w:val="single" w:sz="4" w:space="0" w:color="auto"/>
              <w:bottom w:val="single" w:sz="4" w:space="0" w:color="auto"/>
              <w:right w:val="single" w:sz="4" w:space="0" w:color="auto"/>
            </w:tcBorders>
          </w:tcPr>
          <w:p w14:paraId="6A486999" w14:textId="77777777" w:rsidR="00106FAE" w:rsidRDefault="00106FAE">
            <w:pPr>
              <w:ind w:hanging="12"/>
              <w:jc w:val="left"/>
              <w:rPr>
                <w:bCs/>
                <w:sz w:val="20"/>
                <w:szCs w:val="20"/>
              </w:rPr>
            </w:pPr>
          </w:p>
        </w:tc>
        <w:tc>
          <w:tcPr>
            <w:tcW w:w="1236" w:type="dxa"/>
            <w:tcBorders>
              <w:top w:val="single" w:sz="4" w:space="0" w:color="auto"/>
              <w:left w:val="nil"/>
              <w:bottom w:val="single" w:sz="4" w:space="0" w:color="auto"/>
              <w:right w:val="single" w:sz="4" w:space="0" w:color="auto"/>
            </w:tcBorders>
            <w:hideMark/>
          </w:tcPr>
          <w:p w14:paraId="7707F75C" w14:textId="655E3B0A" w:rsidR="00106FAE" w:rsidRDefault="00106FAE">
            <w:pPr>
              <w:jc w:val="right"/>
              <w:rPr>
                <w:b/>
                <w:bCs/>
                <w:color w:val="000000"/>
                <w:sz w:val="20"/>
                <w:szCs w:val="20"/>
                <w:lang w:val="en-CA"/>
              </w:rPr>
            </w:pPr>
            <w:r>
              <w:rPr>
                <w:b/>
                <w:bCs/>
                <w:color w:val="000000"/>
                <w:sz w:val="20"/>
                <w:szCs w:val="20"/>
              </w:rPr>
              <w:t>240</w:t>
            </w:r>
            <w:r w:rsidR="00A41F4B">
              <w:rPr>
                <w:b/>
                <w:bCs/>
                <w:color w:val="000000"/>
                <w:sz w:val="20"/>
                <w:szCs w:val="20"/>
              </w:rPr>
              <w:t> </w:t>
            </w:r>
            <w:r>
              <w:rPr>
                <w:b/>
                <w:bCs/>
                <w:color w:val="000000"/>
                <w:sz w:val="20"/>
                <w:szCs w:val="20"/>
              </w:rPr>
              <w:t>000</w:t>
            </w:r>
          </w:p>
        </w:tc>
        <w:tc>
          <w:tcPr>
            <w:tcW w:w="924" w:type="dxa"/>
            <w:tcBorders>
              <w:top w:val="single" w:sz="4" w:space="0" w:color="auto"/>
              <w:left w:val="single" w:sz="4" w:space="0" w:color="auto"/>
              <w:bottom w:val="single" w:sz="4" w:space="0" w:color="auto"/>
              <w:right w:val="nil"/>
            </w:tcBorders>
            <w:hideMark/>
          </w:tcPr>
          <w:p w14:paraId="07A96A07" w14:textId="41CE10D2" w:rsidR="00106FAE" w:rsidRDefault="00106FAE">
            <w:pPr>
              <w:jc w:val="right"/>
              <w:rPr>
                <w:b/>
                <w:bCs/>
                <w:color w:val="000000"/>
                <w:sz w:val="20"/>
                <w:szCs w:val="20"/>
              </w:rPr>
            </w:pPr>
            <w:r>
              <w:rPr>
                <w:b/>
                <w:bCs/>
                <w:color w:val="000000"/>
                <w:sz w:val="20"/>
                <w:szCs w:val="20"/>
              </w:rPr>
              <w:t>31</w:t>
            </w:r>
            <w:r w:rsidR="00A41F4B">
              <w:rPr>
                <w:b/>
                <w:bCs/>
                <w:color w:val="000000"/>
                <w:sz w:val="20"/>
                <w:szCs w:val="20"/>
              </w:rPr>
              <w:t> </w:t>
            </w:r>
            <w:r>
              <w:rPr>
                <w:b/>
                <w:bCs/>
                <w:color w:val="000000"/>
                <w:sz w:val="20"/>
                <w:szCs w:val="20"/>
              </w:rPr>
              <w:t>200</w:t>
            </w:r>
          </w:p>
        </w:tc>
        <w:tc>
          <w:tcPr>
            <w:tcW w:w="1260" w:type="dxa"/>
            <w:tcBorders>
              <w:top w:val="single" w:sz="4" w:space="0" w:color="auto"/>
              <w:left w:val="single" w:sz="4" w:space="0" w:color="auto"/>
              <w:bottom w:val="single" w:sz="4" w:space="0" w:color="auto"/>
              <w:right w:val="single" w:sz="4" w:space="0" w:color="auto"/>
            </w:tcBorders>
            <w:hideMark/>
          </w:tcPr>
          <w:p w14:paraId="09554DB6" w14:textId="4D7040F3" w:rsidR="00106FAE" w:rsidRDefault="00106FAE">
            <w:pPr>
              <w:jc w:val="right"/>
              <w:rPr>
                <w:b/>
                <w:bCs/>
                <w:color w:val="000000"/>
                <w:sz w:val="20"/>
                <w:szCs w:val="20"/>
              </w:rPr>
            </w:pPr>
            <w:r>
              <w:rPr>
                <w:b/>
                <w:bCs/>
                <w:color w:val="000000"/>
                <w:sz w:val="20"/>
                <w:szCs w:val="20"/>
              </w:rPr>
              <w:t>271</w:t>
            </w:r>
            <w:r w:rsidR="00A41F4B">
              <w:rPr>
                <w:b/>
                <w:bCs/>
                <w:color w:val="000000"/>
                <w:sz w:val="20"/>
                <w:szCs w:val="20"/>
              </w:rPr>
              <w:t> </w:t>
            </w:r>
            <w:r>
              <w:rPr>
                <w:b/>
                <w:bCs/>
                <w:color w:val="000000"/>
                <w:sz w:val="20"/>
                <w:szCs w:val="20"/>
              </w:rPr>
              <w:t>200</w:t>
            </w:r>
          </w:p>
        </w:tc>
        <w:tc>
          <w:tcPr>
            <w:tcW w:w="1080" w:type="dxa"/>
            <w:tcBorders>
              <w:top w:val="single" w:sz="4" w:space="0" w:color="auto"/>
              <w:left w:val="single" w:sz="4" w:space="0" w:color="auto"/>
              <w:bottom w:val="single" w:sz="4" w:space="0" w:color="auto"/>
              <w:right w:val="single" w:sz="4" w:space="0" w:color="auto"/>
            </w:tcBorders>
          </w:tcPr>
          <w:p w14:paraId="2892F751" w14:textId="77777777" w:rsidR="00106FAE" w:rsidRDefault="00106FAE">
            <w:pPr>
              <w:jc w:val="center"/>
              <w:rPr>
                <w:sz w:val="20"/>
                <w:szCs w:val="20"/>
              </w:rPr>
            </w:pPr>
          </w:p>
        </w:tc>
      </w:tr>
      <w:tr w:rsidR="00106FAE" w14:paraId="478B3AB7" w14:textId="77777777" w:rsidTr="00A41F4B">
        <w:trPr>
          <w:trHeight w:val="143"/>
        </w:trPr>
        <w:tc>
          <w:tcPr>
            <w:tcW w:w="993" w:type="dxa"/>
            <w:tcBorders>
              <w:top w:val="single" w:sz="4" w:space="0" w:color="auto"/>
              <w:left w:val="single" w:sz="4" w:space="0" w:color="auto"/>
              <w:bottom w:val="single" w:sz="4" w:space="0" w:color="auto"/>
              <w:right w:val="single" w:sz="4" w:space="0" w:color="auto"/>
            </w:tcBorders>
            <w:hideMark/>
          </w:tcPr>
          <w:p w14:paraId="490B4D54" w14:textId="77777777" w:rsidR="00106FAE" w:rsidRDefault="00106FAE">
            <w:pPr>
              <w:rPr>
                <w:sz w:val="20"/>
                <w:szCs w:val="20"/>
              </w:rPr>
            </w:pPr>
            <w:r>
              <w:rPr>
                <w:b/>
                <w:sz w:val="20"/>
                <w:szCs w:val="20"/>
              </w:rPr>
              <w:t>Total</w:t>
            </w:r>
          </w:p>
        </w:tc>
        <w:tc>
          <w:tcPr>
            <w:tcW w:w="939" w:type="dxa"/>
            <w:tcBorders>
              <w:top w:val="single" w:sz="4" w:space="0" w:color="auto"/>
              <w:left w:val="nil"/>
              <w:bottom w:val="single" w:sz="4" w:space="0" w:color="auto"/>
              <w:right w:val="single" w:sz="4" w:space="0" w:color="auto"/>
            </w:tcBorders>
          </w:tcPr>
          <w:p w14:paraId="51A27558" w14:textId="77777777" w:rsidR="00106FAE" w:rsidRDefault="00106FAE">
            <w:pPr>
              <w:jc w:val="left"/>
              <w:rPr>
                <w:sz w:val="20"/>
                <w:szCs w:val="20"/>
              </w:rPr>
            </w:pPr>
          </w:p>
        </w:tc>
        <w:tc>
          <w:tcPr>
            <w:tcW w:w="2928" w:type="dxa"/>
            <w:tcBorders>
              <w:top w:val="single" w:sz="4" w:space="0" w:color="auto"/>
              <w:left w:val="single" w:sz="4" w:space="0" w:color="auto"/>
              <w:bottom w:val="single" w:sz="4" w:space="0" w:color="auto"/>
              <w:right w:val="single" w:sz="4" w:space="0" w:color="auto"/>
            </w:tcBorders>
          </w:tcPr>
          <w:p w14:paraId="607C8509" w14:textId="77777777" w:rsidR="00106FAE" w:rsidRDefault="00106FAE">
            <w:pPr>
              <w:jc w:val="left"/>
              <w:rPr>
                <w:bCs/>
                <w:sz w:val="20"/>
                <w:szCs w:val="20"/>
              </w:rPr>
            </w:pPr>
          </w:p>
        </w:tc>
        <w:tc>
          <w:tcPr>
            <w:tcW w:w="1236" w:type="dxa"/>
            <w:tcBorders>
              <w:top w:val="single" w:sz="4" w:space="0" w:color="auto"/>
              <w:left w:val="nil"/>
              <w:bottom w:val="single" w:sz="4" w:space="0" w:color="auto"/>
              <w:right w:val="single" w:sz="4" w:space="0" w:color="auto"/>
            </w:tcBorders>
            <w:hideMark/>
          </w:tcPr>
          <w:p w14:paraId="2408A2D5" w14:textId="37EFCEC9" w:rsidR="00106FAE" w:rsidRDefault="00106FAE">
            <w:pPr>
              <w:jc w:val="right"/>
              <w:rPr>
                <w:b/>
                <w:bCs/>
                <w:sz w:val="20"/>
                <w:szCs w:val="20"/>
                <w:lang w:val="en-CA"/>
              </w:rPr>
            </w:pPr>
            <w:r>
              <w:rPr>
                <w:b/>
                <w:bCs/>
                <w:sz w:val="20"/>
                <w:szCs w:val="20"/>
              </w:rPr>
              <w:t>3</w:t>
            </w:r>
            <w:r w:rsidR="00A41F4B">
              <w:rPr>
                <w:b/>
                <w:bCs/>
                <w:sz w:val="20"/>
                <w:szCs w:val="20"/>
              </w:rPr>
              <w:t> </w:t>
            </w:r>
            <w:r>
              <w:rPr>
                <w:b/>
                <w:bCs/>
                <w:sz w:val="20"/>
                <w:szCs w:val="20"/>
              </w:rPr>
              <w:t>703</w:t>
            </w:r>
            <w:r w:rsidR="00A41F4B">
              <w:rPr>
                <w:b/>
                <w:bCs/>
                <w:sz w:val="20"/>
                <w:szCs w:val="20"/>
              </w:rPr>
              <w:t> </w:t>
            </w:r>
            <w:r>
              <w:rPr>
                <w:b/>
                <w:bCs/>
                <w:sz w:val="20"/>
                <w:szCs w:val="20"/>
              </w:rPr>
              <w:t>700</w:t>
            </w:r>
          </w:p>
        </w:tc>
        <w:tc>
          <w:tcPr>
            <w:tcW w:w="924" w:type="dxa"/>
            <w:tcBorders>
              <w:top w:val="single" w:sz="4" w:space="0" w:color="auto"/>
              <w:left w:val="single" w:sz="4" w:space="0" w:color="auto"/>
              <w:bottom w:val="single" w:sz="4" w:space="0" w:color="auto"/>
              <w:right w:val="nil"/>
            </w:tcBorders>
            <w:hideMark/>
          </w:tcPr>
          <w:p w14:paraId="7A5B82D1" w14:textId="031B1E0C" w:rsidR="00106FAE" w:rsidRDefault="00106FAE">
            <w:pPr>
              <w:jc w:val="right"/>
              <w:rPr>
                <w:b/>
                <w:bCs/>
                <w:sz w:val="20"/>
                <w:szCs w:val="20"/>
              </w:rPr>
            </w:pPr>
            <w:r>
              <w:rPr>
                <w:b/>
                <w:bCs/>
                <w:sz w:val="20"/>
                <w:szCs w:val="20"/>
              </w:rPr>
              <w:t>438</w:t>
            </w:r>
            <w:r w:rsidR="00A41F4B">
              <w:rPr>
                <w:b/>
                <w:bCs/>
                <w:sz w:val="20"/>
                <w:szCs w:val="20"/>
              </w:rPr>
              <w:t> </w:t>
            </w:r>
            <w:r>
              <w:rPr>
                <w:b/>
                <w:bCs/>
                <w:sz w:val="20"/>
                <w:szCs w:val="20"/>
              </w:rPr>
              <w:t>326</w:t>
            </w:r>
          </w:p>
        </w:tc>
        <w:tc>
          <w:tcPr>
            <w:tcW w:w="1260" w:type="dxa"/>
            <w:tcBorders>
              <w:top w:val="single" w:sz="4" w:space="0" w:color="auto"/>
              <w:left w:val="single" w:sz="4" w:space="0" w:color="auto"/>
              <w:bottom w:val="single" w:sz="4" w:space="0" w:color="auto"/>
              <w:right w:val="single" w:sz="4" w:space="0" w:color="auto"/>
            </w:tcBorders>
            <w:hideMark/>
          </w:tcPr>
          <w:p w14:paraId="23B68A08" w14:textId="5076A200" w:rsidR="00106FAE" w:rsidRDefault="00106FAE">
            <w:pPr>
              <w:jc w:val="right"/>
              <w:rPr>
                <w:b/>
                <w:bCs/>
                <w:sz w:val="20"/>
                <w:szCs w:val="20"/>
              </w:rPr>
            </w:pPr>
            <w:r>
              <w:rPr>
                <w:b/>
                <w:bCs/>
                <w:sz w:val="20"/>
                <w:szCs w:val="20"/>
              </w:rPr>
              <w:t>4</w:t>
            </w:r>
            <w:r w:rsidR="00A41F4B">
              <w:rPr>
                <w:b/>
                <w:bCs/>
                <w:sz w:val="20"/>
                <w:szCs w:val="20"/>
              </w:rPr>
              <w:t> </w:t>
            </w:r>
            <w:r>
              <w:rPr>
                <w:b/>
                <w:bCs/>
                <w:sz w:val="20"/>
                <w:szCs w:val="20"/>
              </w:rPr>
              <w:t>142</w:t>
            </w:r>
            <w:r w:rsidR="00A41F4B">
              <w:rPr>
                <w:b/>
                <w:bCs/>
                <w:sz w:val="20"/>
                <w:szCs w:val="20"/>
              </w:rPr>
              <w:t> </w:t>
            </w:r>
            <w:r>
              <w:rPr>
                <w:b/>
                <w:bCs/>
                <w:sz w:val="20"/>
                <w:szCs w:val="20"/>
              </w:rPr>
              <w:t>026</w:t>
            </w:r>
          </w:p>
        </w:tc>
        <w:tc>
          <w:tcPr>
            <w:tcW w:w="1080" w:type="dxa"/>
            <w:tcBorders>
              <w:top w:val="single" w:sz="4" w:space="0" w:color="auto"/>
              <w:left w:val="single" w:sz="4" w:space="0" w:color="auto"/>
              <w:bottom w:val="single" w:sz="4" w:space="0" w:color="auto"/>
              <w:right w:val="single" w:sz="4" w:space="0" w:color="auto"/>
            </w:tcBorders>
          </w:tcPr>
          <w:p w14:paraId="2CDA235C" w14:textId="77777777" w:rsidR="00106FAE" w:rsidRDefault="00106FAE">
            <w:pPr>
              <w:jc w:val="center"/>
              <w:rPr>
                <w:sz w:val="20"/>
                <w:szCs w:val="20"/>
              </w:rPr>
            </w:pPr>
          </w:p>
        </w:tc>
      </w:tr>
    </w:tbl>
    <w:p w14:paraId="43586475" w14:textId="77777777" w:rsidR="00106FAE" w:rsidRDefault="00106FAE" w:rsidP="00106FAE">
      <w:pPr>
        <w:tabs>
          <w:tab w:val="left" w:pos="720"/>
        </w:tabs>
        <w:outlineLvl w:val="0"/>
        <w:rPr>
          <w:sz w:val="19"/>
          <w:szCs w:val="19"/>
        </w:rPr>
      </w:pPr>
      <w:r>
        <w:rPr>
          <w:sz w:val="19"/>
          <w:szCs w:val="19"/>
        </w:rPr>
        <w:t>(1)</w:t>
      </w:r>
      <w:r>
        <w:t xml:space="preserve"> </w:t>
      </w:r>
      <w:r>
        <w:rPr>
          <w:sz w:val="19"/>
          <w:szCs w:val="19"/>
        </w:rPr>
        <w:t>UNEP/</w:t>
      </w:r>
      <w:proofErr w:type="spellStart"/>
      <w:r>
        <w:rPr>
          <w:sz w:val="19"/>
          <w:szCs w:val="19"/>
        </w:rPr>
        <w:t>OzL.Pro</w:t>
      </w:r>
      <w:proofErr w:type="spellEnd"/>
      <w:r>
        <w:rPr>
          <w:sz w:val="19"/>
          <w:szCs w:val="19"/>
        </w:rPr>
        <w:t>/</w:t>
      </w:r>
      <w:proofErr w:type="spellStart"/>
      <w:r>
        <w:rPr>
          <w:sz w:val="19"/>
          <w:szCs w:val="19"/>
        </w:rPr>
        <w:t>ExCom</w:t>
      </w:r>
      <w:proofErr w:type="spellEnd"/>
      <w:r>
        <w:rPr>
          <w:sz w:val="19"/>
          <w:szCs w:val="19"/>
        </w:rPr>
        <w:t>/88/43</w:t>
      </w:r>
    </w:p>
    <w:p w14:paraId="3112BE83" w14:textId="77777777" w:rsidR="00106FAE" w:rsidRDefault="00106FAE" w:rsidP="00106FAE">
      <w:pPr>
        <w:rPr>
          <w:sz w:val="19"/>
          <w:szCs w:val="19"/>
          <w:lang w:val="en-CA"/>
        </w:rPr>
      </w:pPr>
      <w:r>
        <w:rPr>
          <w:sz w:val="19"/>
          <w:szCs w:val="19"/>
        </w:rPr>
        <w:t>(2) UNEP/</w:t>
      </w:r>
      <w:proofErr w:type="spellStart"/>
      <w:r>
        <w:rPr>
          <w:sz w:val="19"/>
          <w:szCs w:val="19"/>
        </w:rPr>
        <w:t>OzL.Pro</w:t>
      </w:r>
      <w:proofErr w:type="spellEnd"/>
      <w:r>
        <w:rPr>
          <w:sz w:val="19"/>
          <w:szCs w:val="19"/>
        </w:rPr>
        <w:t>/</w:t>
      </w:r>
      <w:proofErr w:type="spellStart"/>
      <w:r>
        <w:rPr>
          <w:sz w:val="19"/>
          <w:szCs w:val="19"/>
        </w:rPr>
        <w:t>ExCom</w:t>
      </w:r>
      <w:proofErr w:type="spellEnd"/>
      <w:r>
        <w:rPr>
          <w:sz w:val="19"/>
          <w:szCs w:val="19"/>
        </w:rPr>
        <w:t>/88/39</w:t>
      </w:r>
    </w:p>
    <w:p w14:paraId="3723718C" w14:textId="77777777" w:rsidR="00106FAE" w:rsidRDefault="00106FAE" w:rsidP="00106FAE">
      <w:pPr>
        <w:rPr>
          <w:sz w:val="19"/>
          <w:szCs w:val="19"/>
        </w:rPr>
      </w:pPr>
      <w:r>
        <w:rPr>
          <w:sz w:val="19"/>
          <w:szCs w:val="19"/>
        </w:rPr>
        <w:t>(3) UNEP/</w:t>
      </w:r>
      <w:proofErr w:type="spellStart"/>
      <w:r>
        <w:rPr>
          <w:sz w:val="19"/>
          <w:szCs w:val="19"/>
        </w:rPr>
        <w:t>OzL.Pro</w:t>
      </w:r>
      <w:proofErr w:type="spellEnd"/>
      <w:r>
        <w:rPr>
          <w:sz w:val="19"/>
          <w:szCs w:val="19"/>
        </w:rPr>
        <w:t>/</w:t>
      </w:r>
      <w:proofErr w:type="spellStart"/>
      <w:r>
        <w:rPr>
          <w:sz w:val="19"/>
          <w:szCs w:val="19"/>
        </w:rPr>
        <w:t>ExCom</w:t>
      </w:r>
      <w:proofErr w:type="spellEnd"/>
      <w:r>
        <w:rPr>
          <w:sz w:val="19"/>
          <w:szCs w:val="19"/>
        </w:rPr>
        <w:t>/88/43</w:t>
      </w:r>
    </w:p>
    <w:p w14:paraId="65C7C60C" w14:textId="77777777" w:rsidR="00106FAE" w:rsidRDefault="00106FAE" w:rsidP="00106FAE">
      <w:pPr>
        <w:rPr>
          <w:sz w:val="19"/>
          <w:szCs w:val="19"/>
        </w:rPr>
      </w:pPr>
      <w:r>
        <w:rPr>
          <w:sz w:val="19"/>
          <w:szCs w:val="19"/>
        </w:rPr>
        <w:t>(4) UNEP/</w:t>
      </w:r>
      <w:proofErr w:type="spellStart"/>
      <w:r>
        <w:rPr>
          <w:sz w:val="19"/>
          <w:szCs w:val="19"/>
        </w:rPr>
        <w:t>OzL.Pro</w:t>
      </w:r>
      <w:proofErr w:type="spellEnd"/>
      <w:r>
        <w:rPr>
          <w:sz w:val="19"/>
          <w:szCs w:val="19"/>
        </w:rPr>
        <w:t>/</w:t>
      </w:r>
      <w:proofErr w:type="spellStart"/>
      <w:r>
        <w:rPr>
          <w:sz w:val="19"/>
          <w:szCs w:val="19"/>
        </w:rPr>
        <w:t>ExCom</w:t>
      </w:r>
      <w:proofErr w:type="spellEnd"/>
      <w:r>
        <w:rPr>
          <w:sz w:val="19"/>
          <w:szCs w:val="19"/>
        </w:rPr>
        <w:t>/88/43</w:t>
      </w:r>
    </w:p>
    <w:p w14:paraId="3C05B16C" w14:textId="77777777" w:rsidR="00106FAE" w:rsidRDefault="00106FAE" w:rsidP="00106FAE">
      <w:pPr>
        <w:rPr>
          <w:sz w:val="19"/>
          <w:szCs w:val="19"/>
        </w:rPr>
      </w:pPr>
      <w:r>
        <w:rPr>
          <w:sz w:val="19"/>
          <w:szCs w:val="19"/>
        </w:rPr>
        <w:t>(5) UNEP/</w:t>
      </w:r>
      <w:proofErr w:type="spellStart"/>
      <w:r>
        <w:rPr>
          <w:sz w:val="19"/>
          <w:szCs w:val="19"/>
        </w:rPr>
        <w:t>OzL.Pro</w:t>
      </w:r>
      <w:proofErr w:type="spellEnd"/>
      <w:r>
        <w:rPr>
          <w:sz w:val="19"/>
          <w:szCs w:val="19"/>
        </w:rPr>
        <w:t>/</w:t>
      </w:r>
      <w:proofErr w:type="spellStart"/>
      <w:r>
        <w:rPr>
          <w:sz w:val="19"/>
          <w:szCs w:val="19"/>
        </w:rPr>
        <w:t>ExCom</w:t>
      </w:r>
      <w:proofErr w:type="spellEnd"/>
      <w:r>
        <w:rPr>
          <w:sz w:val="19"/>
          <w:szCs w:val="19"/>
        </w:rPr>
        <w:t>/88/44</w:t>
      </w:r>
    </w:p>
    <w:p w14:paraId="417447C3" w14:textId="77777777" w:rsidR="00106FAE" w:rsidRDefault="00106FAE" w:rsidP="00106FAE">
      <w:pPr>
        <w:rPr>
          <w:sz w:val="19"/>
          <w:szCs w:val="19"/>
        </w:rPr>
      </w:pPr>
      <w:r>
        <w:rPr>
          <w:sz w:val="19"/>
          <w:szCs w:val="19"/>
        </w:rPr>
        <w:t>(6) UNEP/</w:t>
      </w:r>
      <w:proofErr w:type="spellStart"/>
      <w:r>
        <w:rPr>
          <w:sz w:val="19"/>
          <w:szCs w:val="19"/>
        </w:rPr>
        <w:t>OzL.Pro</w:t>
      </w:r>
      <w:proofErr w:type="spellEnd"/>
      <w:r>
        <w:rPr>
          <w:sz w:val="19"/>
          <w:szCs w:val="19"/>
        </w:rPr>
        <w:t>/</w:t>
      </w:r>
      <w:proofErr w:type="spellStart"/>
      <w:r>
        <w:rPr>
          <w:sz w:val="19"/>
          <w:szCs w:val="19"/>
        </w:rPr>
        <w:t>ExCom</w:t>
      </w:r>
      <w:proofErr w:type="spellEnd"/>
      <w:r>
        <w:rPr>
          <w:sz w:val="19"/>
          <w:szCs w:val="19"/>
        </w:rPr>
        <w:t>/88/56</w:t>
      </w:r>
    </w:p>
    <w:p w14:paraId="24F1E147" w14:textId="77777777" w:rsidR="00106FAE" w:rsidRDefault="00106FAE" w:rsidP="00106FAE">
      <w:pPr>
        <w:rPr>
          <w:sz w:val="19"/>
          <w:szCs w:val="19"/>
          <w:lang w:val="en-CA"/>
        </w:rPr>
      </w:pPr>
      <w:r>
        <w:rPr>
          <w:sz w:val="19"/>
          <w:szCs w:val="19"/>
        </w:rPr>
        <w:t>(7) UNEP/</w:t>
      </w:r>
      <w:proofErr w:type="spellStart"/>
      <w:r>
        <w:rPr>
          <w:sz w:val="19"/>
          <w:szCs w:val="19"/>
        </w:rPr>
        <w:t>OzL.Pro</w:t>
      </w:r>
      <w:proofErr w:type="spellEnd"/>
      <w:r>
        <w:rPr>
          <w:sz w:val="19"/>
          <w:szCs w:val="19"/>
        </w:rPr>
        <w:t>/</w:t>
      </w:r>
      <w:proofErr w:type="spellStart"/>
      <w:r>
        <w:rPr>
          <w:sz w:val="19"/>
          <w:szCs w:val="19"/>
        </w:rPr>
        <w:t>ExCom</w:t>
      </w:r>
      <w:proofErr w:type="spellEnd"/>
      <w:r>
        <w:rPr>
          <w:sz w:val="19"/>
          <w:szCs w:val="19"/>
        </w:rPr>
        <w:t>/88/43</w:t>
      </w:r>
    </w:p>
    <w:p w14:paraId="6E5C27AC" w14:textId="371E3A01" w:rsidR="00106FAE" w:rsidRPr="00177812" w:rsidRDefault="00106FAE" w:rsidP="00106FAE">
      <w:pPr>
        <w:pStyle w:val="Heading1"/>
        <w:numPr>
          <w:ilvl w:val="0"/>
          <w:numId w:val="0"/>
        </w:numPr>
        <w:tabs>
          <w:tab w:val="left" w:pos="720"/>
        </w:tabs>
        <w:spacing w:after="0"/>
        <w:rPr>
          <w:sz w:val="18"/>
          <w:szCs w:val="18"/>
          <w:lang w:val="fr-CA"/>
        </w:rPr>
      </w:pPr>
      <w:proofErr w:type="gramStart"/>
      <w:r w:rsidRPr="00177812">
        <w:rPr>
          <w:sz w:val="18"/>
          <w:szCs w:val="18"/>
          <w:vertAlign w:val="superscript"/>
          <w:lang w:val="fr-CA"/>
        </w:rPr>
        <w:t>a</w:t>
      </w:r>
      <w:proofErr w:type="gramEnd"/>
      <w:r w:rsidRPr="00177812">
        <w:rPr>
          <w:sz w:val="18"/>
          <w:szCs w:val="18"/>
          <w:vertAlign w:val="superscript"/>
          <w:lang w:val="fr-CA"/>
        </w:rPr>
        <w:t xml:space="preserve"> </w:t>
      </w:r>
      <w:r w:rsidR="00EF6320" w:rsidRPr="00177812">
        <w:rPr>
          <w:sz w:val="18"/>
          <w:szCs w:val="18"/>
          <w:lang w:val="fr-CA"/>
        </w:rPr>
        <w:t xml:space="preserve">PNUD à titre d’agence d’exécution principale, et ONUDI à titre d’agence de coopération </w:t>
      </w:r>
    </w:p>
    <w:p w14:paraId="606AEB3E" w14:textId="119E75F9" w:rsidR="00106FAE" w:rsidRPr="00177812" w:rsidRDefault="00106FAE" w:rsidP="00106FAE">
      <w:pPr>
        <w:rPr>
          <w:sz w:val="18"/>
          <w:szCs w:val="18"/>
          <w:lang w:val="fr-CA"/>
        </w:rPr>
      </w:pPr>
      <w:proofErr w:type="gramStart"/>
      <w:r w:rsidRPr="00177812">
        <w:rPr>
          <w:sz w:val="18"/>
          <w:szCs w:val="18"/>
          <w:vertAlign w:val="superscript"/>
          <w:lang w:val="fr-CA"/>
        </w:rPr>
        <w:t>b</w:t>
      </w:r>
      <w:proofErr w:type="gramEnd"/>
      <w:r w:rsidRPr="00177812">
        <w:rPr>
          <w:sz w:val="18"/>
          <w:szCs w:val="18"/>
          <w:vertAlign w:val="superscript"/>
          <w:lang w:val="fr-CA"/>
        </w:rPr>
        <w:t xml:space="preserve"> </w:t>
      </w:r>
      <w:r w:rsidR="00EF6320" w:rsidRPr="00177812">
        <w:rPr>
          <w:sz w:val="18"/>
          <w:szCs w:val="18"/>
          <w:lang w:val="fr-CA"/>
        </w:rPr>
        <w:t xml:space="preserve">PNUD à titre d’agence d’exécution principale. </w:t>
      </w:r>
    </w:p>
    <w:p w14:paraId="00CF89CF" w14:textId="77777777" w:rsidR="00106FAE" w:rsidRPr="00177812" w:rsidRDefault="00106FAE" w:rsidP="00106FAE">
      <w:pPr>
        <w:rPr>
          <w:sz w:val="18"/>
          <w:szCs w:val="18"/>
          <w:vertAlign w:val="superscript"/>
          <w:lang w:val="fr-CA"/>
        </w:rPr>
      </w:pPr>
    </w:p>
    <w:p w14:paraId="0BC8EC7F" w14:textId="14A006F7" w:rsidR="00106FAE" w:rsidRPr="00177812" w:rsidRDefault="00106FAE" w:rsidP="00321196">
      <w:pPr>
        <w:spacing w:after="120"/>
        <w:rPr>
          <w:u w:val="single"/>
          <w:lang w:val="fr-CA"/>
        </w:rPr>
      </w:pPr>
      <w:r w:rsidRPr="00177812">
        <w:rPr>
          <w:b/>
          <w:u w:val="single"/>
          <w:lang w:val="fr-CA"/>
        </w:rPr>
        <w:t>Br</w:t>
      </w:r>
      <w:r w:rsidR="003C6EA4" w:rsidRPr="00177812">
        <w:rPr>
          <w:b/>
          <w:u w:val="single"/>
          <w:lang w:val="fr-CA"/>
        </w:rPr>
        <w:t>ésil </w:t>
      </w:r>
      <w:r w:rsidRPr="00177812">
        <w:rPr>
          <w:b/>
          <w:u w:val="single"/>
          <w:lang w:val="fr-CA"/>
        </w:rPr>
        <w:t xml:space="preserve">: </w:t>
      </w:r>
      <w:r w:rsidR="00EF6320" w:rsidRPr="00177812">
        <w:rPr>
          <w:b/>
          <w:u w:val="single"/>
          <w:lang w:val="fr-CA"/>
        </w:rPr>
        <w:t>Préparation de projet pour la phase</w:t>
      </w:r>
      <w:r w:rsidR="00C36A78" w:rsidRPr="00177812">
        <w:rPr>
          <w:b/>
          <w:u w:val="single"/>
          <w:lang w:val="fr-CA"/>
        </w:rPr>
        <w:t> </w:t>
      </w:r>
      <w:r w:rsidR="00EF6320" w:rsidRPr="00177812">
        <w:rPr>
          <w:b/>
          <w:u w:val="single"/>
          <w:lang w:val="fr-CA"/>
        </w:rPr>
        <w:t>III du plan de gestion de l’élimination des HCFC (PGEH)</w:t>
      </w:r>
      <w:r w:rsidR="00C36A78" w:rsidRPr="00177812">
        <w:rPr>
          <w:b/>
          <w:u w:val="single"/>
          <w:lang w:val="fr-CA"/>
        </w:rPr>
        <w:t> </w:t>
      </w:r>
      <w:r w:rsidR="00EF6320" w:rsidRPr="00177812">
        <w:rPr>
          <w:b/>
          <w:u w:val="single"/>
          <w:lang w:val="fr-CA"/>
        </w:rPr>
        <w:t>–</w:t>
      </w:r>
      <w:r w:rsidR="00C36A78" w:rsidRPr="00177812">
        <w:rPr>
          <w:b/>
          <w:u w:val="single"/>
          <w:lang w:val="fr-CA"/>
        </w:rPr>
        <w:t> </w:t>
      </w:r>
      <w:r w:rsidR="00114A63">
        <w:rPr>
          <w:b/>
          <w:u w:val="single"/>
          <w:lang w:val="fr-CA"/>
        </w:rPr>
        <w:t>(</w:t>
      </w:r>
      <w:r w:rsidR="00EF6320" w:rsidRPr="00177812">
        <w:rPr>
          <w:b/>
          <w:u w:val="single"/>
          <w:lang w:val="fr-CA"/>
        </w:rPr>
        <w:t xml:space="preserve">Allemagne) </w:t>
      </w:r>
    </w:p>
    <w:p w14:paraId="375315D0" w14:textId="09A1F30F" w:rsidR="003C6EA4" w:rsidRDefault="003C6EA4" w:rsidP="00321196">
      <w:pPr>
        <w:spacing w:after="120"/>
        <w:rPr>
          <w:b/>
        </w:rPr>
      </w:pPr>
      <w:r>
        <w:rPr>
          <w:b/>
        </w:rPr>
        <w:t>Description d</w:t>
      </w:r>
      <w:r w:rsidR="00DC321D">
        <w:rPr>
          <w:b/>
        </w:rPr>
        <w:t>u</w:t>
      </w:r>
      <w:r>
        <w:rPr>
          <w:b/>
        </w:rPr>
        <w:t xml:space="preserve"> </w:t>
      </w:r>
      <w:proofErr w:type="spellStart"/>
      <w:r>
        <w:rPr>
          <w:b/>
        </w:rPr>
        <w:t>projet</w:t>
      </w:r>
      <w:proofErr w:type="spellEnd"/>
    </w:p>
    <w:p w14:paraId="557A8E81" w14:textId="7869222F" w:rsidR="00106FAE" w:rsidRPr="00177812" w:rsidRDefault="005C417C" w:rsidP="00106FAE">
      <w:pPr>
        <w:pStyle w:val="Heading1"/>
        <w:numPr>
          <w:ilvl w:val="0"/>
          <w:numId w:val="23"/>
        </w:numPr>
        <w:rPr>
          <w:lang w:val="fr-CA"/>
        </w:rPr>
      </w:pPr>
      <w:r w:rsidRPr="00177812">
        <w:rPr>
          <w:lang w:val="fr-CA"/>
        </w:rPr>
        <w:t>Le gouvernement de l’Allemagne a présenté, en sa qualité d’agence de coopération, une demande concernant la préparation de la phase</w:t>
      </w:r>
      <w:r w:rsidR="00C36A78" w:rsidRPr="00177812">
        <w:rPr>
          <w:lang w:val="fr-CA"/>
        </w:rPr>
        <w:t> </w:t>
      </w:r>
      <w:r w:rsidRPr="00177812">
        <w:rPr>
          <w:lang w:val="fr-CA"/>
        </w:rPr>
        <w:t>III du PGEH pour le Brésil, avec le PNUD à titre d’agence d’exécution principale et l’ONUDI à titre d’agence de coopération, comme on peut le voir au tableau</w:t>
      </w:r>
      <w:r w:rsidR="00125662" w:rsidRPr="00177812">
        <w:rPr>
          <w:lang w:val="fr-CA"/>
        </w:rPr>
        <w:t> </w:t>
      </w:r>
      <w:r w:rsidRPr="00177812">
        <w:rPr>
          <w:lang w:val="fr-CA"/>
        </w:rPr>
        <w:t xml:space="preserve">1. Le PNUD a </w:t>
      </w:r>
      <w:r w:rsidRPr="00177812">
        <w:rPr>
          <w:lang w:val="fr-CA"/>
        </w:rPr>
        <w:lastRenderedPageBreak/>
        <w:t>demandé 40</w:t>
      </w:r>
      <w:r w:rsidR="0041105C" w:rsidRPr="00177812">
        <w:rPr>
          <w:lang w:val="fr-CA"/>
        </w:rPr>
        <w:t> </w:t>
      </w:r>
      <w:r w:rsidRPr="00177812">
        <w:rPr>
          <w:lang w:val="fr-CA"/>
        </w:rPr>
        <w:t>000</w:t>
      </w:r>
      <w:r w:rsidR="0041105C" w:rsidRPr="00177812">
        <w:rPr>
          <w:lang w:val="fr-CA"/>
        </w:rPr>
        <w:t> </w:t>
      </w:r>
      <w:r w:rsidRPr="00177812">
        <w:rPr>
          <w:lang w:val="fr-CA"/>
        </w:rPr>
        <w:t>$US, plus les coûts d’appui d’agence de 2</w:t>
      </w:r>
      <w:r w:rsidR="0041105C" w:rsidRPr="00177812">
        <w:rPr>
          <w:lang w:val="fr-CA"/>
        </w:rPr>
        <w:t> </w:t>
      </w:r>
      <w:r w:rsidRPr="00177812">
        <w:rPr>
          <w:lang w:val="fr-CA"/>
        </w:rPr>
        <w:t>800</w:t>
      </w:r>
      <w:r w:rsidR="0041105C" w:rsidRPr="00177812">
        <w:rPr>
          <w:lang w:val="fr-CA"/>
        </w:rPr>
        <w:t> $US</w:t>
      </w:r>
      <w:r w:rsidRPr="00177812">
        <w:rPr>
          <w:lang w:val="fr-CA"/>
        </w:rPr>
        <w:t>; et l’ONUDI a demandé 25 000</w:t>
      </w:r>
      <w:r w:rsidR="0041105C" w:rsidRPr="00177812">
        <w:rPr>
          <w:lang w:val="fr-CA"/>
        </w:rPr>
        <w:t> $US</w:t>
      </w:r>
      <w:r w:rsidRPr="00177812">
        <w:rPr>
          <w:lang w:val="fr-CA"/>
        </w:rPr>
        <w:t>, plus les coûts d’appui d’agence de 1</w:t>
      </w:r>
      <w:r w:rsidR="0041105C" w:rsidRPr="00177812">
        <w:rPr>
          <w:lang w:val="fr-CA"/>
        </w:rPr>
        <w:t> </w:t>
      </w:r>
      <w:r w:rsidRPr="00177812">
        <w:rPr>
          <w:lang w:val="fr-CA"/>
        </w:rPr>
        <w:t>750</w:t>
      </w:r>
      <w:r w:rsidR="0041105C" w:rsidRPr="00177812">
        <w:rPr>
          <w:lang w:val="fr-CA"/>
        </w:rPr>
        <w:t> $US</w:t>
      </w:r>
      <w:r w:rsidRPr="00177812">
        <w:rPr>
          <w:lang w:val="fr-CA"/>
        </w:rPr>
        <w:t xml:space="preserve">, dans les modifications </w:t>
      </w:r>
      <w:r w:rsidR="0067290C">
        <w:rPr>
          <w:lang w:val="fr-CA"/>
        </w:rPr>
        <w:t>de leur</w:t>
      </w:r>
      <w:r w:rsidRPr="00177812">
        <w:rPr>
          <w:lang w:val="fr-CA"/>
        </w:rPr>
        <w:t xml:space="preserve"> programme de travail </w:t>
      </w:r>
      <w:r w:rsidR="0067290C">
        <w:rPr>
          <w:lang w:val="fr-CA"/>
        </w:rPr>
        <w:t xml:space="preserve">respectif </w:t>
      </w:r>
      <w:r w:rsidRPr="00177812">
        <w:rPr>
          <w:lang w:val="fr-CA"/>
        </w:rPr>
        <w:t>pour</w:t>
      </w:r>
      <w:r w:rsidR="0041105C" w:rsidRPr="00177812">
        <w:rPr>
          <w:lang w:val="fr-CA"/>
        </w:rPr>
        <w:t> </w:t>
      </w:r>
      <w:r w:rsidRPr="00177812">
        <w:rPr>
          <w:lang w:val="fr-CA"/>
        </w:rPr>
        <w:t>2021</w:t>
      </w:r>
      <w:r w:rsidR="00106FAE" w:rsidRPr="00177812">
        <w:rPr>
          <w:lang w:val="fr-CA"/>
        </w:rPr>
        <w:t>.</w:t>
      </w:r>
      <w:r w:rsidR="00106FAE">
        <w:rPr>
          <w:rStyle w:val="FootnoteReference"/>
        </w:rPr>
        <w:footnoteReference w:id="3"/>
      </w:r>
      <w:r w:rsidR="00106FAE" w:rsidRPr="00177812">
        <w:rPr>
          <w:lang w:val="fr-CA"/>
        </w:rPr>
        <w:t xml:space="preserve"> </w:t>
      </w:r>
    </w:p>
    <w:p w14:paraId="59B9D64F" w14:textId="73062A1B" w:rsidR="00106FAE" w:rsidRPr="00177812" w:rsidRDefault="005C417C" w:rsidP="00DB79EC">
      <w:pPr>
        <w:pStyle w:val="Heading1"/>
        <w:keepNext/>
        <w:keepLines/>
        <w:widowControl w:val="0"/>
        <w:numPr>
          <w:ilvl w:val="0"/>
          <w:numId w:val="23"/>
        </w:numPr>
        <w:rPr>
          <w:lang w:val="fr-CA"/>
        </w:rPr>
      </w:pPr>
      <w:r w:rsidRPr="00177812">
        <w:rPr>
          <w:lang w:val="fr-CA"/>
        </w:rPr>
        <w:t>Le PNUD a fourni une description des activités requises pour la préparation d’une stratégie globale pour la phase</w:t>
      </w:r>
      <w:r w:rsidR="0041105C" w:rsidRPr="00177812">
        <w:rPr>
          <w:lang w:val="fr-CA"/>
        </w:rPr>
        <w:t> </w:t>
      </w:r>
      <w:r w:rsidRPr="00177812">
        <w:rPr>
          <w:lang w:val="fr-CA"/>
        </w:rPr>
        <w:t xml:space="preserve">III du PGEH au Brésil, avec les coûts correspondants dans les modifications de son programme de travail. </w:t>
      </w:r>
    </w:p>
    <w:p w14:paraId="752FC81A" w14:textId="77777777" w:rsidR="003C6EA4" w:rsidRDefault="003C6EA4" w:rsidP="003C6EA4">
      <w:pPr>
        <w:spacing w:after="240"/>
        <w:outlineLvl w:val="0"/>
        <w:rPr>
          <w:b/>
        </w:rPr>
      </w:pPr>
      <w:r>
        <w:rPr>
          <w:b/>
        </w:rPr>
        <w:t xml:space="preserve">Observations du </w:t>
      </w:r>
      <w:proofErr w:type="spellStart"/>
      <w:r>
        <w:rPr>
          <w:b/>
        </w:rPr>
        <w:t>Secrétariat</w:t>
      </w:r>
      <w:proofErr w:type="spellEnd"/>
    </w:p>
    <w:p w14:paraId="6FD81681" w14:textId="038EA870" w:rsidR="00106FAE" w:rsidRPr="00177812" w:rsidRDefault="0041105C" w:rsidP="00106FAE">
      <w:pPr>
        <w:pStyle w:val="Heading1"/>
        <w:numPr>
          <w:ilvl w:val="0"/>
          <w:numId w:val="23"/>
        </w:numPr>
        <w:rPr>
          <w:lang w:val="fr-CA"/>
        </w:rPr>
      </w:pPr>
      <w:r w:rsidRPr="00177812">
        <w:rPr>
          <w:lang w:val="fr-CA"/>
        </w:rPr>
        <w:t>Le Secrétariat a noté que le financement demandé pour la préparation de projet est conforme aux exigences figurant dans la décision</w:t>
      </w:r>
      <w:r w:rsidR="003E740C" w:rsidRPr="00177812">
        <w:rPr>
          <w:lang w:val="fr-CA"/>
        </w:rPr>
        <w:t> </w:t>
      </w:r>
      <w:r w:rsidRPr="00177812">
        <w:rPr>
          <w:lang w:val="fr-CA"/>
        </w:rPr>
        <w:t>71/42, et que la phase</w:t>
      </w:r>
      <w:r w:rsidR="003E740C" w:rsidRPr="00177812">
        <w:rPr>
          <w:lang w:val="fr-CA"/>
        </w:rPr>
        <w:t> </w:t>
      </w:r>
      <w:r w:rsidRPr="00177812">
        <w:rPr>
          <w:lang w:val="fr-CA"/>
        </w:rPr>
        <w:t>III du PGEH au Brésil permettra d’éliminer 100</w:t>
      </w:r>
      <w:r w:rsidR="003E740C" w:rsidRPr="00177812">
        <w:rPr>
          <w:lang w:val="fr-CA"/>
        </w:rPr>
        <w:t> </w:t>
      </w:r>
      <w:r w:rsidRPr="00177812">
        <w:rPr>
          <w:lang w:val="fr-CA"/>
        </w:rPr>
        <w:t>pour</w:t>
      </w:r>
      <w:r w:rsidR="003E740C" w:rsidRPr="00177812">
        <w:rPr>
          <w:lang w:val="fr-CA"/>
        </w:rPr>
        <w:t> </w:t>
      </w:r>
      <w:r w:rsidRPr="00177812">
        <w:rPr>
          <w:lang w:val="fr-CA"/>
        </w:rPr>
        <w:t>cent de la consommation de HCFC par rapport à la valeur de référence d’ici le 1</w:t>
      </w:r>
      <w:r w:rsidRPr="00177812">
        <w:rPr>
          <w:vertAlign w:val="superscript"/>
          <w:lang w:val="fr-CA"/>
        </w:rPr>
        <w:t>er</w:t>
      </w:r>
      <w:r w:rsidR="00125662" w:rsidRPr="00177812">
        <w:rPr>
          <w:lang w:val="fr-CA"/>
        </w:rPr>
        <w:t> </w:t>
      </w:r>
      <w:r w:rsidRPr="00177812">
        <w:rPr>
          <w:lang w:val="fr-CA"/>
        </w:rPr>
        <w:t>janvier</w:t>
      </w:r>
      <w:r w:rsidR="00125662" w:rsidRPr="00177812">
        <w:rPr>
          <w:lang w:val="fr-CA"/>
        </w:rPr>
        <w:t> </w:t>
      </w:r>
      <w:r w:rsidRPr="00177812">
        <w:rPr>
          <w:lang w:val="fr-CA"/>
        </w:rPr>
        <w:t xml:space="preserve">2030, à l’exception du reliquat aux fins d’entretien. </w:t>
      </w:r>
    </w:p>
    <w:p w14:paraId="05480572" w14:textId="472EA1B9" w:rsidR="00106FAE" w:rsidRDefault="003C6EA4" w:rsidP="003C6EA4">
      <w:pPr>
        <w:keepNext/>
        <w:spacing w:after="240"/>
        <w:rPr>
          <w:b/>
          <w:u w:val="single"/>
        </w:rPr>
      </w:pPr>
      <w:proofErr w:type="spellStart"/>
      <w:r>
        <w:rPr>
          <w:b/>
        </w:rPr>
        <w:t>Recommandations</w:t>
      </w:r>
      <w:proofErr w:type="spellEnd"/>
      <w:r>
        <w:rPr>
          <w:b/>
        </w:rPr>
        <w:t xml:space="preserve"> du </w:t>
      </w:r>
      <w:proofErr w:type="spellStart"/>
      <w:r>
        <w:rPr>
          <w:b/>
        </w:rPr>
        <w:t>Secrétariat</w:t>
      </w:r>
      <w:proofErr w:type="spellEnd"/>
    </w:p>
    <w:p w14:paraId="37058A88" w14:textId="432AEB1C" w:rsidR="00106FAE" w:rsidRPr="00177812" w:rsidRDefault="0041105C" w:rsidP="00106FAE">
      <w:pPr>
        <w:pStyle w:val="Heading1"/>
        <w:numPr>
          <w:ilvl w:val="0"/>
          <w:numId w:val="23"/>
        </w:numPr>
        <w:rPr>
          <w:lang w:val="fr-CA"/>
        </w:rPr>
      </w:pPr>
      <w:r w:rsidRPr="00177812">
        <w:rPr>
          <w:lang w:val="fr-CA"/>
        </w:rPr>
        <w:t>Le Secrétariat recommande l’approbation globale de la préparation de projet pour la phase</w:t>
      </w:r>
      <w:r w:rsidR="00125662" w:rsidRPr="00177812">
        <w:rPr>
          <w:lang w:val="fr-CA"/>
        </w:rPr>
        <w:t> </w:t>
      </w:r>
      <w:r w:rsidRPr="00177812">
        <w:rPr>
          <w:lang w:val="fr-CA"/>
        </w:rPr>
        <w:t xml:space="preserve">III </w:t>
      </w:r>
      <w:r w:rsidR="00DC321D" w:rsidRPr="00177812">
        <w:rPr>
          <w:lang w:val="fr-CA"/>
        </w:rPr>
        <w:t>du plan de gestion de l’élimination des HCFC au Brésil, au niveau de financement présenté au tableau</w:t>
      </w:r>
      <w:r w:rsidR="003E740C" w:rsidRPr="00177812">
        <w:rPr>
          <w:lang w:val="fr-CA"/>
        </w:rPr>
        <w:t> </w:t>
      </w:r>
      <w:r w:rsidR="00DC321D" w:rsidRPr="00177812">
        <w:rPr>
          <w:lang w:val="fr-CA"/>
        </w:rPr>
        <w:t xml:space="preserve">1. </w:t>
      </w:r>
    </w:p>
    <w:p w14:paraId="6AA04C02" w14:textId="36006C78" w:rsidR="00106FAE" w:rsidRPr="00177812" w:rsidRDefault="00106FAE" w:rsidP="00106FAE">
      <w:pPr>
        <w:rPr>
          <w:b/>
          <w:u w:val="single"/>
          <w:lang w:val="fr-CA"/>
        </w:rPr>
      </w:pPr>
      <w:r w:rsidRPr="00177812">
        <w:rPr>
          <w:b/>
          <w:u w:val="single"/>
          <w:lang w:val="fr-CA"/>
        </w:rPr>
        <w:t>Mauri</w:t>
      </w:r>
      <w:r w:rsidR="003C6EA4" w:rsidRPr="00177812">
        <w:rPr>
          <w:b/>
          <w:u w:val="single"/>
          <w:lang w:val="fr-CA"/>
        </w:rPr>
        <w:t>ce </w:t>
      </w:r>
      <w:r w:rsidRPr="00177812">
        <w:rPr>
          <w:b/>
          <w:u w:val="single"/>
          <w:lang w:val="fr-CA"/>
        </w:rPr>
        <w:t xml:space="preserve">: </w:t>
      </w:r>
      <w:r w:rsidR="00DC321D" w:rsidRPr="00177812">
        <w:rPr>
          <w:b/>
          <w:u w:val="single"/>
          <w:lang w:val="fr-CA"/>
        </w:rPr>
        <w:t>Assistance technique pour la préparation d</w:t>
      </w:r>
      <w:r w:rsidR="003E740C" w:rsidRPr="00177812">
        <w:rPr>
          <w:b/>
          <w:u w:val="single"/>
          <w:lang w:val="fr-CA"/>
        </w:rPr>
        <w:t>’un</w:t>
      </w:r>
      <w:r w:rsidR="00DC321D" w:rsidRPr="00177812">
        <w:rPr>
          <w:b/>
          <w:u w:val="single"/>
          <w:lang w:val="fr-CA"/>
        </w:rPr>
        <w:t xml:space="preserve"> rapport de vérification </w:t>
      </w:r>
      <w:r w:rsidR="0067290C">
        <w:rPr>
          <w:b/>
          <w:u w:val="single"/>
          <w:lang w:val="fr-CA"/>
        </w:rPr>
        <w:t>de</w:t>
      </w:r>
      <w:r w:rsidR="00DC321D" w:rsidRPr="00177812">
        <w:rPr>
          <w:b/>
          <w:u w:val="single"/>
          <w:lang w:val="fr-CA"/>
        </w:rPr>
        <w:t xml:space="preserve"> la consommation de HCFC (Allemagne) </w:t>
      </w:r>
    </w:p>
    <w:p w14:paraId="2290E94E" w14:textId="77777777" w:rsidR="00106FAE" w:rsidRPr="00177812" w:rsidRDefault="00106FAE" w:rsidP="00106FAE">
      <w:pPr>
        <w:rPr>
          <w:b/>
          <w:u w:val="single"/>
          <w:lang w:val="fr-CA"/>
        </w:rPr>
      </w:pPr>
    </w:p>
    <w:p w14:paraId="058AC277" w14:textId="77777777" w:rsidR="003C6EA4" w:rsidRDefault="003C6EA4" w:rsidP="00DB79EC">
      <w:pPr>
        <w:spacing w:after="120"/>
        <w:rPr>
          <w:b/>
        </w:rPr>
      </w:pPr>
      <w:r>
        <w:rPr>
          <w:b/>
        </w:rPr>
        <w:t xml:space="preserve">Description du </w:t>
      </w:r>
      <w:proofErr w:type="spellStart"/>
      <w:r>
        <w:rPr>
          <w:b/>
        </w:rPr>
        <w:t>projet</w:t>
      </w:r>
      <w:proofErr w:type="spellEnd"/>
    </w:p>
    <w:p w14:paraId="0C853733" w14:textId="0340304D" w:rsidR="00106FAE" w:rsidRPr="00177812" w:rsidRDefault="00DC321D" w:rsidP="00DB79EC">
      <w:pPr>
        <w:pStyle w:val="Heading1"/>
        <w:numPr>
          <w:ilvl w:val="0"/>
          <w:numId w:val="23"/>
        </w:numPr>
        <w:spacing w:after="120"/>
        <w:rPr>
          <w:lang w:val="fr-CA"/>
        </w:rPr>
      </w:pPr>
      <w:r w:rsidRPr="00177812">
        <w:rPr>
          <w:lang w:val="fr-CA"/>
        </w:rPr>
        <w:t xml:space="preserve">Le Comité exécutif a prié les agences bilatérales et d’exécution d’inclure dans </w:t>
      </w:r>
      <w:r w:rsidR="00114A63">
        <w:rPr>
          <w:lang w:val="fr-CA"/>
        </w:rPr>
        <w:t>les</w:t>
      </w:r>
      <w:r w:rsidRPr="00177812">
        <w:rPr>
          <w:lang w:val="fr-CA"/>
        </w:rPr>
        <w:t xml:space="preserve"> modification</w:t>
      </w:r>
      <w:r w:rsidR="00114A63">
        <w:rPr>
          <w:lang w:val="fr-CA"/>
        </w:rPr>
        <w:t>s</w:t>
      </w:r>
      <w:r w:rsidRPr="00177812">
        <w:rPr>
          <w:lang w:val="fr-CA"/>
        </w:rPr>
        <w:t xml:space="preserve"> de leur programme de travail respectif devant être soumis à la 88</w:t>
      </w:r>
      <w:r w:rsidRPr="00177812">
        <w:rPr>
          <w:vertAlign w:val="superscript"/>
          <w:lang w:val="fr-CA"/>
        </w:rPr>
        <w:t>e</w:t>
      </w:r>
      <w:r w:rsidR="003E740C" w:rsidRPr="00177812">
        <w:rPr>
          <w:lang w:val="fr-CA"/>
        </w:rPr>
        <w:t> </w:t>
      </w:r>
      <w:r w:rsidRPr="00177812">
        <w:rPr>
          <w:lang w:val="fr-CA"/>
        </w:rPr>
        <w:t>réunion le financement pour la préparation de rapports de vérification pour certains pays visés à l’article</w:t>
      </w:r>
      <w:r w:rsidR="00125662" w:rsidRPr="00177812">
        <w:rPr>
          <w:lang w:val="fr-CA"/>
        </w:rPr>
        <w:t> </w:t>
      </w:r>
      <w:r w:rsidRPr="00177812">
        <w:rPr>
          <w:lang w:val="fr-CA"/>
        </w:rPr>
        <w:t>5. Le gouvernement de l’Allemagne, en sa qualité d’agence d’exécution principale, de</w:t>
      </w:r>
      <w:r w:rsidR="003E740C" w:rsidRPr="00177812">
        <w:rPr>
          <w:lang w:val="fr-CA"/>
        </w:rPr>
        <w:t>mande</w:t>
      </w:r>
      <w:r w:rsidRPr="00177812">
        <w:rPr>
          <w:lang w:val="fr-CA"/>
        </w:rPr>
        <w:t xml:space="preserve"> un financement pour la vérification de la phase</w:t>
      </w:r>
      <w:r w:rsidR="003E740C" w:rsidRPr="00177812">
        <w:rPr>
          <w:lang w:val="fr-CA"/>
        </w:rPr>
        <w:t> </w:t>
      </w:r>
      <w:r w:rsidRPr="00177812">
        <w:rPr>
          <w:lang w:val="fr-CA"/>
        </w:rPr>
        <w:t>I du PGEH pour Maurice, comme on peut le voir au tableau</w:t>
      </w:r>
      <w:r w:rsidR="003E740C" w:rsidRPr="00177812">
        <w:rPr>
          <w:lang w:val="fr-CA"/>
        </w:rPr>
        <w:t> </w:t>
      </w:r>
      <w:r w:rsidR="00106FAE" w:rsidRPr="00177812">
        <w:rPr>
          <w:lang w:val="fr-CA"/>
        </w:rPr>
        <w:t>1.</w:t>
      </w:r>
      <w:r w:rsidR="00106FAE">
        <w:rPr>
          <w:rStyle w:val="FootnoteReference"/>
        </w:rPr>
        <w:footnoteReference w:id="4"/>
      </w:r>
      <w:r w:rsidR="00106FAE" w:rsidRPr="00177812">
        <w:rPr>
          <w:lang w:val="fr-CA"/>
        </w:rPr>
        <w:t xml:space="preserve"> </w:t>
      </w:r>
    </w:p>
    <w:p w14:paraId="30A34598" w14:textId="77777777" w:rsidR="003C6EA4" w:rsidRDefault="003C6EA4" w:rsidP="00DB79EC">
      <w:pPr>
        <w:spacing w:after="120"/>
        <w:outlineLvl w:val="0"/>
        <w:rPr>
          <w:b/>
        </w:rPr>
      </w:pPr>
      <w:r>
        <w:rPr>
          <w:b/>
        </w:rPr>
        <w:t xml:space="preserve">Observations du </w:t>
      </w:r>
      <w:proofErr w:type="spellStart"/>
      <w:r>
        <w:rPr>
          <w:b/>
        </w:rPr>
        <w:t>Secrétariat</w:t>
      </w:r>
      <w:proofErr w:type="spellEnd"/>
    </w:p>
    <w:p w14:paraId="2C3E6FD9" w14:textId="33A86042" w:rsidR="00106FAE" w:rsidRPr="00177812" w:rsidRDefault="00DC321D" w:rsidP="00DB79EC">
      <w:pPr>
        <w:pStyle w:val="Heading1"/>
        <w:numPr>
          <w:ilvl w:val="0"/>
          <w:numId w:val="23"/>
        </w:numPr>
        <w:spacing w:after="120"/>
        <w:rPr>
          <w:lang w:val="fr-CA"/>
        </w:rPr>
      </w:pPr>
      <w:r w:rsidRPr="00177812">
        <w:rPr>
          <w:lang w:val="fr-CA"/>
        </w:rPr>
        <w:t xml:space="preserve">Le Secrétariat a constaté que le financement demandé était conforme aux fonds approuvés pour des vérifications analogues lors de précédentes réunions. Il a par ailleurs noté que le rapport de vérification doit être présenté au moins </w:t>
      </w:r>
      <w:r w:rsidR="00CA7782" w:rsidRPr="00177812">
        <w:rPr>
          <w:lang w:val="fr-CA"/>
        </w:rPr>
        <w:t>10</w:t>
      </w:r>
      <w:r w:rsidR="00125662" w:rsidRPr="00177812">
        <w:rPr>
          <w:lang w:val="fr-CA"/>
        </w:rPr>
        <w:t> </w:t>
      </w:r>
      <w:r w:rsidRPr="00177812">
        <w:rPr>
          <w:lang w:val="fr-CA"/>
        </w:rPr>
        <w:t>semaines avant la réunion du Comité exécutif au cours de laquelle la prochaine tranche de financement du PGEH</w:t>
      </w:r>
      <w:r w:rsidR="00BD4E2C">
        <w:rPr>
          <w:lang w:val="fr-CA"/>
        </w:rPr>
        <w:t xml:space="preserve"> sera</w:t>
      </w:r>
      <w:r w:rsidRPr="00177812">
        <w:rPr>
          <w:lang w:val="fr-CA"/>
        </w:rPr>
        <w:t xml:space="preserve"> demandée. </w:t>
      </w:r>
    </w:p>
    <w:p w14:paraId="75E63CAC" w14:textId="77777777" w:rsidR="003C6EA4" w:rsidRDefault="003C6EA4" w:rsidP="00DB79EC">
      <w:pPr>
        <w:keepNext/>
        <w:spacing w:after="120"/>
        <w:rPr>
          <w:b/>
        </w:rPr>
      </w:pPr>
      <w:proofErr w:type="spellStart"/>
      <w:r>
        <w:rPr>
          <w:b/>
        </w:rPr>
        <w:t>Recommandation</w:t>
      </w:r>
      <w:proofErr w:type="spellEnd"/>
      <w:r>
        <w:rPr>
          <w:b/>
        </w:rPr>
        <w:t xml:space="preserve"> du </w:t>
      </w:r>
      <w:proofErr w:type="spellStart"/>
      <w:r>
        <w:rPr>
          <w:b/>
        </w:rPr>
        <w:t>Secrétariat</w:t>
      </w:r>
      <w:proofErr w:type="spellEnd"/>
    </w:p>
    <w:p w14:paraId="5C48E842" w14:textId="61A287F9" w:rsidR="00106FAE" w:rsidRPr="00177812" w:rsidRDefault="00DC321D" w:rsidP="00DB79EC">
      <w:pPr>
        <w:pStyle w:val="Heading1"/>
        <w:numPr>
          <w:ilvl w:val="0"/>
          <w:numId w:val="23"/>
        </w:numPr>
        <w:spacing w:after="120"/>
        <w:rPr>
          <w:lang w:val="fr-CA"/>
        </w:rPr>
      </w:pPr>
      <w:r w:rsidRPr="00177812">
        <w:rPr>
          <w:lang w:val="fr-CA"/>
        </w:rPr>
        <w:t>Le Secrétariat recommande l’approbation globale de la préparation du rapport de vérification concernant la phase</w:t>
      </w:r>
      <w:r w:rsidR="00CA7782" w:rsidRPr="00177812">
        <w:rPr>
          <w:lang w:val="fr-CA"/>
        </w:rPr>
        <w:t> I</w:t>
      </w:r>
      <w:r w:rsidRPr="00177812">
        <w:rPr>
          <w:lang w:val="fr-CA"/>
        </w:rPr>
        <w:t xml:space="preserve"> du plan de gestion de l’élimination des HCFC (PGEH) pour Maurice, au niveau de financement figurant au tableau</w:t>
      </w:r>
      <w:r w:rsidR="00CA7782" w:rsidRPr="00177812">
        <w:rPr>
          <w:lang w:val="fr-CA"/>
        </w:rPr>
        <w:t> </w:t>
      </w:r>
      <w:r w:rsidRPr="00177812">
        <w:rPr>
          <w:lang w:val="fr-CA"/>
        </w:rPr>
        <w:t>1, étant entendu que ce rapport devra être présenté au moins 10</w:t>
      </w:r>
      <w:r w:rsidR="00125662" w:rsidRPr="00177812">
        <w:rPr>
          <w:lang w:val="fr-CA"/>
        </w:rPr>
        <w:t> </w:t>
      </w:r>
      <w:r w:rsidRPr="00177812">
        <w:rPr>
          <w:lang w:val="fr-CA"/>
        </w:rPr>
        <w:t>semaines avant la réunion du Comité exécutif au cours de laquelle la prochaine tranche de financement du PGEH sera demandée.</w:t>
      </w:r>
    </w:p>
    <w:p w14:paraId="74031BB1" w14:textId="54A5AEAC" w:rsidR="00106FAE" w:rsidRPr="00177812" w:rsidRDefault="00106FAE" w:rsidP="007C7003">
      <w:pPr>
        <w:spacing w:after="120"/>
        <w:rPr>
          <w:b/>
          <w:u w:val="single"/>
          <w:lang w:val="fr-CA"/>
        </w:rPr>
      </w:pPr>
      <w:r w:rsidRPr="00177812">
        <w:rPr>
          <w:b/>
          <w:u w:val="single"/>
          <w:lang w:val="fr-CA"/>
        </w:rPr>
        <w:t>Colomb</w:t>
      </w:r>
      <w:bookmarkStart w:id="0" w:name="_GoBack"/>
      <w:bookmarkEnd w:id="0"/>
      <w:r w:rsidRPr="00177812">
        <w:rPr>
          <w:b/>
          <w:u w:val="single"/>
          <w:lang w:val="fr-CA"/>
        </w:rPr>
        <w:t>i</w:t>
      </w:r>
      <w:r w:rsidR="003C6EA4" w:rsidRPr="00177812">
        <w:rPr>
          <w:b/>
          <w:u w:val="single"/>
          <w:lang w:val="fr-CA"/>
        </w:rPr>
        <w:t>e </w:t>
      </w:r>
      <w:r w:rsidRPr="00177812">
        <w:rPr>
          <w:b/>
          <w:u w:val="single"/>
          <w:lang w:val="fr-CA"/>
        </w:rPr>
        <w:t xml:space="preserve">: </w:t>
      </w:r>
      <w:r w:rsidR="00DC321D" w:rsidRPr="00177812">
        <w:rPr>
          <w:b/>
          <w:u w:val="single"/>
          <w:lang w:val="fr-CA"/>
        </w:rPr>
        <w:t>Préparation de projet pour le plan de gestion de Kigali/HFC (Allemagne)</w:t>
      </w:r>
    </w:p>
    <w:p w14:paraId="5BBF3332" w14:textId="0B1E269D" w:rsidR="00106FAE" w:rsidRDefault="00820DC6" w:rsidP="00106FAE">
      <w:pPr>
        <w:spacing w:after="240"/>
        <w:rPr>
          <w:b/>
        </w:rPr>
      </w:pPr>
      <w:r>
        <w:rPr>
          <w:b/>
        </w:rPr>
        <w:t xml:space="preserve">Description du </w:t>
      </w:r>
      <w:proofErr w:type="spellStart"/>
      <w:r>
        <w:rPr>
          <w:b/>
        </w:rPr>
        <w:t>projet</w:t>
      </w:r>
      <w:proofErr w:type="spellEnd"/>
    </w:p>
    <w:p w14:paraId="511BDBA1" w14:textId="43D830B5" w:rsidR="00106FAE" w:rsidRPr="00177812" w:rsidRDefault="001E0C19" w:rsidP="00106FAE">
      <w:pPr>
        <w:pStyle w:val="Heading1"/>
        <w:numPr>
          <w:ilvl w:val="0"/>
          <w:numId w:val="23"/>
        </w:numPr>
        <w:rPr>
          <w:lang w:val="fr-CA"/>
        </w:rPr>
      </w:pPr>
      <w:r w:rsidRPr="00177812">
        <w:rPr>
          <w:lang w:val="fr-CA"/>
        </w:rPr>
        <w:t>Le gouvernement de l’Allemagne a présenté</w:t>
      </w:r>
      <w:r w:rsidR="00CA7782" w:rsidRPr="00177812">
        <w:rPr>
          <w:lang w:val="fr-CA"/>
        </w:rPr>
        <w:t>,</w:t>
      </w:r>
      <w:r w:rsidRPr="00177812">
        <w:rPr>
          <w:lang w:val="fr-CA"/>
        </w:rPr>
        <w:t xml:space="preserve"> </w:t>
      </w:r>
      <w:r w:rsidR="00CA7782" w:rsidRPr="00177812">
        <w:rPr>
          <w:lang w:val="fr-CA"/>
        </w:rPr>
        <w:t xml:space="preserve">en sa qualité d’agence de coopération, </w:t>
      </w:r>
      <w:r w:rsidRPr="00177812">
        <w:rPr>
          <w:lang w:val="fr-CA"/>
        </w:rPr>
        <w:t>une demande concernant la préparation de la phase</w:t>
      </w:r>
      <w:r w:rsidR="00CA7782" w:rsidRPr="00177812">
        <w:rPr>
          <w:lang w:val="fr-CA"/>
        </w:rPr>
        <w:t> </w:t>
      </w:r>
      <w:r w:rsidRPr="00177812">
        <w:rPr>
          <w:lang w:val="fr-CA"/>
        </w:rPr>
        <w:t>I du plan de gestion de Kigali/HFC pour la Colombie, avec le PNUD à titre d’agence d’exécution principale, comme on peut le voir au tableau</w:t>
      </w:r>
      <w:r w:rsidR="00CA7782" w:rsidRPr="00177812">
        <w:rPr>
          <w:lang w:val="fr-CA"/>
        </w:rPr>
        <w:t> </w:t>
      </w:r>
      <w:r w:rsidRPr="00177812">
        <w:rPr>
          <w:lang w:val="fr-CA"/>
        </w:rPr>
        <w:t xml:space="preserve">1. </w:t>
      </w:r>
    </w:p>
    <w:p w14:paraId="34C5A0DB" w14:textId="5ED03D81" w:rsidR="00106FAE" w:rsidRDefault="00820DC6" w:rsidP="00DB79EC">
      <w:pPr>
        <w:spacing w:after="240"/>
        <w:outlineLvl w:val="0"/>
        <w:rPr>
          <w:b/>
        </w:rPr>
      </w:pPr>
      <w:r>
        <w:rPr>
          <w:b/>
        </w:rPr>
        <w:lastRenderedPageBreak/>
        <w:t xml:space="preserve">Observations du </w:t>
      </w:r>
      <w:proofErr w:type="spellStart"/>
      <w:r w:rsidR="00106FAE">
        <w:rPr>
          <w:b/>
        </w:rPr>
        <w:t>Secr</w:t>
      </w:r>
      <w:r>
        <w:rPr>
          <w:b/>
        </w:rPr>
        <w:t>é</w:t>
      </w:r>
      <w:r w:rsidR="00106FAE">
        <w:rPr>
          <w:b/>
        </w:rPr>
        <w:t>tariat</w:t>
      </w:r>
      <w:proofErr w:type="spellEnd"/>
    </w:p>
    <w:p w14:paraId="1CB8C495" w14:textId="6365E704" w:rsidR="00106FAE" w:rsidRPr="00177812" w:rsidRDefault="001E0C19" w:rsidP="00DB79EC">
      <w:pPr>
        <w:pStyle w:val="Heading1"/>
        <w:rPr>
          <w:lang w:val="fr-CA"/>
        </w:rPr>
      </w:pPr>
      <w:r w:rsidRPr="00177812">
        <w:rPr>
          <w:lang w:val="fr-CA"/>
        </w:rPr>
        <w:t>Lors de la 87</w:t>
      </w:r>
      <w:r w:rsidRPr="00177812">
        <w:rPr>
          <w:vertAlign w:val="superscript"/>
          <w:lang w:val="fr-CA"/>
        </w:rPr>
        <w:t>e</w:t>
      </w:r>
      <w:r w:rsidR="00CA7782" w:rsidRPr="00177812">
        <w:rPr>
          <w:lang w:val="fr-CA"/>
        </w:rPr>
        <w:t> </w:t>
      </w:r>
      <w:r w:rsidRPr="00177812">
        <w:rPr>
          <w:lang w:val="fr-CA"/>
        </w:rPr>
        <w:t>réunion, les fonds pour la préparation du plan de gestion de Kigali/HFC pour la Colombie ont été approuvés au niveau de 220 000</w:t>
      </w:r>
      <w:r w:rsidR="00CA7782" w:rsidRPr="00177812">
        <w:rPr>
          <w:lang w:val="fr-CA"/>
        </w:rPr>
        <w:t> $US</w:t>
      </w:r>
      <w:r w:rsidRPr="00177812">
        <w:rPr>
          <w:lang w:val="fr-CA"/>
        </w:rPr>
        <w:t>, plus les coûts d’appui d’agence de 15 400</w:t>
      </w:r>
      <w:r w:rsidR="00CA7782" w:rsidRPr="00177812">
        <w:rPr>
          <w:lang w:val="fr-CA"/>
        </w:rPr>
        <w:t> $US</w:t>
      </w:r>
      <w:r w:rsidRPr="00177812">
        <w:rPr>
          <w:lang w:val="fr-CA"/>
        </w:rPr>
        <w:t xml:space="preserve"> pour le PNUD, conformément à la décision</w:t>
      </w:r>
      <w:r w:rsidR="00CA7782" w:rsidRPr="00177812">
        <w:rPr>
          <w:lang w:val="fr-CA"/>
        </w:rPr>
        <w:t> </w:t>
      </w:r>
      <w:r w:rsidR="00106FAE" w:rsidRPr="00177812">
        <w:rPr>
          <w:lang w:val="fr-CA"/>
        </w:rPr>
        <w:t>87/50.</w:t>
      </w:r>
      <w:r w:rsidR="00106FAE">
        <w:rPr>
          <w:rStyle w:val="FootnoteReference"/>
        </w:rPr>
        <w:footnoteReference w:id="5"/>
      </w:r>
      <w:r w:rsidR="00106FAE" w:rsidRPr="00177812">
        <w:rPr>
          <w:lang w:val="fr-CA"/>
        </w:rPr>
        <w:t xml:space="preserve"> </w:t>
      </w:r>
      <w:r w:rsidRPr="00177812">
        <w:rPr>
          <w:lang w:val="fr-CA"/>
        </w:rPr>
        <w:t>Le Secrétariat a récemment indiqué que c</w:t>
      </w:r>
      <w:r w:rsidR="00EC2069" w:rsidRPr="00177812">
        <w:rPr>
          <w:lang w:val="fr-CA"/>
        </w:rPr>
        <w:t>ette</w:t>
      </w:r>
      <w:r w:rsidRPr="00177812">
        <w:rPr>
          <w:lang w:val="fr-CA"/>
        </w:rPr>
        <w:t xml:space="preserve"> approbation devrait inclure un financement de </w:t>
      </w:r>
      <w:r w:rsidR="00EC2069" w:rsidRPr="00177812">
        <w:rPr>
          <w:lang w:val="fr-CA"/>
        </w:rPr>
        <w:t>7</w:t>
      </w:r>
      <w:r w:rsidRPr="00177812">
        <w:rPr>
          <w:lang w:val="fr-CA"/>
        </w:rPr>
        <w:t>0 000</w:t>
      </w:r>
      <w:r w:rsidR="00CA7782" w:rsidRPr="00177812">
        <w:rPr>
          <w:lang w:val="fr-CA"/>
        </w:rPr>
        <w:t> $US</w:t>
      </w:r>
      <w:r w:rsidRPr="00177812">
        <w:rPr>
          <w:lang w:val="fr-CA"/>
        </w:rPr>
        <w:t>, plus les coûts d’appui d’agence de 9</w:t>
      </w:r>
      <w:r w:rsidR="00EC2069" w:rsidRPr="00177812">
        <w:rPr>
          <w:lang w:val="fr-CA"/>
        </w:rPr>
        <w:t> </w:t>
      </w:r>
      <w:r w:rsidRPr="00177812">
        <w:rPr>
          <w:lang w:val="fr-CA"/>
        </w:rPr>
        <w:t>100</w:t>
      </w:r>
      <w:r w:rsidR="00CA7782" w:rsidRPr="00177812">
        <w:rPr>
          <w:lang w:val="fr-CA"/>
        </w:rPr>
        <w:t> $US</w:t>
      </w:r>
      <w:r w:rsidR="00EC2069" w:rsidRPr="00177812">
        <w:rPr>
          <w:lang w:val="fr-CA"/>
        </w:rPr>
        <w:t xml:space="preserve"> pour</w:t>
      </w:r>
      <w:r w:rsidRPr="00177812">
        <w:rPr>
          <w:lang w:val="fr-CA"/>
        </w:rPr>
        <w:t xml:space="preserve"> le gouvernement de l’Allemagne (à titre d’agence de coopération), lequel a été malheureusement omis lors de la 87</w:t>
      </w:r>
      <w:r w:rsidRPr="00177812">
        <w:rPr>
          <w:vertAlign w:val="superscript"/>
          <w:lang w:val="fr-CA"/>
        </w:rPr>
        <w:t>e</w:t>
      </w:r>
      <w:r w:rsidR="00EC2069" w:rsidRPr="00177812">
        <w:rPr>
          <w:lang w:val="fr-CA"/>
        </w:rPr>
        <w:t> </w:t>
      </w:r>
      <w:r w:rsidRPr="00177812">
        <w:rPr>
          <w:lang w:val="fr-CA"/>
        </w:rPr>
        <w:t>réunion. Le PNUD a confirmé la restitution</w:t>
      </w:r>
      <w:r w:rsidR="00114A63">
        <w:rPr>
          <w:lang w:val="fr-CA"/>
        </w:rPr>
        <w:t xml:space="preserve">, </w:t>
      </w:r>
      <w:r w:rsidR="00114A63" w:rsidRPr="00177812">
        <w:rPr>
          <w:lang w:val="fr-CA"/>
        </w:rPr>
        <w:t>à la 88</w:t>
      </w:r>
      <w:r w:rsidR="00114A63" w:rsidRPr="00177812">
        <w:rPr>
          <w:vertAlign w:val="superscript"/>
          <w:lang w:val="fr-CA"/>
        </w:rPr>
        <w:t>e</w:t>
      </w:r>
      <w:r w:rsidR="00114A63" w:rsidRPr="00177812">
        <w:rPr>
          <w:lang w:val="fr-CA"/>
        </w:rPr>
        <w:t> réunion</w:t>
      </w:r>
      <w:r w:rsidR="00114A63">
        <w:rPr>
          <w:lang w:val="fr-CA"/>
        </w:rPr>
        <w:t>,</w:t>
      </w:r>
      <w:r w:rsidRPr="00177812">
        <w:rPr>
          <w:lang w:val="fr-CA"/>
        </w:rPr>
        <w:t xml:space="preserve"> des fonds associés à la part de l’</w:t>
      </w:r>
      <w:r w:rsidR="00EC2069" w:rsidRPr="00177812">
        <w:rPr>
          <w:lang w:val="fr-CA"/>
        </w:rPr>
        <w:t>a</w:t>
      </w:r>
      <w:r w:rsidRPr="00177812">
        <w:rPr>
          <w:lang w:val="fr-CA"/>
        </w:rPr>
        <w:t xml:space="preserve">gence de coopération. </w:t>
      </w:r>
    </w:p>
    <w:p w14:paraId="775A457E" w14:textId="12A7383E" w:rsidR="00106FAE" w:rsidRDefault="00820DC6" w:rsidP="00106FAE">
      <w:pPr>
        <w:keepNext/>
        <w:spacing w:after="240"/>
        <w:rPr>
          <w:b/>
        </w:rPr>
      </w:pPr>
      <w:proofErr w:type="spellStart"/>
      <w:r>
        <w:rPr>
          <w:b/>
        </w:rPr>
        <w:t>Recommandation</w:t>
      </w:r>
      <w:proofErr w:type="spellEnd"/>
      <w:r>
        <w:rPr>
          <w:b/>
        </w:rPr>
        <w:t xml:space="preserve"> du </w:t>
      </w:r>
      <w:proofErr w:type="spellStart"/>
      <w:r>
        <w:rPr>
          <w:b/>
        </w:rPr>
        <w:t>Secrétariat</w:t>
      </w:r>
      <w:proofErr w:type="spellEnd"/>
    </w:p>
    <w:p w14:paraId="5D28E9E8" w14:textId="2E731A84" w:rsidR="00106FAE" w:rsidRPr="00177812" w:rsidRDefault="001E0C19" w:rsidP="00106FAE">
      <w:pPr>
        <w:pStyle w:val="Heading1"/>
        <w:numPr>
          <w:ilvl w:val="0"/>
          <w:numId w:val="23"/>
        </w:numPr>
        <w:rPr>
          <w:lang w:val="fr-CA"/>
        </w:rPr>
      </w:pPr>
      <w:r w:rsidRPr="00177812">
        <w:rPr>
          <w:lang w:val="fr-CA"/>
        </w:rPr>
        <w:t xml:space="preserve"> Le Comité exécutif pourrait souhaiter </w:t>
      </w:r>
      <w:r w:rsidR="00F73961" w:rsidRPr="00177812">
        <w:rPr>
          <w:lang w:val="fr-CA"/>
        </w:rPr>
        <w:t>p</w:t>
      </w:r>
      <w:r w:rsidRPr="00177812">
        <w:rPr>
          <w:lang w:val="fr-CA"/>
        </w:rPr>
        <w:t>rendre note :</w:t>
      </w:r>
    </w:p>
    <w:p w14:paraId="05A2624B" w14:textId="47E3212D" w:rsidR="00106FAE" w:rsidRPr="00177812" w:rsidRDefault="001E0C19" w:rsidP="00820DC6">
      <w:pPr>
        <w:pStyle w:val="Heading2"/>
        <w:rPr>
          <w:lang w:val="fr-CA"/>
        </w:rPr>
      </w:pPr>
      <w:r w:rsidRPr="00177812">
        <w:rPr>
          <w:lang w:val="fr-CA"/>
        </w:rPr>
        <w:t xml:space="preserve">Du fait que le financement </w:t>
      </w:r>
      <w:r w:rsidR="007C0C7B" w:rsidRPr="00177812">
        <w:rPr>
          <w:lang w:val="fr-CA"/>
        </w:rPr>
        <w:t>de la préparation du plan de gestion de Kigali/HFC</w:t>
      </w:r>
      <w:r w:rsidR="00F73961" w:rsidRPr="00177812">
        <w:rPr>
          <w:lang w:val="fr-CA"/>
        </w:rPr>
        <w:t xml:space="preserve"> p</w:t>
      </w:r>
      <w:r w:rsidR="007C0C7B" w:rsidRPr="00177812">
        <w:rPr>
          <w:lang w:val="fr-CA"/>
        </w:rPr>
        <w:t>our la Colombie</w:t>
      </w:r>
      <w:r w:rsidR="00F73961" w:rsidRPr="00177812">
        <w:rPr>
          <w:lang w:val="fr-CA"/>
        </w:rPr>
        <w:t xml:space="preserve"> </w:t>
      </w:r>
      <w:r w:rsidR="007C0C7B" w:rsidRPr="00177812">
        <w:rPr>
          <w:lang w:val="fr-CA"/>
        </w:rPr>
        <w:t>approuvé</w:t>
      </w:r>
      <w:r w:rsidR="00F73961" w:rsidRPr="00177812">
        <w:rPr>
          <w:lang w:val="fr-CA"/>
        </w:rPr>
        <w:t xml:space="preserve"> </w:t>
      </w:r>
      <w:r w:rsidR="007C0C7B" w:rsidRPr="00177812">
        <w:rPr>
          <w:lang w:val="fr-CA"/>
        </w:rPr>
        <w:t>lors de la 87</w:t>
      </w:r>
      <w:r w:rsidR="007C0C7B" w:rsidRPr="00177812">
        <w:rPr>
          <w:vertAlign w:val="superscript"/>
          <w:lang w:val="fr-CA"/>
        </w:rPr>
        <w:t>e</w:t>
      </w:r>
      <w:r w:rsidR="00F73961" w:rsidRPr="00177812">
        <w:rPr>
          <w:lang w:val="fr-CA"/>
        </w:rPr>
        <w:t> </w:t>
      </w:r>
      <w:r w:rsidR="007C0C7B" w:rsidRPr="00177812">
        <w:rPr>
          <w:lang w:val="fr-CA"/>
        </w:rPr>
        <w:t>réunion et s’élevant à 220 000</w:t>
      </w:r>
      <w:r w:rsidR="00CA7782" w:rsidRPr="00177812">
        <w:rPr>
          <w:lang w:val="fr-CA"/>
        </w:rPr>
        <w:t> $US</w:t>
      </w:r>
      <w:r w:rsidR="007C0C7B" w:rsidRPr="00177812">
        <w:rPr>
          <w:lang w:val="fr-CA"/>
        </w:rPr>
        <w:t>, plus les coûts d’appui d’agence pour le PNUD, devait plutôt totaliser 150</w:t>
      </w:r>
      <w:r w:rsidR="00F73961" w:rsidRPr="00177812">
        <w:rPr>
          <w:lang w:val="fr-CA"/>
        </w:rPr>
        <w:t> 000 </w:t>
      </w:r>
      <w:r w:rsidR="00CA7782" w:rsidRPr="00177812">
        <w:rPr>
          <w:lang w:val="fr-CA"/>
        </w:rPr>
        <w:t>$US</w:t>
      </w:r>
      <w:r w:rsidR="007C0C7B" w:rsidRPr="00177812">
        <w:rPr>
          <w:lang w:val="fr-CA"/>
        </w:rPr>
        <w:t xml:space="preserve">, plus les coûts d’appui d’agence du PNUD, et </w:t>
      </w:r>
      <w:r w:rsidR="00F73961" w:rsidRPr="00177812">
        <w:rPr>
          <w:lang w:val="fr-CA"/>
        </w:rPr>
        <w:t>7</w:t>
      </w:r>
      <w:r w:rsidR="007C0C7B" w:rsidRPr="00177812">
        <w:rPr>
          <w:lang w:val="fr-CA"/>
        </w:rPr>
        <w:t>0 000</w:t>
      </w:r>
      <w:r w:rsidR="00CA7782" w:rsidRPr="00177812">
        <w:rPr>
          <w:lang w:val="fr-CA"/>
        </w:rPr>
        <w:t> $US</w:t>
      </w:r>
      <w:r w:rsidR="007C0C7B" w:rsidRPr="00177812">
        <w:rPr>
          <w:lang w:val="fr-CA"/>
        </w:rPr>
        <w:t>, plus les coûts d’appui d’agence pour le gouvernement de l’Allemagne;</w:t>
      </w:r>
      <w:r w:rsidR="00106FAE" w:rsidRPr="00177812">
        <w:rPr>
          <w:lang w:val="fr-CA"/>
        </w:rPr>
        <w:t xml:space="preserve"> </w:t>
      </w:r>
    </w:p>
    <w:p w14:paraId="41A19822" w14:textId="1052A092" w:rsidR="00106FAE" w:rsidRPr="00177812" w:rsidRDefault="007C0C7B" w:rsidP="00106FAE">
      <w:pPr>
        <w:pStyle w:val="Heading2"/>
        <w:rPr>
          <w:lang w:val="fr-CA"/>
        </w:rPr>
      </w:pPr>
      <w:r w:rsidRPr="00177812">
        <w:rPr>
          <w:lang w:val="fr-CA"/>
        </w:rPr>
        <w:t>Du fait que le PNUD restituera au Fonds multilatéral lors de la 88</w:t>
      </w:r>
      <w:r w:rsidRPr="00177812">
        <w:rPr>
          <w:vertAlign w:val="superscript"/>
          <w:lang w:val="fr-CA"/>
        </w:rPr>
        <w:t>e</w:t>
      </w:r>
      <w:r w:rsidR="0094626A" w:rsidRPr="00177812">
        <w:rPr>
          <w:lang w:val="fr-CA"/>
        </w:rPr>
        <w:t> </w:t>
      </w:r>
      <w:r w:rsidRPr="00177812">
        <w:rPr>
          <w:lang w:val="fr-CA"/>
        </w:rPr>
        <w:t xml:space="preserve">réunion les fonds approuvés de </w:t>
      </w:r>
      <w:r w:rsidR="0094626A" w:rsidRPr="00177812">
        <w:rPr>
          <w:lang w:val="fr-CA"/>
        </w:rPr>
        <w:t>7</w:t>
      </w:r>
      <w:r w:rsidRPr="00177812">
        <w:rPr>
          <w:lang w:val="fr-CA"/>
        </w:rPr>
        <w:t>0 000</w:t>
      </w:r>
      <w:r w:rsidR="00CA7782" w:rsidRPr="00177812">
        <w:rPr>
          <w:lang w:val="fr-CA"/>
        </w:rPr>
        <w:t> $US</w:t>
      </w:r>
      <w:r w:rsidRPr="00177812">
        <w:rPr>
          <w:lang w:val="fr-CA"/>
        </w:rPr>
        <w:t>, plus les coûts d’appui d’agence de 4</w:t>
      </w:r>
      <w:r w:rsidR="00F722B5" w:rsidRPr="00177812">
        <w:rPr>
          <w:lang w:val="fr-CA"/>
        </w:rPr>
        <w:t> </w:t>
      </w:r>
      <w:r w:rsidRPr="00177812">
        <w:rPr>
          <w:lang w:val="fr-CA"/>
        </w:rPr>
        <w:t>900</w:t>
      </w:r>
      <w:r w:rsidR="00CA7782" w:rsidRPr="00177812">
        <w:rPr>
          <w:lang w:val="fr-CA"/>
        </w:rPr>
        <w:t> $US</w:t>
      </w:r>
      <w:r w:rsidRPr="00177812">
        <w:rPr>
          <w:lang w:val="fr-CA"/>
        </w:rPr>
        <w:t>, pour l</w:t>
      </w:r>
      <w:r w:rsidR="00F722B5" w:rsidRPr="00177812">
        <w:rPr>
          <w:lang w:val="fr-CA"/>
        </w:rPr>
        <w:t>’</w:t>
      </w:r>
      <w:r w:rsidRPr="00177812">
        <w:rPr>
          <w:lang w:val="fr-CA"/>
        </w:rPr>
        <w:t>activité mentionnée à l’alinéa</w:t>
      </w:r>
      <w:r w:rsidR="00F722B5" w:rsidRPr="00177812">
        <w:rPr>
          <w:lang w:val="fr-CA"/>
        </w:rPr>
        <w:t> a)</w:t>
      </w:r>
      <w:r w:rsidRPr="00177812">
        <w:rPr>
          <w:lang w:val="fr-CA"/>
        </w:rPr>
        <w:t xml:space="preserve"> ci</w:t>
      </w:r>
      <w:r w:rsidR="00125662" w:rsidRPr="00177812">
        <w:rPr>
          <w:lang w:val="fr-CA"/>
        </w:rPr>
        <w:t>-</w:t>
      </w:r>
      <w:r w:rsidRPr="00177812">
        <w:rPr>
          <w:lang w:val="fr-CA"/>
        </w:rPr>
        <w:t xml:space="preserve">dessus; </w:t>
      </w:r>
    </w:p>
    <w:p w14:paraId="6F5635BA" w14:textId="5ED4BD4B" w:rsidR="00106FAE" w:rsidRPr="00177812" w:rsidRDefault="007C0C7B" w:rsidP="00106FAE">
      <w:pPr>
        <w:pStyle w:val="Heading2"/>
        <w:rPr>
          <w:lang w:val="fr-CA"/>
        </w:rPr>
      </w:pPr>
      <w:r w:rsidRPr="00177812">
        <w:rPr>
          <w:lang w:val="fr-CA"/>
        </w:rPr>
        <w:t xml:space="preserve">Du fait que le montant de </w:t>
      </w:r>
      <w:r w:rsidR="00F722B5" w:rsidRPr="00177812">
        <w:rPr>
          <w:lang w:val="fr-CA"/>
        </w:rPr>
        <w:t>70</w:t>
      </w:r>
      <w:r w:rsidRPr="00177812">
        <w:rPr>
          <w:lang w:val="fr-CA"/>
        </w:rPr>
        <w:t> 000</w:t>
      </w:r>
      <w:r w:rsidR="00CA7782" w:rsidRPr="00177812">
        <w:rPr>
          <w:lang w:val="fr-CA"/>
        </w:rPr>
        <w:t> $US</w:t>
      </w:r>
      <w:r w:rsidRPr="00177812">
        <w:rPr>
          <w:lang w:val="fr-CA"/>
        </w:rPr>
        <w:t>, plus les coûts d’appui d’agence de 9</w:t>
      </w:r>
      <w:r w:rsidR="00F722B5" w:rsidRPr="00177812">
        <w:rPr>
          <w:lang w:val="fr-CA"/>
        </w:rPr>
        <w:t> </w:t>
      </w:r>
      <w:r w:rsidRPr="00177812">
        <w:rPr>
          <w:lang w:val="fr-CA"/>
        </w:rPr>
        <w:t>100</w:t>
      </w:r>
      <w:r w:rsidR="00CA7782" w:rsidRPr="00177812">
        <w:rPr>
          <w:lang w:val="fr-CA"/>
        </w:rPr>
        <w:t> $US</w:t>
      </w:r>
      <w:r w:rsidRPr="00177812">
        <w:rPr>
          <w:lang w:val="fr-CA"/>
        </w:rPr>
        <w:t xml:space="preserve"> sera attribué au gouvernement de l’Allemagne lors de la 88</w:t>
      </w:r>
      <w:r w:rsidRPr="00177812">
        <w:rPr>
          <w:vertAlign w:val="superscript"/>
          <w:lang w:val="fr-CA"/>
        </w:rPr>
        <w:t>e</w:t>
      </w:r>
      <w:r w:rsidR="00F722B5" w:rsidRPr="00177812">
        <w:rPr>
          <w:lang w:val="fr-CA"/>
        </w:rPr>
        <w:t> </w:t>
      </w:r>
      <w:r w:rsidRPr="00177812">
        <w:rPr>
          <w:lang w:val="fr-CA"/>
        </w:rPr>
        <w:t>réunion, pour l</w:t>
      </w:r>
      <w:r w:rsidR="00F722B5" w:rsidRPr="00177812">
        <w:rPr>
          <w:lang w:val="fr-CA"/>
        </w:rPr>
        <w:t>’</w:t>
      </w:r>
      <w:r w:rsidRPr="00177812">
        <w:rPr>
          <w:lang w:val="fr-CA"/>
        </w:rPr>
        <w:t>activit</w:t>
      </w:r>
      <w:r w:rsidR="00F722B5" w:rsidRPr="00177812">
        <w:rPr>
          <w:lang w:val="fr-CA"/>
        </w:rPr>
        <w:t>é</w:t>
      </w:r>
      <w:r w:rsidRPr="00177812">
        <w:rPr>
          <w:lang w:val="fr-CA"/>
        </w:rPr>
        <w:t xml:space="preserve"> mentionnée à l’alinéa</w:t>
      </w:r>
      <w:r w:rsidR="00F722B5" w:rsidRPr="00177812">
        <w:rPr>
          <w:lang w:val="fr-CA"/>
        </w:rPr>
        <w:t> a)</w:t>
      </w:r>
      <w:r w:rsidRPr="00177812">
        <w:rPr>
          <w:lang w:val="fr-CA"/>
        </w:rPr>
        <w:t xml:space="preserve"> et au tableau</w:t>
      </w:r>
      <w:r w:rsidR="00125662" w:rsidRPr="00177812">
        <w:rPr>
          <w:lang w:val="fr-CA"/>
        </w:rPr>
        <w:t> </w:t>
      </w:r>
      <w:r w:rsidRPr="00177812">
        <w:rPr>
          <w:lang w:val="fr-CA"/>
        </w:rPr>
        <w:t xml:space="preserve">1 ci-dessus. </w:t>
      </w:r>
    </w:p>
    <w:p w14:paraId="5958178E" w14:textId="71D4C480" w:rsidR="00106FAE" w:rsidRDefault="007C0C7B" w:rsidP="00106FAE">
      <w:pPr>
        <w:rPr>
          <w:b/>
        </w:rPr>
      </w:pPr>
      <w:proofErr w:type="spellStart"/>
      <w:r>
        <w:rPr>
          <w:b/>
        </w:rPr>
        <w:t>Recommandation</w:t>
      </w:r>
      <w:proofErr w:type="spellEnd"/>
      <w:r>
        <w:rPr>
          <w:b/>
        </w:rPr>
        <w:t xml:space="preserve"> </w:t>
      </w:r>
      <w:proofErr w:type="spellStart"/>
      <w:r>
        <w:rPr>
          <w:b/>
        </w:rPr>
        <w:t>générale</w:t>
      </w:r>
      <w:proofErr w:type="spellEnd"/>
      <w:r>
        <w:rPr>
          <w:b/>
        </w:rPr>
        <w:t xml:space="preserve"> </w:t>
      </w:r>
    </w:p>
    <w:p w14:paraId="238C8D83" w14:textId="77777777" w:rsidR="00106FAE" w:rsidRDefault="00106FAE" w:rsidP="00106FAE"/>
    <w:p w14:paraId="621D95C8" w14:textId="22D74A64" w:rsidR="00106FAE" w:rsidRPr="00177812" w:rsidRDefault="007C0C7B" w:rsidP="00106FAE">
      <w:pPr>
        <w:pStyle w:val="Heading1"/>
        <w:numPr>
          <w:ilvl w:val="0"/>
          <w:numId w:val="23"/>
        </w:numPr>
        <w:rPr>
          <w:lang w:val="fr-CA"/>
        </w:rPr>
      </w:pPr>
      <w:r w:rsidRPr="00177812">
        <w:rPr>
          <w:lang w:val="fr-CA"/>
        </w:rPr>
        <w:t>Le Comité exécutif pourrait souhaiter demander au Trésorier de déduire les coûts des projets bilatéraux approuvés lors de la 88</w:t>
      </w:r>
      <w:r w:rsidRPr="00177812">
        <w:rPr>
          <w:vertAlign w:val="superscript"/>
          <w:lang w:val="fr-CA"/>
        </w:rPr>
        <w:t>e</w:t>
      </w:r>
      <w:r w:rsidR="00F722B5" w:rsidRPr="00177812">
        <w:rPr>
          <w:lang w:val="fr-CA"/>
        </w:rPr>
        <w:t> </w:t>
      </w:r>
      <w:r w:rsidRPr="00177812">
        <w:rPr>
          <w:lang w:val="fr-CA"/>
        </w:rPr>
        <w:t>réunion</w:t>
      </w:r>
      <w:r w:rsidR="00BD4E2C">
        <w:rPr>
          <w:lang w:val="fr-CA"/>
        </w:rPr>
        <w:t>,</w:t>
      </w:r>
      <w:r w:rsidRPr="00177812">
        <w:rPr>
          <w:lang w:val="fr-CA"/>
        </w:rPr>
        <w:t xml:space="preserve"> comme suit : </w:t>
      </w:r>
    </w:p>
    <w:p w14:paraId="24080687" w14:textId="3BD0ABDB" w:rsidR="00106FAE" w:rsidRPr="00177812" w:rsidRDefault="00F722B5" w:rsidP="00106FAE">
      <w:pPr>
        <w:pStyle w:val="Heading2"/>
        <w:rPr>
          <w:lang w:val="fr-CA"/>
        </w:rPr>
      </w:pPr>
      <w:r w:rsidRPr="00177812">
        <w:rPr>
          <w:lang w:val="fr-CA"/>
        </w:rPr>
        <w:t>XX $US</w:t>
      </w:r>
      <w:r w:rsidR="00106FAE" w:rsidRPr="00177812">
        <w:rPr>
          <w:lang w:val="fr-CA"/>
        </w:rPr>
        <w:t xml:space="preserve"> (</w:t>
      </w:r>
      <w:r w:rsidR="007C0C7B" w:rsidRPr="00177812">
        <w:rPr>
          <w:lang w:val="fr-CA"/>
        </w:rPr>
        <w:t xml:space="preserve">y compris les coûts d’appui d’agence) du solde de la contribution bilatérale du gouvernement de l’Autriche pour 2021; </w:t>
      </w:r>
    </w:p>
    <w:p w14:paraId="62EF3FF5" w14:textId="4E82CA25" w:rsidR="00106FAE" w:rsidRPr="00177812" w:rsidRDefault="00F722B5" w:rsidP="00106FAE">
      <w:pPr>
        <w:pStyle w:val="Heading2"/>
        <w:rPr>
          <w:lang w:val="fr-CA"/>
        </w:rPr>
      </w:pPr>
      <w:r w:rsidRPr="00177812">
        <w:rPr>
          <w:lang w:val="fr-CA"/>
        </w:rPr>
        <w:t xml:space="preserve">XX $US (y compris les coûts d’appui d’agence) du solde de la contribution bilatérale du </w:t>
      </w:r>
      <w:r w:rsidR="007C0C7B" w:rsidRPr="00177812">
        <w:rPr>
          <w:lang w:val="fr-CA"/>
        </w:rPr>
        <w:t xml:space="preserve">gouvernement de l’Allemagne pour 2021 et 2022; </w:t>
      </w:r>
    </w:p>
    <w:p w14:paraId="0F758ED2" w14:textId="0D7415E3" w:rsidR="00106FAE" w:rsidRPr="00177812" w:rsidRDefault="00F722B5" w:rsidP="00106FAE">
      <w:pPr>
        <w:pStyle w:val="Heading2"/>
        <w:rPr>
          <w:lang w:val="fr-CA"/>
        </w:rPr>
      </w:pPr>
      <w:r w:rsidRPr="00177812">
        <w:rPr>
          <w:lang w:val="fr-CA"/>
        </w:rPr>
        <w:t xml:space="preserve">XX $US (y compris les coûts d’appui d’agence) du solde de la contribution bilatérale du </w:t>
      </w:r>
      <w:r w:rsidR="007C0C7B" w:rsidRPr="00177812">
        <w:rPr>
          <w:lang w:val="fr-CA"/>
        </w:rPr>
        <w:t xml:space="preserve">gouvernement de l’Italie pour 2021; </w:t>
      </w:r>
    </w:p>
    <w:p w14:paraId="2BF4C896" w14:textId="617B8DDF" w:rsidR="00106FAE" w:rsidRPr="00177812" w:rsidRDefault="00F722B5" w:rsidP="001A15C2">
      <w:pPr>
        <w:pStyle w:val="Heading2"/>
        <w:spacing w:after="0"/>
        <w:rPr>
          <w:lang w:val="fr-CA"/>
        </w:rPr>
      </w:pPr>
      <w:r w:rsidRPr="00177812">
        <w:rPr>
          <w:lang w:val="fr-CA"/>
        </w:rPr>
        <w:t xml:space="preserve">XX $US (y compris les coûts d’appui d’agence) du solde de la contribution bilatérale du </w:t>
      </w:r>
      <w:r w:rsidR="007C0C7B" w:rsidRPr="00177812">
        <w:rPr>
          <w:lang w:val="fr-CA"/>
        </w:rPr>
        <w:t>gouvernement du Japon pour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106FAE" w:rsidRPr="007C7003" w14:paraId="6F63422E" w14:textId="77777777" w:rsidTr="00106FAE">
        <w:tc>
          <w:tcPr>
            <w:tcW w:w="1871" w:type="dxa"/>
          </w:tcPr>
          <w:p w14:paraId="68BFE21B" w14:textId="77777777" w:rsidR="00106FAE" w:rsidRPr="00177812" w:rsidRDefault="00106FAE">
            <w:pPr>
              <w:rPr>
                <w:lang w:val="fr-CA"/>
              </w:rPr>
            </w:pPr>
          </w:p>
        </w:tc>
        <w:tc>
          <w:tcPr>
            <w:tcW w:w="1872" w:type="dxa"/>
          </w:tcPr>
          <w:p w14:paraId="245207D1" w14:textId="77777777" w:rsidR="00106FAE" w:rsidRPr="00177812" w:rsidRDefault="00106FAE">
            <w:pPr>
              <w:rPr>
                <w:lang w:val="fr-CA"/>
              </w:rPr>
            </w:pPr>
          </w:p>
        </w:tc>
        <w:tc>
          <w:tcPr>
            <w:tcW w:w="1872" w:type="dxa"/>
            <w:tcBorders>
              <w:top w:val="nil"/>
              <w:left w:val="nil"/>
              <w:bottom w:val="single" w:sz="4" w:space="0" w:color="auto"/>
              <w:right w:val="nil"/>
            </w:tcBorders>
          </w:tcPr>
          <w:p w14:paraId="7A02A6E0" w14:textId="77777777" w:rsidR="00106FAE" w:rsidRPr="00177812" w:rsidRDefault="00106FAE">
            <w:pPr>
              <w:rPr>
                <w:sz w:val="32"/>
                <w:szCs w:val="32"/>
                <w:lang w:val="fr-CA"/>
              </w:rPr>
            </w:pPr>
          </w:p>
        </w:tc>
        <w:tc>
          <w:tcPr>
            <w:tcW w:w="1872" w:type="dxa"/>
          </w:tcPr>
          <w:p w14:paraId="52C8EA4B" w14:textId="77777777" w:rsidR="00106FAE" w:rsidRPr="00177812" w:rsidRDefault="00106FAE">
            <w:pPr>
              <w:rPr>
                <w:lang w:val="fr-CA"/>
              </w:rPr>
            </w:pPr>
          </w:p>
        </w:tc>
        <w:tc>
          <w:tcPr>
            <w:tcW w:w="1873" w:type="dxa"/>
          </w:tcPr>
          <w:p w14:paraId="00D11019" w14:textId="77777777" w:rsidR="00106FAE" w:rsidRPr="00177812" w:rsidRDefault="00106FAE">
            <w:pPr>
              <w:rPr>
                <w:lang w:val="fr-CA"/>
              </w:rPr>
            </w:pPr>
          </w:p>
        </w:tc>
      </w:tr>
    </w:tbl>
    <w:p w14:paraId="4DEEDA45" w14:textId="77777777" w:rsidR="00106FAE" w:rsidRPr="00177812" w:rsidRDefault="00106FAE" w:rsidP="00106FAE">
      <w:pPr>
        <w:pStyle w:val="Title1"/>
        <w:jc w:val="both"/>
        <w:rPr>
          <w:lang w:val="fr-CA"/>
        </w:rPr>
      </w:pPr>
    </w:p>
    <w:p w14:paraId="022E029C" w14:textId="77777777" w:rsidR="00441083" w:rsidRDefault="00441083">
      <w:pPr>
        <w:rPr>
          <w:lang w:val="fr-FR"/>
        </w:rPr>
      </w:pPr>
    </w:p>
    <w:sectPr w:rsidR="0044108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4099" w14:textId="77777777" w:rsidR="006C0D83" w:rsidRDefault="006C0D83">
      <w:r>
        <w:separator/>
      </w:r>
    </w:p>
  </w:endnote>
  <w:endnote w:type="continuationSeparator" w:id="0">
    <w:p w14:paraId="5E5AF4D5" w14:textId="77777777" w:rsidR="006C0D83" w:rsidRDefault="006C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06968"/>
      <w:docPartObj>
        <w:docPartGallery w:val="Page Numbers (Bottom of Page)"/>
        <w:docPartUnique/>
      </w:docPartObj>
    </w:sdtPr>
    <w:sdtEndPr>
      <w:rPr>
        <w:noProof/>
      </w:rPr>
    </w:sdtEndPr>
    <w:sdtContent>
      <w:p w14:paraId="585F1DCD" w14:textId="16B4F57B" w:rsidR="001A15C2" w:rsidRDefault="001A15C2">
        <w:pPr>
          <w:pStyle w:val="Footer"/>
          <w:jc w:val="center"/>
        </w:pPr>
        <w:r>
          <w:fldChar w:fldCharType="begin"/>
        </w:r>
        <w:r>
          <w:instrText xml:space="preserve"> PAGE   \* MERGEFORMAT </w:instrText>
        </w:r>
        <w:r>
          <w:fldChar w:fldCharType="separate"/>
        </w:r>
        <w:r w:rsidR="007C7003">
          <w:rPr>
            <w:noProof/>
          </w:rPr>
          <w:t>4</w:t>
        </w:r>
        <w:r>
          <w:rPr>
            <w:noProof/>
          </w:rPr>
          <w:fldChar w:fldCharType="end"/>
        </w:r>
      </w:p>
    </w:sdtContent>
  </w:sdt>
  <w:p w14:paraId="6467F115" w14:textId="77777777" w:rsidR="00321196" w:rsidRDefault="003211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80148"/>
      <w:docPartObj>
        <w:docPartGallery w:val="Page Numbers (Bottom of Page)"/>
        <w:docPartUnique/>
      </w:docPartObj>
    </w:sdtPr>
    <w:sdtEndPr>
      <w:rPr>
        <w:noProof/>
      </w:rPr>
    </w:sdtEndPr>
    <w:sdtContent>
      <w:p w14:paraId="1A26513E" w14:textId="22B184E8" w:rsidR="001A15C2" w:rsidRDefault="001A15C2">
        <w:pPr>
          <w:pStyle w:val="Footer"/>
          <w:jc w:val="center"/>
        </w:pPr>
        <w:r>
          <w:fldChar w:fldCharType="begin"/>
        </w:r>
        <w:r>
          <w:instrText xml:space="preserve"> PAGE   \* MERGEFORMAT </w:instrText>
        </w:r>
        <w:r>
          <w:fldChar w:fldCharType="separate"/>
        </w:r>
        <w:r w:rsidR="007C7003">
          <w:rPr>
            <w:noProof/>
          </w:rPr>
          <w:t>3</w:t>
        </w:r>
        <w:r>
          <w:rPr>
            <w:noProof/>
          </w:rPr>
          <w:fldChar w:fldCharType="end"/>
        </w:r>
      </w:p>
    </w:sdtContent>
  </w:sdt>
  <w:p w14:paraId="36A9EBB5" w14:textId="77777777" w:rsidR="00321196" w:rsidRDefault="003211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26A822A1" w14:textId="77777777" w:rsidR="00321196" w:rsidRDefault="00321196" w:rsidP="00321196">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30B181FD" w14:textId="52921A6A" w:rsidR="00441083" w:rsidRPr="00321196" w:rsidRDefault="00321196" w:rsidP="00321196">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sdtContent>
  </w:sdt>
  <w:p w14:paraId="24D48F5E" w14:textId="77777777" w:rsidR="00441083" w:rsidRPr="007C7003" w:rsidRDefault="00441083">
    <w:pPr>
      <w:jc w:val="center"/>
      <w:rPr>
        <w:sz w:val="18"/>
        <w:szCs w:val="18"/>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A0A13" w14:textId="77777777" w:rsidR="006C0D83" w:rsidRDefault="006C0D83">
      <w:r>
        <w:separator/>
      </w:r>
    </w:p>
  </w:footnote>
  <w:footnote w:type="continuationSeparator" w:id="0">
    <w:p w14:paraId="2B3B193F" w14:textId="77777777" w:rsidR="006C0D83" w:rsidRDefault="006C0D83">
      <w:r>
        <w:continuationSeparator/>
      </w:r>
    </w:p>
  </w:footnote>
  <w:footnote w:id="1">
    <w:p w14:paraId="34D59DD8" w14:textId="49DC3532" w:rsidR="003029F8" w:rsidRPr="003029F8" w:rsidRDefault="002C06D4" w:rsidP="003029F8">
      <w:pPr>
        <w:pStyle w:val="FootnoteText"/>
        <w:rPr>
          <w:lang w:val="fr-CA"/>
        </w:rPr>
      </w:pPr>
      <w:r>
        <w:rPr>
          <w:rStyle w:val="FootnoteReference"/>
        </w:rPr>
        <w:footnoteRef/>
      </w:r>
      <w:r w:rsidRPr="003029F8">
        <w:rPr>
          <w:lang w:val="fr-CA"/>
        </w:rPr>
        <w:t xml:space="preserve"> </w:t>
      </w:r>
      <w:r w:rsidR="003029F8" w:rsidRPr="0004647F">
        <w:rPr>
          <w:lang w:val="fr-CA"/>
        </w:rPr>
        <w:t>Des réunions en ligne et un processus d’approbation intersessio</w:t>
      </w:r>
      <w:r w:rsidR="003029F8">
        <w:rPr>
          <w:lang w:val="fr-CA"/>
        </w:rPr>
        <w:t xml:space="preserve">ns se tiendront </w:t>
      </w:r>
      <w:r w:rsidR="003029F8" w:rsidRPr="0004647F">
        <w:rPr>
          <w:lang w:val="fr-CA"/>
        </w:rPr>
        <w:t>e</w:t>
      </w:r>
      <w:r w:rsidR="003029F8">
        <w:rPr>
          <w:lang w:val="fr-CA"/>
        </w:rPr>
        <w:t xml:space="preserve">n </w:t>
      </w:r>
      <w:r w:rsidR="009F6617">
        <w:rPr>
          <w:lang w:val="fr-CA"/>
        </w:rPr>
        <w:t>novembre et décembre</w:t>
      </w:r>
      <w:r w:rsidR="00125662">
        <w:rPr>
          <w:lang w:val="fr-CA"/>
        </w:rPr>
        <w:t> </w:t>
      </w:r>
      <w:r w:rsidR="003029F8">
        <w:rPr>
          <w:lang w:val="fr-CA"/>
        </w:rPr>
        <w:t>2021 à cause du coronaviru</w:t>
      </w:r>
      <w:r w:rsidR="003029F8" w:rsidRPr="0004647F">
        <w:rPr>
          <w:lang w:val="fr-CA"/>
        </w:rPr>
        <w:t>s</w:t>
      </w:r>
      <w:r w:rsidR="003029F8">
        <w:rPr>
          <w:lang w:val="fr-CA"/>
        </w:rPr>
        <w:t xml:space="preserve"> (COVID-19)</w:t>
      </w:r>
    </w:p>
  </w:footnote>
  <w:footnote w:id="2">
    <w:p w14:paraId="65F8BACB" w14:textId="13A7403C" w:rsidR="00D0073B" w:rsidRDefault="00106FAE" w:rsidP="00106FAE">
      <w:pPr>
        <w:pStyle w:val="FootnoteText"/>
        <w:rPr>
          <w:lang w:val="fr-CA"/>
        </w:rPr>
      </w:pPr>
      <w:r>
        <w:rPr>
          <w:rStyle w:val="FootnoteReference"/>
        </w:rPr>
        <w:footnoteRef/>
      </w:r>
      <w:r w:rsidRPr="00177812">
        <w:rPr>
          <w:lang w:val="fr-CA"/>
        </w:rPr>
        <w:t xml:space="preserve"> </w:t>
      </w:r>
      <w:r w:rsidR="00AF5C96" w:rsidRPr="00177812">
        <w:rPr>
          <w:lang w:val="fr-CA"/>
        </w:rPr>
        <w:t>1 102</w:t>
      </w:r>
      <w:r w:rsidR="009C3B4D" w:rsidRPr="00177812">
        <w:rPr>
          <w:lang w:val="fr-CA"/>
        </w:rPr>
        <w:t> </w:t>
      </w:r>
      <w:r w:rsidR="00AF5C96" w:rsidRPr="00177812">
        <w:rPr>
          <w:lang w:val="fr-CA"/>
        </w:rPr>
        <w:t>511</w:t>
      </w:r>
      <w:r w:rsidR="009C3B4D" w:rsidRPr="00177812">
        <w:rPr>
          <w:lang w:val="fr-CA"/>
        </w:rPr>
        <w:t> </w:t>
      </w:r>
      <w:r w:rsidR="00AF5C96" w:rsidRPr="00177812">
        <w:rPr>
          <w:lang w:val="fr-CA"/>
        </w:rPr>
        <w:t xml:space="preserve">$US pour le gouvernement de </w:t>
      </w:r>
      <w:proofErr w:type="gramStart"/>
      <w:r w:rsidR="00AF5C96" w:rsidRPr="00177812">
        <w:rPr>
          <w:lang w:val="fr-CA"/>
        </w:rPr>
        <w:t>l</w:t>
      </w:r>
      <w:r w:rsidR="00125662" w:rsidRPr="00177812">
        <w:rPr>
          <w:lang w:val="fr-CA"/>
        </w:rPr>
        <w:t>’</w:t>
      </w:r>
      <w:r w:rsidR="00AF5C96" w:rsidRPr="00177812">
        <w:rPr>
          <w:lang w:val="fr-CA"/>
        </w:rPr>
        <w:t>Allemagne;</w:t>
      </w:r>
      <w:proofErr w:type="gramEnd"/>
      <w:r w:rsidR="00AF5C96" w:rsidRPr="00177812">
        <w:rPr>
          <w:lang w:val="fr-CA"/>
        </w:rPr>
        <w:t xml:space="preserve"> 29</w:t>
      </w:r>
      <w:r w:rsidR="00D0073B" w:rsidRPr="00177812">
        <w:rPr>
          <w:lang w:val="fr-CA"/>
        </w:rPr>
        <w:t> 83</w:t>
      </w:r>
      <w:r w:rsidR="00AF5C96" w:rsidRPr="00177812">
        <w:rPr>
          <w:lang w:val="fr-CA"/>
        </w:rPr>
        <w:t>2</w:t>
      </w:r>
      <w:r w:rsidR="00D0073B" w:rsidRPr="00177812">
        <w:rPr>
          <w:lang w:val="fr-CA"/>
        </w:rPr>
        <w:t> </w:t>
      </w:r>
      <w:r w:rsidR="00AF5C96" w:rsidRPr="00177812">
        <w:rPr>
          <w:lang w:val="fr-CA"/>
        </w:rPr>
        <w:t xml:space="preserve">$US pour le gouvernement du Japon. </w:t>
      </w:r>
    </w:p>
    <w:p w14:paraId="1257EBCE" w14:textId="77777777" w:rsidR="007C7003" w:rsidRPr="00177812" w:rsidRDefault="007C7003" w:rsidP="00106FAE">
      <w:pPr>
        <w:pStyle w:val="FootnoteText"/>
        <w:rPr>
          <w:lang w:val="fr-CA"/>
        </w:rPr>
      </w:pPr>
    </w:p>
  </w:footnote>
  <w:footnote w:id="3">
    <w:p w14:paraId="103A3B56" w14:textId="77777777" w:rsidR="00106FAE" w:rsidRPr="00177812" w:rsidRDefault="00106FAE" w:rsidP="00106FAE">
      <w:pPr>
        <w:pStyle w:val="FootnoteText"/>
        <w:rPr>
          <w:lang w:val="fr-CA"/>
        </w:rPr>
      </w:pPr>
      <w:r>
        <w:rPr>
          <w:rStyle w:val="FootnoteReference"/>
        </w:rPr>
        <w:footnoteRef/>
      </w:r>
      <w:r w:rsidRPr="00177812">
        <w:rPr>
          <w:lang w:val="fr-CA"/>
        </w:rPr>
        <w:t xml:space="preserve"> UNDP (UNEP/</w:t>
      </w:r>
      <w:proofErr w:type="spellStart"/>
      <w:r w:rsidRPr="00177812">
        <w:rPr>
          <w:lang w:val="fr-CA"/>
        </w:rPr>
        <w:t>OzL.Pro</w:t>
      </w:r>
      <w:proofErr w:type="spellEnd"/>
      <w:r w:rsidRPr="00177812">
        <w:rPr>
          <w:lang w:val="fr-CA"/>
        </w:rPr>
        <w:t>/</w:t>
      </w:r>
      <w:proofErr w:type="spellStart"/>
      <w:r w:rsidRPr="00177812">
        <w:rPr>
          <w:lang w:val="fr-CA"/>
        </w:rPr>
        <w:t>ExCom</w:t>
      </w:r>
      <w:proofErr w:type="spellEnd"/>
      <w:r w:rsidRPr="00177812">
        <w:rPr>
          <w:lang w:val="fr-CA"/>
        </w:rPr>
        <w:t>/88/30</w:t>
      </w:r>
      <w:proofErr w:type="gramStart"/>
      <w:r w:rsidRPr="00177812">
        <w:rPr>
          <w:lang w:val="fr-CA"/>
        </w:rPr>
        <w:t>);</w:t>
      </w:r>
      <w:proofErr w:type="gramEnd"/>
      <w:r w:rsidRPr="00177812">
        <w:rPr>
          <w:lang w:val="fr-CA"/>
        </w:rPr>
        <w:t xml:space="preserve"> UNIDO (UNEP/</w:t>
      </w:r>
      <w:proofErr w:type="spellStart"/>
      <w:r w:rsidRPr="00177812">
        <w:rPr>
          <w:lang w:val="fr-CA"/>
        </w:rPr>
        <w:t>OzL.Pro</w:t>
      </w:r>
      <w:proofErr w:type="spellEnd"/>
      <w:r w:rsidRPr="00177812">
        <w:rPr>
          <w:lang w:val="fr-CA"/>
        </w:rPr>
        <w:t>/</w:t>
      </w:r>
      <w:proofErr w:type="spellStart"/>
      <w:r w:rsidRPr="00177812">
        <w:rPr>
          <w:lang w:val="fr-CA"/>
        </w:rPr>
        <w:t>ExCom</w:t>
      </w:r>
      <w:proofErr w:type="spellEnd"/>
      <w:r w:rsidRPr="00177812">
        <w:rPr>
          <w:lang w:val="fr-CA"/>
        </w:rPr>
        <w:t>/88/32)</w:t>
      </w:r>
    </w:p>
  </w:footnote>
  <w:footnote w:id="4">
    <w:p w14:paraId="250316A7" w14:textId="081EE794" w:rsidR="00106FAE" w:rsidRPr="00177812" w:rsidRDefault="00106FAE" w:rsidP="00106FAE">
      <w:pPr>
        <w:pStyle w:val="FootnoteText"/>
        <w:rPr>
          <w:lang w:val="fr-CA"/>
        </w:rPr>
      </w:pPr>
      <w:r>
        <w:rPr>
          <w:rStyle w:val="FootnoteReference"/>
        </w:rPr>
        <w:footnoteRef/>
      </w:r>
      <w:r w:rsidRPr="00177812">
        <w:rPr>
          <w:lang w:val="fr-CA"/>
        </w:rPr>
        <w:t xml:space="preserve"> D</w:t>
      </w:r>
      <w:r w:rsidR="003E740C" w:rsidRPr="00177812">
        <w:rPr>
          <w:lang w:val="fr-CA"/>
        </w:rPr>
        <w:t>é</w:t>
      </w:r>
      <w:r w:rsidRPr="00177812">
        <w:rPr>
          <w:lang w:val="fr-CA"/>
        </w:rPr>
        <w:t>cision</w:t>
      </w:r>
      <w:r w:rsidR="003E740C" w:rsidRPr="00177812">
        <w:rPr>
          <w:lang w:val="fr-CA"/>
        </w:rPr>
        <w:t> </w:t>
      </w:r>
      <w:r w:rsidRPr="00177812">
        <w:rPr>
          <w:lang w:val="fr-CA"/>
        </w:rPr>
        <w:t xml:space="preserve">87/27. </w:t>
      </w:r>
    </w:p>
  </w:footnote>
  <w:footnote w:id="5">
    <w:p w14:paraId="0288D84B" w14:textId="246C6991" w:rsidR="00106FAE" w:rsidRPr="00177812" w:rsidRDefault="00106FAE" w:rsidP="00106FAE">
      <w:pPr>
        <w:pStyle w:val="FootnoteText"/>
        <w:rPr>
          <w:lang w:val="fr-CA"/>
        </w:rPr>
      </w:pPr>
      <w:r>
        <w:rPr>
          <w:rStyle w:val="FootnoteReference"/>
        </w:rPr>
        <w:footnoteRef/>
      </w:r>
      <w:r w:rsidRPr="00177812">
        <w:rPr>
          <w:lang w:val="fr-CA"/>
        </w:rPr>
        <w:t xml:space="preserve"> </w:t>
      </w:r>
      <w:r w:rsidR="001E0C19" w:rsidRPr="00177812">
        <w:rPr>
          <w:lang w:val="fr-CA"/>
        </w:rPr>
        <w:t xml:space="preserve">Lignes directrices pour la préparation des plans de gestion de Kigali/HFC.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530D" w14:textId="4275FA71" w:rsidR="00321196" w:rsidRDefault="00321196" w:rsidP="00321196">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/88/29</w:t>
    </w:r>
    <w:r>
      <w:fldChar w:fldCharType="end"/>
    </w:r>
  </w:p>
  <w:p w14:paraId="2A866F93" w14:textId="519BFF79" w:rsidR="00321196" w:rsidRDefault="00321196">
    <w:pPr>
      <w:pStyle w:val="Header"/>
    </w:pPr>
  </w:p>
  <w:p w14:paraId="68A4A457" w14:textId="77777777" w:rsidR="007C7003" w:rsidRDefault="007C70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9AE4" w14:textId="4E95995A" w:rsidR="00321196" w:rsidRDefault="00321196" w:rsidP="00321196">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/88/29</w:t>
    </w:r>
    <w:r>
      <w:fldChar w:fldCharType="end"/>
    </w:r>
  </w:p>
  <w:p w14:paraId="1682F8E6" w14:textId="528FD93F" w:rsidR="00321196" w:rsidRDefault="00321196">
    <w:pPr>
      <w:pStyle w:val="Header"/>
    </w:pPr>
  </w:p>
  <w:p w14:paraId="738E2006" w14:textId="77777777" w:rsidR="007C7003" w:rsidRDefault="007C70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617C" w14:textId="77777777" w:rsidR="00441083" w:rsidRDefault="00441083">
    <w:pPr>
      <w:jc w:val="right"/>
    </w:pPr>
  </w:p>
  <w:p w14:paraId="26037CAF"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558053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1"/>
  </w:num>
  <w:num w:numId="22">
    <w:abstractNumId w:val="12"/>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9A"/>
    <w:rsid w:val="0005110A"/>
    <w:rsid w:val="000A35BC"/>
    <w:rsid w:val="000F6C8E"/>
    <w:rsid w:val="00106FAE"/>
    <w:rsid w:val="001111E5"/>
    <w:rsid w:val="00114A63"/>
    <w:rsid w:val="00125662"/>
    <w:rsid w:val="00177812"/>
    <w:rsid w:val="001A15C2"/>
    <w:rsid w:val="001C3D0C"/>
    <w:rsid w:val="001D4CE7"/>
    <w:rsid w:val="001E0C19"/>
    <w:rsid w:val="00265AF0"/>
    <w:rsid w:val="00285BA8"/>
    <w:rsid w:val="002C06D4"/>
    <w:rsid w:val="002F0B57"/>
    <w:rsid w:val="003029F8"/>
    <w:rsid w:val="00321196"/>
    <w:rsid w:val="003561EE"/>
    <w:rsid w:val="003A0CA4"/>
    <w:rsid w:val="003C6EA4"/>
    <w:rsid w:val="003E740C"/>
    <w:rsid w:val="0041105C"/>
    <w:rsid w:val="00441083"/>
    <w:rsid w:val="00444619"/>
    <w:rsid w:val="004B1B59"/>
    <w:rsid w:val="004B7B02"/>
    <w:rsid w:val="004C2C87"/>
    <w:rsid w:val="004E3A36"/>
    <w:rsid w:val="005B3CAD"/>
    <w:rsid w:val="005C278F"/>
    <w:rsid w:val="005C417C"/>
    <w:rsid w:val="00605093"/>
    <w:rsid w:val="00606412"/>
    <w:rsid w:val="0067290C"/>
    <w:rsid w:val="006C0D83"/>
    <w:rsid w:val="007034FA"/>
    <w:rsid w:val="0075750B"/>
    <w:rsid w:val="007C0C7B"/>
    <w:rsid w:val="007C7003"/>
    <w:rsid w:val="00813F9A"/>
    <w:rsid w:val="00820DC6"/>
    <w:rsid w:val="008A2FA1"/>
    <w:rsid w:val="0091161A"/>
    <w:rsid w:val="0094626A"/>
    <w:rsid w:val="00972E99"/>
    <w:rsid w:val="009A5180"/>
    <w:rsid w:val="009C3B4D"/>
    <w:rsid w:val="009F6617"/>
    <w:rsid w:val="00A41F4B"/>
    <w:rsid w:val="00AC013C"/>
    <w:rsid w:val="00AD2B65"/>
    <w:rsid w:val="00AE63D8"/>
    <w:rsid w:val="00AF5C96"/>
    <w:rsid w:val="00B811F2"/>
    <w:rsid w:val="00BC3C7D"/>
    <w:rsid w:val="00BD4E2C"/>
    <w:rsid w:val="00BF7518"/>
    <w:rsid w:val="00C16E3F"/>
    <w:rsid w:val="00C34C3E"/>
    <w:rsid w:val="00C36A78"/>
    <w:rsid w:val="00C6443E"/>
    <w:rsid w:val="00C9547D"/>
    <w:rsid w:val="00CA7782"/>
    <w:rsid w:val="00CC2B33"/>
    <w:rsid w:val="00D0073B"/>
    <w:rsid w:val="00D51EB3"/>
    <w:rsid w:val="00D7654A"/>
    <w:rsid w:val="00DB4E64"/>
    <w:rsid w:val="00DB79EC"/>
    <w:rsid w:val="00DC321D"/>
    <w:rsid w:val="00DD3433"/>
    <w:rsid w:val="00E348C6"/>
    <w:rsid w:val="00E54871"/>
    <w:rsid w:val="00E60D9C"/>
    <w:rsid w:val="00EB2067"/>
    <w:rsid w:val="00EC2069"/>
    <w:rsid w:val="00EF6320"/>
    <w:rsid w:val="00F218B0"/>
    <w:rsid w:val="00F37A42"/>
    <w:rsid w:val="00F557F5"/>
    <w:rsid w:val="00F722B5"/>
    <w:rsid w:val="00F73961"/>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7E700"/>
  <w15:docId w15:val="{62FCAD11-149B-4869-A20A-691984C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A4"/>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3"/>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semiHidden/>
    <w:unhideWhenUsed/>
    <w:qFormat/>
    <w:rsid w:val="002C06D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semiHidden/>
    <w:rsid w:val="002C06D4"/>
    <w:rPr>
      <w:lang w:val="en-GB"/>
    </w:rPr>
  </w:style>
  <w:style w:type="character" w:styleId="FootnoteReference">
    <w:name w:val="footnote reference"/>
    <w:aliases w:val="Footnote text,Footnote Text1,Footnote Text2,ftref,16 Point,Superscript 6 Point"/>
    <w:basedOn w:val="DefaultParagraphFont"/>
    <w:uiPriority w:val="99"/>
    <w:semiHidden/>
    <w:unhideWhenUsed/>
    <w:rsid w:val="002C06D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106FA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5519">
      <w:bodyDiv w:val="1"/>
      <w:marLeft w:val="0"/>
      <w:marRight w:val="0"/>
      <w:marTop w:val="0"/>
      <w:marBottom w:val="0"/>
      <w:divBdr>
        <w:top w:val="none" w:sz="0" w:space="0" w:color="auto"/>
        <w:left w:val="none" w:sz="0" w:space="0" w:color="auto"/>
        <w:bottom w:val="none" w:sz="0" w:space="0" w:color="auto"/>
        <w:right w:val="none" w:sz="0" w:space="0" w:color="auto"/>
      </w:divBdr>
    </w:div>
    <w:div w:id="167125444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duction\Fonds\Session_88\F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UNEP/OzL.Pro/ExCom/88/29</Document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9C91-CA66-4984-810B-98FCC7B8B70F}"/>
</file>

<file path=customXml/itemProps2.xml><?xml version="1.0" encoding="utf-8"?>
<ds:datastoreItem xmlns:ds="http://schemas.openxmlformats.org/officeDocument/2006/customXml" ds:itemID="{8A99E712-6E1D-47AB-B8D5-D9A4D12D82A6}"/>
</file>

<file path=customXml/itemProps3.xml><?xml version="1.0" encoding="utf-8"?>
<ds:datastoreItem xmlns:ds="http://schemas.openxmlformats.org/officeDocument/2006/customXml" ds:itemID="{E1A16EB8-6D76-4158-ACFF-7292EBFD4135}"/>
</file>

<file path=customXml/itemProps4.xml><?xml version="1.0" encoding="utf-8"?>
<ds:datastoreItem xmlns:ds="http://schemas.openxmlformats.org/officeDocument/2006/customXml" ds:itemID="{A61C8114-9CD1-4962-8372-C703116EC2EB}"/>
</file>

<file path=docProps/app.xml><?xml version="1.0" encoding="utf-8"?>
<Properties xmlns="http://schemas.openxmlformats.org/officeDocument/2006/extended-properties" xmlns:vt="http://schemas.openxmlformats.org/officeDocument/2006/docPropsVTypes">
  <Template>F88-Template</Template>
  <TotalTime>8</TotalTime>
  <Pages>4</Pages>
  <Words>1498</Words>
  <Characters>7947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Coopération bilatérale</vt:lpstr>
      <vt:lpstr/>
    </vt:vector>
  </TitlesOfParts>
  <Company>UNMFS</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bilatérale</dc:title>
  <dc:creator>Danielle</dc:creator>
  <cp:lastModifiedBy>HBE</cp:lastModifiedBy>
  <cp:revision>4</cp:revision>
  <cp:lastPrinted>2001-05-26T16:40:00Z</cp:lastPrinted>
  <dcterms:created xsi:type="dcterms:W3CDTF">2021-11-05T11:31:00Z</dcterms:created>
  <dcterms:modified xsi:type="dcterms:W3CDTF">2021-11-20T05:05:00Z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UNEP/OzL.Pro/ExCom/88/29</vt:lpwstr>
  </property>
  <property fmtid="{D5CDD505-2E9C-101B-9397-08002B2CF9AE}" pid="3" name="Revision date">
    <vt:lpwstr>11/10/2021</vt:lpwstr>
  </property>
  <property fmtid="{D5CDD505-2E9C-101B-9397-08002B2CF9AE}" pid="4" name="ContentTypeId">
    <vt:lpwstr>0x01010009F56DB39A5B9F46AA87ED0A960035E8</vt:lpwstr>
  </property>
</Properties>
</file>