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7" w:type="dxa"/>
        <w:tblInd w:w="-432" w:type="dxa"/>
        <w:tblLayout w:type="fixed"/>
        <w:tblLook w:val="0000" w:firstRow="0" w:lastRow="0" w:firstColumn="0" w:lastColumn="0" w:noHBand="0" w:noVBand="0"/>
      </w:tblPr>
      <w:tblGrid>
        <w:gridCol w:w="1831"/>
        <w:gridCol w:w="3915"/>
        <w:gridCol w:w="4061"/>
      </w:tblGrid>
      <w:tr w:rsidR="0087455A" w14:paraId="462D987B" w14:textId="77777777" w:rsidTr="00F61079">
        <w:trPr>
          <w:trHeight w:val="675"/>
        </w:trPr>
        <w:tc>
          <w:tcPr>
            <w:tcW w:w="5746" w:type="dxa"/>
            <w:gridSpan w:val="2"/>
            <w:tcBorders>
              <w:bottom w:val="single" w:sz="18" w:space="0" w:color="auto"/>
            </w:tcBorders>
          </w:tcPr>
          <w:p w14:paraId="501EE00F" w14:textId="77777777" w:rsidR="0087455A" w:rsidRDefault="0024162E">
            <w:pPr>
              <w:rPr>
                <w:rFonts w:ascii="Univers" w:hAnsi="Univers"/>
                <w:b/>
                <w:sz w:val="28"/>
                <w:szCs w:val="28"/>
                <w:lang w:val="es-MX"/>
              </w:rPr>
            </w:pPr>
            <w:r>
              <w:rPr>
                <w:rFonts w:ascii="Univers" w:hAnsi="Univers"/>
                <w:b/>
                <w:sz w:val="28"/>
                <w:szCs w:val="28"/>
                <w:lang w:val="es-MX"/>
              </w:rPr>
              <w:t>NACIONES</w:t>
            </w:r>
          </w:p>
          <w:p w14:paraId="4B868547"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061" w:type="dxa"/>
            <w:tcBorders>
              <w:bottom w:val="single" w:sz="18" w:space="0" w:color="auto"/>
            </w:tcBorders>
          </w:tcPr>
          <w:p w14:paraId="02B3C8DE"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753FE3FA" w14:textId="77777777" w:rsidTr="00F61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1831" w:type="dxa"/>
            <w:tcBorders>
              <w:top w:val="nil"/>
              <w:left w:val="nil"/>
              <w:bottom w:val="single" w:sz="36" w:space="0" w:color="auto"/>
              <w:right w:val="nil"/>
            </w:tcBorders>
          </w:tcPr>
          <w:p w14:paraId="5E3F8A7D"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13012174" wp14:editId="2B8C8106">
                  <wp:simplePos x="0" y="0"/>
                  <wp:positionH relativeFrom="column">
                    <wp:posOffset>17145</wp:posOffset>
                  </wp:positionH>
                  <wp:positionV relativeFrom="paragraph">
                    <wp:posOffset>850265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4B36B72B" wp14:editId="0D1DBAD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914" w:type="dxa"/>
            <w:tcBorders>
              <w:top w:val="nil"/>
              <w:left w:val="nil"/>
              <w:bottom w:val="single" w:sz="36" w:space="0" w:color="auto"/>
              <w:right w:val="nil"/>
            </w:tcBorders>
          </w:tcPr>
          <w:p w14:paraId="08789AD4" w14:textId="77777777" w:rsidR="000755F8" w:rsidRDefault="000755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0794DFD8" w14:textId="1B7F94B5"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755C159E"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68B6386B"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319F61F9"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4A7E6606" w14:textId="77777777" w:rsidR="0087455A" w:rsidRDefault="0087455A">
            <w:pPr>
              <w:spacing w:before="720"/>
              <w:ind w:left="158"/>
              <w:rPr>
                <w:lang w:val="es-ES"/>
              </w:rPr>
            </w:pPr>
          </w:p>
        </w:tc>
        <w:tc>
          <w:tcPr>
            <w:tcW w:w="4061" w:type="dxa"/>
            <w:tcBorders>
              <w:top w:val="nil"/>
              <w:left w:val="nil"/>
              <w:bottom w:val="single" w:sz="36" w:space="0" w:color="auto"/>
              <w:right w:val="nil"/>
            </w:tcBorders>
          </w:tcPr>
          <w:p w14:paraId="00AFA5D7" w14:textId="77777777" w:rsidR="000755F8" w:rsidRDefault="000755F8">
            <w:pPr>
              <w:rPr>
                <w:lang w:val="es-ES"/>
              </w:rPr>
            </w:pPr>
          </w:p>
          <w:p w14:paraId="605DBB67" w14:textId="3C2F612C" w:rsidR="0087455A" w:rsidRDefault="0024162E">
            <w:pPr>
              <w:rPr>
                <w:lang w:val="es-ES"/>
              </w:rPr>
            </w:pPr>
            <w:proofErr w:type="spellStart"/>
            <w:r>
              <w:rPr>
                <w:lang w:val="es-ES"/>
              </w:rPr>
              <w:t>Distr</w:t>
            </w:r>
            <w:proofErr w:type="spellEnd"/>
            <w:r>
              <w:rPr>
                <w:lang w:val="es-ES"/>
              </w:rPr>
              <w:t>.</w:t>
            </w:r>
          </w:p>
          <w:p w14:paraId="06EB4CA4" w14:textId="77777777" w:rsidR="0087455A" w:rsidRDefault="0024162E">
            <w:pPr>
              <w:rPr>
                <w:lang w:val="es-ES"/>
              </w:rPr>
            </w:pPr>
            <w:r>
              <w:rPr>
                <w:lang w:val="es-ES"/>
              </w:rPr>
              <w:t>GENERAL</w:t>
            </w:r>
          </w:p>
          <w:p w14:paraId="0BE7EA7A" w14:textId="77777777" w:rsidR="0087455A" w:rsidRDefault="0087455A">
            <w:pPr>
              <w:rPr>
                <w:lang w:val="es-ES"/>
              </w:rPr>
            </w:pPr>
          </w:p>
          <w:p w14:paraId="5B1AF4F4" w14:textId="5D7A8D97" w:rsidR="0087455A" w:rsidRPr="00064429" w:rsidRDefault="0024162E">
            <w:pPr>
              <w:rPr>
                <w:lang w:val="es-AR"/>
              </w:rPr>
            </w:pPr>
            <w:r>
              <w:fldChar w:fldCharType="begin"/>
            </w:r>
            <w:r w:rsidRPr="00064429">
              <w:rPr>
                <w:lang w:val="es-AR"/>
              </w:rPr>
              <w:instrText xml:space="preserve"> DOCPROPERTY "Document number"  \* MERGEFORMAT </w:instrText>
            </w:r>
            <w:r>
              <w:fldChar w:fldCharType="separate"/>
            </w:r>
            <w:r w:rsidR="00F61079">
              <w:rPr>
                <w:lang w:val="es-AR"/>
              </w:rPr>
              <w:t>UNEP/</w:t>
            </w:r>
            <w:proofErr w:type="spellStart"/>
            <w:r w:rsidR="00F61079">
              <w:rPr>
                <w:lang w:val="es-AR"/>
              </w:rPr>
              <w:t>OzL.Pro</w:t>
            </w:r>
            <w:proofErr w:type="spellEnd"/>
            <w:r w:rsidR="00F61079">
              <w:rPr>
                <w:lang w:val="es-AR"/>
              </w:rPr>
              <w:t>/</w:t>
            </w:r>
            <w:proofErr w:type="spellStart"/>
            <w:r w:rsidR="00F61079">
              <w:rPr>
                <w:lang w:val="es-AR"/>
              </w:rPr>
              <w:t>ExCom</w:t>
            </w:r>
            <w:proofErr w:type="spellEnd"/>
            <w:r w:rsidR="00F61079">
              <w:rPr>
                <w:lang w:val="es-AR"/>
              </w:rPr>
              <w:t>/88/23</w:t>
            </w:r>
            <w:r>
              <w:fldChar w:fldCharType="end"/>
            </w:r>
          </w:p>
          <w:p w14:paraId="34341C0B" w14:textId="31B16EE8" w:rsidR="002959B4" w:rsidRPr="00064429" w:rsidRDefault="002959B4" w:rsidP="002959B4">
            <w:pPr>
              <w:rPr>
                <w:lang w:val="es-AR"/>
              </w:rPr>
            </w:pPr>
            <w:r>
              <w:fldChar w:fldCharType="begin"/>
            </w:r>
            <w:r w:rsidRPr="00064429">
              <w:rPr>
                <w:lang w:val="es-AR"/>
              </w:rPr>
              <w:instrText xml:space="preserve"> DOCPROPERTY "Revision date" \@ "d MMMM YYYY"  \* MERGEFORMAT </w:instrText>
            </w:r>
            <w:r>
              <w:fldChar w:fldCharType="separate"/>
            </w:r>
            <w:r w:rsidR="003D49E9">
              <w:rPr>
                <w:lang w:val="es-AR"/>
              </w:rPr>
              <w:t>2</w:t>
            </w:r>
            <w:r w:rsidR="0080274B">
              <w:rPr>
                <w:lang w:val="es-AR"/>
              </w:rPr>
              <w:t>6</w:t>
            </w:r>
            <w:r w:rsidR="00B06896">
              <w:rPr>
                <w:lang w:val="es-AR"/>
              </w:rPr>
              <w:t xml:space="preserve"> </w:t>
            </w:r>
            <w:r w:rsidR="000755F8">
              <w:rPr>
                <w:lang w:val="es-AR"/>
              </w:rPr>
              <w:t xml:space="preserve">de </w:t>
            </w:r>
            <w:r w:rsidR="00B06896">
              <w:rPr>
                <w:lang w:val="es-AR"/>
              </w:rPr>
              <w:t xml:space="preserve">octubre </w:t>
            </w:r>
            <w:r w:rsidR="000755F8">
              <w:rPr>
                <w:lang w:val="es-AR"/>
              </w:rPr>
              <w:t xml:space="preserve">de </w:t>
            </w:r>
            <w:r w:rsidR="00B06896">
              <w:rPr>
                <w:lang w:val="es-AR"/>
              </w:rPr>
              <w:t>2021</w:t>
            </w:r>
            <w:r>
              <w:fldChar w:fldCharType="end"/>
            </w:r>
          </w:p>
          <w:p w14:paraId="4E249EF2" w14:textId="77777777" w:rsidR="00114CAA" w:rsidRPr="00064429" w:rsidRDefault="00114CAA">
            <w:pPr>
              <w:rPr>
                <w:caps/>
                <w:lang w:val="es-AR"/>
              </w:rPr>
            </w:pPr>
          </w:p>
          <w:p w14:paraId="6DF298A8" w14:textId="77777777" w:rsidR="0087455A" w:rsidRDefault="0024162E">
            <w:pPr>
              <w:rPr>
                <w:lang w:val="es-MX"/>
              </w:rPr>
            </w:pPr>
            <w:r>
              <w:rPr>
                <w:lang w:val="es-MX"/>
              </w:rPr>
              <w:t xml:space="preserve">ESPAÑOL </w:t>
            </w:r>
          </w:p>
          <w:p w14:paraId="0ED750B5" w14:textId="77777777" w:rsidR="0087455A" w:rsidRDefault="0024162E">
            <w:pPr>
              <w:rPr>
                <w:lang w:val="es-ES"/>
              </w:rPr>
            </w:pPr>
            <w:r>
              <w:rPr>
                <w:lang w:val="es-ES"/>
              </w:rPr>
              <w:t xml:space="preserve">ORIGINAL: </w:t>
            </w:r>
            <w:r>
              <w:rPr>
                <w:lang w:val="es-MX"/>
              </w:rPr>
              <w:t>INGLÉS</w:t>
            </w:r>
          </w:p>
        </w:tc>
      </w:tr>
    </w:tbl>
    <w:p w14:paraId="0E85A81C"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388EE5C8" w14:textId="267EB444" w:rsidR="00106F6E" w:rsidRDefault="00106F6E" w:rsidP="00344EAB">
      <w:pPr>
        <w:jc w:val="left"/>
        <w:rPr>
          <w:lang w:val="es-ES"/>
        </w:rPr>
      </w:pPr>
      <w:r w:rsidRPr="003D49E9">
        <w:rPr>
          <w:lang w:val="es-ES"/>
        </w:rPr>
        <w:t xml:space="preserve">Octogésima </w:t>
      </w:r>
      <w:r w:rsidR="00344EAB" w:rsidRPr="003D49E9">
        <w:rPr>
          <w:lang w:val="es-ES"/>
        </w:rPr>
        <w:t>octav</w:t>
      </w:r>
      <w:r w:rsidR="002959B4" w:rsidRPr="003D49E9">
        <w:rPr>
          <w:lang w:val="es-ES"/>
        </w:rPr>
        <w:t>a</w:t>
      </w:r>
      <w:r w:rsidR="003863A4" w:rsidRPr="003D49E9">
        <w:rPr>
          <w:lang w:val="es-ES"/>
        </w:rPr>
        <w:t xml:space="preserve"> Reunión</w:t>
      </w:r>
      <w:r w:rsidR="003863A4">
        <w:rPr>
          <w:lang w:val="es-ES"/>
        </w:rPr>
        <w:br/>
        <w:t xml:space="preserve">Montreal, </w:t>
      </w:r>
      <w:r w:rsidR="00344EAB">
        <w:rPr>
          <w:lang w:val="es-ES"/>
        </w:rPr>
        <w:t>15 – 19 de noviembre</w:t>
      </w:r>
      <w:r w:rsidR="002959B4">
        <w:rPr>
          <w:lang w:val="es-ES"/>
        </w:rPr>
        <w:t xml:space="preserve"> de 2021</w:t>
      </w:r>
      <w:r w:rsidR="002959B4">
        <w:rPr>
          <w:rStyle w:val="FootnoteReference"/>
          <w:lang w:val="es-ES"/>
        </w:rPr>
        <w:footnoteReference w:id="1"/>
      </w:r>
    </w:p>
    <w:p w14:paraId="65D65CA2" w14:textId="77777777" w:rsidR="000755F8" w:rsidRDefault="000755F8" w:rsidP="00344EAB">
      <w:pPr>
        <w:jc w:val="left"/>
        <w:rPr>
          <w:lang w:val="es-ES"/>
        </w:rPr>
      </w:pPr>
    </w:p>
    <w:p w14:paraId="5D11F88E" w14:textId="77777777" w:rsidR="00106F6E" w:rsidRDefault="00106F6E" w:rsidP="00106F6E">
      <w:pPr>
        <w:jc w:val="left"/>
        <w:rPr>
          <w:lang w:val="es-ES"/>
        </w:rPr>
      </w:pPr>
    </w:p>
    <w:p w14:paraId="157943B1" w14:textId="77777777" w:rsidR="0087455A" w:rsidRDefault="0087455A">
      <w:pPr>
        <w:jc w:val="left"/>
        <w:rPr>
          <w:lang w:val="es-ES"/>
        </w:rPr>
      </w:pPr>
    </w:p>
    <w:p w14:paraId="7513C645" w14:textId="23D3AF3E" w:rsidR="003D49E9" w:rsidRDefault="003D49E9" w:rsidP="00F61079">
      <w:pPr>
        <w:pStyle w:val="Title2"/>
        <w:spacing w:after="240"/>
        <w:rPr>
          <w:caps w:val="0"/>
          <w:szCs w:val="24"/>
        </w:rPr>
      </w:pPr>
      <w:r>
        <w:rPr>
          <w:caps w:val="0"/>
          <w:szCs w:val="24"/>
        </w:rPr>
        <w:t>PLANES ADMINISTRATIVOS DE LOS ORGANISMOS BILATERALES PARA 2022</w:t>
      </w:r>
      <w:r>
        <w:t>–</w:t>
      </w:r>
      <w:r>
        <w:rPr>
          <w:caps w:val="0"/>
          <w:szCs w:val="24"/>
        </w:rPr>
        <w:t>2024</w:t>
      </w:r>
    </w:p>
    <w:p w14:paraId="0AF69D4A" w14:textId="77777777" w:rsidR="000755F8" w:rsidRDefault="000755F8" w:rsidP="00F61079">
      <w:pPr>
        <w:pStyle w:val="Title2"/>
        <w:spacing w:after="240"/>
        <w:rPr>
          <w:caps w:val="0"/>
          <w:szCs w:val="24"/>
        </w:rPr>
      </w:pPr>
    </w:p>
    <w:p w14:paraId="29D9DDA6" w14:textId="77777777" w:rsidR="003D49E9" w:rsidRDefault="003D49E9" w:rsidP="00F61079">
      <w:pPr>
        <w:pStyle w:val="a--"/>
        <w:tabs>
          <w:tab w:val="clear" w:pos="0"/>
        </w:tabs>
        <w:suppressAutoHyphens w:val="0"/>
        <w:spacing w:after="240"/>
        <w:rPr>
          <w:sz w:val="22"/>
          <w:szCs w:val="22"/>
        </w:rPr>
      </w:pPr>
      <w:r>
        <w:rPr>
          <w:sz w:val="22"/>
          <w:szCs w:val="22"/>
        </w:rPr>
        <w:t>Introducción</w:t>
      </w:r>
    </w:p>
    <w:p w14:paraId="266FAD13" w14:textId="77777777" w:rsidR="003D49E9" w:rsidRPr="003D49E9" w:rsidRDefault="003D49E9" w:rsidP="00F61079">
      <w:pPr>
        <w:pStyle w:val="Heading1"/>
        <w:numPr>
          <w:ilvl w:val="0"/>
          <w:numId w:val="21"/>
        </w:numPr>
        <w:spacing w:after="120"/>
        <w:rPr>
          <w:lang w:val="es-ES"/>
        </w:rPr>
      </w:pPr>
      <w:r w:rsidRPr="003D49E9">
        <w:rPr>
          <w:lang w:val="es-ES"/>
        </w:rPr>
        <w:t>Los siguientes organismos bilaterales presentaron sus planes administrativos para 2022-2024</w:t>
      </w:r>
      <w:r>
        <w:rPr>
          <w:rStyle w:val="FootnoteReference"/>
        </w:rPr>
        <w:footnoteReference w:id="2"/>
      </w:r>
      <w:r w:rsidRPr="003D49E9">
        <w:rPr>
          <w:lang w:val="es-ES"/>
        </w:rPr>
        <w:t xml:space="preserve"> en la 88ª reunión: Alemania, Japón y el Reino Unido de Gran Bretaña e Irlanda del Norte</w:t>
      </w:r>
      <w:r>
        <w:rPr>
          <w:vertAlign w:val="superscript"/>
        </w:rPr>
        <w:footnoteReference w:id="3"/>
      </w:r>
      <w:r w:rsidRPr="003D49E9">
        <w:rPr>
          <w:lang w:val="es-ES"/>
        </w:rPr>
        <w:t>. Aunque Australia, Austria y Francia no presentaron oficialmente un plan administrativo, en el presente documento se ha incluido un cuadro con la asignación de recursos a estos países de acuerdo con las actividades asociadas con los planes de gestión de la eliminación de los HCFC (PGEH) aprobados en principio.</w:t>
      </w:r>
    </w:p>
    <w:p w14:paraId="5840E889" w14:textId="77777777" w:rsidR="003D49E9" w:rsidRDefault="003D49E9" w:rsidP="00F61079">
      <w:pPr>
        <w:pStyle w:val="Heading1"/>
        <w:numPr>
          <w:ilvl w:val="0"/>
          <w:numId w:val="21"/>
        </w:numPr>
        <w:spacing w:after="120"/>
        <w:rPr>
          <w:lang w:val="es-ES"/>
        </w:rPr>
      </w:pPr>
      <w:r w:rsidRPr="003D49E9">
        <w:rPr>
          <w:lang w:val="es-ES"/>
        </w:rPr>
        <w:t xml:space="preserve">Los organismos bilaterales tienen previsto realizar actividades en 15 países del artículo 5, a saber: el Brasil, Burkina Faso, China, Colombia, Honduras, la India, Kenya, Lesotho, Liberia, Mauricio, Mongolia, Namibia, Papua Nueva Guinea, la República Islámica del Irán y Seychelles, además de una </w:t>
      </w:r>
      <w:r w:rsidRPr="003D49E9">
        <w:rPr>
          <w:lang w:val="es-ES"/>
        </w:rPr>
        <w:lastRenderedPageBreak/>
        <w:t>actividad regional para los países insulares del Pacífico por valor de 5.660.768 $EUA. Se solicitarán 859.226 $EUA más para el periodo posterior a 2024, como se indica en el Cuadro 1</w:t>
      </w:r>
      <w:r>
        <w:rPr>
          <w:rStyle w:val="FootnoteReference"/>
        </w:rPr>
        <w:footnoteReference w:id="4"/>
      </w:r>
      <w:r w:rsidRPr="003D49E9">
        <w:rPr>
          <w:lang w:val="es-ES"/>
        </w:rPr>
        <w:t xml:space="preserve">. </w:t>
      </w:r>
    </w:p>
    <w:p w14:paraId="4D25BB84" w14:textId="77777777" w:rsidR="003D49E9" w:rsidRPr="003D49E9" w:rsidRDefault="003D49E9" w:rsidP="003D49E9">
      <w:pPr>
        <w:keepNext/>
        <w:rPr>
          <w:b/>
          <w:lang w:val="es-ES"/>
        </w:rPr>
      </w:pPr>
      <w:r w:rsidRPr="003D49E9">
        <w:rPr>
          <w:b/>
          <w:lang w:val="es-ES"/>
        </w:rPr>
        <w:t>Cuadro 1.</w:t>
      </w:r>
      <w:r w:rsidRPr="003D49E9">
        <w:rPr>
          <w:lang w:val="es-ES"/>
        </w:rPr>
        <w:t xml:space="preserve"> </w:t>
      </w:r>
      <w:r w:rsidRPr="003D49E9">
        <w:rPr>
          <w:b/>
          <w:lang w:val="es-ES"/>
        </w:rPr>
        <w:t xml:space="preserve">Asignación de recursos en los planes administrativos de los organismos bilaterales para </w:t>
      </w:r>
      <w:r w:rsidRPr="003D49E9">
        <w:rPr>
          <w:b/>
          <w:caps/>
          <w:lang w:val="es-ES"/>
        </w:rPr>
        <w:t xml:space="preserve">2022-2024 </w:t>
      </w:r>
      <w:r w:rsidRPr="003D49E9">
        <w:rPr>
          <w:b/>
          <w:lang w:val="es-ES"/>
        </w:rPr>
        <w:t>($EUA)*</w:t>
      </w:r>
    </w:p>
    <w:tbl>
      <w:tblPr>
        <w:tblW w:w="9495" w:type="dxa"/>
        <w:tblLayout w:type="fixed"/>
        <w:tblLook w:val="04A0" w:firstRow="1" w:lastRow="0" w:firstColumn="1" w:lastColumn="0" w:noHBand="0" w:noVBand="1"/>
      </w:tblPr>
      <w:tblGrid>
        <w:gridCol w:w="2802"/>
        <w:gridCol w:w="1338"/>
        <w:gridCol w:w="1339"/>
        <w:gridCol w:w="1338"/>
        <w:gridCol w:w="1339"/>
        <w:gridCol w:w="1339"/>
      </w:tblGrid>
      <w:tr w:rsidR="003D49E9" w:rsidRPr="003D49E9" w14:paraId="5A6AF95C" w14:textId="77777777" w:rsidTr="003D49E9">
        <w:tc>
          <w:tcPr>
            <w:tcW w:w="2800" w:type="dxa"/>
            <w:tcBorders>
              <w:top w:val="single" w:sz="4" w:space="0" w:color="auto"/>
              <w:left w:val="single" w:sz="4" w:space="0" w:color="auto"/>
              <w:bottom w:val="single" w:sz="4" w:space="0" w:color="auto"/>
              <w:right w:val="single" w:sz="4" w:space="0" w:color="auto"/>
            </w:tcBorders>
            <w:noWrap/>
            <w:vAlign w:val="center"/>
            <w:hideMark/>
          </w:tcPr>
          <w:p w14:paraId="3B97986F" w14:textId="77777777" w:rsidR="003D49E9" w:rsidRPr="003D49E9" w:rsidRDefault="003D49E9">
            <w:pPr>
              <w:jc w:val="left"/>
              <w:rPr>
                <w:b/>
                <w:bCs/>
                <w:sz w:val="21"/>
                <w:szCs w:val="21"/>
                <w:lang w:val="es-ES"/>
              </w:rPr>
            </w:pPr>
            <w:r w:rsidRPr="003D49E9">
              <w:rPr>
                <w:b/>
                <w:bCs/>
                <w:sz w:val="21"/>
                <w:szCs w:val="21"/>
                <w:lang w:val="es-ES"/>
              </w:rPr>
              <w:t>Descripción</w:t>
            </w:r>
          </w:p>
        </w:tc>
        <w:tc>
          <w:tcPr>
            <w:tcW w:w="1338" w:type="dxa"/>
            <w:tcBorders>
              <w:top w:val="single" w:sz="4" w:space="0" w:color="auto"/>
              <w:left w:val="nil"/>
              <w:bottom w:val="single" w:sz="4" w:space="0" w:color="auto"/>
              <w:right w:val="single" w:sz="4" w:space="0" w:color="auto"/>
            </w:tcBorders>
            <w:vAlign w:val="center"/>
            <w:hideMark/>
          </w:tcPr>
          <w:p w14:paraId="41BFC03A" w14:textId="77777777" w:rsidR="003D49E9" w:rsidRPr="003D49E9" w:rsidRDefault="003D49E9">
            <w:pPr>
              <w:jc w:val="center"/>
              <w:rPr>
                <w:b/>
                <w:bCs/>
                <w:sz w:val="21"/>
                <w:szCs w:val="21"/>
                <w:lang w:val="es-ES"/>
              </w:rPr>
            </w:pPr>
            <w:r w:rsidRPr="003D49E9">
              <w:rPr>
                <w:b/>
                <w:bCs/>
                <w:sz w:val="21"/>
                <w:szCs w:val="21"/>
                <w:lang w:val="es-ES"/>
              </w:rPr>
              <w:t>2022</w:t>
            </w:r>
          </w:p>
        </w:tc>
        <w:tc>
          <w:tcPr>
            <w:tcW w:w="1339" w:type="dxa"/>
            <w:tcBorders>
              <w:top w:val="single" w:sz="4" w:space="0" w:color="auto"/>
              <w:left w:val="nil"/>
              <w:bottom w:val="single" w:sz="4" w:space="0" w:color="auto"/>
              <w:right w:val="single" w:sz="4" w:space="0" w:color="auto"/>
            </w:tcBorders>
            <w:vAlign w:val="center"/>
            <w:hideMark/>
          </w:tcPr>
          <w:p w14:paraId="743E4C1B" w14:textId="77777777" w:rsidR="003D49E9" w:rsidRPr="003D49E9" w:rsidRDefault="003D49E9">
            <w:pPr>
              <w:jc w:val="center"/>
              <w:rPr>
                <w:b/>
                <w:bCs/>
                <w:sz w:val="21"/>
                <w:szCs w:val="21"/>
                <w:lang w:val="es-ES"/>
              </w:rPr>
            </w:pPr>
            <w:r w:rsidRPr="003D49E9">
              <w:rPr>
                <w:b/>
                <w:bCs/>
                <w:sz w:val="21"/>
                <w:szCs w:val="21"/>
                <w:lang w:val="es-ES"/>
              </w:rPr>
              <w:t>2023</w:t>
            </w:r>
          </w:p>
        </w:tc>
        <w:tc>
          <w:tcPr>
            <w:tcW w:w="1338" w:type="dxa"/>
            <w:tcBorders>
              <w:top w:val="single" w:sz="4" w:space="0" w:color="auto"/>
              <w:left w:val="nil"/>
              <w:bottom w:val="single" w:sz="4" w:space="0" w:color="auto"/>
              <w:right w:val="single" w:sz="4" w:space="0" w:color="auto"/>
            </w:tcBorders>
            <w:vAlign w:val="center"/>
            <w:hideMark/>
          </w:tcPr>
          <w:p w14:paraId="14FA9C40" w14:textId="77777777" w:rsidR="003D49E9" w:rsidRPr="003D49E9" w:rsidRDefault="003D49E9">
            <w:pPr>
              <w:jc w:val="center"/>
              <w:rPr>
                <w:b/>
                <w:bCs/>
                <w:sz w:val="21"/>
                <w:szCs w:val="21"/>
                <w:lang w:val="es-ES"/>
              </w:rPr>
            </w:pPr>
            <w:r w:rsidRPr="003D49E9">
              <w:rPr>
                <w:b/>
                <w:bCs/>
                <w:sz w:val="21"/>
                <w:szCs w:val="21"/>
                <w:lang w:val="es-ES"/>
              </w:rPr>
              <w:t>2024</w:t>
            </w:r>
          </w:p>
        </w:tc>
        <w:tc>
          <w:tcPr>
            <w:tcW w:w="1339" w:type="dxa"/>
            <w:tcBorders>
              <w:top w:val="single" w:sz="4" w:space="0" w:color="auto"/>
              <w:left w:val="nil"/>
              <w:bottom w:val="single" w:sz="4" w:space="0" w:color="auto"/>
              <w:right w:val="single" w:sz="4" w:space="0" w:color="auto"/>
            </w:tcBorders>
            <w:vAlign w:val="center"/>
            <w:hideMark/>
          </w:tcPr>
          <w:p w14:paraId="6D490137" w14:textId="77777777" w:rsidR="003D49E9" w:rsidRPr="003D49E9" w:rsidRDefault="003D49E9">
            <w:pPr>
              <w:jc w:val="center"/>
              <w:rPr>
                <w:b/>
                <w:bCs/>
                <w:sz w:val="21"/>
                <w:szCs w:val="21"/>
                <w:lang w:val="es-ES"/>
              </w:rPr>
            </w:pPr>
            <w:r w:rsidRPr="003D49E9">
              <w:rPr>
                <w:b/>
                <w:bCs/>
                <w:sz w:val="21"/>
                <w:szCs w:val="21"/>
                <w:lang w:val="es-ES"/>
              </w:rPr>
              <w:t xml:space="preserve">Total </w:t>
            </w:r>
          </w:p>
          <w:p w14:paraId="24C07D23" w14:textId="77777777" w:rsidR="003D49E9" w:rsidRPr="003D49E9" w:rsidRDefault="003D49E9">
            <w:pPr>
              <w:jc w:val="center"/>
              <w:rPr>
                <w:b/>
                <w:bCs/>
                <w:sz w:val="21"/>
                <w:szCs w:val="21"/>
                <w:lang w:val="es-ES"/>
              </w:rPr>
            </w:pPr>
            <w:r w:rsidRPr="003D49E9">
              <w:rPr>
                <w:b/>
                <w:bCs/>
                <w:sz w:val="21"/>
                <w:szCs w:val="21"/>
                <w:lang w:val="es-ES"/>
              </w:rPr>
              <w:t>(2022-2024)</w:t>
            </w:r>
          </w:p>
        </w:tc>
        <w:tc>
          <w:tcPr>
            <w:tcW w:w="1339" w:type="dxa"/>
            <w:tcBorders>
              <w:top w:val="single" w:sz="4" w:space="0" w:color="auto"/>
              <w:left w:val="nil"/>
              <w:bottom w:val="single" w:sz="4" w:space="0" w:color="auto"/>
              <w:right w:val="single" w:sz="4" w:space="0" w:color="auto"/>
            </w:tcBorders>
            <w:vAlign w:val="center"/>
            <w:hideMark/>
          </w:tcPr>
          <w:p w14:paraId="078D7FC2" w14:textId="77777777" w:rsidR="003D49E9" w:rsidRPr="003D49E9" w:rsidRDefault="003D49E9">
            <w:pPr>
              <w:jc w:val="center"/>
              <w:rPr>
                <w:b/>
                <w:bCs/>
                <w:sz w:val="21"/>
                <w:szCs w:val="21"/>
                <w:lang w:val="es-ES"/>
              </w:rPr>
            </w:pPr>
            <w:r w:rsidRPr="003D49E9">
              <w:rPr>
                <w:b/>
                <w:bCs/>
                <w:sz w:val="21"/>
                <w:szCs w:val="21"/>
                <w:lang w:val="es-ES"/>
              </w:rPr>
              <w:t>Total después de 2024</w:t>
            </w:r>
          </w:p>
        </w:tc>
      </w:tr>
      <w:tr w:rsidR="003D49E9" w:rsidRPr="000755F8" w14:paraId="2A0A2E82" w14:textId="77777777" w:rsidTr="003D49E9">
        <w:tc>
          <w:tcPr>
            <w:tcW w:w="9493" w:type="dxa"/>
            <w:gridSpan w:val="6"/>
            <w:tcBorders>
              <w:top w:val="single" w:sz="4" w:space="0" w:color="auto"/>
              <w:left w:val="single" w:sz="4" w:space="0" w:color="auto"/>
              <w:bottom w:val="single" w:sz="4" w:space="0" w:color="auto"/>
              <w:right w:val="single" w:sz="4" w:space="0" w:color="auto"/>
            </w:tcBorders>
            <w:noWrap/>
            <w:vAlign w:val="center"/>
            <w:hideMark/>
          </w:tcPr>
          <w:p w14:paraId="54ED2DFD" w14:textId="77777777" w:rsidR="003D49E9" w:rsidRPr="003D49E9" w:rsidRDefault="003D49E9">
            <w:pPr>
              <w:jc w:val="left"/>
              <w:rPr>
                <w:b/>
                <w:bCs/>
                <w:sz w:val="21"/>
                <w:szCs w:val="21"/>
                <w:lang w:val="es-ES"/>
              </w:rPr>
            </w:pPr>
            <w:r w:rsidRPr="003D49E9">
              <w:rPr>
                <w:b/>
                <w:bCs/>
                <w:sz w:val="21"/>
                <w:szCs w:val="21"/>
                <w:lang w:val="es-ES"/>
              </w:rPr>
              <w:t>Actividades relacionadas con los HCFC</w:t>
            </w:r>
          </w:p>
        </w:tc>
      </w:tr>
      <w:tr w:rsidR="003D49E9" w:rsidRPr="003D49E9" w14:paraId="0926DFEF"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63A704C5" w14:textId="77777777" w:rsidR="003D49E9" w:rsidRPr="003D49E9" w:rsidRDefault="003D49E9">
            <w:pPr>
              <w:jc w:val="left"/>
              <w:rPr>
                <w:sz w:val="21"/>
                <w:szCs w:val="21"/>
                <w:lang w:val="es-ES"/>
              </w:rPr>
            </w:pPr>
            <w:r w:rsidRPr="003D49E9">
              <w:rPr>
                <w:sz w:val="21"/>
                <w:szCs w:val="21"/>
                <w:lang w:val="es-ES"/>
              </w:rPr>
              <w:t>PGEH aprobados</w:t>
            </w:r>
          </w:p>
        </w:tc>
        <w:tc>
          <w:tcPr>
            <w:tcW w:w="1338" w:type="dxa"/>
            <w:tcBorders>
              <w:top w:val="nil"/>
              <w:left w:val="nil"/>
              <w:bottom w:val="single" w:sz="4" w:space="0" w:color="auto"/>
              <w:right w:val="single" w:sz="4" w:space="0" w:color="auto"/>
            </w:tcBorders>
            <w:noWrap/>
            <w:vAlign w:val="center"/>
            <w:hideMark/>
          </w:tcPr>
          <w:p w14:paraId="196EE7B7" w14:textId="77777777" w:rsidR="003D49E9" w:rsidRPr="003D49E9" w:rsidRDefault="003D49E9">
            <w:pPr>
              <w:jc w:val="right"/>
              <w:rPr>
                <w:sz w:val="21"/>
                <w:szCs w:val="21"/>
                <w:lang w:val="es-ES"/>
              </w:rPr>
            </w:pPr>
            <w:r w:rsidRPr="003D49E9">
              <w:rPr>
                <w:sz w:val="21"/>
                <w:szCs w:val="21"/>
                <w:lang w:val="es-ES"/>
              </w:rPr>
              <w:t>1.749.466</w:t>
            </w:r>
          </w:p>
        </w:tc>
        <w:tc>
          <w:tcPr>
            <w:tcW w:w="1339" w:type="dxa"/>
            <w:tcBorders>
              <w:top w:val="nil"/>
              <w:left w:val="nil"/>
              <w:bottom w:val="single" w:sz="4" w:space="0" w:color="auto"/>
              <w:right w:val="single" w:sz="4" w:space="0" w:color="auto"/>
            </w:tcBorders>
            <w:noWrap/>
            <w:vAlign w:val="center"/>
            <w:hideMark/>
          </w:tcPr>
          <w:p w14:paraId="4EBC0B68" w14:textId="77777777" w:rsidR="003D49E9" w:rsidRPr="003D49E9" w:rsidRDefault="003D49E9">
            <w:pPr>
              <w:jc w:val="right"/>
              <w:rPr>
                <w:sz w:val="21"/>
                <w:szCs w:val="21"/>
                <w:lang w:val="es-ES"/>
              </w:rPr>
            </w:pPr>
            <w:r w:rsidRPr="003D49E9">
              <w:rPr>
                <w:sz w:val="21"/>
                <w:szCs w:val="21"/>
                <w:lang w:val="es-ES"/>
              </w:rPr>
              <w:t>2.568.040</w:t>
            </w:r>
          </w:p>
        </w:tc>
        <w:tc>
          <w:tcPr>
            <w:tcW w:w="1338" w:type="dxa"/>
            <w:tcBorders>
              <w:top w:val="nil"/>
              <w:left w:val="nil"/>
              <w:bottom w:val="single" w:sz="4" w:space="0" w:color="auto"/>
              <w:right w:val="single" w:sz="4" w:space="0" w:color="auto"/>
            </w:tcBorders>
            <w:noWrap/>
            <w:vAlign w:val="center"/>
            <w:hideMark/>
          </w:tcPr>
          <w:p w14:paraId="1F0E69E7" w14:textId="77777777" w:rsidR="003D49E9" w:rsidRPr="003D49E9" w:rsidRDefault="003D49E9">
            <w:pPr>
              <w:jc w:val="right"/>
              <w:rPr>
                <w:sz w:val="21"/>
                <w:szCs w:val="21"/>
                <w:lang w:val="es-ES"/>
              </w:rPr>
            </w:pPr>
            <w:r w:rsidRPr="003D49E9">
              <w:rPr>
                <w:sz w:val="21"/>
                <w:szCs w:val="21"/>
                <w:lang w:val="es-ES"/>
              </w:rPr>
              <w:t>183.512</w:t>
            </w:r>
          </w:p>
        </w:tc>
        <w:tc>
          <w:tcPr>
            <w:tcW w:w="1339" w:type="dxa"/>
            <w:tcBorders>
              <w:top w:val="nil"/>
              <w:left w:val="nil"/>
              <w:bottom w:val="single" w:sz="4" w:space="0" w:color="auto"/>
              <w:right w:val="single" w:sz="4" w:space="0" w:color="auto"/>
            </w:tcBorders>
            <w:noWrap/>
            <w:vAlign w:val="center"/>
            <w:hideMark/>
          </w:tcPr>
          <w:p w14:paraId="07018396" w14:textId="77777777" w:rsidR="003D49E9" w:rsidRPr="003D49E9" w:rsidRDefault="003D49E9">
            <w:pPr>
              <w:jc w:val="right"/>
              <w:rPr>
                <w:sz w:val="21"/>
                <w:szCs w:val="21"/>
                <w:lang w:val="es-ES"/>
              </w:rPr>
            </w:pPr>
            <w:r w:rsidRPr="003D49E9">
              <w:rPr>
                <w:sz w:val="21"/>
                <w:szCs w:val="21"/>
                <w:lang w:val="es-ES"/>
              </w:rPr>
              <w:t>4.501.018</w:t>
            </w:r>
          </w:p>
        </w:tc>
        <w:tc>
          <w:tcPr>
            <w:tcW w:w="1339" w:type="dxa"/>
            <w:tcBorders>
              <w:top w:val="nil"/>
              <w:left w:val="nil"/>
              <w:bottom w:val="single" w:sz="4" w:space="0" w:color="auto"/>
              <w:right w:val="single" w:sz="4" w:space="0" w:color="auto"/>
            </w:tcBorders>
            <w:noWrap/>
            <w:vAlign w:val="center"/>
            <w:hideMark/>
          </w:tcPr>
          <w:p w14:paraId="6021BB9A" w14:textId="77777777" w:rsidR="003D49E9" w:rsidRPr="003D49E9" w:rsidRDefault="003D49E9">
            <w:pPr>
              <w:jc w:val="right"/>
              <w:rPr>
                <w:sz w:val="21"/>
                <w:szCs w:val="21"/>
                <w:lang w:val="es-ES"/>
              </w:rPr>
            </w:pPr>
            <w:r w:rsidRPr="003D49E9">
              <w:rPr>
                <w:sz w:val="21"/>
                <w:szCs w:val="21"/>
                <w:lang w:val="es-ES"/>
              </w:rPr>
              <w:t>829.226</w:t>
            </w:r>
          </w:p>
        </w:tc>
      </w:tr>
      <w:tr w:rsidR="003D49E9" w:rsidRPr="003D49E9" w14:paraId="04ED5013"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33699743" w14:textId="77777777" w:rsidR="003D49E9" w:rsidRPr="003D49E9" w:rsidRDefault="003D49E9">
            <w:pPr>
              <w:jc w:val="left"/>
              <w:rPr>
                <w:sz w:val="21"/>
                <w:szCs w:val="21"/>
                <w:lang w:val="es-ES"/>
              </w:rPr>
            </w:pPr>
            <w:r w:rsidRPr="003D49E9">
              <w:rPr>
                <w:sz w:val="21"/>
                <w:szCs w:val="21"/>
                <w:lang w:val="es-ES"/>
              </w:rPr>
              <w:t>Etapa III de los PGEH</w:t>
            </w:r>
          </w:p>
        </w:tc>
        <w:tc>
          <w:tcPr>
            <w:tcW w:w="1338" w:type="dxa"/>
            <w:tcBorders>
              <w:top w:val="nil"/>
              <w:left w:val="nil"/>
              <w:bottom w:val="single" w:sz="4" w:space="0" w:color="auto"/>
              <w:right w:val="single" w:sz="4" w:space="0" w:color="auto"/>
            </w:tcBorders>
            <w:noWrap/>
            <w:vAlign w:val="center"/>
            <w:hideMark/>
          </w:tcPr>
          <w:p w14:paraId="74DCAB18"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509CBC0B" w14:textId="77777777" w:rsidR="003D49E9" w:rsidRPr="003D49E9" w:rsidRDefault="003D49E9">
            <w:pPr>
              <w:jc w:val="right"/>
              <w:rPr>
                <w:sz w:val="21"/>
                <w:szCs w:val="21"/>
                <w:lang w:val="es-ES"/>
              </w:rPr>
            </w:pPr>
            <w:r w:rsidRPr="003D49E9">
              <w:rPr>
                <w:sz w:val="21"/>
                <w:szCs w:val="21"/>
                <w:lang w:val="es-ES"/>
              </w:rPr>
              <w:t>422.650</w:t>
            </w:r>
          </w:p>
        </w:tc>
        <w:tc>
          <w:tcPr>
            <w:tcW w:w="1338" w:type="dxa"/>
            <w:tcBorders>
              <w:top w:val="nil"/>
              <w:left w:val="nil"/>
              <w:bottom w:val="single" w:sz="4" w:space="0" w:color="auto"/>
              <w:right w:val="single" w:sz="4" w:space="0" w:color="auto"/>
            </w:tcBorders>
            <w:noWrap/>
            <w:vAlign w:val="center"/>
            <w:hideMark/>
          </w:tcPr>
          <w:p w14:paraId="27E6C372"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5AE4B0E6" w14:textId="77777777" w:rsidR="003D49E9" w:rsidRPr="003D49E9" w:rsidRDefault="003D49E9">
            <w:pPr>
              <w:jc w:val="right"/>
              <w:rPr>
                <w:sz w:val="21"/>
                <w:szCs w:val="21"/>
                <w:lang w:val="es-ES"/>
              </w:rPr>
            </w:pPr>
            <w:r w:rsidRPr="003D49E9">
              <w:rPr>
                <w:sz w:val="21"/>
                <w:szCs w:val="21"/>
                <w:lang w:val="es-ES"/>
              </w:rPr>
              <w:t>422.650</w:t>
            </w:r>
          </w:p>
        </w:tc>
        <w:tc>
          <w:tcPr>
            <w:tcW w:w="1339" w:type="dxa"/>
            <w:tcBorders>
              <w:top w:val="nil"/>
              <w:left w:val="nil"/>
              <w:bottom w:val="single" w:sz="4" w:space="0" w:color="auto"/>
              <w:right w:val="single" w:sz="4" w:space="0" w:color="auto"/>
            </w:tcBorders>
            <w:noWrap/>
            <w:vAlign w:val="center"/>
            <w:hideMark/>
          </w:tcPr>
          <w:p w14:paraId="12634225" w14:textId="77777777" w:rsidR="003D49E9" w:rsidRPr="003D49E9" w:rsidRDefault="003D49E9">
            <w:pPr>
              <w:jc w:val="right"/>
              <w:rPr>
                <w:sz w:val="21"/>
                <w:szCs w:val="21"/>
                <w:lang w:val="es-ES"/>
              </w:rPr>
            </w:pPr>
            <w:r w:rsidRPr="003D49E9">
              <w:rPr>
                <w:sz w:val="21"/>
                <w:szCs w:val="21"/>
                <w:lang w:val="es-ES"/>
              </w:rPr>
              <w:t> 0</w:t>
            </w:r>
          </w:p>
        </w:tc>
      </w:tr>
      <w:tr w:rsidR="003D49E9" w:rsidRPr="003D49E9" w14:paraId="479A951A"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1F259915" w14:textId="77777777" w:rsidR="003D49E9" w:rsidRPr="003D49E9" w:rsidRDefault="003D49E9">
            <w:pPr>
              <w:jc w:val="left"/>
              <w:rPr>
                <w:sz w:val="21"/>
                <w:szCs w:val="21"/>
                <w:lang w:val="es-ES"/>
              </w:rPr>
            </w:pPr>
            <w:r w:rsidRPr="003D49E9">
              <w:rPr>
                <w:sz w:val="21"/>
                <w:szCs w:val="21"/>
                <w:lang w:val="es-ES"/>
              </w:rPr>
              <w:t>Verificación de los PGEH</w:t>
            </w:r>
          </w:p>
        </w:tc>
        <w:tc>
          <w:tcPr>
            <w:tcW w:w="1338" w:type="dxa"/>
            <w:tcBorders>
              <w:top w:val="nil"/>
              <w:left w:val="nil"/>
              <w:bottom w:val="single" w:sz="4" w:space="0" w:color="auto"/>
              <w:right w:val="single" w:sz="4" w:space="0" w:color="auto"/>
            </w:tcBorders>
            <w:noWrap/>
            <w:vAlign w:val="center"/>
            <w:hideMark/>
          </w:tcPr>
          <w:p w14:paraId="006E8C9B"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2C14BED9" w14:textId="77777777" w:rsidR="003D49E9" w:rsidRPr="003D49E9" w:rsidRDefault="003D49E9">
            <w:pPr>
              <w:jc w:val="right"/>
              <w:rPr>
                <w:sz w:val="21"/>
                <w:szCs w:val="21"/>
                <w:lang w:val="es-ES"/>
              </w:rPr>
            </w:pPr>
            <w:r w:rsidRPr="003D49E9">
              <w:rPr>
                <w:sz w:val="21"/>
                <w:szCs w:val="21"/>
                <w:lang w:val="es-ES"/>
              </w:rPr>
              <w:t>60.000</w:t>
            </w:r>
          </w:p>
        </w:tc>
        <w:tc>
          <w:tcPr>
            <w:tcW w:w="1338" w:type="dxa"/>
            <w:tcBorders>
              <w:top w:val="nil"/>
              <w:left w:val="nil"/>
              <w:bottom w:val="single" w:sz="4" w:space="0" w:color="auto"/>
              <w:right w:val="single" w:sz="4" w:space="0" w:color="auto"/>
            </w:tcBorders>
            <w:noWrap/>
            <w:vAlign w:val="center"/>
            <w:hideMark/>
          </w:tcPr>
          <w:p w14:paraId="32EA4893"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60EF0827" w14:textId="77777777" w:rsidR="003D49E9" w:rsidRPr="003D49E9" w:rsidRDefault="003D49E9">
            <w:pPr>
              <w:jc w:val="right"/>
              <w:rPr>
                <w:sz w:val="21"/>
                <w:szCs w:val="21"/>
                <w:lang w:val="es-ES"/>
              </w:rPr>
            </w:pPr>
            <w:r w:rsidRPr="003D49E9">
              <w:rPr>
                <w:sz w:val="21"/>
                <w:szCs w:val="21"/>
                <w:lang w:val="es-ES"/>
              </w:rPr>
              <w:t>60.000</w:t>
            </w:r>
          </w:p>
        </w:tc>
        <w:tc>
          <w:tcPr>
            <w:tcW w:w="1339" w:type="dxa"/>
            <w:tcBorders>
              <w:top w:val="nil"/>
              <w:left w:val="nil"/>
              <w:bottom w:val="single" w:sz="4" w:space="0" w:color="auto"/>
              <w:right w:val="single" w:sz="4" w:space="0" w:color="auto"/>
            </w:tcBorders>
            <w:noWrap/>
            <w:vAlign w:val="center"/>
            <w:hideMark/>
          </w:tcPr>
          <w:p w14:paraId="4D18B312" w14:textId="77777777" w:rsidR="003D49E9" w:rsidRPr="003D49E9" w:rsidRDefault="003D49E9">
            <w:pPr>
              <w:jc w:val="right"/>
              <w:rPr>
                <w:sz w:val="21"/>
                <w:szCs w:val="21"/>
                <w:lang w:val="es-ES"/>
              </w:rPr>
            </w:pPr>
            <w:r w:rsidRPr="003D49E9">
              <w:rPr>
                <w:sz w:val="21"/>
                <w:szCs w:val="21"/>
                <w:lang w:val="es-ES"/>
              </w:rPr>
              <w:t> </w:t>
            </w:r>
          </w:p>
        </w:tc>
      </w:tr>
      <w:tr w:rsidR="003D49E9" w:rsidRPr="003D49E9" w14:paraId="684E0CDF"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1056DEF0" w14:textId="1E284AC0" w:rsidR="003D49E9" w:rsidRPr="003D49E9" w:rsidRDefault="00A843AB">
            <w:pPr>
              <w:jc w:val="left"/>
              <w:rPr>
                <w:b/>
                <w:bCs/>
                <w:sz w:val="21"/>
                <w:szCs w:val="21"/>
                <w:lang w:val="es-ES"/>
              </w:rPr>
            </w:pPr>
            <w:r>
              <w:rPr>
                <w:b/>
                <w:bCs/>
                <w:sz w:val="21"/>
                <w:szCs w:val="21"/>
                <w:lang w:val="es-ES"/>
              </w:rPr>
              <w:t>Subtotal</w:t>
            </w:r>
            <w:r w:rsidR="003D49E9" w:rsidRPr="003D49E9">
              <w:rPr>
                <w:b/>
                <w:bCs/>
                <w:sz w:val="21"/>
                <w:szCs w:val="21"/>
                <w:lang w:val="es-ES"/>
              </w:rPr>
              <w:t xml:space="preserve"> </w:t>
            </w:r>
            <w:r>
              <w:rPr>
                <w:b/>
                <w:bCs/>
                <w:sz w:val="21"/>
                <w:szCs w:val="21"/>
                <w:lang w:val="es-ES"/>
              </w:rPr>
              <w:t>de las</w:t>
            </w:r>
            <w:r w:rsidR="003D49E9" w:rsidRPr="003D49E9">
              <w:rPr>
                <w:b/>
                <w:bCs/>
                <w:sz w:val="21"/>
                <w:szCs w:val="21"/>
                <w:lang w:val="es-ES"/>
              </w:rPr>
              <w:t xml:space="preserve"> actividades relacionadas con los HCFC</w:t>
            </w:r>
          </w:p>
        </w:tc>
        <w:tc>
          <w:tcPr>
            <w:tcW w:w="1338" w:type="dxa"/>
            <w:tcBorders>
              <w:top w:val="nil"/>
              <w:left w:val="nil"/>
              <w:bottom w:val="single" w:sz="4" w:space="0" w:color="auto"/>
              <w:right w:val="single" w:sz="4" w:space="0" w:color="auto"/>
            </w:tcBorders>
            <w:noWrap/>
            <w:vAlign w:val="center"/>
            <w:hideMark/>
          </w:tcPr>
          <w:p w14:paraId="6FB36484" w14:textId="77777777" w:rsidR="003D49E9" w:rsidRPr="003D49E9" w:rsidRDefault="003D49E9">
            <w:pPr>
              <w:jc w:val="right"/>
              <w:rPr>
                <w:b/>
                <w:bCs/>
                <w:sz w:val="21"/>
                <w:szCs w:val="21"/>
                <w:lang w:val="es-ES"/>
              </w:rPr>
            </w:pPr>
            <w:r w:rsidRPr="003D49E9">
              <w:rPr>
                <w:b/>
                <w:bCs/>
                <w:sz w:val="21"/>
                <w:szCs w:val="21"/>
                <w:lang w:val="es-ES"/>
              </w:rPr>
              <w:t>1.749.466</w:t>
            </w:r>
          </w:p>
        </w:tc>
        <w:tc>
          <w:tcPr>
            <w:tcW w:w="1339" w:type="dxa"/>
            <w:tcBorders>
              <w:top w:val="nil"/>
              <w:left w:val="nil"/>
              <w:bottom w:val="single" w:sz="4" w:space="0" w:color="auto"/>
              <w:right w:val="single" w:sz="4" w:space="0" w:color="auto"/>
            </w:tcBorders>
            <w:noWrap/>
            <w:vAlign w:val="center"/>
            <w:hideMark/>
          </w:tcPr>
          <w:p w14:paraId="50241928" w14:textId="77777777" w:rsidR="003D49E9" w:rsidRPr="003D49E9" w:rsidRDefault="003D49E9">
            <w:pPr>
              <w:jc w:val="right"/>
              <w:rPr>
                <w:b/>
                <w:bCs/>
                <w:sz w:val="21"/>
                <w:szCs w:val="21"/>
                <w:lang w:val="es-ES"/>
              </w:rPr>
            </w:pPr>
            <w:r w:rsidRPr="003D49E9">
              <w:rPr>
                <w:b/>
                <w:bCs/>
                <w:sz w:val="21"/>
                <w:szCs w:val="21"/>
                <w:lang w:val="es-ES"/>
              </w:rPr>
              <w:t>3.050.690</w:t>
            </w:r>
          </w:p>
        </w:tc>
        <w:tc>
          <w:tcPr>
            <w:tcW w:w="1338" w:type="dxa"/>
            <w:tcBorders>
              <w:top w:val="nil"/>
              <w:left w:val="nil"/>
              <w:bottom w:val="single" w:sz="4" w:space="0" w:color="auto"/>
              <w:right w:val="single" w:sz="4" w:space="0" w:color="auto"/>
            </w:tcBorders>
            <w:noWrap/>
            <w:vAlign w:val="center"/>
            <w:hideMark/>
          </w:tcPr>
          <w:p w14:paraId="13E60174" w14:textId="77777777" w:rsidR="003D49E9" w:rsidRPr="003D49E9" w:rsidRDefault="003D49E9">
            <w:pPr>
              <w:jc w:val="right"/>
              <w:rPr>
                <w:b/>
                <w:bCs/>
                <w:sz w:val="21"/>
                <w:szCs w:val="21"/>
                <w:lang w:val="es-ES"/>
              </w:rPr>
            </w:pPr>
            <w:r w:rsidRPr="003D49E9">
              <w:rPr>
                <w:b/>
                <w:bCs/>
                <w:sz w:val="21"/>
                <w:szCs w:val="21"/>
                <w:lang w:val="es-ES"/>
              </w:rPr>
              <w:t>183.512</w:t>
            </w:r>
          </w:p>
        </w:tc>
        <w:tc>
          <w:tcPr>
            <w:tcW w:w="1339" w:type="dxa"/>
            <w:tcBorders>
              <w:top w:val="nil"/>
              <w:left w:val="nil"/>
              <w:bottom w:val="single" w:sz="4" w:space="0" w:color="auto"/>
              <w:right w:val="single" w:sz="4" w:space="0" w:color="auto"/>
            </w:tcBorders>
            <w:noWrap/>
            <w:vAlign w:val="center"/>
            <w:hideMark/>
          </w:tcPr>
          <w:p w14:paraId="79D28485" w14:textId="77777777" w:rsidR="003D49E9" w:rsidRPr="003D49E9" w:rsidRDefault="003D49E9">
            <w:pPr>
              <w:jc w:val="right"/>
              <w:rPr>
                <w:b/>
                <w:bCs/>
                <w:sz w:val="21"/>
                <w:szCs w:val="21"/>
                <w:lang w:val="es-ES"/>
              </w:rPr>
            </w:pPr>
            <w:r w:rsidRPr="003D49E9">
              <w:rPr>
                <w:b/>
                <w:bCs/>
                <w:sz w:val="21"/>
                <w:szCs w:val="21"/>
                <w:lang w:val="es-ES"/>
              </w:rPr>
              <w:t>4.983.668</w:t>
            </w:r>
          </w:p>
        </w:tc>
        <w:tc>
          <w:tcPr>
            <w:tcW w:w="1339" w:type="dxa"/>
            <w:tcBorders>
              <w:top w:val="nil"/>
              <w:left w:val="nil"/>
              <w:bottom w:val="single" w:sz="4" w:space="0" w:color="auto"/>
              <w:right w:val="single" w:sz="4" w:space="0" w:color="auto"/>
            </w:tcBorders>
            <w:noWrap/>
            <w:vAlign w:val="center"/>
            <w:hideMark/>
          </w:tcPr>
          <w:p w14:paraId="1C32EA2A" w14:textId="77777777" w:rsidR="003D49E9" w:rsidRPr="003D49E9" w:rsidRDefault="003D49E9">
            <w:pPr>
              <w:jc w:val="right"/>
              <w:rPr>
                <w:b/>
                <w:bCs/>
                <w:sz w:val="21"/>
                <w:szCs w:val="21"/>
                <w:lang w:val="es-ES"/>
              </w:rPr>
            </w:pPr>
            <w:r w:rsidRPr="003D49E9">
              <w:rPr>
                <w:b/>
                <w:bCs/>
                <w:sz w:val="21"/>
                <w:szCs w:val="21"/>
                <w:lang w:val="es-ES"/>
              </w:rPr>
              <w:t>829.226</w:t>
            </w:r>
          </w:p>
        </w:tc>
      </w:tr>
      <w:tr w:rsidR="003D49E9" w:rsidRPr="000755F8" w14:paraId="5270EEC5" w14:textId="77777777" w:rsidTr="003D49E9">
        <w:tc>
          <w:tcPr>
            <w:tcW w:w="9493" w:type="dxa"/>
            <w:gridSpan w:val="6"/>
            <w:tcBorders>
              <w:top w:val="single" w:sz="4" w:space="0" w:color="auto"/>
              <w:left w:val="single" w:sz="4" w:space="0" w:color="auto"/>
              <w:bottom w:val="single" w:sz="4" w:space="0" w:color="auto"/>
              <w:right w:val="single" w:sz="4" w:space="0" w:color="auto"/>
            </w:tcBorders>
            <w:noWrap/>
            <w:vAlign w:val="center"/>
            <w:hideMark/>
          </w:tcPr>
          <w:p w14:paraId="1550A905" w14:textId="77777777" w:rsidR="003D49E9" w:rsidRPr="003D49E9" w:rsidRDefault="003D49E9">
            <w:pPr>
              <w:jc w:val="left"/>
              <w:rPr>
                <w:b/>
                <w:bCs/>
                <w:sz w:val="21"/>
                <w:szCs w:val="21"/>
                <w:lang w:val="es-ES"/>
              </w:rPr>
            </w:pPr>
            <w:r w:rsidRPr="003D49E9">
              <w:rPr>
                <w:b/>
                <w:bCs/>
                <w:sz w:val="21"/>
                <w:szCs w:val="21"/>
                <w:lang w:val="es-ES"/>
              </w:rPr>
              <w:t>Actividades relacionadas con los HFC</w:t>
            </w:r>
            <w:r w:rsidRPr="003D49E9">
              <w:rPr>
                <w:sz w:val="21"/>
                <w:szCs w:val="21"/>
                <w:lang w:val="es-ES"/>
              </w:rPr>
              <w:t> </w:t>
            </w:r>
          </w:p>
        </w:tc>
      </w:tr>
      <w:tr w:rsidR="003D49E9" w:rsidRPr="003D49E9" w14:paraId="0ECFB591"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5184E01F" w14:textId="77777777" w:rsidR="003D49E9" w:rsidRPr="003D49E9" w:rsidRDefault="003D49E9">
            <w:pPr>
              <w:jc w:val="left"/>
              <w:rPr>
                <w:sz w:val="21"/>
                <w:szCs w:val="21"/>
                <w:lang w:val="es-ES"/>
              </w:rPr>
            </w:pPr>
            <w:r w:rsidRPr="003D49E9">
              <w:rPr>
                <w:sz w:val="21"/>
                <w:szCs w:val="21"/>
                <w:lang w:val="es-ES"/>
              </w:rPr>
              <w:t>Planes de ejecución relativos a los HFC conforme a la Enmienda de Kigali (KIP): preparación de proyectos</w:t>
            </w:r>
          </w:p>
        </w:tc>
        <w:tc>
          <w:tcPr>
            <w:tcW w:w="1338" w:type="dxa"/>
            <w:tcBorders>
              <w:top w:val="nil"/>
              <w:left w:val="nil"/>
              <w:bottom w:val="single" w:sz="4" w:space="0" w:color="auto"/>
              <w:right w:val="single" w:sz="4" w:space="0" w:color="auto"/>
            </w:tcBorders>
            <w:noWrap/>
            <w:vAlign w:val="center"/>
            <w:hideMark/>
          </w:tcPr>
          <w:p w14:paraId="7196D5F5" w14:textId="77777777" w:rsidR="003D49E9" w:rsidRPr="003D49E9" w:rsidRDefault="003D49E9">
            <w:pPr>
              <w:jc w:val="right"/>
              <w:rPr>
                <w:sz w:val="21"/>
                <w:szCs w:val="21"/>
                <w:lang w:val="es-ES"/>
              </w:rPr>
            </w:pPr>
            <w:r w:rsidRPr="003D49E9">
              <w:rPr>
                <w:sz w:val="21"/>
                <w:szCs w:val="21"/>
                <w:lang w:val="es-ES"/>
              </w:rPr>
              <w:t>277.100</w:t>
            </w:r>
          </w:p>
        </w:tc>
        <w:tc>
          <w:tcPr>
            <w:tcW w:w="1339" w:type="dxa"/>
            <w:tcBorders>
              <w:top w:val="nil"/>
              <w:left w:val="nil"/>
              <w:bottom w:val="single" w:sz="4" w:space="0" w:color="auto"/>
              <w:right w:val="single" w:sz="4" w:space="0" w:color="auto"/>
            </w:tcBorders>
            <w:noWrap/>
            <w:vAlign w:val="center"/>
            <w:hideMark/>
          </w:tcPr>
          <w:p w14:paraId="429B09E5" w14:textId="77777777" w:rsidR="003D49E9" w:rsidRPr="003D49E9" w:rsidRDefault="003D49E9">
            <w:pPr>
              <w:jc w:val="right"/>
              <w:rPr>
                <w:sz w:val="21"/>
                <w:szCs w:val="21"/>
                <w:lang w:val="es-ES"/>
              </w:rPr>
            </w:pPr>
            <w:r w:rsidRPr="003D49E9">
              <w:rPr>
                <w:sz w:val="21"/>
                <w:szCs w:val="21"/>
                <w:lang w:val="es-ES"/>
              </w:rPr>
              <w:t> 0</w:t>
            </w:r>
          </w:p>
        </w:tc>
        <w:tc>
          <w:tcPr>
            <w:tcW w:w="1338" w:type="dxa"/>
            <w:tcBorders>
              <w:top w:val="nil"/>
              <w:left w:val="nil"/>
              <w:bottom w:val="single" w:sz="4" w:space="0" w:color="auto"/>
              <w:right w:val="single" w:sz="4" w:space="0" w:color="auto"/>
            </w:tcBorders>
            <w:noWrap/>
            <w:vAlign w:val="center"/>
            <w:hideMark/>
          </w:tcPr>
          <w:p w14:paraId="50D773A0"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747BAE5E" w14:textId="77777777" w:rsidR="003D49E9" w:rsidRPr="003D49E9" w:rsidRDefault="003D49E9">
            <w:pPr>
              <w:jc w:val="right"/>
              <w:rPr>
                <w:sz w:val="21"/>
                <w:szCs w:val="21"/>
                <w:lang w:val="es-ES"/>
              </w:rPr>
            </w:pPr>
            <w:r w:rsidRPr="003D49E9">
              <w:rPr>
                <w:sz w:val="21"/>
                <w:szCs w:val="21"/>
                <w:lang w:val="es-ES"/>
              </w:rPr>
              <w:t>277.100</w:t>
            </w:r>
          </w:p>
        </w:tc>
        <w:tc>
          <w:tcPr>
            <w:tcW w:w="1339" w:type="dxa"/>
            <w:tcBorders>
              <w:top w:val="nil"/>
              <w:left w:val="nil"/>
              <w:bottom w:val="single" w:sz="4" w:space="0" w:color="auto"/>
              <w:right w:val="single" w:sz="4" w:space="0" w:color="auto"/>
            </w:tcBorders>
            <w:noWrap/>
            <w:vAlign w:val="center"/>
            <w:hideMark/>
          </w:tcPr>
          <w:p w14:paraId="47DD45E8" w14:textId="77777777" w:rsidR="003D49E9" w:rsidRPr="003D49E9" w:rsidRDefault="003D49E9">
            <w:pPr>
              <w:jc w:val="right"/>
              <w:rPr>
                <w:sz w:val="21"/>
                <w:szCs w:val="21"/>
                <w:lang w:val="es-ES"/>
              </w:rPr>
            </w:pPr>
            <w:r w:rsidRPr="003D49E9">
              <w:rPr>
                <w:sz w:val="21"/>
                <w:szCs w:val="21"/>
                <w:lang w:val="es-ES"/>
              </w:rPr>
              <w:t> 0</w:t>
            </w:r>
          </w:p>
        </w:tc>
      </w:tr>
      <w:tr w:rsidR="003D49E9" w:rsidRPr="003D49E9" w14:paraId="65C83355"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51753ED0" w14:textId="77777777" w:rsidR="003D49E9" w:rsidRPr="003D49E9" w:rsidRDefault="003D49E9">
            <w:pPr>
              <w:jc w:val="left"/>
              <w:rPr>
                <w:sz w:val="21"/>
                <w:szCs w:val="21"/>
                <w:lang w:val="es-ES"/>
              </w:rPr>
            </w:pPr>
            <w:r w:rsidRPr="003D49E9">
              <w:rPr>
                <w:sz w:val="21"/>
                <w:szCs w:val="21"/>
                <w:lang w:val="es-ES"/>
              </w:rPr>
              <w:t>KIP</w:t>
            </w:r>
          </w:p>
        </w:tc>
        <w:tc>
          <w:tcPr>
            <w:tcW w:w="1338" w:type="dxa"/>
            <w:tcBorders>
              <w:top w:val="nil"/>
              <w:left w:val="nil"/>
              <w:bottom w:val="single" w:sz="4" w:space="0" w:color="auto"/>
              <w:right w:val="single" w:sz="4" w:space="0" w:color="auto"/>
            </w:tcBorders>
            <w:noWrap/>
            <w:vAlign w:val="center"/>
            <w:hideMark/>
          </w:tcPr>
          <w:p w14:paraId="19F781D0"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473BD0A5" w14:textId="77777777" w:rsidR="003D49E9" w:rsidRPr="003D49E9" w:rsidRDefault="003D49E9">
            <w:pPr>
              <w:jc w:val="right"/>
              <w:rPr>
                <w:sz w:val="21"/>
                <w:szCs w:val="21"/>
                <w:lang w:val="es-ES"/>
              </w:rPr>
            </w:pPr>
            <w:r w:rsidRPr="003D49E9">
              <w:rPr>
                <w:sz w:val="21"/>
                <w:szCs w:val="21"/>
                <w:lang w:val="es-ES"/>
              </w:rPr>
              <w:t>0 </w:t>
            </w:r>
          </w:p>
        </w:tc>
        <w:tc>
          <w:tcPr>
            <w:tcW w:w="1338" w:type="dxa"/>
            <w:tcBorders>
              <w:top w:val="nil"/>
              <w:left w:val="nil"/>
              <w:bottom w:val="single" w:sz="4" w:space="0" w:color="auto"/>
              <w:right w:val="single" w:sz="4" w:space="0" w:color="auto"/>
            </w:tcBorders>
            <w:noWrap/>
            <w:vAlign w:val="center"/>
            <w:hideMark/>
          </w:tcPr>
          <w:p w14:paraId="5CC019BD" w14:textId="77777777" w:rsidR="003D49E9" w:rsidRPr="003D49E9" w:rsidRDefault="003D49E9">
            <w:pPr>
              <w:jc w:val="right"/>
              <w:rPr>
                <w:sz w:val="21"/>
                <w:szCs w:val="21"/>
                <w:lang w:val="es-ES"/>
              </w:rPr>
            </w:pPr>
            <w:r w:rsidRPr="003D49E9">
              <w:rPr>
                <w:sz w:val="21"/>
                <w:szCs w:val="21"/>
                <w:lang w:val="es-ES"/>
              </w:rPr>
              <w:t>400.000</w:t>
            </w:r>
          </w:p>
        </w:tc>
        <w:tc>
          <w:tcPr>
            <w:tcW w:w="1339" w:type="dxa"/>
            <w:tcBorders>
              <w:top w:val="nil"/>
              <w:left w:val="nil"/>
              <w:bottom w:val="single" w:sz="4" w:space="0" w:color="auto"/>
              <w:right w:val="single" w:sz="4" w:space="0" w:color="auto"/>
            </w:tcBorders>
            <w:noWrap/>
            <w:vAlign w:val="center"/>
            <w:hideMark/>
          </w:tcPr>
          <w:p w14:paraId="50A852A8" w14:textId="77777777" w:rsidR="003D49E9" w:rsidRPr="003D49E9" w:rsidRDefault="003D49E9">
            <w:pPr>
              <w:jc w:val="right"/>
              <w:rPr>
                <w:sz w:val="21"/>
                <w:szCs w:val="21"/>
                <w:lang w:val="es-ES"/>
              </w:rPr>
            </w:pPr>
            <w:r w:rsidRPr="003D49E9">
              <w:rPr>
                <w:sz w:val="21"/>
                <w:szCs w:val="21"/>
                <w:lang w:val="es-ES"/>
              </w:rPr>
              <w:t>400.000</w:t>
            </w:r>
          </w:p>
        </w:tc>
        <w:tc>
          <w:tcPr>
            <w:tcW w:w="1339" w:type="dxa"/>
            <w:tcBorders>
              <w:top w:val="nil"/>
              <w:left w:val="nil"/>
              <w:bottom w:val="single" w:sz="4" w:space="0" w:color="auto"/>
              <w:right w:val="single" w:sz="4" w:space="0" w:color="auto"/>
            </w:tcBorders>
            <w:noWrap/>
            <w:vAlign w:val="center"/>
            <w:hideMark/>
          </w:tcPr>
          <w:p w14:paraId="6477DF8E" w14:textId="77777777" w:rsidR="003D49E9" w:rsidRPr="003D49E9" w:rsidRDefault="003D49E9">
            <w:pPr>
              <w:jc w:val="right"/>
              <w:rPr>
                <w:sz w:val="21"/>
                <w:szCs w:val="21"/>
                <w:lang w:val="es-ES"/>
              </w:rPr>
            </w:pPr>
            <w:r w:rsidRPr="003D49E9">
              <w:rPr>
                <w:sz w:val="21"/>
                <w:szCs w:val="21"/>
                <w:lang w:val="es-ES"/>
              </w:rPr>
              <w:t> 0</w:t>
            </w:r>
          </w:p>
        </w:tc>
      </w:tr>
      <w:tr w:rsidR="003D49E9" w:rsidRPr="003D49E9" w14:paraId="7B48390B"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4C664189" w14:textId="0D0C5F41" w:rsidR="003D49E9" w:rsidRPr="003D49E9" w:rsidRDefault="00A843AB">
            <w:pPr>
              <w:jc w:val="left"/>
              <w:rPr>
                <w:b/>
                <w:bCs/>
                <w:sz w:val="21"/>
                <w:szCs w:val="21"/>
                <w:lang w:val="es-ES"/>
              </w:rPr>
            </w:pPr>
            <w:r>
              <w:rPr>
                <w:b/>
                <w:bCs/>
                <w:sz w:val="21"/>
                <w:szCs w:val="21"/>
                <w:lang w:val="es-ES"/>
              </w:rPr>
              <w:t>Subtotal</w:t>
            </w:r>
            <w:r w:rsidR="003D49E9" w:rsidRPr="003D49E9">
              <w:rPr>
                <w:b/>
                <w:bCs/>
                <w:sz w:val="21"/>
                <w:szCs w:val="21"/>
                <w:lang w:val="es-ES"/>
              </w:rPr>
              <w:t xml:space="preserve"> de las actividades relacionadas con los HFC</w:t>
            </w:r>
          </w:p>
        </w:tc>
        <w:tc>
          <w:tcPr>
            <w:tcW w:w="1338" w:type="dxa"/>
            <w:tcBorders>
              <w:top w:val="nil"/>
              <w:left w:val="nil"/>
              <w:bottom w:val="single" w:sz="4" w:space="0" w:color="auto"/>
              <w:right w:val="single" w:sz="4" w:space="0" w:color="auto"/>
            </w:tcBorders>
            <w:noWrap/>
            <w:vAlign w:val="center"/>
            <w:hideMark/>
          </w:tcPr>
          <w:p w14:paraId="09ECEFB4" w14:textId="77777777" w:rsidR="003D49E9" w:rsidRPr="003D49E9" w:rsidRDefault="003D49E9">
            <w:pPr>
              <w:jc w:val="right"/>
              <w:rPr>
                <w:b/>
                <w:bCs/>
                <w:sz w:val="21"/>
                <w:szCs w:val="21"/>
                <w:lang w:val="es-ES"/>
              </w:rPr>
            </w:pPr>
            <w:r w:rsidRPr="003D49E9">
              <w:rPr>
                <w:b/>
                <w:bCs/>
                <w:sz w:val="21"/>
                <w:szCs w:val="21"/>
                <w:lang w:val="es-ES"/>
              </w:rPr>
              <w:t>277.100</w:t>
            </w:r>
          </w:p>
        </w:tc>
        <w:tc>
          <w:tcPr>
            <w:tcW w:w="1339" w:type="dxa"/>
            <w:tcBorders>
              <w:top w:val="nil"/>
              <w:left w:val="nil"/>
              <w:bottom w:val="single" w:sz="4" w:space="0" w:color="auto"/>
              <w:right w:val="single" w:sz="4" w:space="0" w:color="auto"/>
            </w:tcBorders>
            <w:noWrap/>
            <w:vAlign w:val="center"/>
            <w:hideMark/>
          </w:tcPr>
          <w:p w14:paraId="61B47214" w14:textId="77777777" w:rsidR="003D49E9" w:rsidRPr="003D49E9" w:rsidRDefault="003D49E9">
            <w:pPr>
              <w:jc w:val="right"/>
              <w:rPr>
                <w:b/>
                <w:bCs/>
                <w:sz w:val="21"/>
                <w:szCs w:val="21"/>
                <w:lang w:val="es-ES"/>
              </w:rPr>
            </w:pPr>
            <w:r w:rsidRPr="003D49E9">
              <w:rPr>
                <w:b/>
                <w:bCs/>
                <w:sz w:val="21"/>
                <w:szCs w:val="21"/>
                <w:lang w:val="es-ES"/>
              </w:rPr>
              <w:t>0</w:t>
            </w:r>
          </w:p>
        </w:tc>
        <w:tc>
          <w:tcPr>
            <w:tcW w:w="1338" w:type="dxa"/>
            <w:tcBorders>
              <w:top w:val="nil"/>
              <w:left w:val="nil"/>
              <w:bottom w:val="single" w:sz="4" w:space="0" w:color="auto"/>
              <w:right w:val="single" w:sz="4" w:space="0" w:color="auto"/>
            </w:tcBorders>
            <w:noWrap/>
            <w:vAlign w:val="center"/>
            <w:hideMark/>
          </w:tcPr>
          <w:p w14:paraId="6289511D" w14:textId="77777777" w:rsidR="003D49E9" w:rsidRPr="003D49E9" w:rsidRDefault="003D49E9">
            <w:pPr>
              <w:jc w:val="right"/>
              <w:rPr>
                <w:b/>
                <w:bCs/>
                <w:sz w:val="21"/>
                <w:szCs w:val="21"/>
                <w:lang w:val="es-ES"/>
              </w:rPr>
            </w:pPr>
            <w:r w:rsidRPr="003D49E9">
              <w:rPr>
                <w:b/>
                <w:bCs/>
                <w:sz w:val="21"/>
                <w:szCs w:val="21"/>
                <w:lang w:val="es-ES"/>
              </w:rPr>
              <w:t>400.000</w:t>
            </w:r>
          </w:p>
        </w:tc>
        <w:tc>
          <w:tcPr>
            <w:tcW w:w="1339" w:type="dxa"/>
            <w:tcBorders>
              <w:top w:val="nil"/>
              <w:left w:val="nil"/>
              <w:bottom w:val="single" w:sz="4" w:space="0" w:color="auto"/>
              <w:right w:val="single" w:sz="4" w:space="0" w:color="auto"/>
            </w:tcBorders>
            <w:noWrap/>
            <w:vAlign w:val="center"/>
            <w:hideMark/>
          </w:tcPr>
          <w:p w14:paraId="48F9BC4C" w14:textId="77777777" w:rsidR="003D49E9" w:rsidRPr="003D49E9" w:rsidRDefault="003D49E9">
            <w:pPr>
              <w:jc w:val="right"/>
              <w:rPr>
                <w:b/>
                <w:bCs/>
                <w:sz w:val="21"/>
                <w:szCs w:val="21"/>
                <w:lang w:val="es-ES"/>
              </w:rPr>
            </w:pPr>
            <w:r w:rsidRPr="003D49E9">
              <w:rPr>
                <w:b/>
                <w:bCs/>
                <w:sz w:val="21"/>
                <w:szCs w:val="21"/>
                <w:lang w:val="es-ES"/>
              </w:rPr>
              <w:t>677.100</w:t>
            </w:r>
          </w:p>
        </w:tc>
        <w:tc>
          <w:tcPr>
            <w:tcW w:w="1339" w:type="dxa"/>
            <w:tcBorders>
              <w:top w:val="nil"/>
              <w:left w:val="nil"/>
              <w:bottom w:val="single" w:sz="4" w:space="0" w:color="auto"/>
              <w:right w:val="single" w:sz="4" w:space="0" w:color="auto"/>
            </w:tcBorders>
            <w:noWrap/>
            <w:vAlign w:val="center"/>
            <w:hideMark/>
          </w:tcPr>
          <w:p w14:paraId="2FB985A1" w14:textId="77777777" w:rsidR="003D49E9" w:rsidRPr="003D49E9" w:rsidRDefault="003D49E9">
            <w:pPr>
              <w:jc w:val="right"/>
              <w:rPr>
                <w:b/>
                <w:bCs/>
                <w:sz w:val="21"/>
                <w:szCs w:val="21"/>
                <w:lang w:val="es-ES"/>
              </w:rPr>
            </w:pPr>
            <w:r w:rsidRPr="003D49E9">
              <w:rPr>
                <w:b/>
                <w:bCs/>
                <w:sz w:val="21"/>
                <w:szCs w:val="21"/>
                <w:lang w:val="es-ES"/>
              </w:rPr>
              <w:t>0</w:t>
            </w:r>
          </w:p>
        </w:tc>
      </w:tr>
      <w:tr w:rsidR="003D49E9" w:rsidRPr="003D49E9" w14:paraId="69F8FBDF"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1CC146BF" w14:textId="77777777" w:rsidR="003D49E9" w:rsidRPr="003D49E9" w:rsidRDefault="003D49E9">
            <w:pPr>
              <w:jc w:val="left"/>
              <w:rPr>
                <w:b/>
                <w:bCs/>
                <w:sz w:val="21"/>
                <w:szCs w:val="21"/>
                <w:lang w:val="es-ES"/>
              </w:rPr>
            </w:pPr>
            <w:r w:rsidRPr="003D49E9">
              <w:rPr>
                <w:b/>
                <w:bCs/>
                <w:sz w:val="21"/>
                <w:szCs w:val="21"/>
                <w:lang w:val="es-ES"/>
              </w:rPr>
              <w:t>Actividades estándar</w:t>
            </w:r>
          </w:p>
        </w:tc>
        <w:tc>
          <w:tcPr>
            <w:tcW w:w="1338" w:type="dxa"/>
            <w:tcBorders>
              <w:top w:val="nil"/>
              <w:left w:val="nil"/>
              <w:bottom w:val="single" w:sz="4" w:space="0" w:color="auto"/>
              <w:right w:val="single" w:sz="4" w:space="0" w:color="auto"/>
            </w:tcBorders>
            <w:noWrap/>
            <w:vAlign w:val="center"/>
            <w:hideMark/>
          </w:tcPr>
          <w:p w14:paraId="3DC3C8A8" w14:textId="77777777" w:rsidR="003D49E9" w:rsidRPr="003D49E9" w:rsidRDefault="003D49E9">
            <w:pPr>
              <w:jc w:val="left"/>
              <w:rPr>
                <w:sz w:val="21"/>
                <w:szCs w:val="21"/>
                <w:lang w:val="es-ES"/>
              </w:rPr>
            </w:pPr>
            <w:r w:rsidRPr="003D49E9">
              <w:rPr>
                <w:sz w:val="21"/>
                <w:szCs w:val="21"/>
                <w:lang w:val="es-ES"/>
              </w:rPr>
              <w:t> </w:t>
            </w:r>
          </w:p>
        </w:tc>
        <w:tc>
          <w:tcPr>
            <w:tcW w:w="1339" w:type="dxa"/>
            <w:tcBorders>
              <w:top w:val="nil"/>
              <w:left w:val="nil"/>
              <w:bottom w:val="single" w:sz="4" w:space="0" w:color="auto"/>
              <w:right w:val="single" w:sz="4" w:space="0" w:color="auto"/>
            </w:tcBorders>
            <w:noWrap/>
            <w:vAlign w:val="center"/>
            <w:hideMark/>
          </w:tcPr>
          <w:p w14:paraId="1AF5A282" w14:textId="77777777" w:rsidR="003D49E9" w:rsidRPr="003D49E9" w:rsidRDefault="003D49E9">
            <w:pPr>
              <w:jc w:val="left"/>
              <w:rPr>
                <w:sz w:val="21"/>
                <w:szCs w:val="21"/>
                <w:lang w:val="es-ES"/>
              </w:rPr>
            </w:pPr>
            <w:r w:rsidRPr="003D49E9">
              <w:rPr>
                <w:sz w:val="21"/>
                <w:szCs w:val="21"/>
                <w:lang w:val="es-ES"/>
              </w:rPr>
              <w:t> </w:t>
            </w:r>
          </w:p>
        </w:tc>
        <w:tc>
          <w:tcPr>
            <w:tcW w:w="1338" w:type="dxa"/>
            <w:tcBorders>
              <w:top w:val="nil"/>
              <w:left w:val="nil"/>
              <w:bottom w:val="single" w:sz="4" w:space="0" w:color="auto"/>
              <w:right w:val="single" w:sz="4" w:space="0" w:color="auto"/>
            </w:tcBorders>
            <w:noWrap/>
            <w:vAlign w:val="center"/>
            <w:hideMark/>
          </w:tcPr>
          <w:p w14:paraId="5C682805" w14:textId="77777777" w:rsidR="003D49E9" w:rsidRPr="003D49E9" w:rsidRDefault="003D49E9">
            <w:pPr>
              <w:jc w:val="left"/>
              <w:rPr>
                <w:sz w:val="21"/>
                <w:szCs w:val="21"/>
                <w:lang w:val="es-ES"/>
              </w:rPr>
            </w:pPr>
            <w:r w:rsidRPr="003D49E9">
              <w:rPr>
                <w:sz w:val="21"/>
                <w:szCs w:val="21"/>
                <w:lang w:val="es-ES"/>
              </w:rPr>
              <w:t> </w:t>
            </w:r>
          </w:p>
        </w:tc>
        <w:tc>
          <w:tcPr>
            <w:tcW w:w="1339" w:type="dxa"/>
            <w:tcBorders>
              <w:top w:val="nil"/>
              <w:left w:val="nil"/>
              <w:bottom w:val="single" w:sz="4" w:space="0" w:color="auto"/>
              <w:right w:val="single" w:sz="4" w:space="0" w:color="auto"/>
            </w:tcBorders>
            <w:noWrap/>
            <w:vAlign w:val="center"/>
            <w:hideMark/>
          </w:tcPr>
          <w:p w14:paraId="22D43D02" w14:textId="77777777" w:rsidR="003D49E9" w:rsidRPr="003D49E9" w:rsidRDefault="003D49E9">
            <w:pPr>
              <w:jc w:val="left"/>
              <w:rPr>
                <w:sz w:val="21"/>
                <w:szCs w:val="21"/>
                <w:lang w:val="es-ES"/>
              </w:rPr>
            </w:pPr>
            <w:r w:rsidRPr="003D49E9">
              <w:rPr>
                <w:sz w:val="21"/>
                <w:szCs w:val="21"/>
                <w:lang w:val="es-ES"/>
              </w:rPr>
              <w:t> </w:t>
            </w:r>
          </w:p>
        </w:tc>
        <w:tc>
          <w:tcPr>
            <w:tcW w:w="1339" w:type="dxa"/>
            <w:tcBorders>
              <w:top w:val="nil"/>
              <w:left w:val="nil"/>
              <w:bottom w:val="single" w:sz="4" w:space="0" w:color="auto"/>
              <w:right w:val="single" w:sz="4" w:space="0" w:color="auto"/>
            </w:tcBorders>
            <w:noWrap/>
            <w:vAlign w:val="center"/>
            <w:hideMark/>
          </w:tcPr>
          <w:p w14:paraId="43352C80" w14:textId="77777777" w:rsidR="003D49E9" w:rsidRPr="003D49E9" w:rsidRDefault="003D49E9">
            <w:pPr>
              <w:jc w:val="left"/>
              <w:rPr>
                <w:sz w:val="21"/>
                <w:szCs w:val="21"/>
                <w:lang w:val="es-ES"/>
              </w:rPr>
            </w:pPr>
            <w:r w:rsidRPr="003D49E9">
              <w:rPr>
                <w:sz w:val="21"/>
                <w:szCs w:val="21"/>
                <w:lang w:val="es-ES"/>
              </w:rPr>
              <w:t> </w:t>
            </w:r>
          </w:p>
        </w:tc>
      </w:tr>
      <w:tr w:rsidR="003D49E9" w:rsidRPr="003D49E9" w14:paraId="5C490D3B"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0FE37DE5" w14:textId="77777777" w:rsidR="003D49E9" w:rsidRPr="003D49E9" w:rsidRDefault="003D49E9">
            <w:pPr>
              <w:jc w:val="left"/>
              <w:rPr>
                <w:sz w:val="21"/>
                <w:szCs w:val="21"/>
                <w:lang w:val="es-ES"/>
              </w:rPr>
            </w:pPr>
            <w:r w:rsidRPr="003D49E9">
              <w:rPr>
                <w:sz w:val="21"/>
                <w:szCs w:val="21"/>
                <w:lang w:val="es-ES"/>
              </w:rPr>
              <w:t>Fortalecimiento institucional</w:t>
            </w:r>
          </w:p>
        </w:tc>
        <w:tc>
          <w:tcPr>
            <w:tcW w:w="1338" w:type="dxa"/>
            <w:tcBorders>
              <w:top w:val="nil"/>
              <w:left w:val="nil"/>
              <w:bottom w:val="single" w:sz="4" w:space="0" w:color="auto"/>
              <w:right w:val="single" w:sz="4" w:space="0" w:color="auto"/>
            </w:tcBorders>
            <w:noWrap/>
            <w:vAlign w:val="center"/>
            <w:hideMark/>
          </w:tcPr>
          <w:p w14:paraId="2561728A"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2673E263" w14:textId="77777777" w:rsidR="003D49E9" w:rsidRPr="003D49E9" w:rsidRDefault="003D49E9">
            <w:pPr>
              <w:jc w:val="right"/>
              <w:rPr>
                <w:sz w:val="21"/>
                <w:szCs w:val="21"/>
                <w:lang w:val="es-ES"/>
              </w:rPr>
            </w:pPr>
            <w:r w:rsidRPr="003D49E9">
              <w:rPr>
                <w:sz w:val="21"/>
                <w:szCs w:val="21"/>
                <w:lang w:val="es-ES"/>
              </w:rPr>
              <w:t> 0</w:t>
            </w:r>
          </w:p>
        </w:tc>
        <w:tc>
          <w:tcPr>
            <w:tcW w:w="1338" w:type="dxa"/>
            <w:tcBorders>
              <w:top w:val="nil"/>
              <w:left w:val="nil"/>
              <w:bottom w:val="single" w:sz="4" w:space="0" w:color="auto"/>
              <w:right w:val="single" w:sz="4" w:space="0" w:color="auto"/>
            </w:tcBorders>
            <w:noWrap/>
            <w:vAlign w:val="center"/>
            <w:hideMark/>
          </w:tcPr>
          <w:p w14:paraId="46C0CA07" w14:textId="77777777" w:rsidR="003D49E9" w:rsidRPr="003D49E9" w:rsidRDefault="003D49E9">
            <w:pPr>
              <w:jc w:val="right"/>
              <w:rPr>
                <w:sz w:val="21"/>
                <w:szCs w:val="21"/>
                <w:lang w:val="es-ES"/>
              </w:rPr>
            </w:pPr>
            <w:r w:rsidRPr="003D49E9">
              <w:rPr>
                <w:sz w:val="21"/>
                <w:szCs w:val="21"/>
                <w:lang w:val="es-ES"/>
              </w:rPr>
              <w:t> 0</w:t>
            </w:r>
          </w:p>
        </w:tc>
        <w:tc>
          <w:tcPr>
            <w:tcW w:w="1339" w:type="dxa"/>
            <w:tcBorders>
              <w:top w:val="nil"/>
              <w:left w:val="nil"/>
              <w:bottom w:val="single" w:sz="4" w:space="0" w:color="auto"/>
              <w:right w:val="single" w:sz="4" w:space="0" w:color="auto"/>
            </w:tcBorders>
            <w:noWrap/>
            <w:vAlign w:val="center"/>
            <w:hideMark/>
          </w:tcPr>
          <w:p w14:paraId="6D13551E" w14:textId="77777777" w:rsidR="003D49E9" w:rsidRPr="003D49E9" w:rsidRDefault="003D49E9">
            <w:pPr>
              <w:jc w:val="right"/>
              <w:rPr>
                <w:sz w:val="21"/>
                <w:szCs w:val="21"/>
                <w:lang w:val="es-ES"/>
              </w:rPr>
            </w:pPr>
            <w:r w:rsidRPr="003D49E9">
              <w:rPr>
                <w:sz w:val="21"/>
                <w:szCs w:val="21"/>
                <w:lang w:val="es-ES"/>
              </w:rPr>
              <w:t>0</w:t>
            </w:r>
          </w:p>
        </w:tc>
        <w:tc>
          <w:tcPr>
            <w:tcW w:w="1339" w:type="dxa"/>
            <w:tcBorders>
              <w:top w:val="nil"/>
              <w:left w:val="nil"/>
              <w:bottom w:val="single" w:sz="4" w:space="0" w:color="auto"/>
              <w:right w:val="single" w:sz="4" w:space="0" w:color="auto"/>
            </w:tcBorders>
            <w:noWrap/>
            <w:vAlign w:val="center"/>
            <w:hideMark/>
          </w:tcPr>
          <w:p w14:paraId="19B5534A" w14:textId="77777777" w:rsidR="003D49E9" w:rsidRPr="003D49E9" w:rsidRDefault="003D49E9">
            <w:pPr>
              <w:jc w:val="right"/>
              <w:rPr>
                <w:sz w:val="21"/>
                <w:szCs w:val="21"/>
                <w:lang w:val="es-ES"/>
              </w:rPr>
            </w:pPr>
            <w:r w:rsidRPr="003D49E9">
              <w:rPr>
                <w:sz w:val="21"/>
                <w:szCs w:val="21"/>
                <w:lang w:val="es-ES"/>
              </w:rPr>
              <w:t>30.000</w:t>
            </w:r>
          </w:p>
        </w:tc>
      </w:tr>
      <w:tr w:rsidR="003D49E9" w:rsidRPr="003D49E9" w14:paraId="71D25C96"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798D77FB" w14:textId="573166C4" w:rsidR="003D49E9" w:rsidRPr="003D49E9" w:rsidRDefault="00A843AB">
            <w:pPr>
              <w:jc w:val="left"/>
              <w:rPr>
                <w:b/>
                <w:bCs/>
                <w:sz w:val="21"/>
                <w:szCs w:val="21"/>
                <w:lang w:val="es-ES"/>
              </w:rPr>
            </w:pPr>
            <w:r>
              <w:rPr>
                <w:b/>
                <w:bCs/>
                <w:sz w:val="21"/>
                <w:szCs w:val="21"/>
                <w:lang w:val="es-ES"/>
              </w:rPr>
              <w:t>Subtotal</w:t>
            </w:r>
            <w:r w:rsidR="003D49E9" w:rsidRPr="003D49E9">
              <w:rPr>
                <w:b/>
                <w:bCs/>
                <w:sz w:val="21"/>
                <w:szCs w:val="21"/>
                <w:lang w:val="es-ES"/>
              </w:rPr>
              <w:t xml:space="preserve"> de las actividades estándar</w:t>
            </w:r>
          </w:p>
        </w:tc>
        <w:tc>
          <w:tcPr>
            <w:tcW w:w="1338" w:type="dxa"/>
            <w:tcBorders>
              <w:top w:val="nil"/>
              <w:left w:val="nil"/>
              <w:bottom w:val="single" w:sz="4" w:space="0" w:color="auto"/>
              <w:right w:val="single" w:sz="4" w:space="0" w:color="auto"/>
            </w:tcBorders>
            <w:noWrap/>
            <w:vAlign w:val="center"/>
            <w:hideMark/>
          </w:tcPr>
          <w:p w14:paraId="4340D96F" w14:textId="77777777" w:rsidR="003D49E9" w:rsidRPr="003D49E9" w:rsidRDefault="003D49E9">
            <w:pPr>
              <w:jc w:val="right"/>
              <w:rPr>
                <w:b/>
                <w:bCs/>
                <w:sz w:val="21"/>
                <w:szCs w:val="21"/>
                <w:lang w:val="es-ES"/>
              </w:rPr>
            </w:pPr>
            <w:r w:rsidRPr="003D49E9">
              <w:rPr>
                <w:b/>
                <w:bCs/>
                <w:sz w:val="21"/>
                <w:szCs w:val="21"/>
                <w:lang w:val="es-ES"/>
              </w:rPr>
              <w:t>0</w:t>
            </w:r>
          </w:p>
        </w:tc>
        <w:tc>
          <w:tcPr>
            <w:tcW w:w="1339" w:type="dxa"/>
            <w:tcBorders>
              <w:top w:val="nil"/>
              <w:left w:val="nil"/>
              <w:bottom w:val="single" w:sz="4" w:space="0" w:color="auto"/>
              <w:right w:val="single" w:sz="4" w:space="0" w:color="auto"/>
            </w:tcBorders>
            <w:noWrap/>
            <w:vAlign w:val="center"/>
            <w:hideMark/>
          </w:tcPr>
          <w:p w14:paraId="29E25DE7" w14:textId="77777777" w:rsidR="003D49E9" w:rsidRPr="003D49E9" w:rsidRDefault="003D49E9">
            <w:pPr>
              <w:jc w:val="right"/>
              <w:rPr>
                <w:b/>
                <w:bCs/>
                <w:sz w:val="21"/>
                <w:szCs w:val="21"/>
                <w:lang w:val="es-ES"/>
              </w:rPr>
            </w:pPr>
            <w:r w:rsidRPr="003D49E9">
              <w:rPr>
                <w:b/>
                <w:bCs/>
                <w:sz w:val="21"/>
                <w:szCs w:val="21"/>
                <w:lang w:val="es-ES"/>
              </w:rPr>
              <w:t>0</w:t>
            </w:r>
          </w:p>
        </w:tc>
        <w:tc>
          <w:tcPr>
            <w:tcW w:w="1338" w:type="dxa"/>
            <w:tcBorders>
              <w:top w:val="nil"/>
              <w:left w:val="nil"/>
              <w:bottom w:val="single" w:sz="4" w:space="0" w:color="auto"/>
              <w:right w:val="single" w:sz="4" w:space="0" w:color="auto"/>
            </w:tcBorders>
            <w:noWrap/>
            <w:vAlign w:val="center"/>
            <w:hideMark/>
          </w:tcPr>
          <w:p w14:paraId="6C3933F1" w14:textId="77777777" w:rsidR="003D49E9" w:rsidRPr="003D49E9" w:rsidRDefault="003D49E9">
            <w:pPr>
              <w:jc w:val="right"/>
              <w:rPr>
                <w:b/>
                <w:bCs/>
                <w:sz w:val="21"/>
                <w:szCs w:val="21"/>
                <w:lang w:val="es-ES"/>
              </w:rPr>
            </w:pPr>
            <w:r w:rsidRPr="003D49E9">
              <w:rPr>
                <w:b/>
                <w:bCs/>
                <w:sz w:val="21"/>
                <w:szCs w:val="21"/>
                <w:lang w:val="es-ES"/>
              </w:rPr>
              <w:t>0</w:t>
            </w:r>
          </w:p>
        </w:tc>
        <w:tc>
          <w:tcPr>
            <w:tcW w:w="1339" w:type="dxa"/>
            <w:tcBorders>
              <w:top w:val="nil"/>
              <w:left w:val="nil"/>
              <w:bottom w:val="single" w:sz="4" w:space="0" w:color="auto"/>
              <w:right w:val="single" w:sz="4" w:space="0" w:color="auto"/>
            </w:tcBorders>
            <w:noWrap/>
            <w:vAlign w:val="center"/>
            <w:hideMark/>
          </w:tcPr>
          <w:p w14:paraId="698A9A43" w14:textId="77777777" w:rsidR="003D49E9" w:rsidRPr="003D49E9" w:rsidRDefault="003D49E9">
            <w:pPr>
              <w:jc w:val="right"/>
              <w:rPr>
                <w:b/>
                <w:bCs/>
                <w:sz w:val="21"/>
                <w:szCs w:val="21"/>
                <w:lang w:val="es-ES"/>
              </w:rPr>
            </w:pPr>
            <w:r w:rsidRPr="003D49E9">
              <w:rPr>
                <w:b/>
                <w:bCs/>
                <w:sz w:val="21"/>
                <w:szCs w:val="21"/>
                <w:lang w:val="es-ES"/>
              </w:rPr>
              <w:t>0</w:t>
            </w:r>
          </w:p>
        </w:tc>
        <w:tc>
          <w:tcPr>
            <w:tcW w:w="1339" w:type="dxa"/>
            <w:tcBorders>
              <w:top w:val="nil"/>
              <w:left w:val="nil"/>
              <w:bottom w:val="single" w:sz="4" w:space="0" w:color="auto"/>
              <w:right w:val="single" w:sz="4" w:space="0" w:color="auto"/>
            </w:tcBorders>
            <w:noWrap/>
            <w:vAlign w:val="center"/>
            <w:hideMark/>
          </w:tcPr>
          <w:p w14:paraId="054CE3F8" w14:textId="77777777" w:rsidR="003D49E9" w:rsidRPr="003D49E9" w:rsidRDefault="003D49E9">
            <w:pPr>
              <w:jc w:val="right"/>
              <w:rPr>
                <w:b/>
                <w:bCs/>
                <w:sz w:val="21"/>
                <w:szCs w:val="21"/>
                <w:lang w:val="es-ES"/>
              </w:rPr>
            </w:pPr>
            <w:r w:rsidRPr="003D49E9">
              <w:rPr>
                <w:b/>
                <w:bCs/>
                <w:sz w:val="21"/>
                <w:szCs w:val="21"/>
                <w:lang w:val="es-ES"/>
              </w:rPr>
              <w:t>30.000</w:t>
            </w:r>
          </w:p>
        </w:tc>
      </w:tr>
      <w:tr w:rsidR="003D49E9" w:rsidRPr="003D49E9" w14:paraId="6B4374CD"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2E36C8E0" w14:textId="77777777" w:rsidR="003D49E9" w:rsidRPr="003D49E9" w:rsidRDefault="003D49E9">
            <w:pPr>
              <w:jc w:val="left"/>
              <w:rPr>
                <w:b/>
                <w:bCs/>
                <w:sz w:val="21"/>
                <w:szCs w:val="21"/>
                <w:lang w:val="es-ES"/>
              </w:rPr>
            </w:pPr>
            <w:r w:rsidRPr="003D49E9">
              <w:rPr>
                <w:b/>
                <w:bCs/>
                <w:sz w:val="21"/>
                <w:szCs w:val="21"/>
                <w:lang w:val="es-ES"/>
              </w:rPr>
              <w:t>Total</w:t>
            </w:r>
          </w:p>
        </w:tc>
        <w:tc>
          <w:tcPr>
            <w:tcW w:w="1338" w:type="dxa"/>
            <w:tcBorders>
              <w:top w:val="nil"/>
              <w:left w:val="nil"/>
              <w:bottom w:val="single" w:sz="4" w:space="0" w:color="auto"/>
              <w:right w:val="single" w:sz="4" w:space="0" w:color="auto"/>
            </w:tcBorders>
            <w:noWrap/>
            <w:vAlign w:val="center"/>
            <w:hideMark/>
          </w:tcPr>
          <w:p w14:paraId="06C4FFE3" w14:textId="77777777" w:rsidR="003D49E9" w:rsidRPr="003D49E9" w:rsidRDefault="003D49E9">
            <w:pPr>
              <w:jc w:val="right"/>
              <w:rPr>
                <w:b/>
                <w:bCs/>
                <w:sz w:val="21"/>
                <w:szCs w:val="21"/>
                <w:lang w:val="es-ES"/>
              </w:rPr>
            </w:pPr>
            <w:r w:rsidRPr="003D49E9">
              <w:rPr>
                <w:b/>
                <w:bCs/>
                <w:sz w:val="21"/>
                <w:szCs w:val="21"/>
                <w:lang w:val="es-ES"/>
              </w:rPr>
              <w:t>2.026.566</w:t>
            </w:r>
          </w:p>
        </w:tc>
        <w:tc>
          <w:tcPr>
            <w:tcW w:w="1339" w:type="dxa"/>
            <w:tcBorders>
              <w:top w:val="nil"/>
              <w:left w:val="nil"/>
              <w:bottom w:val="single" w:sz="4" w:space="0" w:color="auto"/>
              <w:right w:val="single" w:sz="4" w:space="0" w:color="auto"/>
            </w:tcBorders>
            <w:noWrap/>
            <w:vAlign w:val="center"/>
            <w:hideMark/>
          </w:tcPr>
          <w:p w14:paraId="4E995805" w14:textId="77777777" w:rsidR="003D49E9" w:rsidRPr="003D49E9" w:rsidRDefault="003D49E9">
            <w:pPr>
              <w:jc w:val="right"/>
              <w:rPr>
                <w:b/>
                <w:bCs/>
                <w:sz w:val="21"/>
                <w:szCs w:val="21"/>
                <w:lang w:val="es-ES"/>
              </w:rPr>
            </w:pPr>
            <w:r w:rsidRPr="003D49E9">
              <w:rPr>
                <w:b/>
                <w:bCs/>
                <w:sz w:val="21"/>
                <w:szCs w:val="21"/>
                <w:lang w:val="es-ES"/>
              </w:rPr>
              <w:t>3.050.690</w:t>
            </w:r>
          </w:p>
        </w:tc>
        <w:tc>
          <w:tcPr>
            <w:tcW w:w="1338" w:type="dxa"/>
            <w:tcBorders>
              <w:top w:val="nil"/>
              <w:left w:val="nil"/>
              <w:bottom w:val="single" w:sz="4" w:space="0" w:color="auto"/>
              <w:right w:val="single" w:sz="4" w:space="0" w:color="auto"/>
            </w:tcBorders>
            <w:noWrap/>
            <w:vAlign w:val="center"/>
            <w:hideMark/>
          </w:tcPr>
          <w:p w14:paraId="6BD28644" w14:textId="77777777" w:rsidR="003D49E9" w:rsidRPr="003D49E9" w:rsidRDefault="003D49E9">
            <w:pPr>
              <w:jc w:val="right"/>
              <w:rPr>
                <w:b/>
                <w:bCs/>
                <w:sz w:val="21"/>
                <w:szCs w:val="21"/>
                <w:lang w:val="es-ES"/>
              </w:rPr>
            </w:pPr>
            <w:r w:rsidRPr="003D49E9">
              <w:rPr>
                <w:b/>
                <w:bCs/>
                <w:sz w:val="21"/>
                <w:szCs w:val="21"/>
                <w:lang w:val="es-ES"/>
              </w:rPr>
              <w:t>583.512</w:t>
            </w:r>
          </w:p>
        </w:tc>
        <w:tc>
          <w:tcPr>
            <w:tcW w:w="1339" w:type="dxa"/>
            <w:tcBorders>
              <w:top w:val="nil"/>
              <w:left w:val="nil"/>
              <w:bottom w:val="single" w:sz="4" w:space="0" w:color="auto"/>
              <w:right w:val="single" w:sz="4" w:space="0" w:color="auto"/>
            </w:tcBorders>
            <w:noWrap/>
            <w:vAlign w:val="center"/>
            <w:hideMark/>
          </w:tcPr>
          <w:p w14:paraId="0675BF5D" w14:textId="77777777" w:rsidR="003D49E9" w:rsidRPr="003D49E9" w:rsidRDefault="003D49E9">
            <w:pPr>
              <w:jc w:val="right"/>
              <w:rPr>
                <w:b/>
                <w:bCs/>
                <w:sz w:val="21"/>
                <w:szCs w:val="21"/>
                <w:lang w:val="es-ES"/>
              </w:rPr>
            </w:pPr>
            <w:r w:rsidRPr="003D49E9">
              <w:rPr>
                <w:b/>
                <w:bCs/>
                <w:sz w:val="21"/>
                <w:szCs w:val="21"/>
                <w:lang w:val="es-ES"/>
              </w:rPr>
              <w:t>5.660.768</w:t>
            </w:r>
          </w:p>
        </w:tc>
        <w:tc>
          <w:tcPr>
            <w:tcW w:w="1339" w:type="dxa"/>
            <w:tcBorders>
              <w:top w:val="nil"/>
              <w:left w:val="nil"/>
              <w:bottom w:val="single" w:sz="4" w:space="0" w:color="auto"/>
              <w:right w:val="single" w:sz="4" w:space="0" w:color="auto"/>
            </w:tcBorders>
            <w:noWrap/>
            <w:vAlign w:val="center"/>
            <w:hideMark/>
          </w:tcPr>
          <w:p w14:paraId="6E3B128C" w14:textId="77777777" w:rsidR="003D49E9" w:rsidRPr="003D49E9" w:rsidRDefault="003D49E9">
            <w:pPr>
              <w:jc w:val="right"/>
              <w:rPr>
                <w:b/>
                <w:bCs/>
                <w:sz w:val="21"/>
                <w:szCs w:val="21"/>
                <w:lang w:val="es-ES"/>
              </w:rPr>
            </w:pPr>
            <w:r w:rsidRPr="003D49E9">
              <w:rPr>
                <w:b/>
                <w:bCs/>
                <w:sz w:val="21"/>
                <w:szCs w:val="21"/>
                <w:lang w:val="es-ES"/>
              </w:rPr>
              <w:t>859.226</w:t>
            </w:r>
          </w:p>
        </w:tc>
      </w:tr>
    </w:tbl>
    <w:p w14:paraId="15E4C4B3" w14:textId="77777777" w:rsidR="003D49E9" w:rsidRPr="003D49E9" w:rsidRDefault="003D49E9" w:rsidP="003D49E9">
      <w:pPr>
        <w:rPr>
          <w:sz w:val="20"/>
          <w:szCs w:val="20"/>
          <w:lang w:val="es-ES"/>
        </w:rPr>
      </w:pPr>
      <w:r w:rsidRPr="003D49E9">
        <w:rPr>
          <w:sz w:val="20"/>
          <w:szCs w:val="20"/>
          <w:lang w:val="es-ES"/>
        </w:rPr>
        <w:t>* Incluidos los gastos de apoyo a los organismos.</w:t>
      </w:r>
    </w:p>
    <w:p w14:paraId="045AD3FC" w14:textId="10281F48" w:rsidR="003D49E9" w:rsidRDefault="003D49E9" w:rsidP="003D49E9">
      <w:pPr>
        <w:pStyle w:val="a--"/>
        <w:keepNext/>
        <w:tabs>
          <w:tab w:val="clear" w:pos="0"/>
        </w:tabs>
        <w:suppressAutoHyphens w:val="0"/>
        <w:rPr>
          <w:sz w:val="22"/>
          <w:szCs w:val="22"/>
        </w:rPr>
      </w:pPr>
    </w:p>
    <w:p w14:paraId="2B830C91" w14:textId="77777777" w:rsidR="003D49E9" w:rsidRDefault="003D49E9" w:rsidP="004B0807">
      <w:pPr>
        <w:pStyle w:val="a--"/>
        <w:keepNext/>
        <w:tabs>
          <w:tab w:val="clear" w:pos="0"/>
        </w:tabs>
        <w:suppressAutoHyphens w:val="0"/>
        <w:spacing w:after="240"/>
        <w:rPr>
          <w:sz w:val="22"/>
          <w:szCs w:val="22"/>
        </w:rPr>
      </w:pPr>
      <w:r>
        <w:rPr>
          <w:sz w:val="22"/>
          <w:szCs w:val="22"/>
        </w:rPr>
        <w:t>OBSERVACIONES</w:t>
      </w:r>
    </w:p>
    <w:p w14:paraId="73552D0F" w14:textId="77777777" w:rsidR="003D49E9" w:rsidRPr="003D49E9" w:rsidRDefault="003D49E9" w:rsidP="004B0807">
      <w:pPr>
        <w:pStyle w:val="Heading1"/>
        <w:numPr>
          <w:ilvl w:val="0"/>
          <w:numId w:val="21"/>
        </w:numPr>
        <w:rPr>
          <w:lang w:val="es-ES"/>
        </w:rPr>
      </w:pPr>
      <w:r w:rsidRPr="003D49E9">
        <w:rPr>
          <w:lang w:val="es-ES"/>
        </w:rPr>
        <w:t>La Secretaría examinó los planes administrativos de todos los organismos bilaterales, formuló observaciones sobre varias de las actividades propuestas y evaluó el valor de las actividades en relación con sus contribuciones anuales prometidas</w:t>
      </w:r>
      <w:r>
        <w:rPr>
          <w:rStyle w:val="FootnoteReference"/>
        </w:rPr>
        <w:footnoteReference w:id="5"/>
      </w:r>
      <w:r w:rsidRPr="003D49E9">
        <w:rPr>
          <w:lang w:val="es-ES"/>
        </w:rPr>
        <w:t xml:space="preserve">. </w:t>
      </w:r>
    </w:p>
    <w:p w14:paraId="67ADE5FD" w14:textId="77777777" w:rsidR="0080274B" w:rsidRDefault="0080274B" w:rsidP="004B0807">
      <w:pPr>
        <w:spacing w:after="240"/>
        <w:rPr>
          <w:b/>
          <w:bCs/>
        </w:rPr>
      </w:pPr>
      <w:r>
        <w:rPr>
          <w:b/>
          <w:bCs/>
        </w:rPr>
        <w:t>Australia</w:t>
      </w:r>
    </w:p>
    <w:p w14:paraId="2B318F65" w14:textId="77777777" w:rsidR="0080274B" w:rsidRPr="003D49E9" w:rsidRDefault="0080274B" w:rsidP="004B0807">
      <w:pPr>
        <w:pStyle w:val="Heading1"/>
        <w:numPr>
          <w:ilvl w:val="0"/>
          <w:numId w:val="21"/>
        </w:numPr>
        <w:rPr>
          <w:lang w:val="es-ES"/>
        </w:rPr>
      </w:pPr>
      <w:r w:rsidRPr="003D49E9">
        <w:rPr>
          <w:lang w:val="es-ES"/>
        </w:rPr>
        <w:t xml:space="preserve">En el Cuadro 2 se presenta la asignación de recursos del plan administrativo de Australia para </w:t>
      </w:r>
      <w:r>
        <w:rPr>
          <w:lang w:val="es-ES"/>
        </w:rPr>
        <w:t xml:space="preserve">el período </w:t>
      </w:r>
      <w:r w:rsidRPr="003D49E9">
        <w:rPr>
          <w:lang w:val="es-ES"/>
        </w:rPr>
        <w:t xml:space="preserve">2022-2024. Asumiendo un nivel de contribuciones prometidas similar al del período 2018-2020, el 20 por ciento de las contribuciones anuales prometidas por Australia para 2022 asciende a 1.177.933 $EUA. </w:t>
      </w:r>
    </w:p>
    <w:p w14:paraId="2756EF75" w14:textId="77777777" w:rsidR="0080274B" w:rsidRPr="003D49E9" w:rsidRDefault="0080274B" w:rsidP="0080274B">
      <w:pPr>
        <w:pStyle w:val="subhead"/>
        <w:keepNext/>
        <w:jc w:val="both"/>
        <w:rPr>
          <w:b/>
          <w:sz w:val="22"/>
          <w:szCs w:val="22"/>
        </w:rPr>
      </w:pPr>
      <w:r>
        <w:rPr>
          <w:b/>
          <w:sz w:val="22"/>
          <w:szCs w:val="22"/>
        </w:rPr>
        <w:lastRenderedPageBreak/>
        <w:t xml:space="preserve">Cuadro 2. </w:t>
      </w:r>
      <w:r w:rsidRPr="003D49E9">
        <w:rPr>
          <w:b/>
          <w:sz w:val="22"/>
          <w:szCs w:val="22"/>
        </w:rPr>
        <w:t>Asignación de recursos para Australia ($</w:t>
      </w:r>
      <w:proofErr w:type="gramStart"/>
      <w:r w:rsidRPr="003D49E9">
        <w:rPr>
          <w:b/>
          <w:sz w:val="22"/>
          <w:szCs w:val="22"/>
        </w:rPr>
        <w:t>EUA)*</w:t>
      </w:r>
      <w:proofErr w:type="gramEnd"/>
    </w:p>
    <w:tbl>
      <w:tblPr>
        <w:tblW w:w="9469" w:type="dxa"/>
        <w:tblInd w:w="-5" w:type="dxa"/>
        <w:tblLayout w:type="fixed"/>
        <w:tblLook w:val="04A0" w:firstRow="1" w:lastRow="0" w:firstColumn="1" w:lastColumn="0" w:noHBand="0" w:noVBand="1"/>
      </w:tblPr>
      <w:tblGrid>
        <w:gridCol w:w="2410"/>
        <w:gridCol w:w="1389"/>
        <w:gridCol w:w="1390"/>
        <w:gridCol w:w="1390"/>
        <w:gridCol w:w="1390"/>
        <w:gridCol w:w="1500"/>
      </w:tblGrid>
      <w:tr w:rsidR="0080274B" w:rsidRPr="003D49E9" w14:paraId="2BBD433C" w14:textId="77777777" w:rsidTr="00366B50">
        <w:trPr>
          <w:trHeight w:val="208"/>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4D2D2635" w14:textId="77777777" w:rsidR="0080274B" w:rsidRPr="003D49E9" w:rsidRDefault="0080274B" w:rsidP="003A6588">
            <w:pPr>
              <w:keepNext/>
              <w:jc w:val="left"/>
              <w:rPr>
                <w:b/>
                <w:bCs/>
                <w:sz w:val="21"/>
                <w:szCs w:val="21"/>
                <w:lang w:val="es-ES"/>
              </w:rPr>
            </w:pPr>
            <w:r w:rsidRPr="003D49E9">
              <w:rPr>
                <w:b/>
                <w:bCs/>
                <w:sz w:val="21"/>
                <w:szCs w:val="21"/>
                <w:lang w:val="es-ES"/>
              </w:rPr>
              <w:t>Descripción</w:t>
            </w:r>
          </w:p>
        </w:tc>
        <w:tc>
          <w:tcPr>
            <w:tcW w:w="1389" w:type="dxa"/>
            <w:tcBorders>
              <w:top w:val="single" w:sz="4" w:space="0" w:color="auto"/>
              <w:left w:val="nil"/>
              <w:bottom w:val="single" w:sz="4" w:space="0" w:color="auto"/>
              <w:right w:val="single" w:sz="4" w:space="0" w:color="auto"/>
            </w:tcBorders>
            <w:vAlign w:val="center"/>
            <w:hideMark/>
          </w:tcPr>
          <w:p w14:paraId="581F9CC3" w14:textId="77777777" w:rsidR="0080274B" w:rsidRPr="003D49E9" w:rsidRDefault="0080274B" w:rsidP="003A6588">
            <w:pPr>
              <w:keepNext/>
              <w:jc w:val="center"/>
              <w:rPr>
                <w:b/>
                <w:bCs/>
                <w:sz w:val="21"/>
                <w:szCs w:val="21"/>
                <w:lang w:val="es-ES"/>
              </w:rPr>
            </w:pPr>
            <w:r w:rsidRPr="003D49E9">
              <w:rPr>
                <w:b/>
                <w:bCs/>
                <w:sz w:val="21"/>
                <w:szCs w:val="21"/>
                <w:lang w:val="es-ES"/>
              </w:rPr>
              <w:t>2022</w:t>
            </w:r>
          </w:p>
        </w:tc>
        <w:tc>
          <w:tcPr>
            <w:tcW w:w="1390" w:type="dxa"/>
            <w:tcBorders>
              <w:top w:val="single" w:sz="4" w:space="0" w:color="auto"/>
              <w:left w:val="nil"/>
              <w:bottom w:val="single" w:sz="4" w:space="0" w:color="auto"/>
              <w:right w:val="single" w:sz="4" w:space="0" w:color="auto"/>
            </w:tcBorders>
            <w:vAlign w:val="center"/>
            <w:hideMark/>
          </w:tcPr>
          <w:p w14:paraId="4FCDD90E" w14:textId="77777777" w:rsidR="0080274B" w:rsidRPr="003D49E9" w:rsidRDefault="0080274B" w:rsidP="003A6588">
            <w:pPr>
              <w:keepNext/>
              <w:jc w:val="center"/>
              <w:rPr>
                <w:b/>
                <w:bCs/>
                <w:sz w:val="21"/>
                <w:szCs w:val="21"/>
                <w:lang w:val="es-ES"/>
              </w:rPr>
            </w:pPr>
            <w:r w:rsidRPr="003D49E9">
              <w:rPr>
                <w:b/>
                <w:bCs/>
                <w:sz w:val="21"/>
                <w:szCs w:val="21"/>
                <w:lang w:val="es-ES"/>
              </w:rPr>
              <w:t>2023</w:t>
            </w:r>
          </w:p>
        </w:tc>
        <w:tc>
          <w:tcPr>
            <w:tcW w:w="1390" w:type="dxa"/>
            <w:tcBorders>
              <w:top w:val="single" w:sz="4" w:space="0" w:color="auto"/>
              <w:left w:val="nil"/>
              <w:bottom w:val="single" w:sz="4" w:space="0" w:color="auto"/>
              <w:right w:val="single" w:sz="4" w:space="0" w:color="auto"/>
            </w:tcBorders>
            <w:vAlign w:val="center"/>
            <w:hideMark/>
          </w:tcPr>
          <w:p w14:paraId="270CBD5D" w14:textId="77777777" w:rsidR="0080274B" w:rsidRPr="003D49E9" w:rsidRDefault="0080274B" w:rsidP="003A6588">
            <w:pPr>
              <w:keepNext/>
              <w:jc w:val="center"/>
              <w:rPr>
                <w:b/>
                <w:bCs/>
                <w:sz w:val="21"/>
                <w:szCs w:val="21"/>
                <w:lang w:val="es-ES"/>
              </w:rPr>
            </w:pPr>
            <w:r w:rsidRPr="003D49E9">
              <w:rPr>
                <w:b/>
                <w:bCs/>
                <w:sz w:val="21"/>
                <w:szCs w:val="21"/>
                <w:lang w:val="es-ES"/>
              </w:rPr>
              <w:t>2024</w:t>
            </w:r>
          </w:p>
        </w:tc>
        <w:tc>
          <w:tcPr>
            <w:tcW w:w="1390" w:type="dxa"/>
            <w:tcBorders>
              <w:top w:val="single" w:sz="4" w:space="0" w:color="auto"/>
              <w:left w:val="nil"/>
              <w:bottom w:val="single" w:sz="4" w:space="0" w:color="auto"/>
              <w:right w:val="single" w:sz="4" w:space="0" w:color="auto"/>
            </w:tcBorders>
            <w:vAlign w:val="center"/>
            <w:hideMark/>
          </w:tcPr>
          <w:p w14:paraId="2EC95301" w14:textId="77777777" w:rsidR="0080274B" w:rsidRPr="003D49E9" w:rsidRDefault="0080274B" w:rsidP="003A6588">
            <w:pPr>
              <w:keepNext/>
              <w:jc w:val="center"/>
              <w:rPr>
                <w:b/>
                <w:bCs/>
                <w:sz w:val="21"/>
                <w:szCs w:val="21"/>
                <w:lang w:val="es-ES"/>
              </w:rPr>
            </w:pPr>
            <w:r w:rsidRPr="003D49E9">
              <w:rPr>
                <w:b/>
                <w:bCs/>
                <w:sz w:val="21"/>
                <w:szCs w:val="21"/>
                <w:lang w:val="es-ES"/>
              </w:rPr>
              <w:t xml:space="preserve">Total </w:t>
            </w:r>
          </w:p>
          <w:p w14:paraId="7C822C5E" w14:textId="77777777" w:rsidR="0080274B" w:rsidRPr="003D49E9" w:rsidRDefault="0080274B" w:rsidP="003A6588">
            <w:pPr>
              <w:keepNext/>
              <w:jc w:val="center"/>
              <w:rPr>
                <w:b/>
                <w:bCs/>
                <w:sz w:val="21"/>
                <w:szCs w:val="21"/>
                <w:lang w:val="es-ES"/>
              </w:rPr>
            </w:pPr>
            <w:r w:rsidRPr="003D49E9">
              <w:rPr>
                <w:b/>
                <w:bCs/>
                <w:sz w:val="21"/>
                <w:szCs w:val="21"/>
                <w:lang w:val="es-ES"/>
              </w:rPr>
              <w:t>(2022</w:t>
            </w:r>
            <w:r w:rsidRPr="003D49E9">
              <w:rPr>
                <w:b/>
                <w:sz w:val="21"/>
                <w:szCs w:val="21"/>
                <w:lang w:val="es-ES"/>
              </w:rPr>
              <w:t>–</w:t>
            </w:r>
            <w:r w:rsidRPr="003D49E9">
              <w:rPr>
                <w:b/>
                <w:bCs/>
                <w:sz w:val="21"/>
                <w:szCs w:val="21"/>
                <w:lang w:val="es-ES"/>
              </w:rPr>
              <w:t>2024)</w:t>
            </w:r>
          </w:p>
        </w:tc>
        <w:tc>
          <w:tcPr>
            <w:tcW w:w="1500" w:type="dxa"/>
            <w:tcBorders>
              <w:top w:val="single" w:sz="4" w:space="0" w:color="auto"/>
              <w:left w:val="nil"/>
              <w:bottom w:val="single" w:sz="4" w:space="0" w:color="auto"/>
              <w:right w:val="single" w:sz="4" w:space="0" w:color="auto"/>
            </w:tcBorders>
            <w:vAlign w:val="center"/>
            <w:hideMark/>
          </w:tcPr>
          <w:p w14:paraId="28ED1EA4" w14:textId="77777777" w:rsidR="0080274B" w:rsidRPr="003D49E9" w:rsidRDefault="0080274B" w:rsidP="003A6588">
            <w:pPr>
              <w:keepNext/>
              <w:jc w:val="center"/>
              <w:rPr>
                <w:b/>
                <w:bCs/>
                <w:sz w:val="21"/>
                <w:szCs w:val="21"/>
                <w:lang w:val="es-ES"/>
              </w:rPr>
            </w:pPr>
            <w:r w:rsidRPr="003D49E9">
              <w:rPr>
                <w:b/>
                <w:bCs/>
                <w:sz w:val="21"/>
                <w:szCs w:val="21"/>
                <w:lang w:val="es-ES"/>
              </w:rPr>
              <w:t>Total después de 2024</w:t>
            </w:r>
          </w:p>
        </w:tc>
      </w:tr>
      <w:tr w:rsidR="0080274B" w:rsidRPr="000755F8" w14:paraId="3C7CB281" w14:textId="77777777" w:rsidTr="00366B50">
        <w:trPr>
          <w:trHeight w:val="99"/>
        </w:trPr>
        <w:tc>
          <w:tcPr>
            <w:tcW w:w="9469" w:type="dxa"/>
            <w:gridSpan w:val="6"/>
            <w:tcBorders>
              <w:top w:val="single" w:sz="4" w:space="0" w:color="auto"/>
              <w:left w:val="single" w:sz="4" w:space="0" w:color="auto"/>
              <w:bottom w:val="single" w:sz="4" w:space="0" w:color="auto"/>
              <w:right w:val="single" w:sz="4" w:space="0" w:color="auto"/>
            </w:tcBorders>
            <w:noWrap/>
            <w:hideMark/>
          </w:tcPr>
          <w:p w14:paraId="16C91D7B" w14:textId="77777777" w:rsidR="0080274B" w:rsidRPr="003D49E9" w:rsidRDefault="0080274B" w:rsidP="003A6588">
            <w:pPr>
              <w:keepNext/>
              <w:jc w:val="left"/>
              <w:rPr>
                <w:b/>
                <w:bCs/>
                <w:sz w:val="21"/>
                <w:szCs w:val="21"/>
                <w:lang w:val="es-ES"/>
              </w:rPr>
            </w:pPr>
            <w:r w:rsidRPr="003D49E9">
              <w:rPr>
                <w:b/>
                <w:bCs/>
                <w:sz w:val="21"/>
                <w:szCs w:val="21"/>
                <w:lang w:val="es-ES"/>
              </w:rPr>
              <w:t>Actividades relacionadas con los HCFC</w:t>
            </w:r>
          </w:p>
        </w:tc>
      </w:tr>
      <w:tr w:rsidR="0080274B" w:rsidRPr="003D49E9" w14:paraId="2A7C113C" w14:textId="77777777" w:rsidTr="00366B50">
        <w:trPr>
          <w:trHeight w:val="144"/>
        </w:trPr>
        <w:tc>
          <w:tcPr>
            <w:tcW w:w="2410" w:type="dxa"/>
            <w:tcBorders>
              <w:top w:val="nil"/>
              <w:left w:val="single" w:sz="4" w:space="0" w:color="auto"/>
              <w:bottom w:val="single" w:sz="4" w:space="0" w:color="auto"/>
              <w:right w:val="single" w:sz="4" w:space="0" w:color="auto"/>
            </w:tcBorders>
            <w:noWrap/>
            <w:vAlign w:val="center"/>
            <w:hideMark/>
          </w:tcPr>
          <w:p w14:paraId="16D8C8E5" w14:textId="77777777" w:rsidR="0080274B" w:rsidRPr="003D49E9" w:rsidRDefault="0080274B" w:rsidP="003A6588">
            <w:pPr>
              <w:keepNext/>
              <w:jc w:val="left"/>
              <w:rPr>
                <w:sz w:val="21"/>
                <w:szCs w:val="21"/>
                <w:lang w:val="es-ES"/>
              </w:rPr>
            </w:pPr>
            <w:r w:rsidRPr="003D49E9">
              <w:rPr>
                <w:sz w:val="21"/>
                <w:szCs w:val="21"/>
                <w:lang w:val="es-ES"/>
              </w:rPr>
              <w:t>PGEH aprobados</w:t>
            </w:r>
          </w:p>
        </w:tc>
        <w:tc>
          <w:tcPr>
            <w:tcW w:w="1389" w:type="dxa"/>
            <w:tcBorders>
              <w:top w:val="nil"/>
              <w:left w:val="nil"/>
              <w:bottom w:val="single" w:sz="4" w:space="0" w:color="auto"/>
              <w:right w:val="single" w:sz="4" w:space="0" w:color="auto"/>
            </w:tcBorders>
            <w:noWrap/>
            <w:hideMark/>
          </w:tcPr>
          <w:p w14:paraId="159FBE5A" w14:textId="77777777" w:rsidR="0080274B" w:rsidRPr="003D49E9" w:rsidRDefault="0080274B" w:rsidP="003A6588">
            <w:pPr>
              <w:keepNext/>
              <w:jc w:val="right"/>
              <w:rPr>
                <w:sz w:val="21"/>
                <w:szCs w:val="21"/>
                <w:lang w:val="es-ES"/>
              </w:rPr>
            </w:pPr>
            <w:r w:rsidRPr="003D49E9">
              <w:rPr>
                <w:sz w:val="21"/>
                <w:szCs w:val="21"/>
                <w:lang w:val="es-ES"/>
              </w:rPr>
              <w:t>0</w:t>
            </w:r>
          </w:p>
        </w:tc>
        <w:tc>
          <w:tcPr>
            <w:tcW w:w="1390" w:type="dxa"/>
            <w:tcBorders>
              <w:top w:val="nil"/>
              <w:left w:val="nil"/>
              <w:bottom w:val="single" w:sz="4" w:space="0" w:color="auto"/>
              <w:right w:val="single" w:sz="4" w:space="0" w:color="auto"/>
            </w:tcBorders>
            <w:noWrap/>
            <w:hideMark/>
          </w:tcPr>
          <w:p w14:paraId="2C564F46" w14:textId="77777777" w:rsidR="0080274B" w:rsidRPr="003D49E9" w:rsidRDefault="0080274B" w:rsidP="003A6588">
            <w:pPr>
              <w:keepNext/>
              <w:jc w:val="right"/>
              <w:rPr>
                <w:sz w:val="21"/>
                <w:szCs w:val="21"/>
                <w:lang w:val="es-ES"/>
              </w:rPr>
            </w:pPr>
            <w:r w:rsidRPr="003D49E9">
              <w:rPr>
                <w:sz w:val="21"/>
                <w:szCs w:val="21"/>
                <w:lang w:val="es-ES"/>
              </w:rPr>
              <w:t>0</w:t>
            </w:r>
          </w:p>
        </w:tc>
        <w:tc>
          <w:tcPr>
            <w:tcW w:w="1390" w:type="dxa"/>
            <w:tcBorders>
              <w:top w:val="nil"/>
              <w:left w:val="nil"/>
              <w:bottom w:val="single" w:sz="4" w:space="0" w:color="auto"/>
              <w:right w:val="single" w:sz="4" w:space="0" w:color="auto"/>
            </w:tcBorders>
            <w:noWrap/>
            <w:hideMark/>
          </w:tcPr>
          <w:p w14:paraId="062BFC56" w14:textId="77777777" w:rsidR="0080274B" w:rsidRPr="003D49E9" w:rsidRDefault="0080274B" w:rsidP="003A6588">
            <w:pPr>
              <w:keepNext/>
              <w:jc w:val="right"/>
              <w:rPr>
                <w:sz w:val="21"/>
                <w:szCs w:val="21"/>
                <w:lang w:val="es-ES"/>
              </w:rPr>
            </w:pPr>
            <w:r w:rsidRPr="003D49E9">
              <w:rPr>
                <w:sz w:val="21"/>
                <w:szCs w:val="21"/>
                <w:lang w:val="es-ES"/>
              </w:rPr>
              <w:t>0</w:t>
            </w:r>
          </w:p>
        </w:tc>
        <w:tc>
          <w:tcPr>
            <w:tcW w:w="1390" w:type="dxa"/>
            <w:tcBorders>
              <w:top w:val="nil"/>
              <w:left w:val="nil"/>
              <w:bottom w:val="single" w:sz="4" w:space="0" w:color="auto"/>
              <w:right w:val="single" w:sz="4" w:space="0" w:color="auto"/>
            </w:tcBorders>
            <w:noWrap/>
            <w:hideMark/>
          </w:tcPr>
          <w:p w14:paraId="607C22CB" w14:textId="77777777" w:rsidR="0080274B" w:rsidRPr="003D49E9" w:rsidRDefault="0080274B" w:rsidP="003A6588">
            <w:pPr>
              <w:keepNext/>
              <w:jc w:val="right"/>
              <w:rPr>
                <w:sz w:val="21"/>
                <w:szCs w:val="21"/>
                <w:lang w:val="es-ES"/>
              </w:rPr>
            </w:pPr>
            <w:r w:rsidRPr="003D49E9">
              <w:rPr>
                <w:sz w:val="21"/>
                <w:szCs w:val="21"/>
                <w:lang w:val="es-ES"/>
              </w:rPr>
              <w:t>0</w:t>
            </w:r>
          </w:p>
        </w:tc>
        <w:tc>
          <w:tcPr>
            <w:tcW w:w="1500" w:type="dxa"/>
            <w:tcBorders>
              <w:top w:val="nil"/>
              <w:left w:val="nil"/>
              <w:bottom w:val="single" w:sz="4" w:space="0" w:color="auto"/>
              <w:right w:val="single" w:sz="4" w:space="0" w:color="auto"/>
            </w:tcBorders>
            <w:noWrap/>
            <w:hideMark/>
          </w:tcPr>
          <w:p w14:paraId="154F9E64" w14:textId="77777777" w:rsidR="0080274B" w:rsidRPr="003D49E9" w:rsidRDefault="0080274B" w:rsidP="003A6588">
            <w:pPr>
              <w:keepNext/>
              <w:jc w:val="right"/>
              <w:rPr>
                <w:sz w:val="21"/>
                <w:szCs w:val="21"/>
                <w:lang w:val="es-ES"/>
              </w:rPr>
            </w:pPr>
            <w:r w:rsidRPr="003D49E9">
              <w:rPr>
                <w:sz w:val="21"/>
                <w:szCs w:val="21"/>
                <w:lang w:val="es-ES"/>
              </w:rPr>
              <w:t>152.497</w:t>
            </w:r>
          </w:p>
        </w:tc>
      </w:tr>
      <w:tr w:rsidR="0080274B" w14:paraId="7FA928C6" w14:textId="77777777" w:rsidTr="00366B50">
        <w:trPr>
          <w:trHeight w:val="58"/>
        </w:trPr>
        <w:tc>
          <w:tcPr>
            <w:tcW w:w="2410" w:type="dxa"/>
            <w:tcBorders>
              <w:top w:val="nil"/>
              <w:left w:val="single" w:sz="4" w:space="0" w:color="auto"/>
              <w:bottom w:val="single" w:sz="4" w:space="0" w:color="auto"/>
              <w:right w:val="single" w:sz="4" w:space="0" w:color="auto"/>
            </w:tcBorders>
            <w:noWrap/>
            <w:hideMark/>
          </w:tcPr>
          <w:p w14:paraId="74ADF965" w14:textId="77777777" w:rsidR="0080274B" w:rsidRDefault="0080274B" w:rsidP="003A6588">
            <w:pPr>
              <w:keepNext/>
              <w:jc w:val="left"/>
              <w:rPr>
                <w:b/>
                <w:bCs/>
                <w:sz w:val="21"/>
                <w:szCs w:val="21"/>
              </w:rPr>
            </w:pPr>
            <w:r>
              <w:rPr>
                <w:b/>
                <w:bCs/>
                <w:sz w:val="21"/>
                <w:szCs w:val="21"/>
              </w:rPr>
              <w:t>Total</w:t>
            </w:r>
          </w:p>
        </w:tc>
        <w:tc>
          <w:tcPr>
            <w:tcW w:w="1389" w:type="dxa"/>
            <w:tcBorders>
              <w:top w:val="nil"/>
              <w:left w:val="nil"/>
              <w:bottom w:val="single" w:sz="4" w:space="0" w:color="auto"/>
              <w:right w:val="single" w:sz="4" w:space="0" w:color="auto"/>
            </w:tcBorders>
            <w:noWrap/>
            <w:hideMark/>
          </w:tcPr>
          <w:p w14:paraId="51458649" w14:textId="77777777" w:rsidR="0080274B" w:rsidRDefault="0080274B" w:rsidP="003A6588">
            <w:pPr>
              <w:keepNext/>
              <w:jc w:val="right"/>
              <w:rPr>
                <w:b/>
                <w:sz w:val="21"/>
                <w:szCs w:val="21"/>
              </w:rPr>
            </w:pPr>
            <w:r>
              <w:rPr>
                <w:b/>
                <w:sz w:val="21"/>
                <w:szCs w:val="21"/>
              </w:rPr>
              <w:t>0</w:t>
            </w:r>
          </w:p>
        </w:tc>
        <w:tc>
          <w:tcPr>
            <w:tcW w:w="1390" w:type="dxa"/>
            <w:tcBorders>
              <w:top w:val="nil"/>
              <w:left w:val="nil"/>
              <w:bottom w:val="single" w:sz="4" w:space="0" w:color="auto"/>
              <w:right w:val="single" w:sz="4" w:space="0" w:color="auto"/>
            </w:tcBorders>
            <w:noWrap/>
            <w:hideMark/>
          </w:tcPr>
          <w:p w14:paraId="733D7C41" w14:textId="77777777" w:rsidR="0080274B" w:rsidRDefault="0080274B" w:rsidP="003A6588">
            <w:pPr>
              <w:keepNext/>
              <w:jc w:val="right"/>
              <w:rPr>
                <w:b/>
                <w:sz w:val="21"/>
                <w:szCs w:val="21"/>
              </w:rPr>
            </w:pPr>
            <w:r>
              <w:rPr>
                <w:b/>
                <w:sz w:val="21"/>
                <w:szCs w:val="21"/>
              </w:rPr>
              <w:t>0</w:t>
            </w:r>
          </w:p>
        </w:tc>
        <w:tc>
          <w:tcPr>
            <w:tcW w:w="1390" w:type="dxa"/>
            <w:tcBorders>
              <w:top w:val="nil"/>
              <w:left w:val="nil"/>
              <w:bottom w:val="single" w:sz="4" w:space="0" w:color="auto"/>
              <w:right w:val="single" w:sz="4" w:space="0" w:color="auto"/>
            </w:tcBorders>
            <w:noWrap/>
            <w:hideMark/>
          </w:tcPr>
          <w:p w14:paraId="18D4AC5F" w14:textId="77777777" w:rsidR="0080274B" w:rsidRDefault="0080274B" w:rsidP="003A6588">
            <w:pPr>
              <w:keepNext/>
              <w:jc w:val="right"/>
              <w:rPr>
                <w:b/>
                <w:sz w:val="21"/>
                <w:szCs w:val="21"/>
              </w:rPr>
            </w:pPr>
            <w:r>
              <w:rPr>
                <w:b/>
                <w:sz w:val="21"/>
                <w:szCs w:val="21"/>
              </w:rPr>
              <w:t>0</w:t>
            </w:r>
          </w:p>
        </w:tc>
        <w:tc>
          <w:tcPr>
            <w:tcW w:w="1390" w:type="dxa"/>
            <w:tcBorders>
              <w:top w:val="nil"/>
              <w:left w:val="nil"/>
              <w:bottom w:val="single" w:sz="4" w:space="0" w:color="auto"/>
              <w:right w:val="single" w:sz="4" w:space="0" w:color="auto"/>
            </w:tcBorders>
            <w:noWrap/>
            <w:hideMark/>
          </w:tcPr>
          <w:p w14:paraId="31E57B93" w14:textId="77777777" w:rsidR="0080274B" w:rsidRDefault="0080274B" w:rsidP="003A6588">
            <w:pPr>
              <w:keepNext/>
              <w:jc w:val="right"/>
              <w:rPr>
                <w:b/>
                <w:sz w:val="21"/>
                <w:szCs w:val="21"/>
              </w:rPr>
            </w:pPr>
            <w:r>
              <w:rPr>
                <w:b/>
                <w:sz w:val="21"/>
                <w:szCs w:val="21"/>
              </w:rPr>
              <w:t>0</w:t>
            </w:r>
          </w:p>
        </w:tc>
        <w:tc>
          <w:tcPr>
            <w:tcW w:w="1500" w:type="dxa"/>
            <w:tcBorders>
              <w:top w:val="nil"/>
              <w:left w:val="nil"/>
              <w:bottom w:val="single" w:sz="4" w:space="0" w:color="auto"/>
              <w:right w:val="single" w:sz="4" w:space="0" w:color="auto"/>
            </w:tcBorders>
            <w:noWrap/>
            <w:hideMark/>
          </w:tcPr>
          <w:p w14:paraId="4BC27FAF" w14:textId="77777777" w:rsidR="0080274B" w:rsidRDefault="0080274B" w:rsidP="003A6588">
            <w:pPr>
              <w:keepNext/>
              <w:jc w:val="right"/>
              <w:rPr>
                <w:b/>
                <w:sz w:val="21"/>
                <w:szCs w:val="21"/>
              </w:rPr>
            </w:pPr>
            <w:r>
              <w:rPr>
                <w:b/>
                <w:sz w:val="21"/>
                <w:szCs w:val="21"/>
              </w:rPr>
              <w:t>152.497</w:t>
            </w:r>
          </w:p>
        </w:tc>
      </w:tr>
    </w:tbl>
    <w:p w14:paraId="178E29B8" w14:textId="77777777" w:rsidR="0080274B" w:rsidRPr="003D49E9" w:rsidRDefault="0080274B" w:rsidP="0080274B">
      <w:pPr>
        <w:keepNext/>
        <w:rPr>
          <w:sz w:val="20"/>
          <w:szCs w:val="20"/>
          <w:lang w:val="es-ES"/>
        </w:rPr>
      </w:pPr>
      <w:r w:rsidRPr="003D49E9">
        <w:rPr>
          <w:sz w:val="20"/>
          <w:szCs w:val="20"/>
          <w:lang w:val="es-ES"/>
        </w:rPr>
        <w:t>* Incluidos los gastos de apoyo a los organismos.</w:t>
      </w:r>
    </w:p>
    <w:p w14:paraId="43E34000" w14:textId="77777777" w:rsidR="0080274B" w:rsidRPr="003D49E9" w:rsidRDefault="0080274B" w:rsidP="0080274B">
      <w:pPr>
        <w:rPr>
          <w:b/>
          <w:bCs/>
          <w:lang w:val="es-ES"/>
        </w:rPr>
      </w:pPr>
    </w:p>
    <w:p w14:paraId="001B16C5" w14:textId="77777777" w:rsidR="0080274B" w:rsidRDefault="0080274B" w:rsidP="004B0807">
      <w:pPr>
        <w:keepNext/>
        <w:keepLines/>
        <w:widowControl w:val="0"/>
        <w:spacing w:after="240"/>
        <w:rPr>
          <w:b/>
          <w:bCs/>
        </w:rPr>
      </w:pPr>
      <w:r>
        <w:rPr>
          <w:b/>
          <w:bCs/>
        </w:rPr>
        <w:t>Austria</w:t>
      </w:r>
    </w:p>
    <w:p w14:paraId="2A454415" w14:textId="126989CC" w:rsidR="0080274B" w:rsidRPr="003D49E9" w:rsidRDefault="0080274B" w:rsidP="004B0807">
      <w:pPr>
        <w:pStyle w:val="Heading1"/>
        <w:keepNext/>
        <w:keepLines/>
        <w:widowControl w:val="0"/>
        <w:numPr>
          <w:ilvl w:val="0"/>
          <w:numId w:val="21"/>
        </w:numPr>
        <w:rPr>
          <w:lang w:val="es-ES"/>
        </w:rPr>
      </w:pPr>
      <w:r w:rsidRPr="003D49E9">
        <w:rPr>
          <w:lang w:val="es-ES"/>
        </w:rPr>
        <w:t xml:space="preserve">En el Cuadro 3 se presenta la asignación de recursos del plan administrativo de Austria para </w:t>
      </w:r>
      <w:r>
        <w:rPr>
          <w:lang w:val="es-ES"/>
        </w:rPr>
        <w:t xml:space="preserve">el período </w:t>
      </w:r>
      <w:r w:rsidRPr="003D49E9">
        <w:rPr>
          <w:caps/>
          <w:lang w:val="es-ES"/>
        </w:rPr>
        <w:t>2022</w:t>
      </w:r>
      <w:r w:rsidRPr="003D49E9">
        <w:rPr>
          <w:lang w:val="es-ES"/>
        </w:rPr>
        <w:t xml:space="preserve">-2024. Asumiendo un nivel de contribuciones prometidas similar al </w:t>
      </w:r>
      <w:r>
        <w:rPr>
          <w:lang w:val="es-ES"/>
        </w:rPr>
        <w:t>de</w:t>
      </w:r>
      <w:r w:rsidRPr="003D49E9">
        <w:rPr>
          <w:lang w:val="es-ES"/>
        </w:rPr>
        <w:t xml:space="preserve"> 2018-2020, el</w:t>
      </w:r>
      <w:r w:rsidR="004B0807">
        <w:rPr>
          <w:lang w:val="es-ES"/>
        </w:rPr>
        <w:t> </w:t>
      </w:r>
      <w:r w:rsidRPr="003D49E9">
        <w:rPr>
          <w:lang w:val="es-ES"/>
        </w:rPr>
        <w:t>20 por</w:t>
      </w:r>
      <w:r w:rsidR="004B0807">
        <w:rPr>
          <w:lang w:val="es-ES"/>
        </w:rPr>
        <w:t> </w:t>
      </w:r>
      <w:r w:rsidRPr="003D49E9">
        <w:rPr>
          <w:lang w:val="es-ES"/>
        </w:rPr>
        <w:t>ciento de las contribuciones anuales prometidas por Austria para 2022 asciende a 362.900 $EUA o 1.088.700 $EUA para el trienio 2021-2023. Teniendo en cuenta la presentación a la 88</w:t>
      </w:r>
      <w:r w:rsidRPr="003D49E9">
        <w:rPr>
          <w:vertAlign w:val="superscript"/>
          <w:lang w:val="es-ES"/>
        </w:rPr>
        <w:t>a</w:t>
      </w:r>
      <w:r w:rsidRPr="003D49E9">
        <w:rPr>
          <w:lang w:val="es-ES"/>
        </w:rPr>
        <w:t> reunión (391.833 $EUA, en caso de aprobarse tal como está previsto) y los montos ajustados para 2023 (783.667 $EUA), Austria superaría el 20 por ciento de las contribuciones prometidas para el trienio 2021</w:t>
      </w:r>
      <w:r w:rsidRPr="003D49E9">
        <w:rPr>
          <w:lang w:val="es-ES"/>
        </w:rPr>
        <w:noBreakHyphen/>
        <w:t xml:space="preserve">2023 en 86.800 $EUA. La posible </w:t>
      </w:r>
      <w:r w:rsidR="00F61079" w:rsidRPr="003D49E9">
        <w:rPr>
          <w:lang w:val="es-ES"/>
        </w:rPr>
        <w:t>sobre programación</w:t>
      </w:r>
      <w:r w:rsidRPr="003D49E9">
        <w:rPr>
          <w:lang w:val="es-ES"/>
        </w:rPr>
        <w:t xml:space="preserve"> se ha puesto en conocimiento del Gobierno</w:t>
      </w:r>
      <w:r w:rsidR="004B0807">
        <w:rPr>
          <w:lang w:val="es-ES"/>
        </w:rPr>
        <w:t> </w:t>
      </w:r>
      <w:r w:rsidRPr="003D49E9">
        <w:rPr>
          <w:lang w:val="es-ES"/>
        </w:rPr>
        <w:t>de Austria y se abordará una vez que las Partes acuerden el nivel de reposición del Fondo Multilateral para el trienio 2021-2023.</w:t>
      </w:r>
    </w:p>
    <w:p w14:paraId="3E519C2B" w14:textId="77777777" w:rsidR="0080274B" w:rsidRPr="003D49E9" w:rsidRDefault="0080274B" w:rsidP="0080274B">
      <w:pPr>
        <w:pStyle w:val="Heading1"/>
        <w:keepNext/>
        <w:numPr>
          <w:ilvl w:val="0"/>
          <w:numId w:val="0"/>
        </w:numPr>
        <w:tabs>
          <w:tab w:val="left" w:pos="708"/>
        </w:tabs>
        <w:spacing w:after="0"/>
        <w:rPr>
          <w:b/>
          <w:lang w:val="es-ES"/>
        </w:rPr>
      </w:pPr>
      <w:r w:rsidRPr="003D49E9">
        <w:rPr>
          <w:b/>
          <w:lang w:val="es-ES"/>
        </w:rPr>
        <w:t>Cuadro 3. Asignación de recursos para Austria ($</w:t>
      </w:r>
      <w:proofErr w:type="gramStart"/>
      <w:r w:rsidRPr="003D49E9">
        <w:rPr>
          <w:b/>
          <w:lang w:val="es-ES"/>
        </w:rPr>
        <w:t>EUA)*</w:t>
      </w:r>
      <w:proofErr w:type="gramEnd"/>
    </w:p>
    <w:tbl>
      <w:tblPr>
        <w:tblW w:w="9360" w:type="dxa"/>
        <w:tblInd w:w="-5" w:type="dxa"/>
        <w:tblLayout w:type="fixed"/>
        <w:tblLook w:val="04A0" w:firstRow="1" w:lastRow="0" w:firstColumn="1" w:lastColumn="0" w:noHBand="0" w:noVBand="1"/>
      </w:tblPr>
      <w:tblGrid>
        <w:gridCol w:w="2552"/>
        <w:gridCol w:w="1360"/>
        <w:gridCol w:w="1362"/>
        <w:gridCol w:w="1362"/>
        <w:gridCol w:w="1362"/>
        <w:gridCol w:w="1362"/>
      </w:tblGrid>
      <w:tr w:rsidR="0080274B" w:rsidRPr="003D49E9" w14:paraId="2E786901" w14:textId="77777777" w:rsidTr="003A6588">
        <w:trPr>
          <w:trHeight w:val="261"/>
          <w:tblHeader/>
        </w:trPr>
        <w:tc>
          <w:tcPr>
            <w:tcW w:w="2552" w:type="dxa"/>
            <w:tcBorders>
              <w:top w:val="single" w:sz="4" w:space="0" w:color="auto"/>
              <w:left w:val="single" w:sz="4" w:space="0" w:color="auto"/>
              <w:bottom w:val="single" w:sz="4" w:space="0" w:color="auto"/>
              <w:right w:val="single" w:sz="4" w:space="0" w:color="auto"/>
            </w:tcBorders>
            <w:noWrap/>
            <w:vAlign w:val="center"/>
            <w:hideMark/>
          </w:tcPr>
          <w:p w14:paraId="5BE0EADF" w14:textId="77777777" w:rsidR="0080274B" w:rsidRPr="003D49E9" w:rsidRDefault="0080274B" w:rsidP="003A6588">
            <w:pPr>
              <w:jc w:val="left"/>
              <w:rPr>
                <w:b/>
                <w:bCs/>
                <w:sz w:val="21"/>
                <w:szCs w:val="21"/>
                <w:lang w:val="es-ES"/>
              </w:rPr>
            </w:pPr>
            <w:r w:rsidRPr="003D49E9">
              <w:rPr>
                <w:b/>
                <w:bCs/>
                <w:sz w:val="21"/>
                <w:szCs w:val="21"/>
                <w:lang w:val="es-ES"/>
              </w:rPr>
              <w:t>Descripción</w:t>
            </w:r>
          </w:p>
        </w:tc>
        <w:tc>
          <w:tcPr>
            <w:tcW w:w="1360" w:type="dxa"/>
            <w:tcBorders>
              <w:top w:val="single" w:sz="4" w:space="0" w:color="auto"/>
              <w:left w:val="nil"/>
              <w:bottom w:val="single" w:sz="4" w:space="0" w:color="auto"/>
              <w:right w:val="single" w:sz="4" w:space="0" w:color="auto"/>
            </w:tcBorders>
            <w:vAlign w:val="center"/>
            <w:hideMark/>
          </w:tcPr>
          <w:p w14:paraId="5E9F5144" w14:textId="77777777" w:rsidR="0080274B" w:rsidRPr="003D49E9" w:rsidRDefault="0080274B" w:rsidP="003A6588">
            <w:pPr>
              <w:jc w:val="center"/>
              <w:rPr>
                <w:b/>
                <w:bCs/>
                <w:sz w:val="21"/>
                <w:szCs w:val="21"/>
                <w:lang w:val="es-ES"/>
              </w:rPr>
            </w:pPr>
            <w:r w:rsidRPr="003D49E9">
              <w:rPr>
                <w:b/>
                <w:bCs/>
                <w:sz w:val="21"/>
                <w:szCs w:val="21"/>
                <w:lang w:val="es-ES"/>
              </w:rPr>
              <w:t>2022</w:t>
            </w:r>
          </w:p>
        </w:tc>
        <w:tc>
          <w:tcPr>
            <w:tcW w:w="1361" w:type="dxa"/>
            <w:tcBorders>
              <w:top w:val="single" w:sz="4" w:space="0" w:color="auto"/>
              <w:left w:val="nil"/>
              <w:bottom w:val="single" w:sz="4" w:space="0" w:color="auto"/>
              <w:right w:val="single" w:sz="4" w:space="0" w:color="auto"/>
            </w:tcBorders>
            <w:vAlign w:val="center"/>
            <w:hideMark/>
          </w:tcPr>
          <w:p w14:paraId="20FD78E5" w14:textId="77777777" w:rsidR="0080274B" w:rsidRPr="003D49E9" w:rsidRDefault="0080274B" w:rsidP="003A6588">
            <w:pPr>
              <w:jc w:val="center"/>
              <w:rPr>
                <w:b/>
                <w:bCs/>
                <w:sz w:val="21"/>
                <w:szCs w:val="21"/>
                <w:lang w:val="es-ES"/>
              </w:rPr>
            </w:pPr>
            <w:r w:rsidRPr="003D49E9">
              <w:rPr>
                <w:b/>
                <w:bCs/>
                <w:sz w:val="21"/>
                <w:szCs w:val="21"/>
                <w:lang w:val="es-ES"/>
              </w:rPr>
              <w:t>2023</w:t>
            </w:r>
          </w:p>
        </w:tc>
        <w:tc>
          <w:tcPr>
            <w:tcW w:w="1361" w:type="dxa"/>
            <w:tcBorders>
              <w:top w:val="single" w:sz="4" w:space="0" w:color="auto"/>
              <w:left w:val="nil"/>
              <w:bottom w:val="single" w:sz="4" w:space="0" w:color="auto"/>
              <w:right w:val="single" w:sz="4" w:space="0" w:color="auto"/>
            </w:tcBorders>
            <w:vAlign w:val="center"/>
            <w:hideMark/>
          </w:tcPr>
          <w:p w14:paraId="37139ED7" w14:textId="77777777" w:rsidR="0080274B" w:rsidRPr="003D49E9" w:rsidRDefault="0080274B" w:rsidP="003A6588">
            <w:pPr>
              <w:jc w:val="center"/>
              <w:rPr>
                <w:b/>
                <w:bCs/>
                <w:sz w:val="21"/>
                <w:szCs w:val="21"/>
                <w:lang w:val="es-ES"/>
              </w:rPr>
            </w:pPr>
            <w:r w:rsidRPr="003D49E9">
              <w:rPr>
                <w:b/>
                <w:bCs/>
                <w:sz w:val="21"/>
                <w:szCs w:val="21"/>
                <w:lang w:val="es-ES"/>
              </w:rPr>
              <w:t>2024</w:t>
            </w:r>
          </w:p>
        </w:tc>
        <w:tc>
          <w:tcPr>
            <w:tcW w:w="1361" w:type="dxa"/>
            <w:tcBorders>
              <w:top w:val="single" w:sz="4" w:space="0" w:color="auto"/>
              <w:left w:val="nil"/>
              <w:bottom w:val="single" w:sz="4" w:space="0" w:color="auto"/>
              <w:right w:val="single" w:sz="4" w:space="0" w:color="auto"/>
            </w:tcBorders>
            <w:vAlign w:val="center"/>
            <w:hideMark/>
          </w:tcPr>
          <w:p w14:paraId="06C17A0C" w14:textId="77777777" w:rsidR="0080274B" w:rsidRPr="003D49E9" w:rsidRDefault="0080274B" w:rsidP="003A6588">
            <w:pPr>
              <w:jc w:val="center"/>
              <w:rPr>
                <w:b/>
                <w:bCs/>
                <w:sz w:val="21"/>
                <w:szCs w:val="21"/>
                <w:lang w:val="es-ES"/>
              </w:rPr>
            </w:pPr>
            <w:r w:rsidRPr="003D49E9">
              <w:rPr>
                <w:b/>
                <w:bCs/>
                <w:sz w:val="21"/>
                <w:szCs w:val="21"/>
                <w:lang w:val="es-ES"/>
              </w:rPr>
              <w:t xml:space="preserve">Total </w:t>
            </w:r>
          </w:p>
          <w:p w14:paraId="4773CCF7" w14:textId="77777777" w:rsidR="0080274B" w:rsidRPr="003D49E9" w:rsidRDefault="0080274B" w:rsidP="003A6588">
            <w:pPr>
              <w:jc w:val="center"/>
              <w:rPr>
                <w:b/>
                <w:bCs/>
                <w:sz w:val="21"/>
                <w:szCs w:val="21"/>
                <w:lang w:val="es-ES"/>
              </w:rPr>
            </w:pPr>
            <w:r w:rsidRPr="003D49E9">
              <w:rPr>
                <w:b/>
                <w:bCs/>
                <w:sz w:val="21"/>
                <w:szCs w:val="21"/>
                <w:lang w:val="es-ES"/>
              </w:rPr>
              <w:t>(2022</w:t>
            </w:r>
            <w:r w:rsidRPr="003D49E9">
              <w:rPr>
                <w:b/>
                <w:sz w:val="21"/>
                <w:szCs w:val="21"/>
                <w:lang w:val="es-ES"/>
              </w:rPr>
              <w:t>–</w:t>
            </w:r>
            <w:r w:rsidRPr="003D49E9">
              <w:rPr>
                <w:b/>
                <w:bCs/>
                <w:sz w:val="21"/>
                <w:szCs w:val="21"/>
                <w:lang w:val="es-ES"/>
              </w:rPr>
              <w:t>2024)</w:t>
            </w:r>
          </w:p>
        </w:tc>
        <w:tc>
          <w:tcPr>
            <w:tcW w:w="1361" w:type="dxa"/>
            <w:tcBorders>
              <w:top w:val="single" w:sz="4" w:space="0" w:color="auto"/>
              <w:left w:val="nil"/>
              <w:bottom w:val="single" w:sz="4" w:space="0" w:color="auto"/>
              <w:right w:val="single" w:sz="4" w:space="0" w:color="auto"/>
            </w:tcBorders>
            <w:vAlign w:val="center"/>
            <w:hideMark/>
          </w:tcPr>
          <w:p w14:paraId="408AF8D2" w14:textId="77777777" w:rsidR="0080274B" w:rsidRPr="003D49E9" w:rsidRDefault="0080274B" w:rsidP="003A6588">
            <w:pPr>
              <w:jc w:val="center"/>
              <w:rPr>
                <w:b/>
                <w:bCs/>
                <w:sz w:val="21"/>
                <w:szCs w:val="21"/>
                <w:lang w:val="es-ES"/>
              </w:rPr>
            </w:pPr>
            <w:r w:rsidRPr="003D49E9">
              <w:rPr>
                <w:b/>
                <w:bCs/>
                <w:sz w:val="21"/>
                <w:szCs w:val="21"/>
                <w:lang w:val="es-ES"/>
              </w:rPr>
              <w:t>Total después de 2024</w:t>
            </w:r>
          </w:p>
        </w:tc>
      </w:tr>
      <w:tr w:rsidR="0080274B" w:rsidRPr="000755F8" w14:paraId="1639096D" w14:textId="77777777" w:rsidTr="003A6588">
        <w:trPr>
          <w:trHeight w:val="107"/>
        </w:trPr>
        <w:tc>
          <w:tcPr>
            <w:tcW w:w="9356" w:type="dxa"/>
            <w:gridSpan w:val="6"/>
            <w:tcBorders>
              <w:top w:val="single" w:sz="4" w:space="0" w:color="auto"/>
              <w:left w:val="single" w:sz="4" w:space="0" w:color="auto"/>
              <w:bottom w:val="single" w:sz="4" w:space="0" w:color="auto"/>
              <w:right w:val="single" w:sz="4" w:space="0" w:color="auto"/>
            </w:tcBorders>
            <w:noWrap/>
            <w:vAlign w:val="center"/>
            <w:hideMark/>
          </w:tcPr>
          <w:p w14:paraId="5C612799" w14:textId="77777777" w:rsidR="0080274B" w:rsidRPr="003D49E9" w:rsidRDefault="0080274B" w:rsidP="003A6588">
            <w:pPr>
              <w:jc w:val="left"/>
              <w:rPr>
                <w:b/>
                <w:bCs/>
                <w:sz w:val="21"/>
                <w:szCs w:val="21"/>
                <w:lang w:val="es-ES"/>
              </w:rPr>
            </w:pPr>
            <w:r w:rsidRPr="003D49E9">
              <w:rPr>
                <w:b/>
                <w:bCs/>
                <w:sz w:val="21"/>
                <w:szCs w:val="21"/>
                <w:lang w:val="es-ES"/>
              </w:rPr>
              <w:t>Actividades relacionadas con los HCFC</w:t>
            </w:r>
          </w:p>
        </w:tc>
      </w:tr>
      <w:tr w:rsidR="0080274B" w:rsidRPr="003D49E9" w14:paraId="4537C3A8" w14:textId="77777777" w:rsidTr="003A6588">
        <w:trPr>
          <w:trHeight w:val="87"/>
        </w:trPr>
        <w:tc>
          <w:tcPr>
            <w:tcW w:w="2552" w:type="dxa"/>
            <w:tcBorders>
              <w:top w:val="nil"/>
              <w:left w:val="single" w:sz="4" w:space="0" w:color="auto"/>
              <w:bottom w:val="single" w:sz="4" w:space="0" w:color="auto"/>
              <w:right w:val="single" w:sz="4" w:space="0" w:color="auto"/>
            </w:tcBorders>
            <w:noWrap/>
            <w:vAlign w:val="center"/>
            <w:hideMark/>
          </w:tcPr>
          <w:p w14:paraId="252B6335" w14:textId="77777777" w:rsidR="0080274B" w:rsidRPr="003D49E9" w:rsidRDefault="0080274B" w:rsidP="003A6588">
            <w:pPr>
              <w:jc w:val="left"/>
              <w:rPr>
                <w:sz w:val="21"/>
                <w:szCs w:val="21"/>
                <w:lang w:val="es-ES"/>
              </w:rPr>
            </w:pPr>
            <w:r w:rsidRPr="003D49E9">
              <w:rPr>
                <w:sz w:val="21"/>
                <w:szCs w:val="21"/>
                <w:lang w:val="es-ES"/>
              </w:rPr>
              <w:t>PGEH aprobados</w:t>
            </w:r>
          </w:p>
        </w:tc>
        <w:tc>
          <w:tcPr>
            <w:tcW w:w="1360" w:type="dxa"/>
            <w:tcBorders>
              <w:top w:val="nil"/>
              <w:left w:val="nil"/>
              <w:bottom w:val="single" w:sz="4" w:space="0" w:color="auto"/>
              <w:right w:val="single" w:sz="4" w:space="0" w:color="auto"/>
            </w:tcBorders>
            <w:noWrap/>
            <w:vAlign w:val="center"/>
            <w:hideMark/>
          </w:tcPr>
          <w:p w14:paraId="0C899C1C" w14:textId="77777777" w:rsidR="0080274B" w:rsidRPr="003D49E9" w:rsidRDefault="0080274B" w:rsidP="003A6588">
            <w:pPr>
              <w:jc w:val="right"/>
              <w:rPr>
                <w:sz w:val="21"/>
                <w:szCs w:val="21"/>
                <w:lang w:val="es-ES"/>
              </w:rPr>
            </w:pPr>
            <w:r w:rsidRPr="003D49E9">
              <w:rPr>
                <w:sz w:val="21"/>
                <w:szCs w:val="21"/>
                <w:lang w:val="es-ES"/>
              </w:rPr>
              <w:t>0</w:t>
            </w:r>
          </w:p>
        </w:tc>
        <w:tc>
          <w:tcPr>
            <w:tcW w:w="1361" w:type="dxa"/>
            <w:tcBorders>
              <w:top w:val="nil"/>
              <w:left w:val="nil"/>
              <w:bottom w:val="single" w:sz="4" w:space="0" w:color="auto"/>
              <w:right w:val="single" w:sz="4" w:space="0" w:color="auto"/>
            </w:tcBorders>
            <w:noWrap/>
            <w:vAlign w:val="center"/>
            <w:hideMark/>
          </w:tcPr>
          <w:p w14:paraId="163685F6" w14:textId="77777777" w:rsidR="0080274B" w:rsidRPr="003D49E9" w:rsidRDefault="0080274B" w:rsidP="003A6588">
            <w:pPr>
              <w:jc w:val="right"/>
              <w:rPr>
                <w:sz w:val="21"/>
                <w:szCs w:val="21"/>
                <w:lang w:val="es-ES"/>
              </w:rPr>
            </w:pPr>
            <w:r w:rsidRPr="003D49E9">
              <w:rPr>
                <w:sz w:val="21"/>
                <w:szCs w:val="21"/>
                <w:lang w:val="es-ES"/>
              </w:rPr>
              <w:t>783.667</w:t>
            </w:r>
          </w:p>
        </w:tc>
        <w:tc>
          <w:tcPr>
            <w:tcW w:w="1361" w:type="dxa"/>
            <w:tcBorders>
              <w:top w:val="nil"/>
              <w:left w:val="nil"/>
              <w:bottom w:val="single" w:sz="4" w:space="0" w:color="auto"/>
              <w:right w:val="single" w:sz="4" w:space="0" w:color="auto"/>
            </w:tcBorders>
            <w:noWrap/>
            <w:vAlign w:val="center"/>
            <w:hideMark/>
          </w:tcPr>
          <w:p w14:paraId="44BDF327" w14:textId="77777777" w:rsidR="0080274B" w:rsidRPr="003D49E9" w:rsidRDefault="0080274B" w:rsidP="003A6588">
            <w:pPr>
              <w:jc w:val="right"/>
              <w:rPr>
                <w:sz w:val="21"/>
                <w:szCs w:val="21"/>
                <w:lang w:val="es-ES"/>
              </w:rPr>
            </w:pPr>
            <w:r w:rsidRPr="003D49E9">
              <w:rPr>
                <w:sz w:val="21"/>
                <w:szCs w:val="21"/>
                <w:lang w:val="es-ES"/>
              </w:rPr>
              <w:t>0</w:t>
            </w:r>
          </w:p>
        </w:tc>
        <w:tc>
          <w:tcPr>
            <w:tcW w:w="1361" w:type="dxa"/>
            <w:tcBorders>
              <w:top w:val="nil"/>
              <w:left w:val="nil"/>
              <w:bottom w:val="single" w:sz="4" w:space="0" w:color="auto"/>
              <w:right w:val="single" w:sz="4" w:space="0" w:color="auto"/>
            </w:tcBorders>
            <w:noWrap/>
            <w:vAlign w:val="center"/>
            <w:hideMark/>
          </w:tcPr>
          <w:p w14:paraId="4625EF44" w14:textId="77777777" w:rsidR="0080274B" w:rsidRPr="003D49E9" w:rsidRDefault="0080274B" w:rsidP="003A6588">
            <w:pPr>
              <w:jc w:val="right"/>
              <w:rPr>
                <w:sz w:val="21"/>
                <w:szCs w:val="21"/>
                <w:lang w:val="es-ES"/>
              </w:rPr>
            </w:pPr>
            <w:r w:rsidRPr="003D49E9">
              <w:rPr>
                <w:sz w:val="21"/>
                <w:szCs w:val="21"/>
                <w:lang w:val="es-ES"/>
              </w:rPr>
              <w:t>783.667</w:t>
            </w:r>
          </w:p>
        </w:tc>
        <w:tc>
          <w:tcPr>
            <w:tcW w:w="1361" w:type="dxa"/>
            <w:tcBorders>
              <w:top w:val="nil"/>
              <w:left w:val="nil"/>
              <w:bottom w:val="single" w:sz="4" w:space="0" w:color="auto"/>
              <w:right w:val="single" w:sz="4" w:space="0" w:color="auto"/>
            </w:tcBorders>
            <w:noWrap/>
            <w:vAlign w:val="center"/>
            <w:hideMark/>
          </w:tcPr>
          <w:p w14:paraId="3858E436" w14:textId="77777777" w:rsidR="0080274B" w:rsidRPr="003D49E9" w:rsidRDefault="0080274B" w:rsidP="003A6588">
            <w:pPr>
              <w:jc w:val="right"/>
              <w:rPr>
                <w:sz w:val="21"/>
                <w:szCs w:val="21"/>
                <w:lang w:val="es-ES"/>
              </w:rPr>
            </w:pPr>
            <w:r w:rsidRPr="003D49E9">
              <w:rPr>
                <w:sz w:val="21"/>
                <w:szCs w:val="21"/>
                <w:lang w:val="es-ES"/>
              </w:rPr>
              <w:t>0</w:t>
            </w:r>
          </w:p>
        </w:tc>
      </w:tr>
      <w:tr w:rsidR="0080274B" w:rsidRPr="003D49E9" w14:paraId="2B7A44DA" w14:textId="77777777" w:rsidTr="003A6588">
        <w:trPr>
          <w:trHeight w:val="58"/>
        </w:trPr>
        <w:tc>
          <w:tcPr>
            <w:tcW w:w="2552" w:type="dxa"/>
            <w:tcBorders>
              <w:top w:val="nil"/>
              <w:left w:val="single" w:sz="4" w:space="0" w:color="auto"/>
              <w:bottom w:val="single" w:sz="4" w:space="0" w:color="auto"/>
              <w:right w:val="single" w:sz="4" w:space="0" w:color="auto"/>
            </w:tcBorders>
            <w:noWrap/>
            <w:vAlign w:val="center"/>
            <w:hideMark/>
          </w:tcPr>
          <w:p w14:paraId="0759EE49" w14:textId="77777777" w:rsidR="0080274B" w:rsidRPr="003D49E9" w:rsidRDefault="0080274B" w:rsidP="003A6588">
            <w:pPr>
              <w:jc w:val="left"/>
              <w:rPr>
                <w:b/>
                <w:bCs/>
                <w:sz w:val="21"/>
                <w:szCs w:val="21"/>
                <w:lang w:val="es-ES"/>
              </w:rPr>
            </w:pPr>
            <w:r w:rsidRPr="003D49E9">
              <w:rPr>
                <w:b/>
                <w:bCs/>
                <w:sz w:val="21"/>
                <w:szCs w:val="21"/>
                <w:lang w:val="es-ES"/>
              </w:rPr>
              <w:t>Total</w:t>
            </w:r>
          </w:p>
        </w:tc>
        <w:tc>
          <w:tcPr>
            <w:tcW w:w="1360" w:type="dxa"/>
            <w:tcBorders>
              <w:top w:val="nil"/>
              <w:left w:val="nil"/>
              <w:bottom w:val="single" w:sz="4" w:space="0" w:color="auto"/>
              <w:right w:val="single" w:sz="4" w:space="0" w:color="auto"/>
            </w:tcBorders>
            <w:noWrap/>
            <w:vAlign w:val="center"/>
            <w:hideMark/>
          </w:tcPr>
          <w:p w14:paraId="2017095D" w14:textId="77777777" w:rsidR="0080274B" w:rsidRPr="003D49E9" w:rsidRDefault="0080274B" w:rsidP="003A6588">
            <w:pPr>
              <w:jc w:val="right"/>
              <w:rPr>
                <w:b/>
                <w:bCs/>
                <w:sz w:val="21"/>
                <w:szCs w:val="21"/>
                <w:lang w:val="es-ES"/>
              </w:rPr>
            </w:pPr>
            <w:r w:rsidRPr="003D49E9">
              <w:rPr>
                <w:b/>
                <w:bCs/>
                <w:sz w:val="21"/>
                <w:szCs w:val="21"/>
                <w:lang w:val="es-ES"/>
              </w:rPr>
              <w:t>0</w:t>
            </w:r>
          </w:p>
        </w:tc>
        <w:tc>
          <w:tcPr>
            <w:tcW w:w="1361" w:type="dxa"/>
            <w:tcBorders>
              <w:top w:val="nil"/>
              <w:left w:val="nil"/>
              <w:bottom w:val="single" w:sz="4" w:space="0" w:color="auto"/>
              <w:right w:val="single" w:sz="4" w:space="0" w:color="auto"/>
            </w:tcBorders>
            <w:noWrap/>
            <w:vAlign w:val="center"/>
            <w:hideMark/>
          </w:tcPr>
          <w:p w14:paraId="2ECEFA05" w14:textId="77777777" w:rsidR="0080274B" w:rsidRPr="003D49E9" w:rsidRDefault="0080274B" w:rsidP="003A6588">
            <w:pPr>
              <w:jc w:val="right"/>
              <w:rPr>
                <w:b/>
                <w:sz w:val="21"/>
                <w:szCs w:val="21"/>
                <w:lang w:val="es-ES"/>
              </w:rPr>
            </w:pPr>
            <w:r w:rsidRPr="003D49E9">
              <w:rPr>
                <w:b/>
                <w:sz w:val="21"/>
                <w:szCs w:val="21"/>
                <w:lang w:val="es-ES"/>
              </w:rPr>
              <w:t>783.667</w:t>
            </w:r>
          </w:p>
        </w:tc>
        <w:tc>
          <w:tcPr>
            <w:tcW w:w="1361" w:type="dxa"/>
            <w:tcBorders>
              <w:top w:val="nil"/>
              <w:left w:val="nil"/>
              <w:bottom w:val="single" w:sz="4" w:space="0" w:color="auto"/>
              <w:right w:val="single" w:sz="4" w:space="0" w:color="auto"/>
            </w:tcBorders>
            <w:noWrap/>
            <w:vAlign w:val="center"/>
            <w:hideMark/>
          </w:tcPr>
          <w:p w14:paraId="555A655C" w14:textId="77777777" w:rsidR="0080274B" w:rsidRPr="003D49E9" w:rsidRDefault="0080274B" w:rsidP="003A6588">
            <w:pPr>
              <w:jc w:val="right"/>
              <w:rPr>
                <w:b/>
                <w:sz w:val="21"/>
                <w:szCs w:val="21"/>
                <w:lang w:val="es-ES"/>
              </w:rPr>
            </w:pPr>
            <w:r w:rsidRPr="003D49E9">
              <w:rPr>
                <w:b/>
                <w:sz w:val="21"/>
                <w:szCs w:val="21"/>
                <w:lang w:val="es-ES"/>
              </w:rPr>
              <w:t>0</w:t>
            </w:r>
          </w:p>
        </w:tc>
        <w:tc>
          <w:tcPr>
            <w:tcW w:w="1361" w:type="dxa"/>
            <w:tcBorders>
              <w:top w:val="nil"/>
              <w:left w:val="nil"/>
              <w:bottom w:val="single" w:sz="4" w:space="0" w:color="auto"/>
              <w:right w:val="single" w:sz="4" w:space="0" w:color="auto"/>
            </w:tcBorders>
            <w:noWrap/>
            <w:vAlign w:val="center"/>
            <w:hideMark/>
          </w:tcPr>
          <w:p w14:paraId="07EF6892" w14:textId="77777777" w:rsidR="0080274B" w:rsidRPr="003D49E9" w:rsidRDefault="0080274B" w:rsidP="003A6588">
            <w:pPr>
              <w:jc w:val="right"/>
              <w:rPr>
                <w:b/>
                <w:sz w:val="21"/>
                <w:szCs w:val="21"/>
                <w:lang w:val="es-ES"/>
              </w:rPr>
            </w:pPr>
            <w:r w:rsidRPr="003D49E9">
              <w:rPr>
                <w:b/>
                <w:sz w:val="21"/>
                <w:szCs w:val="21"/>
                <w:lang w:val="es-ES"/>
              </w:rPr>
              <w:t>783.667</w:t>
            </w:r>
          </w:p>
        </w:tc>
        <w:tc>
          <w:tcPr>
            <w:tcW w:w="1361" w:type="dxa"/>
            <w:tcBorders>
              <w:top w:val="nil"/>
              <w:left w:val="nil"/>
              <w:bottom w:val="single" w:sz="4" w:space="0" w:color="auto"/>
              <w:right w:val="single" w:sz="4" w:space="0" w:color="auto"/>
            </w:tcBorders>
            <w:noWrap/>
            <w:vAlign w:val="center"/>
            <w:hideMark/>
          </w:tcPr>
          <w:p w14:paraId="068B5CF8" w14:textId="77777777" w:rsidR="0080274B" w:rsidRPr="003D49E9" w:rsidRDefault="0080274B" w:rsidP="003A6588">
            <w:pPr>
              <w:jc w:val="right"/>
              <w:rPr>
                <w:b/>
                <w:bCs/>
                <w:sz w:val="21"/>
                <w:szCs w:val="21"/>
                <w:lang w:val="es-ES"/>
              </w:rPr>
            </w:pPr>
            <w:r w:rsidRPr="003D49E9">
              <w:rPr>
                <w:b/>
                <w:bCs/>
                <w:sz w:val="21"/>
                <w:szCs w:val="21"/>
                <w:lang w:val="es-ES"/>
              </w:rPr>
              <w:t>0</w:t>
            </w:r>
          </w:p>
        </w:tc>
      </w:tr>
    </w:tbl>
    <w:p w14:paraId="5BC30B65" w14:textId="24BFC683" w:rsidR="0080274B" w:rsidRPr="003D49E9" w:rsidRDefault="0080274B" w:rsidP="004B0807">
      <w:pPr>
        <w:spacing w:after="120"/>
        <w:rPr>
          <w:b/>
          <w:bCs/>
          <w:lang w:val="es-ES"/>
        </w:rPr>
      </w:pPr>
      <w:r w:rsidRPr="003D49E9">
        <w:rPr>
          <w:sz w:val="20"/>
          <w:szCs w:val="20"/>
          <w:lang w:val="es-ES"/>
        </w:rPr>
        <w:t>* Incluidos los gastos de apoyo a los organismos.</w:t>
      </w:r>
    </w:p>
    <w:p w14:paraId="6498FEAD" w14:textId="77777777" w:rsidR="0080274B" w:rsidRPr="003D49E9" w:rsidRDefault="0080274B" w:rsidP="004B0807">
      <w:pPr>
        <w:spacing w:after="240"/>
        <w:rPr>
          <w:b/>
          <w:bCs/>
          <w:lang w:val="es-ES"/>
        </w:rPr>
      </w:pPr>
      <w:r w:rsidRPr="003D49E9">
        <w:rPr>
          <w:b/>
          <w:bCs/>
          <w:lang w:val="es-ES"/>
        </w:rPr>
        <w:t>Francia</w:t>
      </w:r>
    </w:p>
    <w:p w14:paraId="2DAAD210" w14:textId="7AA53EF9" w:rsidR="0080274B" w:rsidRPr="003D49E9" w:rsidRDefault="0080274B" w:rsidP="004B0807">
      <w:pPr>
        <w:pStyle w:val="Heading1"/>
        <w:numPr>
          <w:ilvl w:val="0"/>
          <w:numId w:val="21"/>
        </w:numPr>
        <w:rPr>
          <w:lang w:val="es-ES"/>
        </w:rPr>
      </w:pPr>
      <w:r w:rsidRPr="003D49E9">
        <w:rPr>
          <w:lang w:val="es-ES"/>
        </w:rPr>
        <w:t>En el Cuadro 4 se presenta la asignación de recursos del plan administrativo de Francia para 2022-2024. Asumiendo un nivel de contribuciones prometidas similar al del período 2018-2020, el</w:t>
      </w:r>
      <w:r w:rsidR="004B0807">
        <w:rPr>
          <w:lang w:val="es-ES"/>
        </w:rPr>
        <w:t> </w:t>
      </w:r>
      <w:r w:rsidRPr="003D49E9">
        <w:rPr>
          <w:lang w:val="es-ES"/>
        </w:rPr>
        <w:t>20 por</w:t>
      </w:r>
      <w:r w:rsidR="004B0807">
        <w:rPr>
          <w:lang w:val="es-ES"/>
        </w:rPr>
        <w:t> </w:t>
      </w:r>
      <w:r w:rsidRPr="003D49E9">
        <w:rPr>
          <w:lang w:val="es-ES"/>
        </w:rPr>
        <w:t xml:space="preserve">ciento de las contribuciones anuales prometidas por Francia para 2022 asciende a 2.449.100 $EUA. </w:t>
      </w:r>
    </w:p>
    <w:p w14:paraId="0D498DC7" w14:textId="77777777" w:rsidR="0080274B" w:rsidRPr="003D49E9" w:rsidRDefault="0080274B" w:rsidP="0080274B">
      <w:pPr>
        <w:pStyle w:val="Heading1"/>
        <w:numPr>
          <w:ilvl w:val="0"/>
          <w:numId w:val="0"/>
        </w:numPr>
        <w:tabs>
          <w:tab w:val="left" w:pos="708"/>
        </w:tabs>
        <w:spacing w:after="0"/>
        <w:rPr>
          <w:b/>
          <w:lang w:val="es-ES"/>
        </w:rPr>
      </w:pPr>
      <w:r w:rsidRPr="003D49E9">
        <w:rPr>
          <w:b/>
          <w:lang w:val="es-ES"/>
        </w:rPr>
        <w:t>Cuadro 4. Asignación de recursos para Francia ($</w:t>
      </w:r>
      <w:proofErr w:type="gramStart"/>
      <w:r w:rsidRPr="003D49E9">
        <w:rPr>
          <w:b/>
          <w:lang w:val="es-ES"/>
        </w:rPr>
        <w:t>EUA)*</w:t>
      </w:r>
      <w:proofErr w:type="gramEnd"/>
    </w:p>
    <w:tbl>
      <w:tblPr>
        <w:tblW w:w="9419" w:type="dxa"/>
        <w:tblInd w:w="-5" w:type="dxa"/>
        <w:tblLayout w:type="fixed"/>
        <w:tblLook w:val="04A0" w:firstRow="1" w:lastRow="0" w:firstColumn="1" w:lastColumn="0" w:noHBand="0" w:noVBand="1"/>
      </w:tblPr>
      <w:tblGrid>
        <w:gridCol w:w="2424"/>
        <w:gridCol w:w="1397"/>
        <w:gridCol w:w="1398"/>
        <w:gridCol w:w="1398"/>
        <w:gridCol w:w="1398"/>
        <w:gridCol w:w="1404"/>
      </w:tblGrid>
      <w:tr w:rsidR="0080274B" w:rsidRPr="003D49E9" w14:paraId="25739D56" w14:textId="77777777" w:rsidTr="00366B50">
        <w:trPr>
          <w:trHeight w:val="748"/>
        </w:trPr>
        <w:tc>
          <w:tcPr>
            <w:tcW w:w="2424" w:type="dxa"/>
            <w:tcBorders>
              <w:top w:val="single" w:sz="4" w:space="0" w:color="auto"/>
              <w:left w:val="single" w:sz="4" w:space="0" w:color="auto"/>
              <w:bottom w:val="single" w:sz="4" w:space="0" w:color="auto"/>
              <w:right w:val="single" w:sz="4" w:space="0" w:color="auto"/>
            </w:tcBorders>
            <w:noWrap/>
            <w:vAlign w:val="center"/>
            <w:hideMark/>
          </w:tcPr>
          <w:p w14:paraId="59D0B63A" w14:textId="77777777" w:rsidR="0080274B" w:rsidRPr="003D49E9" w:rsidRDefault="0080274B" w:rsidP="003A6588">
            <w:pPr>
              <w:jc w:val="left"/>
              <w:rPr>
                <w:b/>
                <w:bCs/>
                <w:sz w:val="21"/>
                <w:szCs w:val="21"/>
                <w:lang w:val="es-ES"/>
              </w:rPr>
            </w:pPr>
            <w:r w:rsidRPr="003D49E9">
              <w:rPr>
                <w:b/>
                <w:bCs/>
                <w:sz w:val="21"/>
                <w:szCs w:val="21"/>
                <w:lang w:val="es-ES"/>
              </w:rPr>
              <w:t>Descripción</w:t>
            </w:r>
          </w:p>
        </w:tc>
        <w:tc>
          <w:tcPr>
            <w:tcW w:w="1397" w:type="dxa"/>
            <w:tcBorders>
              <w:top w:val="single" w:sz="4" w:space="0" w:color="auto"/>
              <w:left w:val="nil"/>
              <w:bottom w:val="single" w:sz="4" w:space="0" w:color="auto"/>
              <w:right w:val="single" w:sz="4" w:space="0" w:color="auto"/>
            </w:tcBorders>
            <w:vAlign w:val="center"/>
            <w:hideMark/>
          </w:tcPr>
          <w:p w14:paraId="36EBABFB" w14:textId="77777777" w:rsidR="0080274B" w:rsidRPr="003D49E9" w:rsidRDefault="0080274B" w:rsidP="003A6588">
            <w:pPr>
              <w:jc w:val="center"/>
              <w:rPr>
                <w:b/>
                <w:bCs/>
                <w:sz w:val="21"/>
                <w:szCs w:val="21"/>
                <w:lang w:val="es-ES"/>
              </w:rPr>
            </w:pPr>
            <w:r w:rsidRPr="003D49E9">
              <w:rPr>
                <w:b/>
                <w:bCs/>
                <w:sz w:val="21"/>
                <w:szCs w:val="21"/>
                <w:lang w:val="es-ES"/>
              </w:rPr>
              <w:t>2022</w:t>
            </w:r>
          </w:p>
        </w:tc>
        <w:tc>
          <w:tcPr>
            <w:tcW w:w="1398" w:type="dxa"/>
            <w:tcBorders>
              <w:top w:val="single" w:sz="4" w:space="0" w:color="auto"/>
              <w:left w:val="nil"/>
              <w:bottom w:val="single" w:sz="4" w:space="0" w:color="auto"/>
              <w:right w:val="single" w:sz="4" w:space="0" w:color="auto"/>
            </w:tcBorders>
            <w:vAlign w:val="center"/>
            <w:hideMark/>
          </w:tcPr>
          <w:p w14:paraId="0A319F05" w14:textId="77777777" w:rsidR="0080274B" w:rsidRPr="003D49E9" w:rsidRDefault="0080274B" w:rsidP="003A6588">
            <w:pPr>
              <w:jc w:val="center"/>
              <w:rPr>
                <w:b/>
                <w:bCs/>
                <w:sz w:val="21"/>
                <w:szCs w:val="21"/>
                <w:lang w:val="es-ES"/>
              </w:rPr>
            </w:pPr>
            <w:r w:rsidRPr="003D49E9">
              <w:rPr>
                <w:b/>
                <w:bCs/>
                <w:sz w:val="21"/>
                <w:szCs w:val="21"/>
                <w:lang w:val="es-ES"/>
              </w:rPr>
              <w:t>2023</w:t>
            </w:r>
          </w:p>
        </w:tc>
        <w:tc>
          <w:tcPr>
            <w:tcW w:w="1398" w:type="dxa"/>
            <w:tcBorders>
              <w:top w:val="single" w:sz="4" w:space="0" w:color="auto"/>
              <w:left w:val="nil"/>
              <w:bottom w:val="single" w:sz="4" w:space="0" w:color="auto"/>
              <w:right w:val="single" w:sz="4" w:space="0" w:color="auto"/>
            </w:tcBorders>
            <w:vAlign w:val="center"/>
            <w:hideMark/>
          </w:tcPr>
          <w:p w14:paraId="2CAE2655" w14:textId="77777777" w:rsidR="0080274B" w:rsidRPr="003D49E9" w:rsidRDefault="0080274B" w:rsidP="003A6588">
            <w:pPr>
              <w:jc w:val="center"/>
              <w:rPr>
                <w:b/>
                <w:bCs/>
                <w:sz w:val="21"/>
                <w:szCs w:val="21"/>
                <w:lang w:val="es-ES"/>
              </w:rPr>
            </w:pPr>
            <w:r w:rsidRPr="003D49E9">
              <w:rPr>
                <w:b/>
                <w:bCs/>
                <w:sz w:val="21"/>
                <w:szCs w:val="21"/>
                <w:lang w:val="es-ES"/>
              </w:rPr>
              <w:t>2024</w:t>
            </w:r>
          </w:p>
        </w:tc>
        <w:tc>
          <w:tcPr>
            <w:tcW w:w="1398" w:type="dxa"/>
            <w:tcBorders>
              <w:top w:val="single" w:sz="4" w:space="0" w:color="auto"/>
              <w:left w:val="nil"/>
              <w:bottom w:val="single" w:sz="4" w:space="0" w:color="auto"/>
              <w:right w:val="single" w:sz="4" w:space="0" w:color="auto"/>
            </w:tcBorders>
            <w:vAlign w:val="center"/>
            <w:hideMark/>
          </w:tcPr>
          <w:p w14:paraId="30016877" w14:textId="77777777" w:rsidR="0080274B" w:rsidRPr="003D49E9" w:rsidRDefault="0080274B" w:rsidP="003A6588">
            <w:pPr>
              <w:jc w:val="center"/>
              <w:rPr>
                <w:b/>
                <w:bCs/>
                <w:sz w:val="21"/>
                <w:szCs w:val="21"/>
                <w:lang w:val="es-ES"/>
              </w:rPr>
            </w:pPr>
            <w:r w:rsidRPr="003D49E9">
              <w:rPr>
                <w:b/>
                <w:bCs/>
                <w:sz w:val="21"/>
                <w:szCs w:val="21"/>
                <w:lang w:val="es-ES"/>
              </w:rPr>
              <w:t xml:space="preserve">Total </w:t>
            </w:r>
          </w:p>
          <w:p w14:paraId="4111720D" w14:textId="77777777" w:rsidR="0080274B" w:rsidRPr="003D49E9" w:rsidRDefault="0080274B" w:rsidP="003A6588">
            <w:pPr>
              <w:jc w:val="center"/>
              <w:rPr>
                <w:b/>
                <w:bCs/>
                <w:sz w:val="21"/>
                <w:szCs w:val="21"/>
                <w:lang w:val="es-ES"/>
              </w:rPr>
            </w:pPr>
            <w:r w:rsidRPr="003D49E9">
              <w:rPr>
                <w:b/>
                <w:bCs/>
                <w:sz w:val="21"/>
                <w:szCs w:val="21"/>
                <w:lang w:val="es-ES"/>
              </w:rPr>
              <w:t>(2022</w:t>
            </w:r>
            <w:r w:rsidRPr="003D49E9">
              <w:rPr>
                <w:b/>
                <w:sz w:val="21"/>
                <w:szCs w:val="21"/>
                <w:lang w:val="es-ES"/>
              </w:rPr>
              <w:t>–</w:t>
            </w:r>
            <w:r w:rsidRPr="003D49E9">
              <w:rPr>
                <w:b/>
                <w:bCs/>
                <w:sz w:val="21"/>
                <w:szCs w:val="21"/>
                <w:lang w:val="es-ES"/>
              </w:rPr>
              <w:t>2024)</w:t>
            </w:r>
          </w:p>
        </w:tc>
        <w:tc>
          <w:tcPr>
            <w:tcW w:w="1401" w:type="dxa"/>
            <w:tcBorders>
              <w:top w:val="single" w:sz="4" w:space="0" w:color="auto"/>
              <w:left w:val="nil"/>
              <w:bottom w:val="single" w:sz="4" w:space="0" w:color="auto"/>
              <w:right w:val="single" w:sz="4" w:space="0" w:color="auto"/>
            </w:tcBorders>
            <w:vAlign w:val="center"/>
            <w:hideMark/>
          </w:tcPr>
          <w:p w14:paraId="555127E0" w14:textId="77777777" w:rsidR="0080274B" w:rsidRPr="003D49E9" w:rsidRDefault="0080274B" w:rsidP="003A6588">
            <w:pPr>
              <w:jc w:val="center"/>
              <w:rPr>
                <w:b/>
                <w:bCs/>
                <w:sz w:val="21"/>
                <w:szCs w:val="21"/>
                <w:lang w:val="es-ES"/>
              </w:rPr>
            </w:pPr>
            <w:r w:rsidRPr="003D49E9">
              <w:rPr>
                <w:b/>
                <w:bCs/>
                <w:sz w:val="21"/>
                <w:szCs w:val="21"/>
                <w:lang w:val="es-ES"/>
              </w:rPr>
              <w:t>Total después de 2024</w:t>
            </w:r>
          </w:p>
        </w:tc>
      </w:tr>
      <w:tr w:rsidR="0080274B" w:rsidRPr="000755F8" w14:paraId="25A664AC" w14:textId="77777777" w:rsidTr="00366B50">
        <w:trPr>
          <w:trHeight w:val="249"/>
        </w:trPr>
        <w:tc>
          <w:tcPr>
            <w:tcW w:w="9419" w:type="dxa"/>
            <w:gridSpan w:val="6"/>
            <w:tcBorders>
              <w:top w:val="single" w:sz="4" w:space="0" w:color="auto"/>
              <w:left w:val="single" w:sz="4" w:space="0" w:color="auto"/>
              <w:bottom w:val="single" w:sz="4" w:space="0" w:color="auto"/>
              <w:right w:val="single" w:sz="4" w:space="0" w:color="auto"/>
            </w:tcBorders>
            <w:noWrap/>
            <w:vAlign w:val="center"/>
            <w:hideMark/>
          </w:tcPr>
          <w:p w14:paraId="5F67A15D" w14:textId="77777777" w:rsidR="0080274B" w:rsidRPr="003D49E9" w:rsidRDefault="0080274B" w:rsidP="003A6588">
            <w:pPr>
              <w:jc w:val="left"/>
              <w:rPr>
                <w:b/>
                <w:bCs/>
                <w:sz w:val="21"/>
                <w:szCs w:val="21"/>
                <w:lang w:val="es-ES"/>
              </w:rPr>
            </w:pPr>
            <w:r w:rsidRPr="003D49E9">
              <w:rPr>
                <w:b/>
                <w:bCs/>
                <w:sz w:val="21"/>
                <w:szCs w:val="21"/>
                <w:lang w:val="es-ES"/>
              </w:rPr>
              <w:t>Actividades relacionadas con los HCFC</w:t>
            </w:r>
          </w:p>
        </w:tc>
      </w:tr>
      <w:tr w:rsidR="0080274B" w:rsidRPr="003D49E9" w14:paraId="512EE56F" w14:textId="77777777" w:rsidTr="00366B50">
        <w:trPr>
          <w:trHeight w:val="233"/>
        </w:trPr>
        <w:tc>
          <w:tcPr>
            <w:tcW w:w="2424" w:type="dxa"/>
            <w:tcBorders>
              <w:top w:val="nil"/>
              <w:left w:val="single" w:sz="4" w:space="0" w:color="auto"/>
              <w:bottom w:val="single" w:sz="4" w:space="0" w:color="auto"/>
              <w:right w:val="single" w:sz="4" w:space="0" w:color="auto"/>
            </w:tcBorders>
            <w:noWrap/>
            <w:vAlign w:val="center"/>
            <w:hideMark/>
          </w:tcPr>
          <w:p w14:paraId="7B70E5EF" w14:textId="77777777" w:rsidR="0080274B" w:rsidRPr="003D49E9" w:rsidRDefault="0080274B" w:rsidP="003A6588">
            <w:pPr>
              <w:jc w:val="left"/>
              <w:rPr>
                <w:sz w:val="21"/>
                <w:szCs w:val="21"/>
                <w:lang w:val="es-ES"/>
              </w:rPr>
            </w:pPr>
            <w:r w:rsidRPr="003D49E9">
              <w:rPr>
                <w:sz w:val="21"/>
                <w:szCs w:val="21"/>
                <w:lang w:val="es-ES"/>
              </w:rPr>
              <w:t>PGEH aprobados</w:t>
            </w:r>
          </w:p>
        </w:tc>
        <w:tc>
          <w:tcPr>
            <w:tcW w:w="1397" w:type="dxa"/>
            <w:tcBorders>
              <w:top w:val="nil"/>
              <w:left w:val="nil"/>
              <w:bottom w:val="single" w:sz="4" w:space="0" w:color="auto"/>
              <w:right w:val="single" w:sz="4" w:space="0" w:color="auto"/>
            </w:tcBorders>
            <w:noWrap/>
            <w:vAlign w:val="center"/>
            <w:hideMark/>
          </w:tcPr>
          <w:p w14:paraId="3531FEA8" w14:textId="77777777" w:rsidR="0080274B" w:rsidRPr="003D49E9" w:rsidRDefault="0080274B" w:rsidP="003A6588">
            <w:pPr>
              <w:jc w:val="right"/>
              <w:rPr>
                <w:sz w:val="21"/>
                <w:szCs w:val="21"/>
                <w:lang w:val="es-ES"/>
              </w:rPr>
            </w:pPr>
            <w:r w:rsidRPr="003D49E9">
              <w:rPr>
                <w:sz w:val="21"/>
                <w:szCs w:val="21"/>
                <w:lang w:val="es-ES"/>
              </w:rPr>
              <w:t>0</w:t>
            </w:r>
          </w:p>
        </w:tc>
        <w:tc>
          <w:tcPr>
            <w:tcW w:w="1398" w:type="dxa"/>
            <w:tcBorders>
              <w:top w:val="nil"/>
              <w:left w:val="nil"/>
              <w:bottom w:val="single" w:sz="4" w:space="0" w:color="auto"/>
              <w:right w:val="single" w:sz="4" w:space="0" w:color="auto"/>
            </w:tcBorders>
            <w:noWrap/>
            <w:vAlign w:val="center"/>
            <w:hideMark/>
          </w:tcPr>
          <w:p w14:paraId="5A033E2F" w14:textId="77777777" w:rsidR="0080274B" w:rsidRPr="003D49E9" w:rsidRDefault="0080274B" w:rsidP="003A6588">
            <w:pPr>
              <w:jc w:val="right"/>
              <w:rPr>
                <w:sz w:val="21"/>
                <w:szCs w:val="21"/>
                <w:lang w:val="es-ES"/>
              </w:rPr>
            </w:pPr>
            <w:r w:rsidRPr="003D49E9">
              <w:rPr>
                <w:sz w:val="21"/>
                <w:szCs w:val="21"/>
                <w:lang w:val="es-ES"/>
              </w:rPr>
              <w:t>671.075</w:t>
            </w:r>
          </w:p>
        </w:tc>
        <w:tc>
          <w:tcPr>
            <w:tcW w:w="1398" w:type="dxa"/>
            <w:tcBorders>
              <w:top w:val="nil"/>
              <w:left w:val="nil"/>
              <w:bottom w:val="single" w:sz="4" w:space="0" w:color="auto"/>
              <w:right w:val="single" w:sz="4" w:space="0" w:color="auto"/>
            </w:tcBorders>
            <w:noWrap/>
            <w:vAlign w:val="center"/>
            <w:hideMark/>
          </w:tcPr>
          <w:p w14:paraId="49757208" w14:textId="77777777" w:rsidR="0080274B" w:rsidRPr="003D49E9" w:rsidRDefault="0080274B" w:rsidP="003A6588">
            <w:pPr>
              <w:jc w:val="right"/>
              <w:rPr>
                <w:sz w:val="21"/>
                <w:szCs w:val="21"/>
                <w:lang w:val="es-ES"/>
              </w:rPr>
            </w:pPr>
            <w:r w:rsidRPr="003D49E9">
              <w:rPr>
                <w:sz w:val="21"/>
                <w:szCs w:val="21"/>
                <w:lang w:val="es-ES"/>
              </w:rPr>
              <w:t>0</w:t>
            </w:r>
          </w:p>
        </w:tc>
        <w:tc>
          <w:tcPr>
            <w:tcW w:w="1398" w:type="dxa"/>
            <w:tcBorders>
              <w:top w:val="nil"/>
              <w:left w:val="nil"/>
              <w:bottom w:val="single" w:sz="4" w:space="0" w:color="auto"/>
              <w:right w:val="single" w:sz="4" w:space="0" w:color="auto"/>
            </w:tcBorders>
            <w:noWrap/>
            <w:vAlign w:val="center"/>
            <w:hideMark/>
          </w:tcPr>
          <w:p w14:paraId="39A47865" w14:textId="77777777" w:rsidR="0080274B" w:rsidRPr="003D49E9" w:rsidRDefault="0080274B" w:rsidP="003A6588">
            <w:pPr>
              <w:jc w:val="right"/>
              <w:rPr>
                <w:sz w:val="21"/>
                <w:szCs w:val="21"/>
                <w:lang w:val="es-ES"/>
              </w:rPr>
            </w:pPr>
            <w:r w:rsidRPr="003D49E9">
              <w:rPr>
                <w:sz w:val="21"/>
                <w:szCs w:val="21"/>
                <w:lang w:val="es-ES"/>
              </w:rPr>
              <w:t>671.075</w:t>
            </w:r>
          </w:p>
        </w:tc>
        <w:tc>
          <w:tcPr>
            <w:tcW w:w="1401" w:type="dxa"/>
            <w:tcBorders>
              <w:top w:val="nil"/>
              <w:left w:val="nil"/>
              <w:bottom w:val="single" w:sz="4" w:space="0" w:color="auto"/>
              <w:right w:val="single" w:sz="4" w:space="0" w:color="auto"/>
            </w:tcBorders>
            <w:noWrap/>
            <w:vAlign w:val="center"/>
            <w:hideMark/>
          </w:tcPr>
          <w:p w14:paraId="75AB8C36" w14:textId="77777777" w:rsidR="0080274B" w:rsidRPr="003D49E9" w:rsidRDefault="0080274B" w:rsidP="003A6588">
            <w:pPr>
              <w:jc w:val="right"/>
              <w:rPr>
                <w:sz w:val="21"/>
                <w:szCs w:val="21"/>
                <w:lang w:val="es-ES"/>
              </w:rPr>
            </w:pPr>
            <w:r w:rsidRPr="003D49E9">
              <w:rPr>
                <w:sz w:val="21"/>
                <w:szCs w:val="21"/>
                <w:lang w:val="es-ES"/>
              </w:rPr>
              <w:t>99.685</w:t>
            </w:r>
          </w:p>
        </w:tc>
      </w:tr>
      <w:tr w:rsidR="0080274B" w:rsidRPr="003D49E9" w14:paraId="3A5B0A8D" w14:textId="77777777" w:rsidTr="00366B50">
        <w:trPr>
          <w:trHeight w:val="249"/>
        </w:trPr>
        <w:tc>
          <w:tcPr>
            <w:tcW w:w="2424" w:type="dxa"/>
            <w:tcBorders>
              <w:top w:val="nil"/>
              <w:left w:val="single" w:sz="4" w:space="0" w:color="auto"/>
              <w:bottom w:val="single" w:sz="4" w:space="0" w:color="auto"/>
              <w:right w:val="single" w:sz="4" w:space="0" w:color="auto"/>
            </w:tcBorders>
            <w:noWrap/>
            <w:vAlign w:val="center"/>
            <w:hideMark/>
          </w:tcPr>
          <w:p w14:paraId="0F24A9DF" w14:textId="77777777" w:rsidR="0080274B" w:rsidRPr="003D49E9" w:rsidRDefault="0080274B" w:rsidP="003A6588">
            <w:pPr>
              <w:jc w:val="left"/>
              <w:rPr>
                <w:b/>
                <w:bCs/>
                <w:sz w:val="21"/>
                <w:szCs w:val="21"/>
                <w:lang w:val="es-ES"/>
              </w:rPr>
            </w:pPr>
            <w:r w:rsidRPr="003D49E9">
              <w:rPr>
                <w:b/>
                <w:bCs/>
                <w:sz w:val="21"/>
                <w:szCs w:val="21"/>
                <w:lang w:val="es-ES"/>
              </w:rPr>
              <w:t>Total</w:t>
            </w:r>
          </w:p>
        </w:tc>
        <w:tc>
          <w:tcPr>
            <w:tcW w:w="1397" w:type="dxa"/>
            <w:tcBorders>
              <w:top w:val="nil"/>
              <w:left w:val="nil"/>
              <w:bottom w:val="single" w:sz="4" w:space="0" w:color="auto"/>
              <w:right w:val="single" w:sz="4" w:space="0" w:color="auto"/>
            </w:tcBorders>
            <w:noWrap/>
            <w:vAlign w:val="center"/>
            <w:hideMark/>
          </w:tcPr>
          <w:p w14:paraId="0C957BA0" w14:textId="77777777" w:rsidR="0080274B" w:rsidRPr="003D49E9" w:rsidRDefault="0080274B" w:rsidP="003A6588">
            <w:pPr>
              <w:jc w:val="right"/>
              <w:rPr>
                <w:b/>
                <w:bCs/>
                <w:sz w:val="21"/>
                <w:szCs w:val="21"/>
                <w:lang w:val="es-ES"/>
              </w:rPr>
            </w:pPr>
            <w:r w:rsidRPr="003D49E9">
              <w:rPr>
                <w:b/>
                <w:bCs/>
                <w:sz w:val="21"/>
                <w:szCs w:val="21"/>
                <w:lang w:val="es-ES"/>
              </w:rPr>
              <w:t>0</w:t>
            </w:r>
          </w:p>
        </w:tc>
        <w:tc>
          <w:tcPr>
            <w:tcW w:w="1398" w:type="dxa"/>
            <w:tcBorders>
              <w:top w:val="nil"/>
              <w:left w:val="nil"/>
              <w:bottom w:val="single" w:sz="4" w:space="0" w:color="auto"/>
              <w:right w:val="single" w:sz="4" w:space="0" w:color="auto"/>
            </w:tcBorders>
            <w:noWrap/>
            <w:vAlign w:val="center"/>
            <w:hideMark/>
          </w:tcPr>
          <w:p w14:paraId="5DB451A9" w14:textId="77777777" w:rsidR="0080274B" w:rsidRPr="003D49E9" w:rsidRDefault="0080274B" w:rsidP="003A6588">
            <w:pPr>
              <w:jc w:val="right"/>
              <w:rPr>
                <w:b/>
                <w:bCs/>
                <w:sz w:val="21"/>
                <w:szCs w:val="21"/>
                <w:lang w:val="es-ES"/>
              </w:rPr>
            </w:pPr>
            <w:r w:rsidRPr="003D49E9">
              <w:rPr>
                <w:b/>
                <w:bCs/>
                <w:sz w:val="21"/>
                <w:szCs w:val="21"/>
                <w:lang w:val="es-ES"/>
              </w:rPr>
              <w:t>671.075</w:t>
            </w:r>
          </w:p>
        </w:tc>
        <w:tc>
          <w:tcPr>
            <w:tcW w:w="1398" w:type="dxa"/>
            <w:tcBorders>
              <w:top w:val="nil"/>
              <w:left w:val="nil"/>
              <w:bottom w:val="single" w:sz="4" w:space="0" w:color="auto"/>
              <w:right w:val="single" w:sz="4" w:space="0" w:color="auto"/>
            </w:tcBorders>
            <w:noWrap/>
            <w:vAlign w:val="center"/>
            <w:hideMark/>
          </w:tcPr>
          <w:p w14:paraId="69ADA47F" w14:textId="77777777" w:rsidR="0080274B" w:rsidRPr="003D49E9" w:rsidRDefault="0080274B" w:rsidP="003A6588">
            <w:pPr>
              <w:jc w:val="right"/>
              <w:rPr>
                <w:b/>
                <w:bCs/>
                <w:sz w:val="21"/>
                <w:szCs w:val="21"/>
                <w:lang w:val="es-ES"/>
              </w:rPr>
            </w:pPr>
            <w:r w:rsidRPr="003D49E9">
              <w:rPr>
                <w:b/>
                <w:bCs/>
                <w:sz w:val="21"/>
                <w:szCs w:val="21"/>
                <w:lang w:val="es-ES"/>
              </w:rPr>
              <w:t>0</w:t>
            </w:r>
          </w:p>
        </w:tc>
        <w:tc>
          <w:tcPr>
            <w:tcW w:w="1398" w:type="dxa"/>
            <w:tcBorders>
              <w:top w:val="nil"/>
              <w:left w:val="nil"/>
              <w:bottom w:val="single" w:sz="4" w:space="0" w:color="auto"/>
              <w:right w:val="single" w:sz="4" w:space="0" w:color="auto"/>
            </w:tcBorders>
            <w:noWrap/>
            <w:vAlign w:val="center"/>
            <w:hideMark/>
          </w:tcPr>
          <w:p w14:paraId="458C8FC0" w14:textId="77777777" w:rsidR="0080274B" w:rsidRPr="003D49E9" w:rsidRDefault="0080274B" w:rsidP="003A6588">
            <w:pPr>
              <w:jc w:val="right"/>
              <w:rPr>
                <w:b/>
                <w:bCs/>
                <w:sz w:val="21"/>
                <w:szCs w:val="21"/>
                <w:lang w:val="es-ES"/>
              </w:rPr>
            </w:pPr>
            <w:r w:rsidRPr="003D49E9">
              <w:rPr>
                <w:b/>
                <w:bCs/>
                <w:sz w:val="21"/>
                <w:szCs w:val="21"/>
                <w:lang w:val="es-ES"/>
              </w:rPr>
              <w:t>671.075</w:t>
            </w:r>
          </w:p>
        </w:tc>
        <w:tc>
          <w:tcPr>
            <w:tcW w:w="1401" w:type="dxa"/>
            <w:tcBorders>
              <w:top w:val="nil"/>
              <w:left w:val="nil"/>
              <w:bottom w:val="single" w:sz="4" w:space="0" w:color="auto"/>
              <w:right w:val="single" w:sz="4" w:space="0" w:color="auto"/>
            </w:tcBorders>
            <w:noWrap/>
            <w:vAlign w:val="center"/>
            <w:hideMark/>
          </w:tcPr>
          <w:p w14:paraId="3C739D01" w14:textId="77777777" w:rsidR="0080274B" w:rsidRPr="003D49E9" w:rsidRDefault="0080274B" w:rsidP="003A6588">
            <w:pPr>
              <w:jc w:val="right"/>
              <w:rPr>
                <w:b/>
                <w:bCs/>
                <w:sz w:val="21"/>
                <w:szCs w:val="21"/>
                <w:lang w:val="es-ES"/>
              </w:rPr>
            </w:pPr>
            <w:r w:rsidRPr="003D49E9">
              <w:rPr>
                <w:b/>
                <w:bCs/>
                <w:sz w:val="21"/>
                <w:szCs w:val="21"/>
                <w:lang w:val="es-ES"/>
              </w:rPr>
              <w:t>99.685</w:t>
            </w:r>
          </w:p>
        </w:tc>
      </w:tr>
    </w:tbl>
    <w:p w14:paraId="51B09F3C" w14:textId="77777777" w:rsidR="0080274B" w:rsidRPr="003D49E9" w:rsidRDefault="0080274B" w:rsidP="0080274B">
      <w:pPr>
        <w:rPr>
          <w:sz w:val="20"/>
          <w:szCs w:val="20"/>
          <w:lang w:val="es-ES"/>
        </w:rPr>
      </w:pPr>
      <w:r w:rsidRPr="003D49E9">
        <w:rPr>
          <w:sz w:val="20"/>
          <w:szCs w:val="20"/>
          <w:lang w:val="es-ES"/>
        </w:rPr>
        <w:t>* Incluidos los gastos de apoyo a los organismos.</w:t>
      </w:r>
    </w:p>
    <w:p w14:paraId="7FD99CBB" w14:textId="77777777" w:rsidR="0080274B" w:rsidRPr="003D49E9" w:rsidRDefault="0080274B" w:rsidP="0080274B">
      <w:pPr>
        <w:rPr>
          <w:sz w:val="18"/>
          <w:szCs w:val="18"/>
          <w:lang w:val="es-ES"/>
        </w:rPr>
      </w:pPr>
    </w:p>
    <w:p w14:paraId="2E7B6090" w14:textId="0644E540" w:rsidR="00F26FE4" w:rsidRPr="003D49E9" w:rsidRDefault="00F26FE4" w:rsidP="00F26FE4">
      <w:pPr>
        <w:rPr>
          <w:b/>
          <w:bCs/>
          <w:lang w:val="es-ES"/>
        </w:rPr>
      </w:pPr>
      <w:r w:rsidRPr="003D49E9">
        <w:rPr>
          <w:b/>
          <w:bCs/>
          <w:lang w:val="es-ES"/>
        </w:rPr>
        <w:t>Alemania</w:t>
      </w:r>
    </w:p>
    <w:p w14:paraId="4E34495B" w14:textId="77777777" w:rsidR="00F26FE4" w:rsidRPr="003D49E9" w:rsidRDefault="00F26FE4" w:rsidP="00F26FE4">
      <w:pPr>
        <w:rPr>
          <w:iCs/>
          <w:lang w:val="es-ES"/>
        </w:rPr>
      </w:pPr>
    </w:p>
    <w:p w14:paraId="46EF081E" w14:textId="77777777" w:rsidR="00F26FE4" w:rsidRPr="003D49E9" w:rsidRDefault="00F26FE4" w:rsidP="00F26FE4">
      <w:pPr>
        <w:pStyle w:val="Heading1"/>
        <w:numPr>
          <w:ilvl w:val="0"/>
          <w:numId w:val="21"/>
        </w:numPr>
        <w:rPr>
          <w:lang w:val="es-ES"/>
        </w:rPr>
      </w:pPr>
      <w:r w:rsidRPr="003D49E9">
        <w:rPr>
          <w:lang w:val="es-ES"/>
        </w:rPr>
        <w:t>En el Cuadro 5 se presenta la asignación de recursos del plan administrativo de Alemania para</w:t>
      </w:r>
      <w:r w:rsidRPr="003D49E9">
        <w:rPr>
          <w:caps/>
          <w:lang w:val="es-ES"/>
        </w:rPr>
        <w:t xml:space="preserve"> 2022</w:t>
      </w:r>
      <w:r w:rsidRPr="003D49E9">
        <w:rPr>
          <w:lang w:val="es-ES"/>
        </w:rPr>
        <w:t>-2024.</w:t>
      </w:r>
    </w:p>
    <w:p w14:paraId="5B173B7E" w14:textId="77777777" w:rsidR="00F26FE4" w:rsidRPr="003D49E9" w:rsidRDefault="00F26FE4" w:rsidP="000755F8">
      <w:pPr>
        <w:pStyle w:val="subhead"/>
        <w:keepNext/>
        <w:keepLines/>
        <w:jc w:val="both"/>
        <w:rPr>
          <w:b/>
          <w:sz w:val="22"/>
          <w:szCs w:val="22"/>
        </w:rPr>
      </w:pPr>
      <w:r w:rsidRPr="003D49E9">
        <w:rPr>
          <w:b/>
          <w:sz w:val="22"/>
          <w:szCs w:val="22"/>
        </w:rPr>
        <w:lastRenderedPageBreak/>
        <w:t>Cuadro 5. Asignación de recursos para Alemania</w:t>
      </w:r>
      <w:r w:rsidRPr="003D49E9">
        <w:rPr>
          <w:sz w:val="22"/>
          <w:szCs w:val="22"/>
        </w:rPr>
        <w:t xml:space="preserve"> </w:t>
      </w:r>
      <w:r w:rsidRPr="003D49E9">
        <w:rPr>
          <w:b/>
          <w:sz w:val="22"/>
          <w:szCs w:val="22"/>
        </w:rPr>
        <w:t xml:space="preserve"> ($EUA)*</w:t>
      </w:r>
    </w:p>
    <w:tbl>
      <w:tblPr>
        <w:tblW w:w="9495" w:type="dxa"/>
        <w:tblInd w:w="-5" w:type="dxa"/>
        <w:tblLayout w:type="fixed"/>
        <w:tblLook w:val="04A0" w:firstRow="1" w:lastRow="0" w:firstColumn="1" w:lastColumn="0" w:noHBand="0" w:noVBand="1"/>
      </w:tblPr>
      <w:tblGrid>
        <w:gridCol w:w="2975"/>
        <w:gridCol w:w="1303"/>
        <w:gridCol w:w="1304"/>
        <w:gridCol w:w="1304"/>
        <w:gridCol w:w="1304"/>
        <w:gridCol w:w="1305"/>
      </w:tblGrid>
      <w:tr w:rsidR="00F26FE4" w:rsidRPr="003D49E9" w14:paraId="119AFD50" w14:textId="77777777" w:rsidTr="004B0807">
        <w:trPr>
          <w:trHeight w:val="408"/>
          <w:tblHeader/>
        </w:trPr>
        <w:tc>
          <w:tcPr>
            <w:tcW w:w="2977" w:type="dxa"/>
            <w:tcBorders>
              <w:top w:val="single" w:sz="4" w:space="0" w:color="auto"/>
              <w:left w:val="single" w:sz="4" w:space="0" w:color="auto"/>
              <w:bottom w:val="single" w:sz="4" w:space="0" w:color="auto"/>
              <w:right w:val="single" w:sz="4" w:space="0" w:color="auto"/>
            </w:tcBorders>
            <w:noWrap/>
            <w:hideMark/>
          </w:tcPr>
          <w:p w14:paraId="25522D63" w14:textId="77777777" w:rsidR="00F26FE4" w:rsidRPr="003D49E9" w:rsidRDefault="00F26FE4" w:rsidP="000755F8">
            <w:pPr>
              <w:keepNext/>
              <w:keepLines/>
              <w:jc w:val="left"/>
              <w:rPr>
                <w:b/>
                <w:bCs/>
                <w:sz w:val="21"/>
                <w:szCs w:val="21"/>
                <w:lang w:val="es-ES"/>
              </w:rPr>
            </w:pPr>
            <w:r w:rsidRPr="003D49E9">
              <w:rPr>
                <w:b/>
                <w:bCs/>
                <w:sz w:val="21"/>
                <w:szCs w:val="21"/>
                <w:lang w:val="es-ES"/>
              </w:rPr>
              <w:t>Descripción</w:t>
            </w:r>
          </w:p>
        </w:tc>
        <w:tc>
          <w:tcPr>
            <w:tcW w:w="1304" w:type="dxa"/>
            <w:tcBorders>
              <w:top w:val="single" w:sz="4" w:space="0" w:color="auto"/>
              <w:left w:val="nil"/>
              <w:bottom w:val="single" w:sz="4" w:space="0" w:color="auto"/>
              <w:right w:val="single" w:sz="4" w:space="0" w:color="auto"/>
            </w:tcBorders>
            <w:hideMark/>
          </w:tcPr>
          <w:p w14:paraId="5CA3F5EC" w14:textId="77777777" w:rsidR="00F26FE4" w:rsidRPr="003D49E9" w:rsidRDefault="00F26FE4" w:rsidP="000755F8">
            <w:pPr>
              <w:keepNext/>
              <w:keepLines/>
              <w:jc w:val="center"/>
              <w:rPr>
                <w:b/>
                <w:bCs/>
                <w:sz w:val="21"/>
                <w:szCs w:val="21"/>
                <w:lang w:val="es-ES"/>
              </w:rPr>
            </w:pPr>
            <w:r w:rsidRPr="003D49E9">
              <w:rPr>
                <w:b/>
                <w:bCs/>
                <w:sz w:val="21"/>
                <w:szCs w:val="21"/>
                <w:lang w:val="es-ES"/>
              </w:rPr>
              <w:t>2022</w:t>
            </w:r>
          </w:p>
        </w:tc>
        <w:tc>
          <w:tcPr>
            <w:tcW w:w="1304" w:type="dxa"/>
            <w:tcBorders>
              <w:top w:val="single" w:sz="4" w:space="0" w:color="auto"/>
              <w:left w:val="nil"/>
              <w:bottom w:val="single" w:sz="4" w:space="0" w:color="auto"/>
              <w:right w:val="single" w:sz="4" w:space="0" w:color="auto"/>
            </w:tcBorders>
            <w:hideMark/>
          </w:tcPr>
          <w:p w14:paraId="191E391A" w14:textId="77777777" w:rsidR="00F26FE4" w:rsidRPr="003D49E9" w:rsidRDefault="00F26FE4" w:rsidP="000755F8">
            <w:pPr>
              <w:keepNext/>
              <w:keepLines/>
              <w:jc w:val="center"/>
              <w:rPr>
                <w:b/>
                <w:bCs/>
                <w:sz w:val="21"/>
                <w:szCs w:val="21"/>
                <w:lang w:val="es-ES"/>
              </w:rPr>
            </w:pPr>
            <w:r w:rsidRPr="003D49E9">
              <w:rPr>
                <w:b/>
                <w:bCs/>
                <w:sz w:val="21"/>
                <w:szCs w:val="21"/>
                <w:lang w:val="es-ES"/>
              </w:rPr>
              <w:t>2023</w:t>
            </w:r>
          </w:p>
        </w:tc>
        <w:tc>
          <w:tcPr>
            <w:tcW w:w="1304" w:type="dxa"/>
            <w:tcBorders>
              <w:top w:val="single" w:sz="4" w:space="0" w:color="auto"/>
              <w:left w:val="nil"/>
              <w:bottom w:val="single" w:sz="4" w:space="0" w:color="auto"/>
              <w:right w:val="single" w:sz="4" w:space="0" w:color="auto"/>
            </w:tcBorders>
            <w:hideMark/>
          </w:tcPr>
          <w:p w14:paraId="3781502B" w14:textId="77777777" w:rsidR="00F26FE4" w:rsidRPr="003D49E9" w:rsidRDefault="00F26FE4" w:rsidP="000755F8">
            <w:pPr>
              <w:keepNext/>
              <w:keepLines/>
              <w:jc w:val="center"/>
              <w:rPr>
                <w:b/>
                <w:bCs/>
                <w:sz w:val="21"/>
                <w:szCs w:val="21"/>
                <w:lang w:val="es-ES"/>
              </w:rPr>
            </w:pPr>
            <w:r w:rsidRPr="003D49E9">
              <w:rPr>
                <w:b/>
                <w:bCs/>
                <w:sz w:val="21"/>
                <w:szCs w:val="21"/>
                <w:lang w:val="es-ES"/>
              </w:rPr>
              <w:t>2024</w:t>
            </w:r>
          </w:p>
        </w:tc>
        <w:tc>
          <w:tcPr>
            <w:tcW w:w="1304" w:type="dxa"/>
            <w:tcBorders>
              <w:top w:val="single" w:sz="4" w:space="0" w:color="auto"/>
              <w:left w:val="nil"/>
              <w:bottom w:val="single" w:sz="4" w:space="0" w:color="auto"/>
              <w:right w:val="single" w:sz="4" w:space="0" w:color="auto"/>
            </w:tcBorders>
            <w:hideMark/>
          </w:tcPr>
          <w:p w14:paraId="76ED6486" w14:textId="77777777" w:rsidR="00F26FE4" w:rsidRPr="003D49E9" w:rsidRDefault="00F26FE4" w:rsidP="000755F8">
            <w:pPr>
              <w:keepNext/>
              <w:keepLines/>
              <w:jc w:val="center"/>
              <w:rPr>
                <w:b/>
                <w:bCs/>
                <w:sz w:val="21"/>
                <w:szCs w:val="21"/>
                <w:lang w:val="es-ES"/>
              </w:rPr>
            </w:pPr>
            <w:r w:rsidRPr="003D49E9">
              <w:rPr>
                <w:b/>
                <w:bCs/>
                <w:sz w:val="21"/>
                <w:szCs w:val="21"/>
                <w:lang w:val="es-ES"/>
              </w:rPr>
              <w:t xml:space="preserve">Total </w:t>
            </w:r>
          </w:p>
          <w:p w14:paraId="0C365FE5" w14:textId="77777777" w:rsidR="00F26FE4" w:rsidRPr="003D49E9" w:rsidRDefault="00F26FE4" w:rsidP="000755F8">
            <w:pPr>
              <w:keepNext/>
              <w:keepLines/>
              <w:jc w:val="center"/>
              <w:rPr>
                <w:b/>
                <w:bCs/>
                <w:sz w:val="21"/>
                <w:szCs w:val="21"/>
                <w:lang w:val="es-ES"/>
              </w:rPr>
            </w:pPr>
            <w:r w:rsidRPr="003D49E9">
              <w:rPr>
                <w:b/>
                <w:bCs/>
                <w:sz w:val="21"/>
                <w:szCs w:val="21"/>
                <w:lang w:val="es-ES"/>
              </w:rPr>
              <w:t>(2022-2024)</w:t>
            </w:r>
          </w:p>
        </w:tc>
        <w:tc>
          <w:tcPr>
            <w:tcW w:w="1305" w:type="dxa"/>
            <w:tcBorders>
              <w:top w:val="single" w:sz="4" w:space="0" w:color="auto"/>
              <w:left w:val="nil"/>
              <w:bottom w:val="single" w:sz="4" w:space="0" w:color="auto"/>
              <w:right w:val="single" w:sz="4" w:space="0" w:color="auto"/>
            </w:tcBorders>
            <w:hideMark/>
          </w:tcPr>
          <w:p w14:paraId="1D09875F" w14:textId="77777777" w:rsidR="00F26FE4" w:rsidRPr="003D49E9" w:rsidRDefault="00F26FE4" w:rsidP="000755F8">
            <w:pPr>
              <w:keepNext/>
              <w:keepLines/>
              <w:jc w:val="center"/>
              <w:rPr>
                <w:b/>
                <w:bCs/>
                <w:sz w:val="21"/>
                <w:szCs w:val="21"/>
                <w:lang w:val="es-ES"/>
              </w:rPr>
            </w:pPr>
            <w:r w:rsidRPr="003D49E9">
              <w:rPr>
                <w:b/>
                <w:bCs/>
                <w:sz w:val="21"/>
                <w:szCs w:val="21"/>
                <w:lang w:val="es-ES"/>
              </w:rPr>
              <w:t>Total después de 2024</w:t>
            </w:r>
          </w:p>
        </w:tc>
      </w:tr>
      <w:tr w:rsidR="00F26FE4" w:rsidRPr="000755F8" w14:paraId="221A3922" w14:textId="77777777" w:rsidTr="003C3492">
        <w:trPr>
          <w:trHeight w:val="60"/>
        </w:trPr>
        <w:tc>
          <w:tcPr>
            <w:tcW w:w="9498" w:type="dxa"/>
            <w:gridSpan w:val="6"/>
            <w:tcBorders>
              <w:top w:val="single" w:sz="4" w:space="0" w:color="auto"/>
              <w:left w:val="single" w:sz="4" w:space="0" w:color="auto"/>
              <w:bottom w:val="single" w:sz="4" w:space="0" w:color="auto"/>
              <w:right w:val="single" w:sz="4" w:space="0" w:color="auto"/>
            </w:tcBorders>
            <w:noWrap/>
            <w:hideMark/>
          </w:tcPr>
          <w:p w14:paraId="01F4A994" w14:textId="77777777" w:rsidR="00F26FE4" w:rsidRPr="003D49E9" w:rsidRDefault="00F26FE4" w:rsidP="000755F8">
            <w:pPr>
              <w:keepNext/>
              <w:keepLines/>
              <w:jc w:val="left"/>
              <w:rPr>
                <w:b/>
                <w:bCs/>
                <w:sz w:val="21"/>
                <w:szCs w:val="21"/>
                <w:lang w:val="es-ES"/>
              </w:rPr>
            </w:pPr>
            <w:r w:rsidRPr="003D49E9">
              <w:rPr>
                <w:b/>
                <w:bCs/>
                <w:sz w:val="21"/>
                <w:szCs w:val="21"/>
                <w:lang w:val="es-ES"/>
              </w:rPr>
              <w:t>Actividades relacionadas con los HCFC</w:t>
            </w:r>
          </w:p>
        </w:tc>
      </w:tr>
      <w:tr w:rsidR="00F26FE4" w:rsidRPr="003D49E9" w14:paraId="51B5D8F7" w14:textId="77777777" w:rsidTr="003C3492">
        <w:trPr>
          <w:trHeight w:val="93"/>
        </w:trPr>
        <w:tc>
          <w:tcPr>
            <w:tcW w:w="2977" w:type="dxa"/>
            <w:tcBorders>
              <w:top w:val="nil"/>
              <w:left w:val="single" w:sz="4" w:space="0" w:color="auto"/>
              <w:bottom w:val="single" w:sz="4" w:space="0" w:color="auto"/>
              <w:right w:val="single" w:sz="4" w:space="0" w:color="auto"/>
            </w:tcBorders>
            <w:noWrap/>
            <w:hideMark/>
          </w:tcPr>
          <w:p w14:paraId="630E80D4" w14:textId="77777777" w:rsidR="00F26FE4" w:rsidRPr="003D49E9" w:rsidRDefault="00F26FE4" w:rsidP="000755F8">
            <w:pPr>
              <w:keepNext/>
              <w:keepLines/>
              <w:jc w:val="left"/>
              <w:rPr>
                <w:sz w:val="21"/>
                <w:szCs w:val="21"/>
                <w:lang w:val="es-ES"/>
              </w:rPr>
            </w:pPr>
            <w:r w:rsidRPr="003D49E9">
              <w:rPr>
                <w:sz w:val="21"/>
                <w:szCs w:val="21"/>
                <w:lang w:val="es-ES"/>
              </w:rPr>
              <w:t>PGEH aprobados</w:t>
            </w:r>
          </w:p>
        </w:tc>
        <w:tc>
          <w:tcPr>
            <w:tcW w:w="1304" w:type="dxa"/>
            <w:tcBorders>
              <w:top w:val="nil"/>
              <w:left w:val="nil"/>
              <w:bottom w:val="single" w:sz="4" w:space="0" w:color="auto"/>
              <w:right w:val="single" w:sz="4" w:space="0" w:color="auto"/>
            </w:tcBorders>
            <w:noWrap/>
            <w:hideMark/>
          </w:tcPr>
          <w:p w14:paraId="3E712DB1" w14:textId="77777777" w:rsidR="00F26FE4" w:rsidRPr="003D49E9" w:rsidRDefault="00F26FE4" w:rsidP="000755F8">
            <w:pPr>
              <w:keepNext/>
              <w:keepLines/>
              <w:jc w:val="right"/>
              <w:rPr>
                <w:sz w:val="21"/>
                <w:szCs w:val="21"/>
                <w:lang w:val="es-ES"/>
              </w:rPr>
            </w:pPr>
            <w:r w:rsidRPr="003D49E9">
              <w:rPr>
                <w:sz w:val="21"/>
                <w:szCs w:val="21"/>
                <w:lang w:val="es-ES"/>
              </w:rPr>
              <w:t>1.749.466</w:t>
            </w:r>
          </w:p>
        </w:tc>
        <w:tc>
          <w:tcPr>
            <w:tcW w:w="1304" w:type="dxa"/>
            <w:tcBorders>
              <w:top w:val="nil"/>
              <w:left w:val="nil"/>
              <w:bottom w:val="single" w:sz="4" w:space="0" w:color="auto"/>
              <w:right w:val="single" w:sz="4" w:space="0" w:color="auto"/>
            </w:tcBorders>
            <w:noWrap/>
            <w:hideMark/>
          </w:tcPr>
          <w:p w14:paraId="16F2AFA0" w14:textId="77777777" w:rsidR="00F26FE4" w:rsidRPr="003D49E9" w:rsidRDefault="00F26FE4" w:rsidP="000755F8">
            <w:pPr>
              <w:keepNext/>
              <w:keepLines/>
              <w:jc w:val="right"/>
              <w:rPr>
                <w:sz w:val="21"/>
                <w:szCs w:val="21"/>
                <w:lang w:val="es-ES"/>
              </w:rPr>
            </w:pPr>
            <w:r w:rsidRPr="003D49E9">
              <w:rPr>
                <w:sz w:val="21"/>
                <w:szCs w:val="21"/>
                <w:lang w:val="es-ES"/>
              </w:rPr>
              <w:t>1.045.498</w:t>
            </w:r>
          </w:p>
        </w:tc>
        <w:tc>
          <w:tcPr>
            <w:tcW w:w="1304" w:type="dxa"/>
            <w:tcBorders>
              <w:top w:val="nil"/>
              <w:left w:val="nil"/>
              <w:bottom w:val="single" w:sz="4" w:space="0" w:color="auto"/>
              <w:right w:val="single" w:sz="4" w:space="0" w:color="auto"/>
            </w:tcBorders>
            <w:noWrap/>
            <w:hideMark/>
          </w:tcPr>
          <w:p w14:paraId="77485C2C" w14:textId="77777777" w:rsidR="00F26FE4" w:rsidRPr="003D49E9" w:rsidRDefault="00F26FE4" w:rsidP="000755F8">
            <w:pPr>
              <w:keepNext/>
              <w:keepLines/>
              <w:jc w:val="right"/>
              <w:rPr>
                <w:sz w:val="21"/>
                <w:szCs w:val="21"/>
                <w:lang w:val="es-ES"/>
              </w:rPr>
            </w:pPr>
            <w:r w:rsidRPr="003D49E9">
              <w:rPr>
                <w:sz w:val="21"/>
                <w:szCs w:val="21"/>
                <w:lang w:val="es-ES"/>
              </w:rPr>
              <w:t>183.512</w:t>
            </w:r>
          </w:p>
        </w:tc>
        <w:tc>
          <w:tcPr>
            <w:tcW w:w="1304" w:type="dxa"/>
            <w:tcBorders>
              <w:top w:val="nil"/>
              <w:left w:val="nil"/>
              <w:bottom w:val="single" w:sz="4" w:space="0" w:color="auto"/>
              <w:right w:val="single" w:sz="4" w:space="0" w:color="auto"/>
            </w:tcBorders>
            <w:noWrap/>
            <w:hideMark/>
          </w:tcPr>
          <w:p w14:paraId="2E04F607" w14:textId="77777777" w:rsidR="00F26FE4" w:rsidRPr="003D49E9" w:rsidRDefault="00F26FE4" w:rsidP="000755F8">
            <w:pPr>
              <w:keepNext/>
              <w:keepLines/>
              <w:jc w:val="right"/>
              <w:rPr>
                <w:sz w:val="21"/>
                <w:szCs w:val="21"/>
                <w:lang w:val="es-ES"/>
              </w:rPr>
            </w:pPr>
            <w:r w:rsidRPr="003D49E9">
              <w:rPr>
                <w:sz w:val="21"/>
                <w:szCs w:val="21"/>
                <w:lang w:val="es-ES"/>
              </w:rPr>
              <w:t>2.978.476</w:t>
            </w:r>
          </w:p>
        </w:tc>
        <w:tc>
          <w:tcPr>
            <w:tcW w:w="1305" w:type="dxa"/>
            <w:tcBorders>
              <w:top w:val="nil"/>
              <w:left w:val="nil"/>
              <w:bottom w:val="single" w:sz="4" w:space="0" w:color="auto"/>
              <w:right w:val="single" w:sz="4" w:space="0" w:color="auto"/>
            </w:tcBorders>
            <w:noWrap/>
            <w:hideMark/>
          </w:tcPr>
          <w:p w14:paraId="0F5F2FB5" w14:textId="77777777" w:rsidR="00F26FE4" w:rsidRPr="003D49E9" w:rsidRDefault="00F26FE4" w:rsidP="000755F8">
            <w:pPr>
              <w:keepNext/>
              <w:keepLines/>
              <w:jc w:val="right"/>
              <w:rPr>
                <w:sz w:val="21"/>
                <w:szCs w:val="21"/>
                <w:lang w:val="es-ES"/>
              </w:rPr>
            </w:pPr>
            <w:r w:rsidRPr="003D49E9">
              <w:rPr>
                <w:sz w:val="21"/>
                <w:szCs w:val="21"/>
                <w:lang w:val="es-ES"/>
              </w:rPr>
              <w:t>577.044</w:t>
            </w:r>
          </w:p>
        </w:tc>
      </w:tr>
      <w:tr w:rsidR="00F26FE4" w:rsidRPr="003D49E9" w14:paraId="5DDE060F" w14:textId="77777777" w:rsidTr="003C3492">
        <w:trPr>
          <w:trHeight w:val="124"/>
        </w:trPr>
        <w:tc>
          <w:tcPr>
            <w:tcW w:w="2977" w:type="dxa"/>
            <w:tcBorders>
              <w:top w:val="nil"/>
              <w:left w:val="single" w:sz="4" w:space="0" w:color="auto"/>
              <w:bottom w:val="single" w:sz="4" w:space="0" w:color="auto"/>
              <w:right w:val="single" w:sz="4" w:space="0" w:color="auto"/>
            </w:tcBorders>
            <w:noWrap/>
            <w:hideMark/>
          </w:tcPr>
          <w:p w14:paraId="48516DFF" w14:textId="77777777" w:rsidR="00F26FE4" w:rsidRPr="003D49E9" w:rsidRDefault="00F26FE4" w:rsidP="000755F8">
            <w:pPr>
              <w:keepNext/>
              <w:keepLines/>
              <w:jc w:val="left"/>
              <w:rPr>
                <w:sz w:val="21"/>
                <w:szCs w:val="21"/>
                <w:lang w:val="es-ES"/>
              </w:rPr>
            </w:pPr>
            <w:r w:rsidRPr="003D49E9">
              <w:rPr>
                <w:sz w:val="21"/>
                <w:szCs w:val="21"/>
                <w:lang w:val="es-ES"/>
              </w:rPr>
              <w:t>Etapa III de los PGEH</w:t>
            </w:r>
          </w:p>
        </w:tc>
        <w:tc>
          <w:tcPr>
            <w:tcW w:w="1304" w:type="dxa"/>
            <w:tcBorders>
              <w:top w:val="nil"/>
              <w:left w:val="nil"/>
              <w:bottom w:val="single" w:sz="4" w:space="0" w:color="auto"/>
              <w:right w:val="single" w:sz="4" w:space="0" w:color="auto"/>
            </w:tcBorders>
            <w:noWrap/>
            <w:hideMark/>
          </w:tcPr>
          <w:p w14:paraId="76F5A98C" w14:textId="77777777" w:rsidR="00F26FE4" w:rsidRPr="003D49E9" w:rsidRDefault="00F26FE4" w:rsidP="000755F8">
            <w:pPr>
              <w:keepNext/>
              <w:keepLines/>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hideMark/>
          </w:tcPr>
          <w:p w14:paraId="49765EDD" w14:textId="77777777" w:rsidR="00F26FE4" w:rsidRPr="003D49E9" w:rsidRDefault="00F26FE4" w:rsidP="000755F8">
            <w:pPr>
              <w:keepNext/>
              <w:keepLines/>
              <w:jc w:val="right"/>
              <w:rPr>
                <w:sz w:val="21"/>
                <w:szCs w:val="21"/>
                <w:lang w:val="es-ES"/>
              </w:rPr>
            </w:pPr>
            <w:r w:rsidRPr="003D49E9">
              <w:rPr>
                <w:sz w:val="21"/>
                <w:szCs w:val="21"/>
                <w:lang w:val="es-ES"/>
              </w:rPr>
              <w:t>422.650</w:t>
            </w:r>
          </w:p>
        </w:tc>
        <w:tc>
          <w:tcPr>
            <w:tcW w:w="1304" w:type="dxa"/>
            <w:tcBorders>
              <w:top w:val="nil"/>
              <w:left w:val="nil"/>
              <w:bottom w:val="single" w:sz="4" w:space="0" w:color="auto"/>
              <w:right w:val="single" w:sz="4" w:space="0" w:color="auto"/>
            </w:tcBorders>
            <w:noWrap/>
            <w:hideMark/>
          </w:tcPr>
          <w:p w14:paraId="5D2219A1" w14:textId="77777777" w:rsidR="00F26FE4" w:rsidRPr="003D49E9" w:rsidRDefault="00F26FE4" w:rsidP="000755F8">
            <w:pPr>
              <w:keepNext/>
              <w:keepLines/>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hideMark/>
          </w:tcPr>
          <w:p w14:paraId="003E0B10" w14:textId="77777777" w:rsidR="00F26FE4" w:rsidRPr="003D49E9" w:rsidRDefault="00F26FE4" w:rsidP="000755F8">
            <w:pPr>
              <w:keepNext/>
              <w:keepLines/>
              <w:jc w:val="right"/>
              <w:rPr>
                <w:sz w:val="21"/>
                <w:szCs w:val="21"/>
                <w:lang w:val="es-ES"/>
              </w:rPr>
            </w:pPr>
            <w:r w:rsidRPr="003D49E9">
              <w:rPr>
                <w:sz w:val="21"/>
                <w:szCs w:val="21"/>
                <w:lang w:val="es-ES"/>
              </w:rPr>
              <w:t>422.650</w:t>
            </w:r>
          </w:p>
        </w:tc>
        <w:tc>
          <w:tcPr>
            <w:tcW w:w="1305" w:type="dxa"/>
            <w:tcBorders>
              <w:top w:val="nil"/>
              <w:left w:val="nil"/>
              <w:bottom w:val="single" w:sz="4" w:space="0" w:color="auto"/>
              <w:right w:val="single" w:sz="4" w:space="0" w:color="auto"/>
            </w:tcBorders>
            <w:noWrap/>
            <w:hideMark/>
          </w:tcPr>
          <w:p w14:paraId="673B028F" w14:textId="77777777" w:rsidR="00F26FE4" w:rsidRPr="003D49E9" w:rsidRDefault="00F26FE4" w:rsidP="000755F8">
            <w:pPr>
              <w:keepNext/>
              <w:keepLines/>
              <w:jc w:val="right"/>
              <w:rPr>
                <w:sz w:val="21"/>
                <w:szCs w:val="21"/>
                <w:lang w:val="es-ES"/>
              </w:rPr>
            </w:pPr>
            <w:r w:rsidRPr="003D49E9">
              <w:rPr>
                <w:sz w:val="21"/>
                <w:szCs w:val="21"/>
                <w:lang w:val="es-ES"/>
              </w:rPr>
              <w:t>0</w:t>
            </w:r>
          </w:p>
        </w:tc>
      </w:tr>
      <w:tr w:rsidR="00F26FE4" w:rsidRPr="003D49E9" w14:paraId="54C1473F"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299B5B12" w14:textId="77777777" w:rsidR="00F26FE4" w:rsidRPr="003D49E9" w:rsidRDefault="00F26FE4" w:rsidP="000755F8">
            <w:pPr>
              <w:keepNext/>
              <w:keepLines/>
              <w:jc w:val="left"/>
              <w:rPr>
                <w:sz w:val="21"/>
                <w:szCs w:val="21"/>
                <w:lang w:val="es-ES"/>
              </w:rPr>
            </w:pPr>
            <w:r w:rsidRPr="003D49E9">
              <w:rPr>
                <w:sz w:val="21"/>
                <w:szCs w:val="21"/>
                <w:lang w:val="es-ES"/>
              </w:rPr>
              <w:t>Verificación de los PGEH</w:t>
            </w:r>
          </w:p>
        </w:tc>
        <w:tc>
          <w:tcPr>
            <w:tcW w:w="1304" w:type="dxa"/>
            <w:tcBorders>
              <w:top w:val="nil"/>
              <w:left w:val="nil"/>
              <w:bottom w:val="single" w:sz="4" w:space="0" w:color="auto"/>
              <w:right w:val="single" w:sz="4" w:space="0" w:color="auto"/>
            </w:tcBorders>
            <w:noWrap/>
            <w:hideMark/>
          </w:tcPr>
          <w:p w14:paraId="4801916A" w14:textId="77777777" w:rsidR="00F26FE4" w:rsidRPr="003D49E9" w:rsidRDefault="00F26FE4" w:rsidP="000755F8">
            <w:pPr>
              <w:keepNext/>
              <w:keepLines/>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hideMark/>
          </w:tcPr>
          <w:p w14:paraId="7F345B1B" w14:textId="77777777" w:rsidR="00F26FE4" w:rsidRPr="003D49E9" w:rsidRDefault="00F26FE4" w:rsidP="000755F8">
            <w:pPr>
              <w:keepNext/>
              <w:keepLines/>
              <w:jc w:val="right"/>
              <w:rPr>
                <w:sz w:val="21"/>
                <w:szCs w:val="21"/>
                <w:lang w:val="es-ES"/>
              </w:rPr>
            </w:pPr>
            <w:r w:rsidRPr="003D49E9">
              <w:rPr>
                <w:sz w:val="21"/>
                <w:szCs w:val="21"/>
                <w:lang w:val="es-ES"/>
              </w:rPr>
              <w:t>60.000</w:t>
            </w:r>
          </w:p>
        </w:tc>
        <w:tc>
          <w:tcPr>
            <w:tcW w:w="1304" w:type="dxa"/>
            <w:tcBorders>
              <w:top w:val="nil"/>
              <w:left w:val="nil"/>
              <w:bottom w:val="single" w:sz="4" w:space="0" w:color="auto"/>
              <w:right w:val="single" w:sz="4" w:space="0" w:color="auto"/>
            </w:tcBorders>
            <w:noWrap/>
            <w:hideMark/>
          </w:tcPr>
          <w:p w14:paraId="16982594" w14:textId="77777777" w:rsidR="00F26FE4" w:rsidRPr="003D49E9" w:rsidRDefault="00F26FE4" w:rsidP="000755F8">
            <w:pPr>
              <w:keepNext/>
              <w:keepLines/>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hideMark/>
          </w:tcPr>
          <w:p w14:paraId="65E66186" w14:textId="77777777" w:rsidR="00F26FE4" w:rsidRPr="003D49E9" w:rsidRDefault="00F26FE4" w:rsidP="000755F8">
            <w:pPr>
              <w:keepNext/>
              <w:keepLines/>
              <w:jc w:val="right"/>
              <w:rPr>
                <w:sz w:val="21"/>
                <w:szCs w:val="21"/>
                <w:lang w:val="es-ES"/>
              </w:rPr>
            </w:pPr>
            <w:r w:rsidRPr="003D49E9">
              <w:rPr>
                <w:sz w:val="21"/>
                <w:szCs w:val="21"/>
                <w:lang w:val="es-ES"/>
              </w:rPr>
              <w:t>60.000</w:t>
            </w:r>
          </w:p>
        </w:tc>
        <w:tc>
          <w:tcPr>
            <w:tcW w:w="1305" w:type="dxa"/>
            <w:tcBorders>
              <w:top w:val="nil"/>
              <w:left w:val="nil"/>
              <w:bottom w:val="single" w:sz="4" w:space="0" w:color="auto"/>
              <w:right w:val="single" w:sz="4" w:space="0" w:color="auto"/>
            </w:tcBorders>
            <w:noWrap/>
            <w:hideMark/>
          </w:tcPr>
          <w:p w14:paraId="52384BD0" w14:textId="77777777" w:rsidR="00F26FE4" w:rsidRPr="003D49E9" w:rsidRDefault="00F26FE4" w:rsidP="000755F8">
            <w:pPr>
              <w:keepNext/>
              <w:keepLines/>
              <w:jc w:val="right"/>
              <w:rPr>
                <w:sz w:val="21"/>
                <w:szCs w:val="21"/>
                <w:lang w:val="es-ES"/>
              </w:rPr>
            </w:pPr>
            <w:r w:rsidRPr="003D49E9">
              <w:rPr>
                <w:sz w:val="21"/>
                <w:szCs w:val="21"/>
                <w:lang w:val="es-ES"/>
              </w:rPr>
              <w:t>0</w:t>
            </w:r>
          </w:p>
        </w:tc>
      </w:tr>
      <w:tr w:rsidR="00F26FE4" w14:paraId="4F589E14"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15D7302E" w14:textId="77777777" w:rsidR="00F26FE4" w:rsidRPr="003D49E9" w:rsidRDefault="00F26FE4" w:rsidP="000755F8">
            <w:pPr>
              <w:keepNext/>
              <w:keepLines/>
              <w:jc w:val="left"/>
              <w:rPr>
                <w:b/>
                <w:bCs/>
                <w:sz w:val="21"/>
                <w:szCs w:val="21"/>
                <w:lang w:val="es-ES"/>
              </w:rPr>
            </w:pPr>
            <w:r>
              <w:rPr>
                <w:b/>
                <w:bCs/>
                <w:sz w:val="21"/>
                <w:szCs w:val="21"/>
                <w:lang w:val="es-ES"/>
              </w:rPr>
              <w:t>Subtotal de las</w:t>
            </w:r>
            <w:r w:rsidRPr="003D49E9">
              <w:rPr>
                <w:b/>
                <w:bCs/>
                <w:sz w:val="21"/>
                <w:szCs w:val="21"/>
                <w:lang w:val="es-ES"/>
              </w:rPr>
              <w:t xml:space="preserve"> actividades relacionadas con los HCFC</w:t>
            </w:r>
          </w:p>
        </w:tc>
        <w:tc>
          <w:tcPr>
            <w:tcW w:w="1304" w:type="dxa"/>
            <w:tcBorders>
              <w:top w:val="nil"/>
              <w:left w:val="nil"/>
              <w:bottom w:val="single" w:sz="4" w:space="0" w:color="auto"/>
              <w:right w:val="single" w:sz="4" w:space="0" w:color="auto"/>
            </w:tcBorders>
            <w:noWrap/>
            <w:hideMark/>
          </w:tcPr>
          <w:p w14:paraId="7B600496" w14:textId="77777777" w:rsidR="00F26FE4" w:rsidRDefault="00F26FE4" w:rsidP="000755F8">
            <w:pPr>
              <w:keepNext/>
              <w:keepLines/>
              <w:jc w:val="right"/>
              <w:rPr>
                <w:b/>
                <w:bCs/>
                <w:sz w:val="21"/>
                <w:szCs w:val="21"/>
              </w:rPr>
            </w:pPr>
            <w:r>
              <w:rPr>
                <w:b/>
                <w:bCs/>
                <w:sz w:val="21"/>
                <w:szCs w:val="21"/>
              </w:rPr>
              <w:t>1.749.466</w:t>
            </w:r>
          </w:p>
        </w:tc>
        <w:tc>
          <w:tcPr>
            <w:tcW w:w="1304" w:type="dxa"/>
            <w:tcBorders>
              <w:top w:val="nil"/>
              <w:left w:val="nil"/>
              <w:bottom w:val="single" w:sz="4" w:space="0" w:color="auto"/>
              <w:right w:val="single" w:sz="4" w:space="0" w:color="auto"/>
            </w:tcBorders>
            <w:noWrap/>
            <w:hideMark/>
          </w:tcPr>
          <w:p w14:paraId="2D9CF152" w14:textId="77777777" w:rsidR="00F26FE4" w:rsidRDefault="00F26FE4" w:rsidP="000755F8">
            <w:pPr>
              <w:keepNext/>
              <w:keepLines/>
              <w:jc w:val="right"/>
              <w:rPr>
                <w:b/>
                <w:bCs/>
                <w:sz w:val="21"/>
                <w:szCs w:val="21"/>
              </w:rPr>
            </w:pPr>
            <w:r>
              <w:rPr>
                <w:b/>
                <w:bCs/>
                <w:sz w:val="21"/>
                <w:szCs w:val="21"/>
              </w:rPr>
              <w:t>1.528.148</w:t>
            </w:r>
          </w:p>
        </w:tc>
        <w:tc>
          <w:tcPr>
            <w:tcW w:w="1304" w:type="dxa"/>
            <w:tcBorders>
              <w:top w:val="nil"/>
              <w:left w:val="nil"/>
              <w:bottom w:val="single" w:sz="4" w:space="0" w:color="auto"/>
              <w:right w:val="single" w:sz="4" w:space="0" w:color="auto"/>
            </w:tcBorders>
            <w:noWrap/>
            <w:hideMark/>
          </w:tcPr>
          <w:p w14:paraId="78E28FF5" w14:textId="77777777" w:rsidR="00F26FE4" w:rsidRDefault="00F26FE4" w:rsidP="000755F8">
            <w:pPr>
              <w:keepNext/>
              <w:keepLines/>
              <w:jc w:val="right"/>
              <w:rPr>
                <w:b/>
                <w:bCs/>
                <w:sz w:val="21"/>
                <w:szCs w:val="21"/>
              </w:rPr>
            </w:pPr>
            <w:r>
              <w:rPr>
                <w:b/>
                <w:bCs/>
                <w:sz w:val="21"/>
                <w:szCs w:val="21"/>
              </w:rPr>
              <w:t>183.512</w:t>
            </w:r>
          </w:p>
        </w:tc>
        <w:tc>
          <w:tcPr>
            <w:tcW w:w="1304" w:type="dxa"/>
            <w:tcBorders>
              <w:top w:val="nil"/>
              <w:left w:val="nil"/>
              <w:bottom w:val="single" w:sz="4" w:space="0" w:color="auto"/>
              <w:right w:val="single" w:sz="4" w:space="0" w:color="auto"/>
            </w:tcBorders>
            <w:noWrap/>
            <w:hideMark/>
          </w:tcPr>
          <w:p w14:paraId="26B99A8C" w14:textId="77777777" w:rsidR="00F26FE4" w:rsidRDefault="00F26FE4" w:rsidP="000755F8">
            <w:pPr>
              <w:keepNext/>
              <w:keepLines/>
              <w:jc w:val="right"/>
              <w:rPr>
                <w:b/>
                <w:bCs/>
                <w:sz w:val="21"/>
                <w:szCs w:val="21"/>
              </w:rPr>
            </w:pPr>
            <w:r>
              <w:rPr>
                <w:b/>
                <w:bCs/>
                <w:sz w:val="21"/>
                <w:szCs w:val="21"/>
              </w:rPr>
              <w:t>3.461.126</w:t>
            </w:r>
          </w:p>
        </w:tc>
        <w:tc>
          <w:tcPr>
            <w:tcW w:w="1305" w:type="dxa"/>
            <w:tcBorders>
              <w:top w:val="nil"/>
              <w:left w:val="nil"/>
              <w:bottom w:val="single" w:sz="4" w:space="0" w:color="auto"/>
              <w:right w:val="single" w:sz="4" w:space="0" w:color="auto"/>
            </w:tcBorders>
            <w:noWrap/>
            <w:hideMark/>
          </w:tcPr>
          <w:p w14:paraId="396AC01B" w14:textId="77777777" w:rsidR="00F26FE4" w:rsidRDefault="00F26FE4" w:rsidP="000755F8">
            <w:pPr>
              <w:keepNext/>
              <w:keepLines/>
              <w:jc w:val="right"/>
              <w:rPr>
                <w:b/>
                <w:bCs/>
                <w:sz w:val="21"/>
                <w:szCs w:val="21"/>
              </w:rPr>
            </w:pPr>
            <w:r>
              <w:rPr>
                <w:b/>
                <w:bCs/>
                <w:sz w:val="21"/>
                <w:szCs w:val="21"/>
              </w:rPr>
              <w:t>577.044</w:t>
            </w:r>
          </w:p>
        </w:tc>
      </w:tr>
      <w:tr w:rsidR="00F26FE4" w:rsidRPr="000755F8" w14:paraId="67CC6340" w14:textId="77777777" w:rsidTr="003C3492">
        <w:trPr>
          <w:trHeight w:val="58"/>
        </w:trPr>
        <w:tc>
          <w:tcPr>
            <w:tcW w:w="9498" w:type="dxa"/>
            <w:gridSpan w:val="6"/>
            <w:tcBorders>
              <w:top w:val="single" w:sz="4" w:space="0" w:color="auto"/>
              <w:left w:val="single" w:sz="4" w:space="0" w:color="auto"/>
              <w:bottom w:val="single" w:sz="4" w:space="0" w:color="auto"/>
              <w:right w:val="single" w:sz="4" w:space="0" w:color="auto"/>
            </w:tcBorders>
            <w:noWrap/>
            <w:hideMark/>
          </w:tcPr>
          <w:p w14:paraId="15B5500B" w14:textId="77777777" w:rsidR="00F26FE4" w:rsidRPr="003D49E9" w:rsidRDefault="00F26FE4" w:rsidP="004B0807">
            <w:pPr>
              <w:jc w:val="left"/>
              <w:rPr>
                <w:b/>
                <w:bCs/>
                <w:sz w:val="21"/>
                <w:szCs w:val="21"/>
                <w:lang w:val="es-ES"/>
              </w:rPr>
            </w:pPr>
            <w:r w:rsidRPr="003D49E9">
              <w:rPr>
                <w:b/>
                <w:bCs/>
                <w:sz w:val="21"/>
                <w:szCs w:val="21"/>
                <w:lang w:val="es-ES"/>
              </w:rPr>
              <w:t>Actividades relacionadas con los HFC</w:t>
            </w:r>
            <w:r w:rsidRPr="003D49E9">
              <w:rPr>
                <w:sz w:val="21"/>
                <w:szCs w:val="21"/>
                <w:lang w:val="es-ES"/>
              </w:rPr>
              <w:t> </w:t>
            </w:r>
          </w:p>
        </w:tc>
      </w:tr>
      <w:tr w:rsidR="00F26FE4" w14:paraId="39AC1AB8"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2708835D" w14:textId="77777777" w:rsidR="00F26FE4" w:rsidRPr="003D49E9" w:rsidRDefault="00F26FE4" w:rsidP="004B0807">
            <w:pPr>
              <w:jc w:val="left"/>
              <w:rPr>
                <w:sz w:val="21"/>
                <w:szCs w:val="21"/>
                <w:lang w:val="es-ES"/>
              </w:rPr>
            </w:pPr>
            <w:r w:rsidRPr="003D49E9">
              <w:rPr>
                <w:sz w:val="21"/>
                <w:szCs w:val="21"/>
                <w:lang w:val="es-ES"/>
              </w:rPr>
              <w:t>KIP</w:t>
            </w:r>
            <w:r>
              <w:rPr>
                <w:sz w:val="21"/>
                <w:szCs w:val="21"/>
                <w:lang w:val="es-ES"/>
              </w:rPr>
              <w:t>:</w:t>
            </w:r>
            <w:r w:rsidRPr="003D49E9">
              <w:rPr>
                <w:sz w:val="21"/>
                <w:szCs w:val="21"/>
                <w:lang w:val="es-ES"/>
              </w:rPr>
              <w:t xml:space="preserve"> preparación de proyectos</w:t>
            </w:r>
          </w:p>
        </w:tc>
        <w:tc>
          <w:tcPr>
            <w:tcW w:w="1304" w:type="dxa"/>
            <w:tcBorders>
              <w:top w:val="nil"/>
              <w:left w:val="nil"/>
              <w:bottom w:val="single" w:sz="4" w:space="0" w:color="auto"/>
              <w:right w:val="single" w:sz="4" w:space="0" w:color="auto"/>
            </w:tcBorders>
            <w:noWrap/>
            <w:hideMark/>
          </w:tcPr>
          <w:p w14:paraId="0CA45CF5" w14:textId="77777777" w:rsidR="00F26FE4" w:rsidRDefault="00F26FE4" w:rsidP="004B0807">
            <w:pPr>
              <w:jc w:val="right"/>
              <w:rPr>
                <w:sz w:val="21"/>
                <w:szCs w:val="21"/>
              </w:rPr>
            </w:pPr>
            <w:r>
              <w:rPr>
                <w:sz w:val="21"/>
                <w:szCs w:val="21"/>
              </w:rPr>
              <w:t>85.000</w:t>
            </w:r>
          </w:p>
        </w:tc>
        <w:tc>
          <w:tcPr>
            <w:tcW w:w="1304" w:type="dxa"/>
            <w:tcBorders>
              <w:top w:val="nil"/>
              <w:left w:val="nil"/>
              <w:bottom w:val="single" w:sz="4" w:space="0" w:color="auto"/>
              <w:right w:val="single" w:sz="4" w:space="0" w:color="auto"/>
            </w:tcBorders>
            <w:noWrap/>
            <w:hideMark/>
          </w:tcPr>
          <w:p w14:paraId="188ED223"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3A2045DB"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0324C4CB" w14:textId="77777777" w:rsidR="00F26FE4" w:rsidRDefault="00F26FE4" w:rsidP="004B0807">
            <w:pPr>
              <w:jc w:val="right"/>
              <w:rPr>
                <w:sz w:val="21"/>
                <w:szCs w:val="21"/>
              </w:rPr>
            </w:pPr>
            <w:r>
              <w:rPr>
                <w:sz w:val="21"/>
                <w:szCs w:val="21"/>
              </w:rPr>
              <w:t>85.000</w:t>
            </w:r>
          </w:p>
        </w:tc>
        <w:tc>
          <w:tcPr>
            <w:tcW w:w="1305" w:type="dxa"/>
            <w:tcBorders>
              <w:top w:val="nil"/>
              <w:left w:val="nil"/>
              <w:bottom w:val="single" w:sz="4" w:space="0" w:color="auto"/>
              <w:right w:val="single" w:sz="4" w:space="0" w:color="auto"/>
            </w:tcBorders>
            <w:noWrap/>
            <w:hideMark/>
          </w:tcPr>
          <w:p w14:paraId="349E583E" w14:textId="77777777" w:rsidR="00F26FE4" w:rsidRDefault="00F26FE4" w:rsidP="004B0807">
            <w:pPr>
              <w:jc w:val="right"/>
              <w:rPr>
                <w:sz w:val="21"/>
                <w:szCs w:val="21"/>
              </w:rPr>
            </w:pPr>
            <w:r>
              <w:rPr>
                <w:sz w:val="21"/>
                <w:szCs w:val="21"/>
              </w:rPr>
              <w:t>0</w:t>
            </w:r>
          </w:p>
        </w:tc>
      </w:tr>
      <w:tr w:rsidR="00F26FE4" w14:paraId="6BD8C724"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1A89C74F" w14:textId="77777777" w:rsidR="00F26FE4" w:rsidRPr="003D49E9" w:rsidRDefault="00F26FE4" w:rsidP="004B0807">
            <w:pPr>
              <w:jc w:val="left"/>
              <w:rPr>
                <w:sz w:val="21"/>
                <w:szCs w:val="21"/>
                <w:lang w:val="es-ES"/>
              </w:rPr>
            </w:pPr>
            <w:r w:rsidRPr="003D49E9">
              <w:rPr>
                <w:sz w:val="21"/>
                <w:szCs w:val="21"/>
                <w:lang w:val="es-ES"/>
              </w:rPr>
              <w:t>KIP</w:t>
            </w:r>
          </w:p>
        </w:tc>
        <w:tc>
          <w:tcPr>
            <w:tcW w:w="1304" w:type="dxa"/>
            <w:tcBorders>
              <w:top w:val="nil"/>
              <w:left w:val="nil"/>
              <w:bottom w:val="single" w:sz="4" w:space="0" w:color="auto"/>
              <w:right w:val="single" w:sz="4" w:space="0" w:color="auto"/>
            </w:tcBorders>
            <w:noWrap/>
            <w:hideMark/>
          </w:tcPr>
          <w:p w14:paraId="32AFD999"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1F3B8964"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4A128DC1" w14:textId="77777777" w:rsidR="00F26FE4" w:rsidRDefault="00F26FE4" w:rsidP="004B0807">
            <w:pPr>
              <w:jc w:val="right"/>
              <w:rPr>
                <w:sz w:val="21"/>
                <w:szCs w:val="21"/>
              </w:rPr>
            </w:pPr>
            <w:r>
              <w:rPr>
                <w:sz w:val="21"/>
                <w:szCs w:val="21"/>
              </w:rPr>
              <w:t>400.000</w:t>
            </w:r>
          </w:p>
        </w:tc>
        <w:tc>
          <w:tcPr>
            <w:tcW w:w="1304" w:type="dxa"/>
            <w:tcBorders>
              <w:top w:val="nil"/>
              <w:left w:val="nil"/>
              <w:bottom w:val="single" w:sz="4" w:space="0" w:color="auto"/>
              <w:right w:val="single" w:sz="4" w:space="0" w:color="auto"/>
            </w:tcBorders>
            <w:noWrap/>
            <w:hideMark/>
          </w:tcPr>
          <w:p w14:paraId="44D50971" w14:textId="77777777" w:rsidR="00F26FE4" w:rsidRDefault="00F26FE4" w:rsidP="004B0807">
            <w:pPr>
              <w:jc w:val="right"/>
              <w:rPr>
                <w:sz w:val="21"/>
                <w:szCs w:val="21"/>
              </w:rPr>
            </w:pPr>
            <w:r>
              <w:rPr>
                <w:sz w:val="21"/>
                <w:szCs w:val="21"/>
              </w:rPr>
              <w:t>400.000</w:t>
            </w:r>
          </w:p>
        </w:tc>
        <w:tc>
          <w:tcPr>
            <w:tcW w:w="1305" w:type="dxa"/>
            <w:tcBorders>
              <w:top w:val="nil"/>
              <w:left w:val="nil"/>
              <w:bottom w:val="single" w:sz="4" w:space="0" w:color="auto"/>
              <w:right w:val="single" w:sz="4" w:space="0" w:color="auto"/>
            </w:tcBorders>
            <w:noWrap/>
            <w:hideMark/>
          </w:tcPr>
          <w:p w14:paraId="3BD81635" w14:textId="77777777" w:rsidR="00F26FE4" w:rsidRDefault="00F26FE4" w:rsidP="004B0807">
            <w:pPr>
              <w:jc w:val="right"/>
              <w:rPr>
                <w:sz w:val="21"/>
                <w:szCs w:val="21"/>
              </w:rPr>
            </w:pPr>
            <w:r>
              <w:rPr>
                <w:sz w:val="21"/>
                <w:szCs w:val="21"/>
              </w:rPr>
              <w:t>0</w:t>
            </w:r>
          </w:p>
        </w:tc>
      </w:tr>
      <w:tr w:rsidR="00F26FE4" w14:paraId="63D05BBE"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765CB2C0" w14:textId="77777777" w:rsidR="00F26FE4" w:rsidRPr="003D49E9" w:rsidRDefault="00F26FE4" w:rsidP="004B0807">
            <w:pPr>
              <w:jc w:val="left"/>
              <w:rPr>
                <w:b/>
                <w:bCs/>
                <w:sz w:val="21"/>
                <w:szCs w:val="21"/>
                <w:lang w:val="es-ES"/>
              </w:rPr>
            </w:pPr>
            <w:r>
              <w:rPr>
                <w:b/>
                <w:bCs/>
                <w:sz w:val="21"/>
                <w:szCs w:val="21"/>
                <w:lang w:val="es-ES"/>
              </w:rPr>
              <w:t>Subtotal</w:t>
            </w:r>
            <w:r w:rsidRPr="003D49E9">
              <w:rPr>
                <w:b/>
                <w:bCs/>
                <w:sz w:val="21"/>
                <w:szCs w:val="21"/>
                <w:lang w:val="es-ES"/>
              </w:rPr>
              <w:t xml:space="preserve"> de las actividades relacionadas con los HFC</w:t>
            </w:r>
          </w:p>
        </w:tc>
        <w:tc>
          <w:tcPr>
            <w:tcW w:w="1304" w:type="dxa"/>
            <w:tcBorders>
              <w:top w:val="nil"/>
              <w:left w:val="nil"/>
              <w:bottom w:val="single" w:sz="4" w:space="0" w:color="auto"/>
              <w:right w:val="single" w:sz="4" w:space="0" w:color="auto"/>
            </w:tcBorders>
            <w:noWrap/>
            <w:hideMark/>
          </w:tcPr>
          <w:p w14:paraId="5D42678F" w14:textId="77777777" w:rsidR="00F26FE4" w:rsidRDefault="00F26FE4" w:rsidP="004B0807">
            <w:pPr>
              <w:jc w:val="right"/>
              <w:rPr>
                <w:b/>
                <w:bCs/>
                <w:sz w:val="21"/>
                <w:szCs w:val="21"/>
              </w:rPr>
            </w:pPr>
            <w:r>
              <w:rPr>
                <w:b/>
                <w:bCs/>
                <w:sz w:val="21"/>
                <w:szCs w:val="21"/>
              </w:rPr>
              <w:t>85.000</w:t>
            </w:r>
          </w:p>
        </w:tc>
        <w:tc>
          <w:tcPr>
            <w:tcW w:w="1304" w:type="dxa"/>
            <w:tcBorders>
              <w:top w:val="nil"/>
              <w:left w:val="nil"/>
              <w:bottom w:val="single" w:sz="4" w:space="0" w:color="auto"/>
              <w:right w:val="single" w:sz="4" w:space="0" w:color="auto"/>
            </w:tcBorders>
            <w:noWrap/>
            <w:hideMark/>
          </w:tcPr>
          <w:p w14:paraId="578BC3DF" w14:textId="77777777" w:rsidR="00F26FE4" w:rsidRDefault="00F26FE4" w:rsidP="004B0807">
            <w:pPr>
              <w:jc w:val="right"/>
              <w:rPr>
                <w:b/>
                <w:bCs/>
                <w:sz w:val="21"/>
                <w:szCs w:val="21"/>
              </w:rPr>
            </w:pPr>
            <w:r>
              <w:rPr>
                <w:b/>
                <w:bCs/>
                <w:sz w:val="21"/>
                <w:szCs w:val="21"/>
              </w:rPr>
              <w:t>0</w:t>
            </w:r>
          </w:p>
        </w:tc>
        <w:tc>
          <w:tcPr>
            <w:tcW w:w="1304" w:type="dxa"/>
            <w:tcBorders>
              <w:top w:val="nil"/>
              <w:left w:val="nil"/>
              <w:bottom w:val="single" w:sz="4" w:space="0" w:color="auto"/>
              <w:right w:val="single" w:sz="4" w:space="0" w:color="auto"/>
            </w:tcBorders>
            <w:noWrap/>
            <w:hideMark/>
          </w:tcPr>
          <w:p w14:paraId="27E62392" w14:textId="77777777" w:rsidR="00F26FE4" w:rsidRDefault="00F26FE4" w:rsidP="004B0807">
            <w:pPr>
              <w:jc w:val="right"/>
              <w:rPr>
                <w:b/>
                <w:bCs/>
                <w:sz w:val="21"/>
                <w:szCs w:val="21"/>
              </w:rPr>
            </w:pPr>
            <w:r>
              <w:rPr>
                <w:b/>
                <w:bCs/>
                <w:sz w:val="21"/>
                <w:szCs w:val="21"/>
              </w:rPr>
              <w:t>400.000</w:t>
            </w:r>
          </w:p>
        </w:tc>
        <w:tc>
          <w:tcPr>
            <w:tcW w:w="1304" w:type="dxa"/>
            <w:tcBorders>
              <w:top w:val="nil"/>
              <w:left w:val="nil"/>
              <w:bottom w:val="single" w:sz="4" w:space="0" w:color="auto"/>
              <w:right w:val="single" w:sz="4" w:space="0" w:color="auto"/>
            </w:tcBorders>
            <w:noWrap/>
            <w:hideMark/>
          </w:tcPr>
          <w:p w14:paraId="42EF5E8C" w14:textId="77777777" w:rsidR="00F26FE4" w:rsidRDefault="00F26FE4" w:rsidP="004B0807">
            <w:pPr>
              <w:jc w:val="right"/>
              <w:rPr>
                <w:b/>
                <w:bCs/>
                <w:sz w:val="21"/>
                <w:szCs w:val="21"/>
              </w:rPr>
            </w:pPr>
            <w:r>
              <w:rPr>
                <w:b/>
                <w:bCs/>
                <w:sz w:val="21"/>
                <w:szCs w:val="21"/>
              </w:rPr>
              <w:t>485.000</w:t>
            </w:r>
          </w:p>
        </w:tc>
        <w:tc>
          <w:tcPr>
            <w:tcW w:w="1305" w:type="dxa"/>
            <w:tcBorders>
              <w:top w:val="nil"/>
              <w:left w:val="nil"/>
              <w:bottom w:val="single" w:sz="4" w:space="0" w:color="auto"/>
              <w:right w:val="single" w:sz="4" w:space="0" w:color="auto"/>
            </w:tcBorders>
            <w:noWrap/>
            <w:hideMark/>
          </w:tcPr>
          <w:p w14:paraId="740AF7C6" w14:textId="77777777" w:rsidR="00F26FE4" w:rsidRDefault="00F26FE4" w:rsidP="004B0807">
            <w:pPr>
              <w:jc w:val="right"/>
              <w:rPr>
                <w:b/>
                <w:bCs/>
                <w:sz w:val="21"/>
                <w:szCs w:val="21"/>
              </w:rPr>
            </w:pPr>
            <w:r>
              <w:rPr>
                <w:b/>
                <w:bCs/>
                <w:sz w:val="21"/>
                <w:szCs w:val="21"/>
              </w:rPr>
              <w:t>0</w:t>
            </w:r>
          </w:p>
        </w:tc>
      </w:tr>
      <w:tr w:rsidR="00F26FE4" w14:paraId="46A2350A" w14:textId="77777777" w:rsidTr="003C3492">
        <w:trPr>
          <w:trHeight w:val="64"/>
        </w:trPr>
        <w:tc>
          <w:tcPr>
            <w:tcW w:w="2977" w:type="dxa"/>
            <w:tcBorders>
              <w:top w:val="nil"/>
              <w:left w:val="single" w:sz="4" w:space="0" w:color="auto"/>
              <w:bottom w:val="single" w:sz="4" w:space="0" w:color="auto"/>
              <w:right w:val="single" w:sz="4" w:space="0" w:color="auto"/>
            </w:tcBorders>
            <w:noWrap/>
            <w:hideMark/>
          </w:tcPr>
          <w:p w14:paraId="4B5C68C1" w14:textId="77777777" w:rsidR="00F26FE4" w:rsidRPr="003D49E9" w:rsidRDefault="00F26FE4" w:rsidP="004B0807">
            <w:pPr>
              <w:jc w:val="left"/>
              <w:rPr>
                <w:b/>
                <w:bCs/>
                <w:sz w:val="21"/>
                <w:szCs w:val="21"/>
                <w:lang w:val="es-ES"/>
              </w:rPr>
            </w:pPr>
            <w:r w:rsidRPr="003D49E9">
              <w:rPr>
                <w:b/>
                <w:bCs/>
                <w:sz w:val="21"/>
                <w:szCs w:val="21"/>
                <w:lang w:val="es-ES"/>
              </w:rPr>
              <w:t>Actividades estándar</w:t>
            </w:r>
          </w:p>
        </w:tc>
        <w:tc>
          <w:tcPr>
            <w:tcW w:w="1304" w:type="dxa"/>
            <w:tcBorders>
              <w:top w:val="nil"/>
              <w:left w:val="nil"/>
              <w:bottom w:val="single" w:sz="4" w:space="0" w:color="auto"/>
              <w:right w:val="single" w:sz="4" w:space="0" w:color="auto"/>
            </w:tcBorders>
            <w:noWrap/>
            <w:hideMark/>
          </w:tcPr>
          <w:p w14:paraId="332BA10F" w14:textId="77777777" w:rsidR="00F26FE4" w:rsidRDefault="00F26FE4" w:rsidP="004B0807">
            <w:pPr>
              <w:jc w:val="left"/>
              <w:rPr>
                <w:sz w:val="21"/>
                <w:szCs w:val="21"/>
              </w:rPr>
            </w:pPr>
            <w:r>
              <w:rPr>
                <w:sz w:val="21"/>
                <w:szCs w:val="21"/>
              </w:rPr>
              <w:t> </w:t>
            </w:r>
          </w:p>
        </w:tc>
        <w:tc>
          <w:tcPr>
            <w:tcW w:w="1304" w:type="dxa"/>
            <w:tcBorders>
              <w:top w:val="nil"/>
              <w:left w:val="nil"/>
              <w:bottom w:val="single" w:sz="4" w:space="0" w:color="auto"/>
              <w:right w:val="single" w:sz="4" w:space="0" w:color="auto"/>
            </w:tcBorders>
            <w:noWrap/>
            <w:hideMark/>
          </w:tcPr>
          <w:p w14:paraId="2BCE9A56" w14:textId="77777777" w:rsidR="00F26FE4" w:rsidRDefault="00F26FE4" w:rsidP="004B0807">
            <w:pPr>
              <w:jc w:val="left"/>
              <w:rPr>
                <w:sz w:val="21"/>
                <w:szCs w:val="21"/>
              </w:rPr>
            </w:pPr>
            <w:r>
              <w:rPr>
                <w:sz w:val="21"/>
                <w:szCs w:val="21"/>
              </w:rPr>
              <w:t> </w:t>
            </w:r>
          </w:p>
        </w:tc>
        <w:tc>
          <w:tcPr>
            <w:tcW w:w="1304" w:type="dxa"/>
            <w:tcBorders>
              <w:top w:val="nil"/>
              <w:left w:val="nil"/>
              <w:bottom w:val="single" w:sz="4" w:space="0" w:color="auto"/>
              <w:right w:val="single" w:sz="4" w:space="0" w:color="auto"/>
            </w:tcBorders>
            <w:noWrap/>
            <w:hideMark/>
          </w:tcPr>
          <w:p w14:paraId="30039F93" w14:textId="77777777" w:rsidR="00F26FE4" w:rsidRDefault="00F26FE4" w:rsidP="004B0807">
            <w:pPr>
              <w:jc w:val="left"/>
              <w:rPr>
                <w:sz w:val="21"/>
                <w:szCs w:val="21"/>
              </w:rPr>
            </w:pPr>
            <w:r>
              <w:rPr>
                <w:sz w:val="21"/>
                <w:szCs w:val="21"/>
              </w:rPr>
              <w:t> </w:t>
            </w:r>
          </w:p>
        </w:tc>
        <w:tc>
          <w:tcPr>
            <w:tcW w:w="1304" w:type="dxa"/>
            <w:tcBorders>
              <w:top w:val="nil"/>
              <w:left w:val="nil"/>
              <w:bottom w:val="single" w:sz="4" w:space="0" w:color="auto"/>
              <w:right w:val="single" w:sz="4" w:space="0" w:color="auto"/>
            </w:tcBorders>
            <w:noWrap/>
            <w:hideMark/>
          </w:tcPr>
          <w:p w14:paraId="160D8513" w14:textId="77777777" w:rsidR="00F26FE4" w:rsidRDefault="00F26FE4" w:rsidP="004B0807">
            <w:pPr>
              <w:jc w:val="left"/>
              <w:rPr>
                <w:sz w:val="21"/>
                <w:szCs w:val="21"/>
              </w:rPr>
            </w:pPr>
            <w:r>
              <w:rPr>
                <w:sz w:val="21"/>
                <w:szCs w:val="21"/>
              </w:rPr>
              <w:t> </w:t>
            </w:r>
          </w:p>
        </w:tc>
        <w:tc>
          <w:tcPr>
            <w:tcW w:w="1305" w:type="dxa"/>
            <w:tcBorders>
              <w:top w:val="nil"/>
              <w:left w:val="nil"/>
              <w:bottom w:val="single" w:sz="4" w:space="0" w:color="auto"/>
              <w:right w:val="single" w:sz="4" w:space="0" w:color="auto"/>
            </w:tcBorders>
            <w:noWrap/>
            <w:hideMark/>
          </w:tcPr>
          <w:p w14:paraId="1FB6E5FF" w14:textId="77777777" w:rsidR="00F26FE4" w:rsidRDefault="00F26FE4" w:rsidP="004B0807">
            <w:pPr>
              <w:jc w:val="left"/>
              <w:rPr>
                <w:sz w:val="21"/>
                <w:szCs w:val="21"/>
              </w:rPr>
            </w:pPr>
            <w:r>
              <w:rPr>
                <w:sz w:val="21"/>
                <w:szCs w:val="21"/>
              </w:rPr>
              <w:t> </w:t>
            </w:r>
          </w:p>
        </w:tc>
      </w:tr>
      <w:tr w:rsidR="00F26FE4" w14:paraId="524A1141"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57D98C76" w14:textId="77777777" w:rsidR="00F26FE4" w:rsidRPr="003D49E9" w:rsidRDefault="00F26FE4" w:rsidP="004B0807">
            <w:pPr>
              <w:jc w:val="left"/>
              <w:rPr>
                <w:sz w:val="21"/>
                <w:szCs w:val="21"/>
                <w:lang w:val="es-ES"/>
              </w:rPr>
            </w:pPr>
            <w:r w:rsidRPr="003D49E9">
              <w:rPr>
                <w:sz w:val="21"/>
                <w:szCs w:val="21"/>
                <w:lang w:val="es-ES"/>
              </w:rPr>
              <w:t>Fortalecimiento institucional</w:t>
            </w:r>
          </w:p>
        </w:tc>
        <w:tc>
          <w:tcPr>
            <w:tcW w:w="1304" w:type="dxa"/>
            <w:tcBorders>
              <w:top w:val="nil"/>
              <w:left w:val="nil"/>
              <w:bottom w:val="single" w:sz="4" w:space="0" w:color="auto"/>
              <w:right w:val="single" w:sz="4" w:space="0" w:color="auto"/>
            </w:tcBorders>
            <w:noWrap/>
            <w:hideMark/>
          </w:tcPr>
          <w:p w14:paraId="4FEE5DD0"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0691D154"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2318320C" w14:textId="77777777" w:rsidR="00F26FE4" w:rsidRDefault="00F26FE4" w:rsidP="004B0807">
            <w:pPr>
              <w:jc w:val="right"/>
              <w:rPr>
                <w:sz w:val="21"/>
                <w:szCs w:val="21"/>
              </w:rPr>
            </w:pPr>
            <w:r>
              <w:rPr>
                <w:sz w:val="21"/>
                <w:szCs w:val="21"/>
              </w:rPr>
              <w:t>0</w:t>
            </w:r>
          </w:p>
        </w:tc>
        <w:tc>
          <w:tcPr>
            <w:tcW w:w="1304" w:type="dxa"/>
            <w:tcBorders>
              <w:top w:val="nil"/>
              <w:left w:val="nil"/>
              <w:bottom w:val="single" w:sz="4" w:space="0" w:color="auto"/>
              <w:right w:val="single" w:sz="4" w:space="0" w:color="auto"/>
            </w:tcBorders>
            <w:noWrap/>
            <w:hideMark/>
          </w:tcPr>
          <w:p w14:paraId="7244C87A" w14:textId="77777777" w:rsidR="00F26FE4" w:rsidRDefault="00F26FE4" w:rsidP="004B0807">
            <w:pPr>
              <w:jc w:val="right"/>
              <w:rPr>
                <w:sz w:val="21"/>
                <w:szCs w:val="21"/>
              </w:rPr>
            </w:pPr>
            <w:r>
              <w:rPr>
                <w:sz w:val="21"/>
                <w:szCs w:val="21"/>
              </w:rPr>
              <w:t>0</w:t>
            </w:r>
          </w:p>
        </w:tc>
        <w:tc>
          <w:tcPr>
            <w:tcW w:w="1305" w:type="dxa"/>
            <w:tcBorders>
              <w:top w:val="nil"/>
              <w:left w:val="nil"/>
              <w:bottom w:val="single" w:sz="4" w:space="0" w:color="auto"/>
              <w:right w:val="single" w:sz="4" w:space="0" w:color="auto"/>
            </w:tcBorders>
            <w:noWrap/>
            <w:hideMark/>
          </w:tcPr>
          <w:p w14:paraId="53CBF385" w14:textId="77777777" w:rsidR="00F26FE4" w:rsidRDefault="00F26FE4" w:rsidP="004B0807">
            <w:pPr>
              <w:jc w:val="right"/>
              <w:rPr>
                <w:sz w:val="21"/>
                <w:szCs w:val="21"/>
              </w:rPr>
            </w:pPr>
            <w:r>
              <w:rPr>
                <w:sz w:val="21"/>
                <w:szCs w:val="21"/>
              </w:rPr>
              <w:t>30.000</w:t>
            </w:r>
          </w:p>
        </w:tc>
      </w:tr>
      <w:tr w:rsidR="00F26FE4" w14:paraId="2D0884E8"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7E84BF94" w14:textId="77777777" w:rsidR="00F26FE4" w:rsidRPr="003D49E9" w:rsidRDefault="00F26FE4" w:rsidP="004B0807">
            <w:pPr>
              <w:jc w:val="left"/>
              <w:rPr>
                <w:b/>
                <w:bCs/>
                <w:sz w:val="21"/>
                <w:szCs w:val="21"/>
                <w:lang w:val="es-ES"/>
              </w:rPr>
            </w:pPr>
            <w:r>
              <w:rPr>
                <w:b/>
                <w:bCs/>
                <w:sz w:val="21"/>
                <w:szCs w:val="21"/>
                <w:lang w:val="es-ES"/>
              </w:rPr>
              <w:t>Subtotal</w:t>
            </w:r>
            <w:r w:rsidRPr="003D49E9">
              <w:rPr>
                <w:b/>
                <w:bCs/>
                <w:sz w:val="21"/>
                <w:szCs w:val="21"/>
                <w:lang w:val="es-ES"/>
              </w:rPr>
              <w:t xml:space="preserve"> de las actividades estándar</w:t>
            </w:r>
          </w:p>
        </w:tc>
        <w:tc>
          <w:tcPr>
            <w:tcW w:w="1304" w:type="dxa"/>
            <w:tcBorders>
              <w:top w:val="nil"/>
              <w:left w:val="nil"/>
              <w:bottom w:val="single" w:sz="4" w:space="0" w:color="auto"/>
              <w:right w:val="single" w:sz="4" w:space="0" w:color="auto"/>
            </w:tcBorders>
            <w:noWrap/>
            <w:hideMark/>
          </w:tcPr>
          <w:p w14:paraId="45B69038" w14:textId="77777777" w:rsidR="00F26FE4" w:rsidRDefault="00F26FE4" w:rsidP="004B0807">
            <w:pPr>
              <w:jc w:val="right"/>
              <w:rPr>
                <w:b/>
                <w:bCs/>
                <w:sz w:val="21"/>
                <w:szCs w:val="21"/>
              </w:rPr>
            </w:pPr>
            <w:r>
              <w:rPr>
                <w:b/>
                <w:bCs/>
                <w:sz w:val="21"/>
                <w:szCs w:val="21"/>
              </w:rPr>
              <w:t>0</w:t>
            </w:r>
          </w:p>
        </w:tc>
        <w:tc>
          <w:tcPr>
            <w:tcW w:w="1304" w:type="dxa"/>
            <w:tcBorders>
              <w:top w:val="nil"/>
              <w:left w:val="nil"/>
              <w:bottom w:val="single" w:sz="4" w:space="0" w:color="auto"/>
              <w:right w:val="single" w:sz="4" w:space="0" w:color="auto"/>
            </w:tcBorders>
            <w:noWrap/>
            <w:hideMark/>
          </w:tcPr>
          <w:p w14:paraId="07C78D23" w14:textId="77777777" w:rsidR="00F26FE4" w:rsidRDefault="00F26FE4" w:rsidP="004B0807">
            <w:pPr>
              <w:jc w:val="right"/>
              <w:rPr>
                <w:b/>
                <w:bCs/>
                <w:sz w:val="21"/>
                <w:szCs w:val="21"/>
              </w:rPr>
            </w:pPr>
            <w:r>
              <w:rPr>
                <w:b/>
                <w:bCs/>
                <w:sz w:val="21"/>
                <w:szCs w:val="21"/>
              </w:rPr>
              <w:t>0</w:t>
            </w:r>
          </w:p>
        </w:tc>
        <w:tc>
          <w:tcPr>
            <w:tcW w:w="1304" w:type="dxa"/>
            <w:tcBorders>
              <w:top w:val="nil"/>
              <w:left w:val="nil"/>
              <w:bottom w:val="single" w:sz="4" w:space="0" w:color="auto"/>
              <w:right w:val="single" w:sz="4" w:space="0" w:color="auto"/>
            </w:tcBorders>
            <w:noWrap/>
            <w:hideMark/>
          </w:tcPr>
          <w:p w14:paraId="0D7E348F" w14:textId="77777777" w:rsidR="00F26FE4" w:rsidRDefault="00F26FE4" w:rsidP="004B0807">
            <w:pPr>
              <w:jc w:val="right"/>
              <w:rPr>
                <w:b/>
                <w:bCs/>
                <w:sz w:val="21"/>
                <w:szCs w:val="21"/>
              </w:rPr>
            </w:pPr>
            <w:r>
              <w:rPr>
                <w:b/>
                <w:bCs/>
                <w:sz w:val="21"/>
                <w:szCs w:val="21"/>
              </w:rPr>
              <w:t>0</w:t>
            </w:r>
          </w:p>
        </w:tc>
        <w:tc>
          <w:tcPr>
            <w:tcW w:w="1304" w:type="dxa"/>
            <w:tcBorders>
              <w:top w:val="nil"/>
              <w:left w:val="nil"/>
              <w:bottom w:val="single" w:sz="4" w:space="0" w:color="auto"/>
              <w:right w:val="single" w:sz="4" w:space="0" w:color="auto"/>
            </w:tcBorders>
            <w:noWrap/>
            <w:hideMark/>
          </w:tcPr>
          <w:p w14:paraId="3DB3184F" w14:textId="77777777" w:rsidR="00F26FE4" w:rsidRDefault="00F26FE4" w:rsidP="004B0807">
            <w:pPr>
              <w:jc w:val="right"/>
              <w:rPr>
                <w:b/>
                <w:bCs/>
                <w:sz w:val="21"/>
                <w:szCs w:val="21"/>
              </w:rPr>
            </w:pPr>
            <w:r>
              <w:rPr>
                <w:b/>
                <w:bCs/>
                <w:sz w:val="21"/>
                <w:szCs w:val="21"/>
              </w:rPr>
              <w:t>0</w:t>
            </w:r>
          </w:p>
        </w:tc>
        <w:tc>
          <w:tcPr>
            <w:tcW w:w="1305" w:type="dxa"/>
            <w:tcBorders>
              <w:top w:val="nil"/>
              <w:left w:val="nil"/>
              <w:bottom w:val="single" w:sz="4" w:space="0" w:color="auto"/>
              <w:right w:val="single" w:sz="4" w:space="0" w:color="auto"/>
            </w:tcBorders>
            <w:noWrap/>
            <w:hideMark/>
          </w:tcPr>
          <w:p w14:paraId="1AB857AF" w14:textId="77777777" w:rsidR="00F26FE4" w:rsidRDefault="00F26FE4" w:rsidP="004B0807">
            <w:pPr>
              <w:jc w:val="right"/>
              <w:rPr>
                <w:b/>
                <w:bCs/>
                <w:sz w:val="21"/>
                <w:szCs w:val="21"/>
              </w:rPr>
            </w:pPr>
            <w:r>
              <w:rPr>
                <w:b/>
                <w:bCs/>
                <w:sz w:val="21"/>
                <w:szCs w:val="21"/>
              </w:rPr>
              <w:t>30.000</w:t>
            </w:r>
          </w:p>
        </w:tc>
      </w:tr>
      <w:tr w:rsidR="00F26FE4" w14:paraId="788CFAB3" w14:textId="77777777" w:rsidTr="003C3492">
        <w:trPr>
          <w:trHeight w:val="58"/>
        </w:trPr>
        <w:tc>
          <w:tcPr>
            <w:tcW w:w="2977" w:type="dxa"/>
            <w:tcBorders>
              <w:top w:val="nil"/>
              <w:left w:val="single" w:sz="4" w:space="0" w:color="auto"/>
              <w:bottom w:val="single" w:sz="4" w:space="0" w:color="auto"/>
              <w:right w:val="single" w:sz="4" w:space="0" w:color="auto"/>
            </w:tcBorders>
            <w:noWrap/>
            <w:hideMark/>
          </w:tcPr>
          <w:p w14:paraId="3ADF71D4" w14:textId="77777777" w:rsidR="00F26FE4" w:rsidRDefault="00F26FE4" w:rsidP="004B0807">
            <w:pPr>
              <w:jc w:val="left"/>
              <w:rPr>
                <w:b/>
                <w:bCs/>
                <w:sz w:val="21"/>
                <w:szCs w:val="21"/>
              </w:rPr>
            </w:pPr>
            <w:r>
              <w:rPr>
                <w:b/>
                <w:bCs/>
                <w:sz w:val="21"/>
                <w:szCs w:val="21"/>
              </w:rPr>
              <w:t>Total</w:t>
            </w:r>
          </w:p>
        </w:tc>
        <w:tc>
          <w:tcPr>
            <w:tcW w:w="1304" w:type="dxa"/>
            <w:tcBorders>
              <w:top w:val="nil"/>
              <w:left w:val="nil"/>
              <w:bottom w:val="single" w:sz="4" w:space="0" w:color="auto"/>
              <w:right w:val="single" w:sz="4" w:space="0" w:color="auto"/>
            </w:tcBorders>
            <w:noWrap/>
            <w:hideMark/>
          </w:tcPr>
          <w:p w14:paraId="291E98AD" w14:textId="77777777" w:rsidR="00F26FE4" w:rsidRDefault="00F26FE4" w:rsidP="004B0807">
            <w:pPr>
              <w:jc w:val="right"/>
              <w:rPr>
                <w:b/>
                <w:bCs/>
                <w:sz w:val="21"/>
                <w:szCs w:val="21"/>
              </w:rPr>
            </w:pPr>
            <w:r>
              <w:rPr>
                <w:b/>
                <w:bCs/>
                <w:sz w:val="21"/>
                <w:szCs w:val="21"/>
              </w:rPr>
              <w:t>1.834.466</w:t>
            </w:r>
          </w:p>
        </w:tc>
        <w:tc>
          <w:tcPr>
            <w:tcW w:w="1304" w:type="dxa"/>
            <w:tcBorders>
              <w:top w:val="nil"/>
              <w:left w:val="nil"/>
              <w:bottom w:val="single" w:sz="4" w:space="0" w:color="auto"/>
              <w:right w:val="single" w:sz="4" w:space="0" w:color="auto"/>
            </w:tcBorders>
            <w:noWrap/>
            <w:hideMark/>
          </w:tcPr>
          <w:p w14:paraId="15D3E357" w14:textId="77777777" w:rsidR="00F26FE4" w:rsidRDefault="00F26FE4" w:rsidP="004B0807">
            <w:pPr>
              <w:jc w:val="right"/>
              <w:rPr>
                <w:b/>
                <w:bCs/>
                <w:sz w:val="21"/>
                <w:szCs w:val="21"/>
              </w:rPr>
            </w:pPr>
            <w:r>
              <w:rPr>
                <w:b/>
                <w:bCs/>
                <w:sz w:val="21"/>
                <w:szCs w:val="21"/>
              </w:rPr>
              <w:t>1.528.148</w:t>
            </w:r>
          </w:p>
        </w:tc>
        <w:tc>
          <w:tcPr>
            <w:tcW w:w="1304" w:type="dxa"/>
            <w:tcBorders>
              <w:top w:val="nil"/>
              <w:left w:val="nil"/>
              <w:bottom w:val="single" w:sz="4" w:space="0" w:color="auto"/>
              <w:right w:val="single" w:sz="4" w:space="0" w:color="auto"/>
            </w:tcBorders>
            <w:noWrap/>
            <w:hideMark/>
          </w:tcPr>
          <w:p w14:paraId="7CC546CF" w14:textId="77777777" w:rsidR="00F26FE4" w:rsidRDefault="00F26FE4" w:rsidP="004B0807">
            <w:pPr>
              <w:jc w:val="right"/>
              <w:rPr>
                <w:b/>
                <w:bCs/>
                <w:sz w:val="21"/>
                <w:szCs w:val="21"/>
              </w:rPr>
            </w:pPr>
            <w:r>
              <w:rPr>
                <w:b/>
                <w:bCs/>
                <w:sz w:val="21"/>
                <w:szCs w:val="21"/>
              </w:rPr>
              <w:t>583.512</w:t>
            </w:r>
          </w:p>
        </w:tc>
        <w:tc>
          <w:tcPr>
            <w:tcW w:w="1304" w:type="dxa"/>
            <w:tcBorders>
              <w:top w:val="nil"/>
              <w:left w:val="nil"/>
              <w:bottom w:val="single" w:sz="4" w:space="0" w:color="auto"/>
              <w:right w:val="single" w:sz="4" w:space="0" w:color="auto"/>
            </w:tcBorders>
            <w:noWrap/>
            <w:hideMark/>
          </w:tcPr>
          <w:p w14:paraId="373A7AF8" w14:textId="77777777" w:rsidR="00F26FE4" w:rsidRDefault="00F26FE4" w:rsidP="004B0807">
            <w:pPr>
              <w:jc w:val="right"/>
              <w:rPr>
                <w:b/>
                <w:bCs/>
                <w:sz w:val="21"/>
                <w:szCs w:val="21"/>
              </w:rPr>
            </w:pPr>
            <w:r>
              <w:rPr>
                <w:b/>
                <w:bCs/>
                <w:sz w:val="21"/>
                <w:szCs w:val="21"/>
              </w:rPr>
              <w:t>3.946.126</w:t>
            </w:r>
          </w:p>
        </w:tc>
        <w:tc>
          <w:tcPr>
            <w:tcW w:w="1305" w:type="dxa"/>
            <w:tcBorders>
              <w:top w:val="nil"/>
              <w:left w:val="nil"/>
              <w:bottom w:val="single" w:sz="4" w:space="0" w:color="auto"/>
              <w:right w:val="single" w:sz="4" w:space="0" w:color="auto"/>
            </w:tcBorders>
            <w:noWrap/>
            <w:hideMark/>
          </w:tcPr>
          <w:p w14:paraId="598C5B07" w14:textId="77777777" w:rsidR="00F26FE4" w:rsidRDefault="00F26FE4" w:rsidP="004B0807">
            <w:pPr>
              <w:jc w:val="right"/>
              <w:rPr>
                <w:b/>
                <w:bCs/>
                <w:sz w:val="21"/>
                <w:szCs w:val="21"/>
              </w:rPr>
            </w:pPr>
            <w:r>
              <w:rPr>
                <w:b/>
                <w:bCs/>
                <w:sz w:val="21"/>
                <w:szCs w:val="21"/>
              </w:rPr>
              <w:t>607.044</w:t>
            </w:r>
          </w:p>
        </w:tc>
      </w:tr>
    </w:tbl>
    <w:p w14:paraId="537A9917" w14:textId="77777777" w:rsidR="00F26FE4" w:rsidRPr="003D49E9" w:rsidRDefault="00F26FE4" w:rsidP="004B0807">
      <w:pPr>
        <w:widowControl w:val="0"/>
        <w:spacing w:after="240"/>
        <w:rPr>
          <w:sz w:val="20"/>
          <w:szCs w:val="20"/>
          <w:lang w:val="es-ES"/>
        </w:rPr>
      </w:pPr>
      <w:r w:rsidRPr="003D49E9">
        <w:rPr>
          <w:sz w:val="20"/>
          <w:szCs w:val="20"/>
          <w:lang w:val="es-ES"/>
        </w:rPr>
        <w:t>* Incluidos los gastos de apoyo a los organismos.</w:t>
      </w:r>
    </w:p>
    <w:p w14:paraId="1295B4C9" w14:textId="77777777" w:rsidR="00F26FE4" w:rsidRPr="003D49E9" w:rsidRDefault="00F26FE4" w:rsidP="004B0807">
      <w:pPr>
        <w:pStyle w:val="Heading1"/>
        <w:widowControl w:val="0"/>
        <w:numPr>
          <w:ilvl w:val="0"/>
          <w:numId w:val="21"/>
        </w:numPr>
        <w:rPr>
          <w:lang w:val="es-ES"/>
        </w:rPr>
      </w:pPr>
      <w:r w:rsidRPr="003D49E9">
        <w:rPr>
          <w:lang w:val="es-ES"/>
        </w:rPr>
        <w:t>En el plan administrativo de Alemania se incluían las siguientes actividades:</w:t>
      </w:r>
    </w:p>
    <w:p w14:paraId="144536CC" w14:textId="77777777" w:rsidR="00F26FE4" w:rsidRPr="003D49E9" w:rsidRDefault="00F26FE4" w:rsidP="004B0807">
      <w:pPr>
        <w:pStyle w:val="Heading2"/>
        <w:numPr>
          <w:ilvl w:val="1"/>
          <w:numId w:val="21"/>
        </w:numPr>
        <w:rPr>
          <w:lang w:val="es-ES"/>
        </w:rPr>
      </w:pPr>
      <w:r w:rsidRPr="003D49E9">
        <w:rPr>
          <w:lang w:val="es-ES"/>
        </w:rPr>
        <w:t xml:space="preserve">Las etapas I y II aprobadas del PGEH ascendían a 3,56 millones de $EUA, de los que 2,98 millones de $EUA correspondían al período 2022-2024; la Secretaría sugiere un ajuste consistente en aumentar en 666.018 $EUA la cifra para 2022-2024 a fin de reflejar los montos aprobados en principio en los Acuerdos de los respectivos PGEH. </w:t>
      </w:r>
    </w:p>
    <w:p w14:paraId="3E53F74B" w14:textId="77777777" w:rsidR="00F26FE4" w:rsidRPr="003D49E9" w:rsidRDefault="00F26FE4" w:rsidP="004B0807">
      <w:pPr>
        <w:pStyle w:val="Heading2"/>
        <w:numPr>
          <w:ilvl w:val="1"/>
          <w:numId w:val="21"/>
        </w:numPr>
        <w:rPr>
          <w:lang w:val="es-ES"/>
        </w:rPr>
      </w:pPr>
      <w:r w:rsidRPr="003D49E9">
        <w:rPr>
          <w:lang w:val="es-ES"/>
        </w:rPr>
        <w:t xml:space="preserve">La etapa III del PGEH de un país que no es de bajo consumo por un monto de </w:t>
      </w:r>
      <w:r w:rsidRPr="003D49E9">
        <w:rPr>
          <w:sz w:val="21"/>
          <w:szCs w:val="21"/>
          <w:lang w:val="es-ES"/>
        </w:rPr>
        <w:t>422.650 </w:t>
      </w:r>
      <w:r w:rsidRPr="003D49E9">
        <w:rPr>
          <w:lang w:val="es-ES"/>
        </w:rPr>
        <w:t>$EUA en 2023, en línea con la decisión 84/46(e)</w:t>
      </w:r>
      <w:r>
        <w:rPr>
          <w:rStyle w:val="FootnoteReference"/>
        </w:rPr>
        <w:footnoteReference w:id="6"/>
      </w:r>
      <w:r w:rsidRPr="003D49E9">
        <w:rPr>
          <w:lang w:val="es-ES"/>
        </w:rPr>
        <w:t>;</w:t>
      </w:r>
    </w:p>
    <w:p w14:paraId="3642C127" w14:textId="77777777" w:rsidR="00F26FE4" w:rsidRPr="003D49E9" w:rsidRDefault="00F26FE4" w:rsidP="004B0807">
      <w:pPr>
        <w:pStyle w:val="Heading2"/>
        <w:numPr>
          <w:ilvl w:val="1"/>
          <w:numId w:val="21"/>
        </w:numPr>
        <w:spacing w:after="120"/>
        <w:rPr>
          <w:lang w:val="es-ES"/>
        </w:rPr>
      </w:pPr>
      <w:r w:rsidRPr="003D49E9">
        <w:rPr>
          <w:lang w:val="es-ES"/>
        </w:rPr>
        <w:t>Preparación del KIP</w:t>
      </w:r>
      <w:r>
        <w:rPr>
          <w:rStyle w:val="FootnoteReference"/>
        </w:rPr>
        <w:footnoteReference w:id="7"/>
      </w:r>
      <w:r w:rsidRPr="003D49E9">
        <w:rPr>
          <w:lang w:val="es-ES"/>
        </w:rPr>
        <w:t xml:space="preserve"> de un país (Papua Nueva Guinea) por un monto de 85.000 $EUA para 2022; este país no ha ratificado la Enmienda de Kigali, pero ha presentado la carta requerida manifestando la intención del Gobierno de hacer todo lo posible para </w:t>
      </w:r>
      <w:r>
        <w:rPr>
          <w:lang w:val="es-ES"/>
        </w:rPr>
        <w:t>su ratificación</w:t>
      </w:r>
      <w:r w:rsidRPr="003D49E9">
        <w:rPr>
          <w:lang w:val="es-ES"/>
        </w:rPr>
        <w:t xml:space="preserve">; </w:t>
      </w:r>
    </w:p>
    <w:p w14:paraId="39F8C4E4" w14:textId="77777777" w:rsidR="00F26FE4" w:rsidRPr="003D49E9" w:rsidRDefault="00F26FE4" w:rsidP="004B0807">
      <w:pPr>
        <w:pStyle w:val="Heading2"/>
        <w:numPr>
          <w:ilvl w:val="1"/>
          <w:numId w:val="21"/>
        </w:numPr>
        <w:spacing w:after="120"/>
        <w:rPr>
          <w:lang w:val="es-ES"/>
        </w:rPr>
      </w:pPr>
      <w:r w:rsidRPr="003D49E9">
        <w:rPr>
          <w:lang w:val="es-ES"/>
        </w:rPr>
        <w:t>Los KIP correspondientes a cuatro países (Burkina Faso, Liberia, Mauricio y Papua Nueva Guinea), por un monto de 400.000 $EUA</w:t>
      </w:r>
      <w:r>
        <w:rPr>
          <w:lang w:val="es-ES"/>
        </w:rPr>
        <w:t>,</w:t>
      </w:r>
      <w:r w:rsidRPr="003D49E9">
        <w:rPr>
          <w:lang w:val="es-ES"/>
        </w:rPr>
        <w:t xml:space="preserve"> en línea con la decisión 84/46(g)</w:t>
      </w:r>
      <w:r>
        <w:rPr>
          <w:rStyle w:val="FootnoteReference"/>
        </w:rPr>
        <w:footnoteReference w:id="8"/>
      </w:r>
      <w:r w:rsidRPr="003D49E9">
        <w:rPr>
          <w:lang w:val="es-ES"/>
        </w:rPr>
        <w:t>; uno de los países (Papua Nueva Guinea) no ha ratificado la Enmienda de Kigali y ha sido eliminado de los planes administrativos;</w:t>
      </w:r>
    </w:p>
    <w:p w14:paraId="17A642DC" w14:textId="77777777" w:rsidR="00F26FE4" w:rsidRPr="003D49E9" w:rsidRDefault="00F26FE4" w:rsidP="004B0807">
      <w:pPr>
        <w:pStyle w:val="Heading2"/>
        <w:numPr>
          <w:ilvl w:val="1"/>
          <w:numId w:val="21"/>
        </w:numPr>
        <w:spacing w:after="120"/>
        <w:rPr>
          <w:lang w:val="es-ES"/>
        </w:rPr>
      </w:pPr>
      <w:r w:rsidRPr="003D49E9">
        <w:rPr>
          <w:lang w:val="es-ES"/>
        </w:rPr>
        <w:lastRenderedPageBreak/>
        <w:t xml:space="preserve">Un proyecto de fortalecimiento institucional para un país (Papua Nueva Guinea), por un monto de 30.000 $EUA para después de 2024; la Secretaría propone realizar un ajuste consistente en </w:t>
      </w:r>
      <w:r>
        <w:rPr>
          <w:lang w:val="es-ES"/>
        </w:rPr>
        <w:t>una reducción de</w:t>
      </w:r>
      <w:r w:rsidRPr="003D49E9">
        <w:rPr>
          <w:lang w:val="es-ES"/>
        </w:rPr>
        <w:t xml:space="preserve"> 30.000 $EUA para eliminar los valores después de 2024;y</w:t>
      </w:r>
    </w:p>
    <w:p w14:paraId="605FB834" w14:textId="77777777" w:rsidR="00F26FE4" w:rsidRPr="003D49E9" w:rsidRDefault="00F26FE4" w:rsidP="004B0807">
      <w:pPr>
        <w:pStyle w:val="Heading2"/>
        <w:numPr>
          <w:ilvl w:val="1"/>
          <w:numId w:val="21"/>
        </w:numPr>
        <w:rPr>
          <w:lang w:val="es-ES"/>
        </w:rPr>
      </w:pPr>
      <w:r>
        <w:rPr>
          <w:lang w:val="es-ES"/>
        </w:rPr>
        <w:t>La v</w:t>
      </w:r>
      <w:r w:rsidRPr="003D49E9">
        <w:rPr>
          <w:lang w:val="es-ES"/>
        </w:rPr>
        <w:t xml:space="preserve">erificación de los PGEH de dos países (Mauricio y Papua Nueva Guinea) por un monto de 60.000 $EUA en 2023. Puesto que la financiación de estas actividades ya se había incluido en el presupuesto para la verificación de PGEH </w:t>
      </w:r>
      <w:r>
        <w:rPr>
          <w:lang w:val="es-ES"/>
        </w:rPr>
        <w:t xml:space="preserve">incluido en </w:t>
      </w:r>
      <w:r w:rsidRPr="003D49E9">
        <w:rPr>
          <w:lang w:val="es-ES"/>
        </w:rPr>
        <w:t>el plan administrativo refundido de 2022-2024</w:t>
      </w:r>
      <w:r>
        <w:rPr>
          <w:rStyle w:val="FootnoteReference"/>
        </w:rPr>
        <w:footnoteReference w:id="9"/>
      </w:r>
      <w:r w:rsidRPr="003D49E9">
        <w:rPr>
          <w:lang w:val="es-ES"/>
        </w:rPr>
        <w:t xml:space="preserve">, la Secretaría propone </w:t>
      </w:r>
      <w:r>
        <w:rPr>
          <w:lang w:val="es-ES"/>
        </w:rPr>
        <w:t>una reducción de</w:t>
      </w:r>
      <w:r w:rsidRPr="003D49E9">
        <w:rPr>
          <w:lang w:val="es-ES"/>
        </w:rPr>
        <w:t xml:space="preserve"> 60.000 $EUA en 2023.</w:t>
      </w:r>
    </w:p>
    <w:p w14:paraId="532A8B44" w14:textId="77777777" w:rsidR="00F26FE4" w:rsidRPr="003D49E9" w:rsidRDefault="00F26FE4" w:rsidP="004B0807">
      <w:pPr>
        <w:pStyle w:val="Heading1"/>
        <w:widowControl w:val="0"/>
        <w:numPr>
          <w:ilvl w:val="0"/>
          <w:numId w:val="21"/>
        </w:numPr>
        <w:rPr>
          <w:lang w:val="es-ES"/>
        </w:rPr>
      </w:pPr>
      <w:r w:rsidRPr="003D49E9">
        <w:rPr>
          <w:lang w:val="es-ES"/>
        </w:rPr>
        <w:t>En el Cuadro 6 se presentan los resultados de los ajustes propuestos por la Secretaría para el plan administrativo de Alemania.</w:t>
      </w:r>
    </w:p>
    <w:p w14:paraId="222D8A85" w14:textId="77777777" w:rsidR="00F26FE4" w:rsidRPr="003D49E9" w:rsidRDefault="00F26FE4" w:rsidP="00F26FE4">
      <w:pPr>
        <w:pStyle w:val="Heading1"/>
        <w:keepNext/>
        <w:numPr>
          <w:ilvl w:val="0"/>
          <w:numId w:val="0"/>
        </w:numPr>
        <w:tabs>
          <w:tab w:val="left" w:pos="708"/>
        </w:tabs>
        <w:spacing w:after="0"/>
        <w:rPr>
          <w:b/>
          <w:lang w:val="es-ES"/>
        </w:rPr>
      </w:pPr>
      <w:r w:rsidRPr="003D49E9">
        <w:rPr>
          <w:b/>
          <w:lang w:val="es-ES"/>
        </w:rPr>
        <w:t>Cuadro 6. Resultados de los ajustes al plan administrativo de Alemania</w:t>
      </w:r>
      <w:r w:rsidRPr="003D49E9">
        <w:rPr>
          <w:lang w:val="es-ES"/>
        </w:rPr>
        <w:t xml:space="preserve"> </w:t>
      </w:r>
      <w:r w:rsidRPr="003D49E9">
        <w:rPr>
          <w:b/>
          <w:lang w:val="es-ES"/>
        </w:rPr>
        <w:t xml:space="preserve"> ($EUA)*</w:t>
      </w:r>
    </w:p>
    <w:tbl>
      <w:tblPr>
        <w:tblW w:w="9495" w:type="dxa"/>
        <w:tblInd w:w="-5" w:type="dxa"/>
        <w:tblLayout w:type="fixed"/>
        <w:tblLook w:val="04A0" w:firstRow="1" w:lastRow="0" w:firstColumn="1" w:lastColumn="0" w:noHBand="0" w:noVBand="1"/>
      </w:tblPr>
      <w:tblGrid>
        <w:gridCol w:w="2975"/>
        <w:gridCol w:w="1303"/>
        <w:gridCol w:w="1304"/>
        <w:gridCol w:w="1304"/>
        <w:gridCol w:w="1304"/>
        <w:gridCol w:w="1305"/>
      </w:tblGrid>
      <w:tr w:rsidR="00F26FE4" w:rsidRPr="003D49E9" w14:paraId="3BC6384A" w14:textId="77777777" w:rsidTr="003C3492">
        <w:trPr>
          <w:tblHeader/>
        </w:trPr>
        <w:tc>
          <w:tcPr>
            <w:tcW w:w="2977" w:type="dxa"/>
            <w:tcBorders>
              <w:top w:val="single" w:sz="4" w:space="0" w:color="auto"/>
              <w:left w:val="single" w:sz="4" w:space="0" w:color="auto"/>
              <w:bottom w:val="single" w:sz="4" w:space="0" w:color="auto"/>
              <w:right w:val="single" w:sz="4" w:space="0" w:color="auto"/>
            </w:tcBorders>
            <w:noWrap/>
            <w:vAlign w:val="center"/>
            <w:hideMark/>
          </w:tcPr>
          <w:p w14:paraId="4827C97D" w14:textId="77777777" w:rsidR="00F26FE4" w:rsidRPr="003D49E9" w:rsidRDefault="00F26FE4" w:rsidP="003C3492">
            <w:pPr>
              <w:jc w:val="left"/>
              <w:rPr>
                <w:b/>
                <w:bCs/>
                <w:sz w:val="21"/>
                <w:szCs w:val="21"/>
                <w:lang w:val="es-ES"/>
              </w:rPr>
            </w:pPr>
            <w:r w:rsidRPr="003D49E9">
              <w:rPr>
                <w:b/>
                <w:bCs/>
                <w:sz w:val="21"/>
                <w:szCs w:val="21"/>
                <w:lang w:val="es-ES"/>
              </w:rPr>
              <w:t>Descripción</w:t>
            </w:r>
          </w:p>
        </w:tc>
        <w:tc>
          <w:tcPr>
            <w:tcW w:w="1304" w:type="dxa"/>
            <w:tcBorders>
              <w:top w:val="single" w:sz="4" w:space="0" w:color="auto"/>
              <w:left w:val="nil"/>
              <w:bottom w:val="single" w:sz="4" w:space="0" w:color="auto"/>
              <w:right w:val="single" w:sz="4" w:space="0" w:color="auto"/>
            </w:tcBorders>
            <w:vAlign w:val="center"/>
            <w:hideMark/>
          </w:tcPr>
          <w:p w14:paraId="39698A97" w14:textId="77777777" w:rsidR="00F26FE4" w:rsidRPr="003D49E9" w:rsidRDefault="00F26FE4" w:rsidP="003C3492">
            <w:pPr>
              <w:jc w:val="center"/>
              <w:rPr>
                <w:b/>
                <w:bCs/>
                <w:sz w:val="21"/>
                <w:szCs w:val="21"/>
                <w:lang w:val="es-ES"/>
              </w:rPr>
            </w:pPr>
            <w:r w:rsidRPr="003D49E9">
              <w:rPr>
                <w:b/>
                <w:bCs/>
                <w:sz w:val="21"/>
                <w:szCs w:val="21"/>
                <w:lang w:val="es-ES"/>
              </w:rPr>
              <w:t>2022</w:t>
            </w:r>
          </w:p>
        </w:tc>
        <w:tc>
          <w:tcPr>
            <w:tcW w:w="1304" w:type="dxa"/>
            <w:tcBorders>
              <w:top w:val="single" w:sz="4" w:space="0" w:color="auto"/>
              <w:left w:val="nil"/>
              <w:bottom w:val="single" w:sz="4" w:space="0" w:color="auto"/>
              <w:right w:val="single" w:sz="4" w:space="0" w:color="auto"/>
            </w:tcBorders>
            <w:vAlign w:val="center"/>
            <w:hideMark/>
          </w:tcPr>
          <w:p w14:paraId="20F695F4" w14:textId="77777777" w:rsidR="00F26FE4" w:rsidRPr="003D49E9" w:rsidRDefault="00F26FE4" w:rsidP="003C3492">
            <w:pPr>
              <w:jc w:val="center"/>
              <w:rPr>
                <w:b/>
                <w:bCs/>
                <w:sz w:val="21"/>
                <w:szCs w:val="21"/>
                <w:lang w:val="es-ES"/>
              </w:rPr>
            </w:pPr>
            <w:r w:rsidRPr="003D49E9">
              <w:rPr>
                <w:b/>
                <w:bCs/>
                <w:sz w:val="21"/>
                <w:szCs w:val="21"/>
                <w:lang w:val="es-ES"/>
              </w:rPr>
              <w:t>2023</w:t>
            </w:r>
          </w:p>
        </w:tc>
        <w:tc>
          <w:tcPr>
            <w:tcW w:w="1304" w:type="dxa"/>
            <w:tcBorders>
              <w:top w:val="single" w:sz="4" w:space="0" w:color="auto"/>
              <w:left w:val="nil"/>
              <w:bottom w:val="single" w:sz="4" w:space="0" w:color="auto"/>
              <w:right w:val="single" w:sz="4" w:space="0" w:color="auto"/>
            </w:tcBorders>
            <w:vAlign w:val="center"/>
            <w:hideMark/>
          </w:tcPr>
          <w:p w14:paraId="2EE375FA" w14:textId="77777777" w:rsidR="00F26FE4" w:rsidRPr="003D49E9" w:rsidRDefault="00F26FE4" w:rsidP="003C3492">
            <w:pPr>
              <w:jc w:val="center"/>
              <w:rPr>
                <w:b/>
                <w:bCs/>
                <w:sz w:val="21"/>
                <w:szCs w:val="21"/>
                <w:lang w:val="es-ES"/>
              </w:rPr>
            </w:pPr>
            <w:r w:rsidRPr="003D49E9">
              <w:rPr>
                <w:b/>
                <w:bCs/>
                <w:sz w:val="21"/>
                <w:szCs w:val="21"/>
                <w:lang w:val="es-ES"/>
              </w:rPr>
              <w:t>2024</w:t>
            </w:r>
          </w:p>
        </w:tc>
        <w:tc>
          <w:tcPr>
            <w:tcW w:w="1304" w:type="dxa"/>
            <w:tcBorders>
              <w:top w:val="single" w:sz="4" w:space="0" w:color="auto"/>
              <w:left w:val="nil"/>
              <w:bottom w:val="single" w:sz="4" w:space="0" w:color="auto"/>
              <w:right w:val="single" w:sz="4" w:space="0" w:color="auto"/>
            </w:tcBorders>
            <w:vAlign w:val="center"/>
            <w:hideMark/>
          </w:tcPr>
          <w:p w14:paraId="6731C478" w14:textId="77777777" w:rsidR="00F26FE4" w:rsidRPr="003D49E9" w:rsidRDefault="00F26FE4" w:rsidP="003C3492">
            <w:pPr>
              <w:jc w:val="center"/>
              <w:rPr>
                <w:b/>
                <w:bCs/>
                <w:sz w:val="21"/>
                <w:szCs w:val="21"/>
                <w:lang w:val="es-ES"/>
              </w:rPr>
            </w:pPr>
            <w:r w:rsidRPr="003D49E9">
              <w:rPr>
                <w:b/>
                <w:bCs/>
                <w:sz w:val="21"/>
                <w:szCs w:val="21"/>
                <w:lang w:val="es-ES"/>
              </w:rPr>
              <w:t xml:space="preserve">Total </w:t>
            </w:r>
          </w:p>
          <w:p w14:paraId="7B4B28D3" w14:textId="77777777" w:rsidR="00F26FE4" w:rsidRPr="003D49E9" w:rsidRDefault="00F26FE4" w:rsidP="003C3492">
            <w:pPr>
              <w:jc w:val="center"/>
              <w:rPr>
                <w:b/>
                <w:bCs/>
                <w:sz w:val="21"/>
                <w:szCs w:val="21"/>
                <w:lang w:val="es-ES"/>
              </w:rPr>
            </w:pPr>
            <w:r w:rsidRPr="003D49E9">
              <w:rPr>
                <w:b/>
                <w:bCs/>
                <w:sz w:val="21"/>
                <w:szCs w:val="21"/>
                <w:lang w:val="es-ES"/>
              </w:rPr>
              <w:t>(2022-2024)</w:t>
            </w:r>
          </w:p>
        </w:tc>
        <w:tc>
          <w:tcPr>
            <w:tcW w:w="1305" w:type="dxa"/>
            <w:tcBorders>
              <w:top w:val="single" w:sz="4" w:space="0" w:color="auto"/>
              <w:left w:val="nil"/>
              <w:bottom w:val="single" w:sz="4" w:space="0" w:color="auto"/>
              <w:right w:val="single" w:sz="4" w:space="0" w:color="auto"/>
            </w:tcBorders>
            <w:vAlign w:val="center"/>
            <w:hideMark/>
          </w:tcPr>
          <w:p w14:paraId="0D6A22D0" w14:textId="77777777" w:rsidR="00F26FE4" w:rsidRPr="003D49E9" w:rsidRDefault="00F26FE4" w:rsidP="003C3492">
            <w:pPr>
              <w:jc w:val="center"/>
              <w:rPr>
                <w:b/>
                <w:bCs/>
                <w:sz w:val="21"/>
                <w:szCs w:val="21"/>
                <w:lang w:val="es-ES"/>
              </w:rPr>
            </w:pPr>
            <w:r w:rsidRPr="003D49E9">
              <w:rPr>
                <w:b/>
                <w:bCs/>
                <w:sz w:val="21"/>
                <w:szCs w:val="21"/>
                <w:lang w:val="es-ES"/>
              </w:rPr>
              <w:t>Total después de 2024</w:t>
            </w:r>
          </w:p>
        </w:tc>
      </w:tr>
      <w:tr w:rsidR="00F26FE4" w:rsidRPr="000755F8" w14:paraId="0E4994D2" w14:textId="77777777" w:rsidTr="003C3492">
        <w:tc>
          <w:tcPr>
            <w:tcW w:w="9498" w:type="dxa"/>
            <w:gridSpan w:val="6"/>
            <w:tcBorders>
              <w:top w:val="single" w:sz="4" w:space="0" w:color="auto"/>
              <w:left w:val="single" w:sz="4" w:space="0" w:color="auto"/>
              <w:bottom w:val="single" w:sz="4" w:space="0" w:color="auto"/>
              <w:right w:val="single" w:sz="4" w:space="0" w:color="auto"/>
            </w:tcBorders>
            <w:noWrap/>
            <w:vAlign w:val="center"/>
            <w:hideMark/>
          </w:tcPr>
          <w:p w14:paraId="3E6A4799" w14:textId="77777777" w:rsidR="00F26FE4" w:rsidRPr="003D49E9" w:rsidRDefault="00F26FE4" w:rsidP="003C3492">
            <w:pPr>
              <w:jc w:val="left"/>
              <w:rPr>
                <w:b/>
                <w:bCs/>
                <w:sz w:val="21"/>
                <w:szCs w:val="21"/>
                <w:lang w:val="es-ES"/>
              </w:rPr>
            </w:pPr>
            <w:r w:rsidRPr="003D49E9">
              <w:rPr>
                <w:b/>
                <w:bCs/>
                <w:sz w:val="21"/>
                <w:szCs w:val="21"/>
                <w:lang w:val="es-ES"/>
              </w:rPr>
              <w:t>Actividades relacionadas con los HCFC</w:t>
            </w:r>
          </w:p>
        </w:tc>
      </w:tr>
      <w:tr w:rsidR="00F26FE4" w:rsidRPr="003D49E9" w14:paraId="5C8F1E3D"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37DF06C5" w14:textId="77777777" w:rsidR="00F26FE4" w:rsidRPr="003D49E9" w:rsidRDefault="00F26FE4" w:rsidP="003C3492">
            <w:pPr>
              <w:jc w:val="left"/>
              <w:rPr>
                <w:sz w:val="21"/>
                <w:szCs w:val="21"/>
                <w:lang w:val="es-ES"/>
              </w:rPr>
            </w:pPr>
            <w:r w:rsidRPr="003D49E9">
              <w:rPr>
                <w:sz w:val="21"/>
                <w:szCs w:val="21"/>
                <w:lang w:val="es-ES"/>
              </w:rPr>
              <w:t>PGEH aprobados</w:t>
            </w:r>
          </w:p>
        </w:tc>
        <w:tc>
          <w:tcPr>
            <w:tcW w:w="1304" w:type="dxa"/>
            <w:tcBorders>
              <w:top w:val="nil"/>
              <w:left w:val="nil"/>
              <w:bottom w:val="single" w:sz="4" w:space="0" w:color="auto"/>
              <w:right w:val="single" w:sz="4" w:space="0" w:color="auto"/>
            </w:tcBorders>
            <w:noWrap/>
            <w:vAlign w:val="center"/>
            <w:hideMark/>
          </w:tcPr>
          <w:p w14:paraId="02137C2D" w14:textId="77777777" w:rsidR="00F26FE4" w:rsidRPr="003D49E9" w:rsidRDefault="00F26FE4" w:rsidP="003C3492">
            <w:pPr>
              <w:jc w:val="right"/>
              <w:rPr>
                <w:sz w:val="21"/>
                <w:szCs w:val="21"/>
                <w:lang w:val="es-ES"/>
              </w:rPr>
            </w:pPr>
            <w:r w:rsidRPr="003D49E9">
              <w:rPr>
                <w:sz w:val="21"/>
                <w:szCs w:val="21"/>
                <w:lang w:val="es-ES"/>
              </w:rPr>
              <w:t>2.307.607</w:t>
            </w:r>
          </w:p>
        </w:tc>
        <w:tc>
          <w:tcPr>
            <w:tcW w:w="1304" w:type="dxa"/>
            <w:tcBorders>
              <w:top w:val="nil"/>
              <w:left w:val="nil"/>
              <w:bottom w:val="single" w:sz="4" w:space="0" w:color="auto"/>
              <w:right w:val="single" w:sz="4" w:space="0" w:color="auto"/>
            </w:tcBorders>
            <w:noWrap/>
            <w:vAlign w:val="center"/>
            <w:hideMark/>
          </w:tcPr>
          <w:p w14:paraId="408F7E33" w14:textId="77777777" w:rsidR="00F26FE4" w:rsidRPr="003D49E9" w:rsidRDefault="00F26FE4" w:rsidP="003C3492">
            <w:pPr>
              <w:jc w:val="right"/>
              <w:rPr>
                <w:sz w:val="21"/>
                <w:szCs w:val="21"/>
                <w:lang w:val="es-ES"/>
              </w:rPr>
            </w:pPr>
            <w:r w:rsidRPr="003D49E9">
              <w:rPr>
                <w:sz w:val="21"/>
                <w:szCs w:val="21"/>
                <w:lang w:val="es-ES"/>
              </w:rPr>
              <w:t>1.153.375</w:t>
            </w:r>
          </w:p>
        </w:tc>
        <w:tc>
          <w:tcPr>
            <w:tcW w:w="1304" w:type="dxa"/>
            <w:tcBorders>
              <w:top w:val="nil"/>
              <w:left w:val="nil"/>
              <w:bottom w:val="single" w:sz="4" w:space="0" w:color="auto"/>
              <w:right w:val="single" w:sz="4" w:space="0" w:color="auto"/>
            </w:tcBorders>
            <w:noWrap/>
            <w:vAlign w:val="center"/>
            <w:hideMark/>
          </w:tcPr>
          <w:p w14:paraId="5BE938AE" w14:textId="77777777" w:rsidR="00F26FE4" w:rsidRPr="003D49E9" w:rsidRDefault="00F26FE4" w:rsidP="003C3492">
            <w:pPr>
              <w:jc w:val="right"/>
              <w:rPr>
                <w:sz w:val="21"/>
                <w:szCs w:val="21"/>
                <w:lang w:val="es-ES"/>
              </w:rPr>
            </w:pPr>
            <w:r w:rsidRPr="003D49E9">
              <w:rPr>
                <w:sz w:val="21"/>
                <w:szCs w:val="21"/>
                <w:lang w:val="es-ES"/>
              </w:rPr>
              <w:t>183.512</w:t>
            </w:r>
          </w:p>
        </w:tc>
        <w:tc>
          <w:tcPr>
            <w:tcW w:w="1304" w:type="dxa"/>
            <w:tcBorders>
              <w:top w:val="nil"/>
              <w:left w:val="nil"/>
              <w:bottom w:val="single" w:sz="4" w:space="0" w:color="auto"/>
              <w:right w:val="single" w:sz="4" w:space="0" w:color="auto"/>
            </w:tcBorders>
            <w:noWrap/>
            <w:vAlign w:val="center"/>
            <w:hideMark/>
          </w:tcPr>
          <w:p w14:paraId="1D304700" w14:textId="77777777" w:rsidR="00F26FE4" w:rsidRPr="003D49E9" w:rsidRDefault="00F26FE4" w:rsidP="003C3492">
            <w:pPr>
              <w:jc w:val="right"/>
              <w:rPr>
                <w:sz w:val="21"/>
                <w:szCs w:val="21"/>
                <w:lang w:val="es-ES"/>
              </w:rPr>
            </w:pPr>
            <w:r w:rsidRPr="003D49E9">
              <w:rPr>
                <w:sz w:val="21"/>
                <w:szCs w:val="21"/>
                <w:lang w:val="es-ES"/>
              </w:rPr>
              <w:t>3.644.494</w:t>
            </w:r>
          </w:p>
        </w:tc>
        <w:tc>
          <w:tcPr>
            <w:tcW w:w="1305" w:type="dxa"/>
            <w:tcBorders>
              <w:top w:val="nil"/>
              <w:left w:val="nil"/>
              <w:bottom w:val="single" w:sz="4" w:space="0" w:color="auto"/>
              <w:right w:val="single" w:sz="4" w:space="0" w:color="auto"/>
            </w:tcBorders>
            <w:noWrap/>
            <w:vAlign w:val="center"/>
            <w:hideMark/>
          </w:tcPr>
          <w:p w14:paraId="60209208" w14:textId="77777777" w:rsidR="00F26FE4" w:rsidRPr="003D49E9" w:rsidRDefault="00F26FE4" w:rsidP="003C3492">
            <w:pPr>
              <w:jc w:val="right"/>
              <w:rPr>
                <w:sz w:val="21"/>
                <w:szCs w:val="21"/>
                <w:lang w:val="es-ES"/>
              </w:rPr>
            </w:pPr>
            <w:r w:rsidRPr="003D49E9">
              <w:rPr>
                <w:sz w:val="21"/>
                <w:szCs w:val="21"/>
                <w:lang w:val="es-ES"/>
              </w:rPr>
              <w:t>577.044</w:t>
            </w:r>
          </w:p>
        </w:tc>
      </w:tr>
      <w:tr w:rsidR="00F26FE4" w:rsidRPr="003D49E9" w14:paraId="5A87F9B7"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7987E21F" w14:textId="77777777" w:rsidR="00F26FE4" w:rsidRPr="003D49E9" w:rsidRDefault="00F26FE4" w:rsidP="003C3492">
            <w:pPr>
              <w:jc w:val="left"/>
              <w:rPr>
                <w:sz w:val="21"/>
                <w:szCs w:val="21"/>
                <w:lang w:val="es-ES"/>
              </w:rPr>
            </w:pPr>
            <w:r w:rsidRPr="003D49E9">
              <w:rPr>
                <w:sz w:val="21"/>
                <w:szCs w:val="21"/>
                <w:lang w:val="es-ES"/>
              </w:rPr>
              <w:t>Etapa III de los PGEH</w:t>
            </w:r>
          </w:p>
        </w:tc>
        <w:tc>
          <w:tcPr>
            <w:tcW w:w="1304" w:type="dxa"/>
            <w:tcBorders>
              <w:top w:val="nil"/>
              <w:left w:val="nil"/>
              <w:bottom w:val="single" w:sz="4" w:space="0" w:color="auto"/>
              <w:right w:val="single" w:sz="4" w:space="0" w:color="auto"/>
            </w:tcBorders>
            <w:noWrap/>
            <w:vAlign w:val="center"/>
            <w:hideMark/>
          </w:tcPr>
          <w:p w14:paraId="6CFAC8E7"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6BFA39AE" w14:textId="77777777" w:rsidR="00F26FE4" w:rsidRPr="003D49E9" w:rsidRDefault="00F26FE4" w:rsidP="003C3492">
            <w:pPr>
              <w:jc w:val="right"/>
              <w:rPr>
                <w:sz w:val="21"/>
                <w:szCs w:val="21"/>
                <w:lang w:val="es-ES"/>
              </w:rPr>
            </w:pPr>
            <w:r w:rsidRPr="003D49E9">
              <w:rPr>
                <w:sz w:val="21"/>
                <w:szCs w:val="21"/>
                <w:lang w:val="es-ES"/>
              </w:rPr>
              <w:t>422.650</w:t>
            </w:r>
          </w:p>
        </w:tc>
        <w:tc>
          <w:tcPr>
            <w:tcW w:w="1304" w:type="dxa"/>
            <w:tcBorders>
              <w:top w:val="nil"/>
              <w:left w:val="nil"/>
              <w:bottom w:val="single" w:sz="4" w:space="0" w:color="auto"/>
              <w:right w:val="single" w:sz="4" w:space="0" w:color="auto"/>
            </w:tcBorders>
            <w:noWrap/>
            <w:vAlign w:val="center"/>
            <w:hideMark/>
          </w:tcPr>
          <w:p w14:paraId="7983BA79"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4D95B44F" w14:textId="77777777" w:rsidR="00F26FE4" w:rsidRPr="003D49E9" w:rsidRDefault="00F26FE4" w:rsidP="003C3492">
            <w:pPr>
              <w:jc w:val="right"/>
              <w:rPr>
                <w:sz w:val="21"/>
                <w:szCs w:val="21"/>
                <w:lang w:val="es-ES"/>
              </w:rPr>
            </w:pPr>
            <w:r w:rsidRPr="003D49E9">
              <w:rPr>
                <w:sz w:val="21"/>
                <w:szCs w:val="21"/>
                <w:lang w:val="es-ES"/>
              </w:rPr>
              <w:t>422.650</w:t>
            </w:r>
          </w:p>
        </w:tc>
        <w:tc>
          <w:tcPr>
            <w:tcW w:w="1305" w:type="dxa"/>
            <w:tcBorders>
              <w:top w:val="nil"/>
              <w:left w:val="nil"/>
              <w:bottom w:val="single" w:sz="4" w:space="0" w:color="auto"/>
              <w:right w:val="single" w:sz="4" w:space="0" w:color="auto"/>
            </w:tcBorders>
            <w:noWrap/>
            <w:vAlign w:val="center"/>
            <w:hideMark/>
          </w:tcPr>
          <w:p w14:paraId="03331A63" w14:textId="77777777" w:rsidR="00F26FE4" w:rsidRPr="003D49E9" w:rsidRDefault="00F26FE4" w:rsidP="003C3492">
            <w:pPr>
              <w:jc w:val="right"/>
              <w:rPr>
                <w:sz w:val="21"/>
                <w:szCs w:val="21"/>
                <w:lang w:val="es-ES"/>
              </w:rPr>
            </w:pPr>
            <w:r w:rsidRPr="003D49E9">
              <w:rPr>
                <w:sz w:val="21"/>
                <w:szCs w:val="21"/>
                <w:lang w:val="es-ES"/>
              </w:rPr>
              <w:t>0</w:t>
            </w:r>
          </w:p>
        </w:tc>
      </w:tr>
      <w:tr w:rsidR="00F26FE4" w:rsidRPr="003D49E9" w14:paraId="23695FB9"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2D83D2B3" w14:textId="77777777" w:rsidR="00F26FE4" w:rsidRPr="003D49E9" w:rsidRDefault="00F26FE4" w:rsidP="003C3492">
            <w:pPr>
              <w:jc w:val="left"/>
              <w:rPr>
                <w:sz w:val="21"/>
                <w:szCs w:val="21"/>
                <w:lang w:val="es-ES"/>
              </w:rPr>
            </w:pPr>
            <w:r w:rsidRPr="003D49E9">
              <w:rPr>
                <w:sz w:val="21"/>
                <w:szCs w:val="21"/>
                <w:lang w:val="es-ES"/>
              </w:rPr>
              <w:t>Verificación de los PGEH</w:t>
            </w:r>
          </w:p>
        </w:tc>
        <w:tc>
          <w:tcPr>
            <w:tcW w:w="1304" w:type="dxa"/>
            <w:tcBorders>
              <w:top w:val="nil"/>
              <w:left w:val="nil"/>
              <w:bottom w:val="single" w:sz="4" w:space="0" w:color="auto"/>
              <w:right w:val="single" w:sz="4" w:space="0" w:color="auto"/>
            </w:tcBorders>
            <w:noWrap/>
            <w:vAlign w:val="center"/>
            <w:hideMark/>
          </w:tcPr>
          <w:p w14:paraId="3536F91D"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18FFB071"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2420AFE7"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1508E406" w14:textId="77777777" w:rsidR="00F26FE4" w:rsidRPr="003D49E9" w:rsidRDefault="00F26FE4" w:rsidP="003C3492">
            <w:pPr>
              <w:jc w:val="right"/>
              <w:rPr>
                <w:sz w:val="21"/>
                <w:szCs w:val="21"/>
                <w:lang w:val="es-ES"/>
              </w:rPr>
            </w:pPr>
            <w:r w:rsidRPr="003D49E9">
              <w:rPr>
                <w:sz w:val="21"/>
                <w:szCs w:val="21"/>
                <w:lang w:val="es-ES"/>
              </w:rPr>
              <w:t>0</w:t>
            </w:r>
          </w:p>
        </w:tc>
        <w:tc>
          <w:tcPr>
            <w:tcW w:w="1305" w:type="dxa"/>
            <w:tcBorders>
              <w:top w:val="nil"/>
              <w:left w:val="nil"/>
              <w:bottom w:val="single" w:sz="4" w:space="0" w:color="auto"/>
              <w:right w:val="single" w:sz="4" w:space="0" w:color="auto"/>
            </w:tcBorders>
            <w:noWrap/>
            <w:vAlign w:val="center"/>
            <w:hideMark/>
          </w:tcPr>
          <w:p w14:paraId="11206903" w14:textId="77777777" w:rsidR="00F26FE4" w:rsidRPr="003D49E9" w:rsidRDefault="00F26FE4" w:rsidP="003C3492">
            <w:pPr>
              <w:jc w:val="right"/>
              <w:rPr>
                <w:sz w:val="21"/>
                <w:szCs w:val="21"/>
                <w:lang w:val="es-ES"/>
              </w:rPr>
            </w:pPr>
            <w:r w:rsidRPr="003D49E9">
              <w:rPr>
                <w:sz w:val="21"/>
                <w:szCs w:val="21"/>
                <w:lang w:val="es-ES"/>
              </w:rPr>
              <w:t>0</w:t>
            </w:r>
          </w:p>
        </w:tc>
      </w:tr>
      <w:tr w:rsidR="00F26FE4" w:rsidRPr="003D49E9" w14:paraId="242A23D2"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1C8A0890" w14:textId="77777777" w:rsidR="00F26FE4" w:rsidRPr="003D49E9" w:rsidRDefault="00F26FE4" w:rsidP="003C3492">
            <w:pPr>
              <w:jc w:val="left"/>
              <w:rPr>
                <w:b/>
                <w:bCs/>
                <w:sz w:val="21"/>
                <w:szCs w:val="21"/>
                <w:lang w:val="es-ES"/>
              </w:rPr>
            </w:pPr>
            <w:r>
              <w:rPr>
                <w:b/>
                <w:bCs/>
                <w:sz w:val="21"/>
                <w:szCs w:val="21"/>
                <w:lang w:val="es-ES"/>
              </w:rPr>
              <w:t>Subtotal de las</w:t>
            </w:r>
            <w:r w:rsidRPr="003D49E9">
              <w:rPr>
                <w:b/>
                <w:bCs/>
                <w:sz w:val="21"/>
                <w:szCs w:val="21"/>
                <w:lang w:val="es-ES"/>
              </w:rPr>
              <w:t xml:space="preserve"> actividades relacionadas con los HCFC</w:t>
            </w:r>
          </w:p>
        </w:tc>
        <w:tc>
          <w:tcPr>
            <w:tcW w:w="1304" w:type="dxa"/>
            <w:tcBorders>
              <w:top w:val="nil"/>
              <w:left w:val="nil"/>
              <w:bottom w:val="single" w:sz="4" w:space="0" w:color="auto"/>
              <w:right w:val="single" w:sz="4" w:space="0" w:color="auto"/>
            </w:tcBorders>
            <w:noWrap/>
            <w:vAlign w:val="center"/>
            <w:hideMark/>
          </w:tcPr>
          <w:p w14:paraId="7677334F" w14:textId="77777777" w:rsidR="00F26FE4" w:rsidRPr="003D49E9" w:rsidRDefault="00F26FE4" w:rsidP="003C3492">
            <w:pPr>
              <w:jc w:val="right"/>
              <w:rPr>
                <w:b/>
                <w:bCs/>
                <w:sz w:val="21"/>
                <w:szCs w:val="21"/>
                <w:lang w:val="es-ES"/>
              </w:rPr>
            </w:pPr>
            <w:r w:rsidRPr="003D49E9">
              <w:rPr>
                <w:b/>
                <w:bCs/>
                <w:sz w:val="21"/>
                <w:szCs w:val="21"/>
                <w:lang w:val="es-ES"/>
              </w:rPr>
              <w:t>2.307.607</w:t>
            </w:r>
          </w:p>
        </w:tc>
        <w:tc>
          <w:tcPr>
            <w:tcW w:w="1304" w:type="dxa"/>
            <w:tcBorders>
              <w:top w:val="nil"/>
              <w:left w:val="nil"/>
              <w:bottom w:val="single" w:sz="4" w:space="0" w:color="auto"/>
              <w:right w:val="single" w:sz="4" w:space="0" w:color="auto"/>
            </w:tcBorders>
            <w:noWrap/>
            <w:vAlign w:val="center"/>
            <w:hideMark/>
          </w:tcPr>
          <w:p w14:paraId="55F843FA" w14:textId="77777777" w:rsidR="00F26FE4" w:rsidRPr="003D49E9" w:rsidRDefault="00F26FE4" w:rsidP="003C3492">
            <w:pPr>
              <w:jc w:val="right"/>
              <w:rPr>
                <w:b/>
                <w:bCs/>
                <w:sz w:val="21"/>
                <w:szCs w:val="21"/>
                <w:lang w:val="es-ES"/>
              </w:rPr>
            </w:pPr>
            <w:r w:rsidRPr="003D49E9">
              <w:rPr>
                <w:b/>
                <w:bCs/>
                <w:sz w:val="21"/>
                <w:szCs w:val="21"/>
                <w:lang w:val="es-ES"/>
              </w:rPr>
              <w:t>1.576.025</w:t>
            </w:r>
          </w:p>
        </w:tc>
        <w:tc>
          <w:tcPr>
            <w:tcW w:w="1304" w:type="dxa"/>
            <w:tcBorders>
              <w:top w:val="nil"/>
              <w:left w:val="nil"/>
              <w:bottom w:val="single" w:sz="4" w:space="0" w:color="auto"/>
              <w:right w:val="single" w:sz="4" w:space="0" w:color="auto"/>
            </w:tcBorders>
            <w:noWrap/>
            <w:vAlign w:val="center"/>
            <w:hideMark/>
          </w:tcPr>
          <w:p w14:paraId="3054A56A" w14:textId="77777777" w:rsidR="00F26FE4" w:rsidRPr="003D49E9" w:rsidRDefault="00F26FE4" w:rsidP="003C3492">
            <w:pPr>
              <w:jc w:val="right"/>
              <w:rPr>
                <w:b/>
                <w:bCs/>
                <w:sz w:val="21"/>
                <w:szCs w:val="21"/>
                <w:lang w:val="es-ES"/>
              </w:rPr>
            </w:pPr>
            <w:r w:rsidRPr="003D49E9">
              <w:rPr>
                <w:b/>
                <w:bCs/>
                <w:sz w:val="21"/>
                <w:szCs w:val="21"/>
                <w:lang w:val="es-ES"/>
              </w:rPr>
              <w:t>183.512</w:t>
            </w:r>
          </w:p>
        </w:tc>
        <w:tc>
          <w:tcPr>
            <w:tcW w:w="1304" w:type="dxa"/>
            <w:tcBorders>
              <w:top w:val="nil"/>
              <w:left w:val="nil"/>
              <w:bottom w:val="single" w:sz="4" w:space="0" w:color="auto"/>
              <w:right w:val="single" w:sz="4" w:space="0" w:color="auto"/>
            </w:tcBorders>
            <w:noWrap/>
            <w:vAlign w:val="center"/>
            <w:hideMark/>
          </w:tcPr>
          <w:p w14:paraId="3A5A93F2" w14:textId="77777777" w:rsidR="00F26FE4" w:rsidRPr="003D49E9" w:rsidRDefault="00F26FE4" w:rsidP="003C3492">
            <w:pPr>
              <w:jc w:val="right"/>
              <w:rPr>
                <w:b/>
                <w:bCs/>
                <w:sz w:val="21"/>
                <w:szCs w:val="21"/>
                <w:lang w:val="es-ES"/>
              </w:rPr>
            </w:pPr>
            <w:r w:rsidRPr="003D49E9">
              <w:rPr>
                <w:b/>
                <w:bCs/>
                <w:sz w:val="21"/>
                <w:szCs w:val="21"/>
                <w:lang w:val="es-ES"/>
              </w:rPr>
              <w:t>4.067.144</w:t>
            </w:r>
          </w:p>
        </w:tc>
        <w:tc>
          <w:tcPr>
            <w:tcW w:w="1305" w:type="dxa"/>
            <w:tcBorders>
              <w:top w:val="nil"/>
              <w:left w:val="nil"/>
              <w:bottom w:val="single" w:sz="4" w:space="0" w:color="auto"/>
              <w:right w:val="single" w:sz="4" w:space="0" w:color="auto"/>
            </w:tcBorders>
            <w:noWrap/>
            <w:vAlign w:val="center"/>
            <w:hideMark/>
          </w:tcPr>
          <w:p w14:paraId="3FEA8CD8" w14:textId="77777777" w:rsidR="00F26FE4" w:rsidRPr="003D49E9" w:rsidRDefault="00F26FE4" w:rsidP="003C3492">
            <w:pPr>
              <w:jc w:val="right"/>
              <w:rPr>
                <w:b/>
                <w:bCs/>
                <w:sz w:val="21"/>
                <w:szCs w:val="21"/>
                <w:lang w:val="es-ES"/>
              </w:rPr>
            </w:pPr>
            <w:r w:rsidRPr="003D49E9">
              <w:rPr>
                <w:b/>
                <w:bCs/>
                <w:sz w:val="21"/>
                <w:szCs w:val="21"/>
                <w:lang w:val="es-ES"/>
              </w:rPr>
              <w:t>577.044</w:t>
            </w:r>
          </w:p>
        </w:tc>
      </w:tr>
      <w:tr w:rsidR="00F26FE4" w:rsidRPr="000755F8" w14:paraId="28BD7145" w14:textId="77777777" w:rsidTr="003C3492">
        <w:tc>
          <w:tcPr>
            <w:tcW w:w="9498" w:type="dxa"/>
            <w:gridSpan w:val="6"/>
            <w:tcBorders>
              <w:top w:val="single" w:sz="4" w:space="0" w:color="auto"/>
              <w:left w:val="single" w:sz="4" w:space="0" w:color="auto"/>
              <w:bottom w:val="single" w:sz="4" w:space="0" w:color="auto"/>
              <w:right w:val="single" w:sz="4" w:space="0" w:color="auto"/>
            </w:tcBorders>
            <w:noWrap/>
            <w:vAlign w:val="center"/>
            <w:hideMark/>
          </w:tcPr>
          <w:p w14:paraId="7FACF199" w14:textId="77777777" w:rsidR="00F26FE4" w:rsidRPr="003D49E9" w:rsidRDefault="00F26FE4" w:rsidP="003C3492">
            <w:pPr>
              <w:jc w:val="left"/>
              <w:rPr>
                <w:b/>
                <w:bCs/>
                <w:sz w:val="21"/>
                <w:szCs w:val="21"/>
                <w:lang w:val="es-ES"/>
              </w:rPr>
            </w:pPr>
            <w:r w:rsidRPr="003D49E9">
              <w:rPr>
                <w:b/>
                <w:bCs/>
                <w:sz w:val="21"/>
                <w:szCs w:val="21"/>
                <w:lang w:val="es-ES"/>
              </w:rPr>
              <w:t>Actividades relacionadas con los HFC</w:t>
            </w:r>
            <w:r w:rsidRPr="003D49E9">
              <w:rPr>
                <w:sz w:val="21"/>
                <w:szCs w:val="21"/>
                <w:lang w:val="es-ES"/>
              </w:rPr>
              <w:t> </w:t>
            </w:r>
          </w:p>
        </w:tc>
      </w:tr>
      <w:tr w:rsidR="00F26FE4" w:rsidRPr="003D49E9" w14:paraId="031B5D89"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06AF331F" w14:textId="77777777" w:rsidR="00F26FE4" w:rsidRPr="003D49E9" w:rsidRDefault="00F26FE4" w:rsidP="003C3492">
            <w:pPr>
              <w:jc w:val="left"/>
              <w:rPr>
                <w:sz w:val="21"/>
                <w:szCs w:val="21"/>
                <w:lang w:val="es-ES"/>
              </w:rPr>
            </w:pPr>
            <w:r w:rsidRPr="003D49E9">
              <w:rPr>
                <w:sz w:val="21"/>
                <w:szCs w:val="21"/>
                <w:lang w:val="es-ES"/>
              </w:rPr>
              <w:t>KIP: preparación de proyectos</w:t>
            </w:r>
          </w:p>
        </w:tc>
        <w:tc>
          <w:tcPr>
            <w:tcW w:w="1304" w:type="dxa"/>
            <w:tcBorders>
              <w:top w:val="nil"/>
              <w:left w:val="nil"/>
              <w:bottom w:val="single" w:sz="4" w:space="0" w:color="auto"/>
              <w:right w:val="single" w:sz="4" w:space="0" w:color="auto"/>
            </w:tcBorders>
            <w:noWrap/>
            <w:vAlign w:val="center"/>
            <w:hideMark/>
          </w:tcPr>
          <w:p w14:paraId="0A48D194" w14:textId="77777777" w:rsidR="00F26FE4" w:rsidRPr="003D49E9" w:rsidRDefault="00F26FE4" w:rsidP="003C3492">
            <w:pPr>
              <w:jc w:val="right"/>
              <w:rPr>
                <w:sz w:val="21"/>
                <w:szCs w:val="21"/>
                <w:lang w:val="es-ES"/>
              </w:rPr>
            </w:pPr>
            <w:r w:rsidRPr="003D49E9">
              <w:rPr>
                <w:sz w:val="21"/>
                <w:szCs w:val="21"/>
                <w:lang w:val="es-ES"/>
              </w:rPr>
              <w:t>85.000</w:t>
            </w:r>
          </w:p>
        </w:tc>
        <w:tc>
          <w:tcPr>
            <w:tcW w:w="1304" w:type="dxa"/>
            <w:tcBorders>
              <w:top w:val="nil"/>
              <w:left w:val="nil"/>
              <w:bottom w:val="single" w:sz="4" w:space="0" w:color="auto"/>
              <w:right w:val="single" w:sz="4" w:space="0" w:color="auto"/>
            </w:tcBorders>
            <w:noWrap/>
            <w:vAlign w:val="center"/>
            <w:hideMark/>
          </w:tcPr>
          <w:p w14:paraId="269CDFC7"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6B4193EE"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4DD50BF8" w14:textId="77777777" w:rsidR="00F26FE4" w:rsidRPr="003D49E9" w:rsidRDefault="00F26FE4" w:rsidP="003C3492">
            <w:pPr>
              <w:jc w:val="right"/>
              <w:rPr>
                <w:sz w:val="21"/>
                <w:szCs w:val="21"/>
                <w:lang w:val="es-ES"/>
              </w:rPr>
            </w:pPr>
            <w:r w:rsidRPr="003D49E9">
              <w:rPr>
                <w:sz w:val="21"/>
                <w:szCs w:val="21"/>
                <w:lang w:val="es-ES"/>
              </w:rPr>
              <w:t>85.000</w:t>
            </w:r>
          </w:p>
        </w:tc>
        <w:tc>
          <w:tcPr>
            <w:tcW w:w="1305" w:type="dxa"/>
            <w:tcBorders>
              <w:top w:val="nil"/>
              <w:left w:val="nil"/>
              <w:bottom w:val="single" w:sz="4" w:space="0" w:color="auto"/>
              <w:right w:val="single" w:sz="4" w:space="0" w:color="auto"/>
            </w:tcBorders>
            <w:noWrap/>
            <w:vAlign w:val="center"/>
            <w:hideMark/>
          </w:tcPr>
          <w:p w14:paraId="01390256" w14:textId="77777777" w:rsidR="00F26FE4" w:rsidRPr="003D49E9" w:rsidRDefault="00F26FE4" w:rsidP="003C3492">
            <w:pPr>
              <w:jc w:val="right"/>
              <w:rPr>
                <w:sz w:val="21"/>
                <w:szCs w:val="21"/>
                <w:lang w:val="es-ES"/>
              </w:rPr>
            </w:pPr>
            <w:r w:rsidRPr="003D49E9">
              <w:rPr>
                <w:sz w:val="21"/>
                <w:szCs w:val="21"/>
                <w:lang w:val="es-ES"/>
              </w:rPr>
              <w:t>0</w:t>
            </w:r>
          </w:p>
        </w:tc>
      </w:tr>
      <w:tr w:rsidR="00F26FE4" w:rsidRPr="003D49E9" w14:paraId="7A4E59F7"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4BDFFE67" w14:textId="77777777" w:rsidR="00F26FE4" w:rsidRPr="003D49E9" w:rsidRDefault="00F26FE4" w:rsidP="003C3492">
            <w:pPr>
              <w:jc w:val="left"/>
              <w:rPr>
                <w:sz w:val="21"/>
                <w:szCs w:val="21"/>
                <w:lang w:val="es-ES"/>
              </w:rPr>
            </w:pPr>
            <w:r w:rsidRPr="003D49E9">
              <w:rPr>
                <w:sz w:val="21"/>
                <w:szCs w:val="21"/>
                <w:lang w:val="es-ES"/>
              </w:rPr>
              <w:t>KIP</w:t>
            </w:r>
          </w:p>
        </w:tc>
        <w:tc>
          <w:tcPr>
            <w:tcW w:w="1304" w:type="dxa"/>
            <w:tcBorders>
              <w:top w:val="nil"/>
              <w:left w:val="nil"/>
              <w:bottom w:val="single" w:sz="4" w:space="0" w:color="auto"/>
              <w:right w:val="single" w:sz="4" w:space="0" w:color="auto"/>
            </w:tcBorders>
            <w:noWrap/>
            <w:vAlign w:val="center"/>
            <w:hideMark/>
          </w:tcPr>
          <w:p w14:paraId="6B2F8C25"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1A20470D"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63528EDE" w14:textId="77777777" w:rsidR="00F26FE4" w:rsidRPr="003D49E9" w:rsidRDefault="00F26FE4" w:rsidP="003C3492">
            <w:pPr>
              <w:jc w:val="right"/>
              <w:rPr>
                <w:sz w:val="21"/>
                <w:szCs w:val="21"/>
                <w:lang w:val="es-ES"/>
              </w:rPr>
            </w:pPr>
            <w:r w:rsidRPr="003D49E9">
              <w:rPr>
                <w:sz w:val="21"/>
                <w:szCs w:val="21"/>
                <w:lang w:val="es-ES"/>
              </w:rPr>
              <w:t>300.000</w:t>
            </w:r>
          </w:p>
        </w:tc>
        <w:tc>
          <w:tcPr>
            <w:tcW w:w="1304" w:type="dxa"/>
            <w:tcBorders>
              <w:top w:val="nil"/>
              <w:left w:val="nil"/>
              <w:bottom w:val="single" w:sz="4" w:space="0" w:color="auto"/>
              <w:right w:val="single" w:sz="4" w:space="0" w:color="auto"/>
            </w:tcBorders>
            <w:noWrap/>
            <w:vAlign w:val="center"/>
            <w:hideMark/>
          </w:tcPr>
          <w:p w14:paraId="713FCFFC" w14:textId="77777777" w:rsidR="00F26FE4" w:rsidRPr="003D49E9" w:rsidRDefault="00F26FE4" w:rsidP="003C3492">
            <w:pPr>
              <w:jc w:val="right"/>
              <w:rPr>
                <w:sz w:val="21"/>
                <w:szCs w:val="21"/>
                <w:lang w:val="es-ES"/>
              </w:rPr>
            </w:pPr>
            <w:r w:rsidRPr="003D49E9">
              <w:rPr>
                <w:sz w:val="21"/>
                <w:szCs w:val="21"/>
                <w:lang w:val="es-ES"/>
              </w:rPr>
              <w:t>300.000</w:t>
            </w:r>
          </w:p>
        </w:tc>
        <w:tc>
          <w:tcPr>
            <w:tcW w:w="1305" w:type="dxa"/>
            <w:tcBorders>
              <w:top w:val="nil"/>
              <w:left w:val="nil"/>
              <w:bottom w:val="single" w:sz="4" w:space="0" w:color="auto"/>
              <w:right w:val="single" w:sz="4" w:space="0" w:color="auto"/>
            </w:tcBorders>
            <w:noWrap/>
            <w:vAlign w:val="center"/>
            <w:hideMark/>
          </w:tcPr>
          <w:p w14:paraId="381AE19F" w14:textId="77777777" w:rsidR="00F26FE4" w:rsidRPr="003D49E9" w:rsidRDefault="00F26FE4" w:rsidP="003C3492">
            <w:pPr>
              <w:jc w:val="right"/>
              <w:rPr>
                <w:sz w:val="21"/>
                <w:szCs w:val="21"/>
                <w:lang w:val="es-ES"/>
              </w:rPr>
            </w:pPr>
            <w:r w:rsidRPr="003D49E9">
              <w:rPr>
                <w:sz w:val="21"/>
                <w:szCs w:val="21"/>
                <w:lang w:val="es-ES"/>
              </w:rPr>
              <w:t>0</w:t>
            </w:r>
          </w:p>
        </w:tc>
      </w:tr>
      <w:tr w:rsidR="00F26FE4" w:rsidRPr="003D49E9" w14:paraId="74AC7D2F"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2ADE4454" w14:textId="77777777" w:rsidR="00F26FE4" w:rsidRPr="003D49E9" w:rsidRDefault="00F26FE4" w:rsidP="003C3492">
            <w:pPr>
              <w:jc w:val="left"/>
              <w:rPr>
                <w:b/>
                <w:bCs/>
                <w:sz w:val="21"/>
                <w:szCs w:val="21"/>
                <w:lang w:val="es-ES"/>
              </w:rPr>
            </w:pPr>
            <w:r>
              <w:rPr>
                <w:b/>
                <w:bCs/>
                <w:sz w:val="21"/>
                <w:szCs w:val="21"/>
                <w:lang w:val="es-ES"/>
              </w:rPr>
              <w:t>Subtotal</w:t>
            </w:r>
            <w:r w:rsidRPr="003D49E9">
              <w:rPr>
                <w:b/>
                <w:bCs/>
                <w:sz w:val="21"/>
                <w:szCs w:val="21"/>
                <w:lang w:val="es-ES"/>
              </w:rPr>
              <w:t xml:space="preserve"> de las actividades relacionadas con los HFC</w:t>
            </w:r>
          </w:p>
        </w:tc>
        <w:tc>
          <w:tcPr>
            <w:tcW w:w="1304" w:type="dxa"/>
            <w:tcBorders>
              <w:top w:val="nil"/>
              <w:left w:val="nil"/>
              <w:bottom w:val="single" w:sz="4" w:space="0" w:color="auto"/>
              <w:right w:val="single" w:sz="4" w:space="0" w:color="auto"/>
            </w:tcBorders>
            <w:noWrap/>
            <w:vAlign w:val="center"/>
            <w:hideMark/>
          </w:tcPr>
          <w:p w14:paraId="2BF01E10" w14:textId="77777777" w:rsidR="00F26FE4" w:rsidRPr="003D49E9" w:rsidRDefault="00F26FE4" w:rsidP="003C3492">
            <w:pPr>
              <w:jc w:val="right"/>
              <w:rPr>
                <w:b/>
                <w:bCs/>
                <w:sz w:val="21"/>
                <w:szCs w:val="21"/>
                <w:lang w:val="es-ES"/>
              </w:rPr>
            </w:pPr>
            <w:r w:rsidRPr="003D49E9">
              <w:rPr>
                <w:b/>
                <w:bCs/>
                <w:sz w:val="21"/>
                <w:szCs w:val="21"/>
                <w:lang w:val="es-ES"/>
              </w:rPr>
              <w:t>85.000</w:t>
            </w:r>
          </w:p>
        </w:tc>
        <w:tc>
          <w:tcPr>
            <w:tcW w:w="1304" w:type="dxa"/>
            <w:tcBorders>
              <w:top w:val="nil"/>
              <w:left w:val="nil"/>
              <w:bottom w:val="single" w:sz="4" w:space="0" w:color="auto"/>
              <w:right w:val="single" w:sz="4" w:space="0" w:color="auto"/>
            </w:tcBorders>
            <w:noWrap/>
            <w:vAlign w:val="center"/>
            <w:hideMark/>
          </w:tcPr>
          <w:p w14:paraId="35BE1398" w14:textId="77777777" w:rsidR="00F26FE4" w:rsidRPr="003D49E9" w:rsidRDefault="00F26FE4" w:rsidP="003C3492">
            <w:pPr>
              <w:jc w:val="right"/>
              <w:rPr>
                <w:b/>
                <w:bCs/>
                <w:sz w:val="21"/>
                <w:szCs w:val="21"/>
                <w:lang w:val="es-ES"/>
              </w:rPr>
            </w:pPr>
            <w:r w:rsidRPr="003D49E9">
              <w:rPr>
                <w:b/>
                <w:bCs/>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58028882" w14:textId="77777777" w:rsidR="00F26FE4" w:rsidRPr="003D49E9" w:rsidRDefault="00F26FE4" w:rsidP="003C3492">
            <w:pPr>
              <w:jc w:val="right"/>
              <w:rPr>
                <w:b/>
                <w:bCs/>
                <w:sz w:val="21"/>
                <w:szCs w:val="21"/>
                <w:lang w:val="es-ES"/>
              </w:rPr>
            </w:pPr>
            <w:r w:rsidRPr="003D49E9">
              <w:rPr>
                <w:b/>
                <w:bCs/>
                <w:sz w:val="21"/>
                <w:szCs w:val="21"/>
                <w:lang w:val="es-ES"/>
              </w:rPr>
              <w:t>300.000</w:t>
            </w:r>
          </w:p>
        </w:tc>
        <w:tc>
          <w:tcPr>
            <w:tcW w:w="1304" w:type="dxa"/>
            <w:tcBorders>
              <w:top w:val="nil"/>
              <w:left w:val="nil"/>
              <w:bottom w:val="single" w:sz="4" w:space="0" w:color="auto"/>
              <w:right w:val="single" w:sz="4" w:space="0" w:color="auto"/>
            </w:tcBorders>
            <w:noWrap/>
            <w:vAlign w:val="center"/>
            <w:hideMark/>
          </w:tcPr>
          <w:p w14:paraId="743BB858" w14:textId="77777777" w:rsidR="00F26FE4" w:rsidRPr="003D49E9" w:rsidRDefault="00F26FE4" w:rsidP="003C3492">
            <w:pPr>
              <w:jc w:val="right"/>
              <w:rPr>
                <w:b/>
                <w:bCs/>
                <w:sz w:val="21"/>
                <w:szCs w:val="21"/>
                <w:lang w:val="es-ES"/>
              </w:rPr>
            </w:pPr>
            <w:r w:rsidRPr="003D49E9">
              <w:rPr>
                <w:b/>
                <w:bCs/>
                <w:sz w:val="21"/>
                <w:szCs w:val="21"/>
                <w:lang w:val="es-ES"/>
              </w:rPr>
              <w:t>385.000</w:t>
            </w:r>
          </w:p>
        </w:tc>
        <w:tc>
          <w:tcPr>
            <w:tcW w:w="1305" w:type="dxa"/>
            <w:tcBorders>
              <w:top w:val="nil"/>
              <w:left w:val="nil"/>
              <w:bottom w:val="single" w:sz="4" w:space="0" w:color="auto"/>
              <w:right w:val="single" w:sz="4" w:space="0" w:color="auto"/>
            </w:tcBorders>
            <w:noWrap/>
            <w:vAlign w:val="center"/>
            <w:hideMark/>
          </w:tcPr>
          <w:p w14:paraId="321BEEFF" w14:textId="77777777" w:rsidR="00F26FE4" w:rsidRPr="003D49E9" w:rsidRDefault="00F26FE4" w:rsidP="003C3492">
            <w:pPr>
              <w:jc w:val="right"/>
              <w:rPr>
                <w:b/>
                <w:bCs/>
                <w:sz w:val="21"/>
                <w:szCs w:val="21"/>
                <w:lang w:val="es-ES"/>
              </w:rPr>
            </w:pPr>
            <w:r w:rsidRPr="003D49E9">
              <w:rPr>
                <w:b/>
                <w:bCs/>
                <w:sz w:val="21"/>
                <w:szCs w:val="21"/>
                <w:lang w:val="es-ES"/>
              </w:rPr>
              <w:t>0</w:t>
            </w:r>
          </w:p>
        </w:tc>
      </w:tr>
      <w:tr w:rsidR="00F26FE4" w:rsidRPr="003D49E9" w14:paraId="25CB9EC3" w14:textId="77777777" w:rsidTr="003C3492">
        <w:tc>
          <w:tcPr>
            <w:tcW w:w="2977" w:type="dxa"/>
            <w:tcBorders>
              <w:top w:val="nil"/>
              <w:left w:val="single" w:sz="4" w:space="0" w:color="auto"/>
              <w:bottom w:val="single" w:sz="4" w:space="0" w:color="auto"/>
              <w:right w:val="single" w:sz="4" w:space="0" w:color="auto"/>
            </w:tcBorders>
            <w:noWrap/>
            <w:vAlign w:val="bottom"/>
            <w:hideMark/>
          </w:tcPr>
          <w:p w14:paraId="184B5808" w14:textId="77777777" w:rsidR="00F26FE4" w:rsidRPr="003D49E9" w:rsidRDefault="00F26FE4" w:rsidP="003C3492">
            <w:pPr>
              <w:jc w:val="left"/>
              <w:rPr>
                <w:b/>
                <w:bCs/>
                <w:sz w:val="21"/>
                <w:szCs w:val="21"/>
                <w:lang w:val="es-ES"/>
              </w:rPr>
            </w:pPr>
            <w:r w:rsidRPr="003D49E9">
              <w:rPr>
                <w:b/>
                <w:bCs/>
                <w:sz w:val="21"/>
                <w:szCs w:val="21"/>
                <w:lang w:val="es-ES"/>
              </w:rPr>
              <w:t>Actividades estándar</w:t>
            </w:r>
          </w:p>
        </w:tc>
        <w:tc>
          <w:tcPr>
            <w:tcW w:w="1304" w:type="dxa"/>
            <w:tcBorders>
              <w:top w:val="nil"/>
              <w:left w:val="nil"/>
              <w:bottom w:val="single" w:sz="4" w:space="0" w:color="auto"/>
              <w:right w:val="single" w:sz="4" w:space="0" w:color="auto"/>
            </w:tcBorders>
            <w:noWrap/>
            <w:vAlign w:val="bottom"/>
            <w:hideMark/>
          </w:tcPr>
          <w:p w14:paraId="1D7CEA5F" w14:textId="77777777" w:rsidR="00F26FE4" w:rsidRPr="003D49E9" w:rsidRDefault="00F26FE4" w:rsidP="003C3492">
            <w:pPr>
              <w:jc w:val="left"/>
              <w:rPr>
                <w:sz w:val="21"/>
                <w:szCs w:val="21"/>
                <w:lang w:val="es-ES"/>
              </w:rPr>
            </w:pPr>
            <w:r w:rsidRPr="003D49E9">
              <w:rPr>
                <w:sz w:val="21"/>
                <w:szCs w:val="21"/>
                <w:lang w:val="es-ES"/>
              </w:rPr>
              <w:t> </w:t>
            </w:r>
          </w:p>
        </w:tc>
        <w:tc>
          <w:tcPr>
            <w:tcW w:w="1304" w:type="dxa"/>
            <w:tcBorders>
              <w:top w:val="nil"/>
              <w:left w:val="nil"/>
              <w:bottom w:val="single" w:sz="4" w:space="0" w:color="auto"/>
              <w:right w:val="single" w:sz="4" w:space="0" w:color="auto"/>
            </w:tcBorders>
            <w:noWrap/>
            <w:vAlign w:val="bottom"/>
            <w:hideMark/>
          </w:tcPr>
          <w:p w14:paraId="5C381294" w14:textId="77777777" w:rsidR="00F26FE4" w:rsidRPr="003D49E9" w:rsidRDefault="00F26FE4" w:rsidP="003C3492">
            <w:pPr>
              <w:jc w:val="left"/>
              <w:rPr>
                <w:sz w:val="21"/>
                <w:szCs w:val="21"/>
                <w:lang w:val="es-ES"/>
              </w:rPr>
            </w:pPr>
            <w:r w:rsidRPr="003D49E9">
              <w:rPr>
                <w:sz w:val="21"/>
                <w:szCs w:val="21"/>
                <w:lang w:val="es-ES"/>
              </w:rPr>
              <w:t> </w:t>
            </w:r>
          </w:p>
        </w:tc>
        <w:tc>
          <w:tcPr>
            <w:tcW w:w="1304" w:type="dxa"/>
            <w:tcBorders>
              <w:top w:val="nil"/>
              <w:left w:val="nil"/>
              <w:bottom w:val="single" w:sz="4" w:space="0" w:color="auto"/>
              <w:right w:val="single" w:sz="4" w:space="0" w:color="auto"/>
            </w:tcBorders>
            <w:noWrap/>
            <w:vAlign w:val="bottom"/>
            <w:hideMark/>
          </w:tcPr>
          <w:p w14:paraId="6E2DB053" w14:textId="77777777" w:rsidR="00F26FE4" w:rsidRPr="003D49E9" w:rsidRDefault="00F26FE4" w:rsidP="003C3492">
            <w:pPr>
              <w:jc w:val="left"/>
              <w:rPr>
                <w:sz w:val="21"/>
                <w:szCs w:val="21"/>
                <w:lang w:val="es-ES"/>
              </w:rPr>
            </w:pPr>
            <w:r w:rsidRPr="003D49E9">
              <w:rPr>
                <w:sz w:val="21"/>
                <w:szCs w:val="21"/>
                <w:lang w:val="es-ES"/>
              </w:rPr>
              <w:t> </w:t>
            </w:r>
          </w:p>
        </w:tc>
        <w:tc>
          <w:tcPr>
            <w:tcW w:w="1304" w:type="dxa"/>
            <w:tcBorders>
              <w:top w:val="nil"/>
              <w:left w:val="nil"/>
              <w:bottom w:val="single" w:sz="4" w:space="0" w:color="auto"/>
              <w:right w:val="single" w:sz="4" w:space="0" w:color="auto"/>
            </w:tcBorders>
            <w:noWrap/>
            <w:vAlign w:val="bottom"/>
            <w:hideMark/>
          </w:tcPr>
          <w:p w14:paraId="69D243F4" w14:textId="77777777" w:rsidR="00F26FE4" w:rsidRPr="003D49E9" w:rsidRDefault="00F26FE4" w:rsidP="003C3492">
            <w:pPr>
              <w:jc w:val="left"/>
              <w:rPr>
                <w:sz w:val="21"/>
                <w:szCs w:val="21"/>
                <w:lang w:val="es-ES"/>
              </w:rPr>
            </w:pPr>
            <w:r w:rsidRPr="003D49E9">
              <w:rPr>
                <w:sz w:val="21"/>
                <w:szCs w:val="21"/>
                <w:lang w:val="es-ES"/>
              </w:rPr>
              <w:t> </w:t>
            </w:r>
          </w:p>
        </w:tc>
        <w:tc>
          <w:tcPr>
            <w:tcW w:w="1305" w:type="dxa"/>
            <w:tcBorders>
              <w:top w:val="nil"/>
              <w:left w:val="nil"/>
              <w:bottom w:val="single" w:sz="4" w:space="0" w:color="auto"/>
              <w:right w:val="single" w:sz="4" w:space="0" w:color="auto"/>
            </w:tcBorders>
            <w:noWrap/>
            <w:vAlign w:val="bottom"/>
            <w:hideMark/>
          </w:tcPr>
          <w:p w14:paraId="4285E5BF" w14:textId="77777777" w:rsidR="00F26FE4" w:rsidRPr="003D49E9" w:rsidRDefault="00F26FE4" w:rsidP="003C3492">
            <w:pPr>
              <w:jc w:val="left"/>
              <w:rPr>
                <w:sz w:val="21"/>
                <w:szCs w:val="21"/>
                <w:lang w:val="es-ES"/>
              </w:rPr>
            </w:pPr>
            <w:r w:rsidRPr="003D49E9">
              <w:rPr>
                <w:sz w:val="21"/>
                <w:szCs w:val="21"/>
                <w:lang w:val="es-ES"/>
              </w:rPr>
              <w:t> </w:t>
            </w:r>
          </w:p>
        </w:tc>
      </w:tr>
      <w:tr w:rsidR="00F26FE4" w:rsidRPr="003D49E9" w14:paraId="57CEB0ED" w14:textId="77777777" w:rsidTr="003C3492">
        <w:tc>
          <w:tcPr>
            <w:tcW w:w="2977" w:type="dxa"/>
            <w:tcBorders>
              <w:top w:val="nil"/>
              <w:left w:val="single" w:sz="4" w:space="0" w:color="auto"/>
              <w:bottom w:val="single" w:sz="4" w:space="0" w:color="auto"/>
              <w:right w:val="single" w:sz="4" w:space="0" w:color="auto"/>
            </w:tcBorders>
            <w:noWrap/>
            <w:vAlign w:val="bottom"/>
            <w:hideMark/>
          </w:tcPr>
          <w:p w14:paraId="0F967888" w14:textId="77777777" w:rsidR="00F26FE4" w:rsidRPr="003D49E9" w:rsidRDefault="00F26FE4" w:rsidP="003C3492">
            <w:pPr>
              <w:jc w:val="left"/>
              <w:rPr>
                <w:sz w:val="21"/>
                <w:szCs w:val="21"/>
                <w:lang w:val="es-ES"/>
              </w:rPr>
            </w:pPr>
            <w:r w:rsidRPr="003D49E9">
              <w:rPr>
                <w:sz w:val="21"/>
                <w:szCs w:val="21"/>
                <w:lang w:val="es-ES"/>
              </w:rPr>
              <w:t xml:space="preserve">Fortalecimiento institucional </w:t>
            </w:r>
          </w:p>
        </w:tc>
        <w:tc>
          <w:tcPr>
            <w:tcW w:w="1304" w:type="dxa"/>
            <w:tcBorders>
              <w:top w:val="nil"/>
              <w:left w:val="nil"/>
              <w:bottom w:val="single" w:sz="4" w:space="0" w:color="auto"/>
              <w:right w:val="single" w:sz="4" w:space="0" w:color="auto"/>
            </w:tcBorders>
            <w:noWrap/>
            <w:vAlign w:val="bottom"/>
            <w:hideMark/>
          </w:tcPr>
          <w:p w14:paraId="1A9ABD25"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bottom"/>
            <w:hideMark/>
          </w:tcPr>
          <w:p w14:paraId="3D56EFB6"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bottom"/>
            <w:hideMark/>
          </w:tcPr>
          <w:p w14:paraId="4B36E698" w14:textId="77777777" w:rsidR="00F26FE4" w:rsidRPr="003D49E9" w:rsidRDefault="00F26FE4" w:rsidP="003C3492">
            <w:pPr>
              <w:jc w:val="right"/>
              <w:rPr>
                <w:sz w:val="21"/>
                <w:szCs w:val="21"/>
                <w:lang w:val="es-ES"/>
              </w:rPr>
            </w:pPr>
            <w:r w:rsidRPr="003D49E9">
              <w:rPr>
                <w:sz w:val="21"/>
                <w:szCs w:val="21"/>
                <w:lang w:val="es-ES"/>
              </w:rPr>
              <w:t>0</w:t>
            </w:r>
          </w:p>
        </w:tc>
        <w:tc>
          <w:tcPr>
            <w:tcW w:w="1304" w:type="dxa"/>
            <w:tcBorders>
              <w:top w:val="nil"/>
              <w:left w:val="nil"/>
              <w:bottom w:val="single" w:sz="4" w:space="0" w:color="auto"/>
              <w:right w:val="single" w:sz="4" w:space="0" w:color="auto"/>
            </w:tcBorders>
            <w:noWrap/>
            <w:vAlign w:val="center"/>
            <w:hideMark/>
          </w:tcPr>
          <w:p w14:paraId="14392804" w14:textId="77777777" w:rsidR="00F26FE4" w:rsidRPr="003D49E9" w:rsidRDefault="00F26FE4" w:rsidP="003C3492">
            <w:pPr>
              <w:jc w:val="right"/>
              <w:rPr>
                <w:sz w:val="21"/>
                <w:szCs w:val="21"/>
                <w:lang w:val="es-ES"/>
              </w:rPr>
            </w:pPr>
            <w:r w:rsidRPr="003D49E9">
              <w:rPr>
                <w:sz w:val="21"/>
                <w:szCs w:val="21"/>
                <w:lang w:val="es-ES"/>
              </w:rPr>
              <w:t>0</w:t>
            </w:r>
          </w:p>
        </w:tc>
        <w:tc>
          <w:tcPr>
            <w:tcW w:w="1305" w:type="dxa"/>
            <w:tcBorders>
              <w:top w:val="nil"/>
              <w:left w:val="nil"/>
              <w:bottom w:val="single" w:sz="4" w:space="0" w:color="auto"/>
              <w:right w:val="single" w:sz="4" w:space="0" w:color="auto"/>
            </w:tcBorders>
            <w:noWrap/>
            <w:vAlign w:val="bottom"/>
            <w:hideMark/>
          </w:tcPr>
          <w:p w14:paraId="6FC0F046" w14:textId="77777777" w:rsidR="00F26FE4" w:rsidRPr="003D49E9" w:rsidRDefault="00F26FE4" w:rsidP="003C3492">
            <w:pPr>
              <w:jc w:val="right"/>
              <w:rPr>
                <w:sz w:val="21"/>
                <w:szCs w:val="21"/>
                <w:lang w:val="es-ES"/>
              </w:rPr>
            </w:pPr>
            <w:r w:rsidRPr="003D49E9">
              <w:rPr>
                <w:sz w:val="21"/>
                <w:szCs w:val="21"/>
                <w:lang w:val="es-ES"/>
              </w:rPr>
              <w:t>0</w:t>
            </w:r>
          </w:p>
        </w:tc>
      </w:tr>
      <w:tr w:rsidR="00F26FE4" w:rsidRPr="003D49E9" w14:paraId="7A3FE276" w14:textId="77777777" w:rsidTr="003C3492">
        <w:tc>
          <w:tcPr>
            <w:tcW w:w="2977" w:type="dxa"/>
            <w:tcBorders>
              <w:top w:val="nil"/>
              <w:left w:val="single" w:sz="4" w:space="0" w:color="auto"/>
              <w:bottom w:val="single" w:sz="4" w:space="0" w:color="auto"/>
              <w:right w:val="single" w:sz="4" w:space="0" w:color="auto"/>
            </w:tcBorders>
            <w:noWrap/>
            <w:vAlign w:val="bottom"/>
            <w:hideMark/>
          </w:tcPr>
          <w:p w14:paraId="2F666BE9" w14:textId="77777777" w:rsidR="00F26FE4" w:rsidRPr="003D49E9" w:rsidRDefault="00F26FE4" w:rsidP="003C3492">
            <w:pPr>
              <w:jc w:val="left"/>
              <w:rPr>
                <w:b/>
                <w:bCs/>
                <w:sz w:val="21"/>
                <w:szCs w:val="21"/>
                <w:lang w:val="es-ES"/>
              </w:rPr>
            </w:pPr>
            <w:r>
              <w:rPr>
                <w:b/>
                <w:bCs/>
                <w:sz w:val="21"/>
                <w:szCs w:val="21"/>
                <w:lang w:val="es-ES"/>
              </w:rPr>
              <w:t xml:space="preserve">Subtotal </w:t>
            </w:r>
            <w:r w:rsidRPr="003D49E9">
              <w:rPr>
                <w:b/>
                <w:bCs/>
                <w:sz w:val="21"/>
                <w:szCs w:val="21"/>
                <w:lang w:val="es-ES"/>
              </w:rPr>
              <w:t>de las actividades estándar</w:t>
            </w:r>
          </w:p>
        </w:tc>
        <w:tc>
          <w:tcPr>
            <w:tcW w:w="1304" w:type="dxa"/>
            <w:tcBorders>
              <w:top w:val="nil"/>
              <w:left w:val="nil"/>
              <w:bottom w:val="single" w:sz="4" w:space="0" w:color="auto"/>
              <w:right w:val="single" w:sz="4" w:space="0" w:color="auto"/>
            </w:tcBorders>
            <w:noWrap/>
            <w:vAlign w:val="bottom"/>
            <w:hideMark/>
          </w:tcPr>
          <w:p w14:paraId="07468E22" w14:textId="77777777" w:rsidR="00F26FE4" w:rsidRPr="003D49E9" w:rsidRDefault="00F26FE4" w:rsidP="003C3492">
            <w:pPr>
              <w:jc w:val="right"/>
              <w:rPr>
                <w:b/>
                <w:bCs/>
                <w:sz w:val="21"/>
                <w:szCs w:val="21"/>
                <w:lang w:val="es-ES"/>
              </w:rPr>
            </w:pPr>
            <w:r w:rsidRPr="003D49E9">
              <w:rPr>
                <w:b/>
                <w:bCs/>
                <w:sz w:val="21"/>
                <w:szCs w:val="21"/>
                <w:lang w:val="es-ES"/>
              </w:rPr>
              <w:t>0</w:t>
            </w:r>
          </w:p>
        </w:tc>
        <w:tc>
          <w:tcPr>
            <w:tcW w:w="1304" w:type="dxa"/>
            <w:tcBorders>
              <w:top w:val="nil"/>
              <w:left w:val="nil"/>
              <w:bottom w:val="single" w:sz="4" w:space="0" w:color="auto"/>
              <w:right w:val="single" w:sz="4" w:space="0" w:color="auto"/>
            </w:tcBorders>
            <w:noWrap/>
            <w:vAlign w:val="bottom"/>
            <w:hideMark/>
          </w:tcPr>
          <w:p w14:paraId="38C76294" w14:textId="77777777" w:rsidR="00F26FE4" w:rsidRPr="003D49E9" w:rsidRDefault="00F26FE4" w:rsidP="003C3492">
            <w:pPr>
              <w:jc w:val="right"/>
              <w:rPr>
                <w:b/>
                <w:bCs/>
                <w:sz w:val="21"/>
                <w:szCs w:val="21"/>
                <w:lang w:val="es-ES"/>
              </w:rPr>
            </w:pPr>
            <w:r w:rsidRPr="003D49E9">
              <w:rPr>
                <w:b/>
                <w:bCs/>
                <w:sz w:val="21"/>
                <w:szCs w:val="21"/>
                <w:lang w:val="es-ES"/>
              </w:rPr>
              <w:t>0</w:t>
            </w:r>
          </w:p>
        </w:tc>
        <w:tc>
          <w:tcPr>
            <w:tcW w:w="1304" w:type="dxa"/>
            <w:tcBorders>
              <w:top w:val="nil"/>
              <w:left w:val="nil"/>
              <w:bottom w:val="single" w:sz="4" w:space="0" w:color="auto"/>
              <w:right w:val="single" w:sz="4" w:space="0" w:color="auto"/>
            </w:tcBorders>
            <w:noWrap/>
            <w:vAlign w:val="bottom"/>
            <w:hideMark/>
          </w:tcPr>
          <w:p w14:paraId="541D9265" w14:textId="77777777" w:rsidR="00F26FE4" w:rsidRPr="003D49E9" w:rsidRDefault="00F26FE4" w:rsidP="003C3492">
            <w:pPr>
              <w:jc w:val="right"/>
              <w:rPr>
                <w:b/>
                <w:bCs/>
                <w:sz w:val="21"/>
                <w:szCs w:val="21"/>
                <w:lang w:val="es-ES"/>
              </w:rPr>
            </w:pPr>
            <w:r w:rsidRPr="003D49E9">
              <w:rPr>
                <w:b/>
                <w:bCs/>
                <w:sz w:val="21"/>
                <w:szCs w:val="21"/>
                <w:lang w:val="es-ES"/>
              </w:rPr>
              <w:t>0</w:t>
            </w:r>
          </w:p>
        </w:tc>
        <w:tc>
          <w:tcPr>
            <w:tcW w:w="1304" w:type="dxa"/>
            <w:tcBorders>
              <w:top w:val="nil"/>
              <w:left w:val="nil"/>
              <w:bottom w:val="single" w:sz="4" w:space="0" w:color="auto"/>
              <w:right w:val="single" w:sz="4" w:space="0" w:color="auto"/>
            </w:tcBorders>
            <w:noWrap/>
            <w:vAlign w:val="bottom"/>
            <w:hideMark/>
          </w:tcPr>
          <w:p w14:paraId="0D86033D" w14:textId="77777777" w:rsidR="00F26FE4" w:rsidRPr="003D49E9" w:rsidRDefault="00F26FE4" w:rsidP="003C3492">
            <w:pPr>
              <w:jc w:val="right"/>
              <w:rPr>
                <w:b/>
                <w:bCs/>
                <w:sz w:val="21"/>
                <w:szCs w:val="21"/>
                <w:lang w:val="es-ES"/>
              </w:rPr>
            </w:pPr>
            <w:r w:rsidRPr="003D49E9">
              <w:rPr>
                <w:b/>
                <w:bCs/>
                <w:sz w:val="21"/>
                <w:szCs w:val="21"/>
                <w:lang w:val="es-ES"/>
              </w:rPr>
              <w:t>0</w:t>
            </w:r>
          </w:p>
        </w:tc>
        <w:tc>
          <w:tcPr>
            <w:tcW w:w="1305" w:type="dxa"/>
            <w:tcBorders>
              <w:top w:val="nil"/>
              <w:left w:val="nil"/>
              <w:bottom w:val="single" w:sz="4" w:space="0" w:color="auto"/>
              <w:right w:val="single" w:sz="4" w:space="0" w:color="auto"/>
            </w:tcBorders>
            <w:noWrap/>
            <w:vAlign w:val="bottom"/>
            <w:hideMark/>
          </w:tcPr>
          <w:p w14:paraId="6936E6C4" w14:textId="77777777" w:rsidR="00F26FE4" w:rsidRPr="003D49E9" w:rsidRDefault="00F26FE4" w:rsidP="003C3492">
            <w:pPr>
              <w:jc w:val="right"/>
              <w:rPr>
                <w:b/>
                <w:bCs/>
                <w:sz w:val="21"/>
                <w:szCs w:val="21"/>
                <w:lang w:val="es-ES"/>
              </w:rPr>
            </w:pPr>
            <w:r w:rsidRPr="003D49E9">
              <w:rPr>
                <w:b/>
                <w:bCs/>
                <w:sz w:val="21"/>
                <w:szCs w:val="21"/>
                <w:lang w:val="es-ES"/>
              </w:rPr>
              <w:t>0</w:t>
            </w:r>
          </w:p>
        </w:tc>
      </w:tr>
      <w:tr w:rsidR="00F26FE4" w14:paraId="2F2205EC" w14:textId="77777777" w:rsidTr="003C3492">
        <w:tc>
          <w:tcPr>
            <w:tcW w:w="2977" w:type="dxa"/>
            <w:tcBorders>
              <w:top w:val="nil"/>
              <w:left w:val="single" w:sz="4" w:space="0" w:color="auto"/>
              <w:bottom w:val="single" w:sz="4" w:space="0" w:color="auto"/>
              <w:right w:val="single" w:sz="4" w:space="0" w:color="auto"/>
            </w:tcBorders>
            <w:noWrap/>
            <w:vAlign w:val="center"/>
            <w:hideMark/>
          </w:tcPr>
          <w:p w14:paraId="7FDFD355" w14:textId="77777777" w:rsidR="00F26FE4" w:rsidRDefault="00F26FE4" w:rsidP="003C3492">
            <w:pPr>
              <w:jc w:val="left"/>
              <w:rPr>
                <w:b/>
                <w:bCs/>
                <w:sz w:val="21"/>
                <w:szCs w:val="21"/>
              </w:rPr>
            </w:pPr>
            <w:r>
              <w:rPr>
                <w:b/>
                <w:bCs/>
                <w:sz w:val="21"/>
                <w:szCs w:val="21"/>
              </w:rPr>
              <w:t>Total</w:t>
            </w:r>
          </w:p>
        </w:tc>
        <w:tc>
          <w:tcPr>
            <w:tcW w:w="1304" w:type="dxa"/>
            <w:tcBorders>
              <w:top w:val="nil"/>
              <w:left w:val="nil"/>
              <w:bottom w:val="single" w:sz="4" w:space="0" w:color="auto"/>
              <w:right w:val="single" w:sz="4" w:space="0" w:color="auto"/>
            </w:tcBorders>
            <w:noWrap/>
            <w:vAlign w:val="center"/>
            <w:hideMark/>
          </w:tcPr>
          <w:p w14:paraId="48BB577E" w14:textId="77777777" w:rsidR="00F26FE4" w:rsidRDefault="00F26FE4" w:rsidP="003C3492">
            <w:pPr>
              <w:jc w:val="right"/>
              <w:rPr>
                <w:b/>
                <w:bCs/>
                <w:sz w:val="21"/>
                <w:szCs w:val="21"/>
              </w:rPr>
            </w:pPr>
            <w:r>
              <w:rPr>
                <w:b/>
                <w:bCs/>
                <w:sz w:val="21"/>
                <w:szCs w:val="21"/>
              </w:rPr>
              <w:t>2.392.607</w:t>
            </w:r>
          </w:p>
        </w:tc>
        <w:tc>
          <w:tcPr>
            <w:tcW w:w="1304" w:type="dxa"/>
            <w:tcBorders>
              <w:top w:val="nil"/>
              <w:left w:val="nil"/>
              <w:bottom w:val="single" w:sz="4" w:space="0" w:color="auto"/>
              <w:right w:val="single" w:sz="4" w:space="0" w:color="auto"/>
            </w:tcBorders>
            <w:noWrap/>
            <w:vAlign w:val="center"/>
            <w:hideMark/>
          </w:tcPr>
          <w:p w14:paraId="5618611A" w14:textId="77777777" w:rsidR="00F26FE4" w:rsidRDefault="00F26FE4" w:rsidP="003C3492">
            <w:pPr>
              <w:jc w:val="right"/>
              <w:rPr>
                <w:b/>
                <w:bCs/>
                <w:sz w:val="21"/>
                <w:szCs w:val="21"/>
              </w:rPr>
            </w:pPr>
            <w:r>
              <w:rPr>
                <w:b/>
                <w:bCs/>
                <w:sz w:val="21"/>
                <w:szCs w:val="21"/>
              </w:rPr>
              <w:t>1.576.025</w:t>
            </w:r>
          </w:p>
        </w:tc>
        <w:tc>
          <w:tcPr>
            <w:tcW w:w="1304" w:type="dxa"/>
            <w:tcBorders>
              <w:top w:val="nil"/>
              <w:left w:val="nil"/>
              <w:bottom w:val="single" w:sz="4" w:space="0" w:color="auto"/>
              <w:right w:val="single" w:sz="4" w:space="0" w:color="auto"/>
            </w:tcBorders>
            <w:noWrap/>
            <w:vAlign w:val="center"/>
            <w:hideMark/>
          </w:tcPr>
          <w:p w14:paraId="0052049B" w14:textId="77777777" w:rsidR="00F26FE4" w:rsidRDefault="00F26FE4" w:rsidP="003C3492">
            <w:pPr>
              <w:jc w:val="right"/>
              <w:rPr>
                <w:b/>
                <w:bCs/>
                <w:sz w:val="21"/>
                <w:szCs w:val="21"/>
              </w:rPr>
            </w:pPr>
            <w:r>
              <w:rPr>
                <w:b/>
                <w:bCs/>
                <w:sz w:val="21"/>
                <w:szCs w:val="21"/>
              </w:rPr>
              <w:t>483.512</w:t>
            </w:r>
          </w:p>
        </w:tc>
        <w:tc>
          <w:tcPr>
            <w:tcW w:w="1304" w:type="dxa"/>
            <w:tcBorders>
              <w:top w:val="nil"/>
              <w:left w:val="nil"/>
              <w:bottom w:val="single" w:sz="4" w:space="0" w:color="auto"/>
              <w:right w:val="single" w:sz="4" w:space="0" w:color="auto"/>
            </w:tcBorders>
            <w:noWrap/>
            <w:vAlign w:val="center"/>
            <w:hideMark/>
          </w:tcPr>
          <w:p w14:paraId="65875FD6" w14:textId="77777777" w:rsidR="00F26FE4" w:rsidRDefault="00F26FE4" w:rsidP="003C3492">
            <w:pPr>
              <w:jc w:val="right"/>
              <w:rPr>
                <w:b/>
                <w:bCs/>
                <w:sz w:val="21"/>
                <w:szCs w:val="21"/>
              </w:rPr>
            </w:pPr>
            <w:r>
              <w:rPr>
                <w:b/>
                <w:bCs/>
                <w:sz w:val="21"/>
                <w:szCs w:val="21"/>
              </w:rPr>
              <w:t>4.452.144</w:t>
            </w:r>
          </w:p>
        </w:tc>
        <w:tc>
          <w:tcPr>
            <w:tcW w:w="1305" w:type="dxa"/>
            <w:tcBorders>
              <w:top w:val="nil"/>
              <w:left w:val="nil"/>
              <w:bottom w:val="single" w:sz="4" w:space="0" w:color="auto"/>
              <w:right w:val="single" w:sz="4" w:space="0" w:color="auto"/>
            </w:tcBorders>
            <w:noWrap/>
            <w:vAlign w:val="center"/>
            <w:hideMark/>
          </w:tcPr>
          <w:p w14:paraId="1574710F" w14:textId="77777777" w:rsidR="00F26FE4" w:rsidRDefault="00F26FE4" w:rsidP="003C3492">
            <w:pPr>
              <w:jc w:val="right"/>
              <w:rPr>
                <w:b/>
                <w:bCs/>
                <w:sz w:val="21"/>
                <w:szCs w:val="21"/>
              </w:rPr>
            </w:pPr>
            <w:r>
              <w:rPr>
                <w:b/>
                <w:bCs/>
                <w:sz w:val="21"/>
                <w:szCs w:val="21"/>
              </w:rPr>
              <w:t>577.044</w:t>
            </w:r>
          </w:p>
        </w:tc>
      </w:tr>
    </w:tbl>
    <w:p w14:paraId="4749EE6C" w14:textId="77777777" w:rsidR="00F26FE4" w:rsidRPr="003D49E9" w:rsidRDefault="00F26FE4" w:rsidP="00F26FE4">
      <w:pPr>
        <w:rPr>
          <w:sz w:val="20"/>
          <w:szCs w:val="20"/>
          <w:lang w:val="es-ES"/>
        </w:rPr>
      </w:pPr>
      <w:r w:rsidRPr="003D49E9">
        <w:rPr>
          <w:sz w:val="20"/>
          <w:szCs w:val="20"/>
          <w:lang w:val="es-ES"/>
        </w:rPr>
        <w:t>* Incluidos los gastos de apoyo a los organismos.</w:t>
      </w:r>
    </w:p>
    <w:p w14:paraId="7A4C8E35" w14:textId="77777777" w:rsidR="00F26FE4" w:rsidRPr="003D49E9" w:rsidRDefault="00F26FE4" w:rsidP="00F26FE4">
      <w:pPr>
        <w:rPr>
          <w:lang w:val="es-ES"/>
        </w:rPr>
      </w:pPr>
    </w:p>
    <w:p w14:paraId="65F87373" w14:textId="77777777" w:rsidR="00F26FE4" w:rsidRPr="003D49E9" w:rsidRDefault="00F26FE4" w:rsidP="004B0807">
      <w:pPr>
        <w:pStyle w:val="Heading1"/>
        <w:numPr>
          <w:ilvl w:val="0"/>
          <w:numId w:val="21"/>
        </w:numPr>
        <w:rPr>
          <w:lang w:val="es-ES"/>
        </w:rPr>
      </w:pPr>
      <w:r w:rsidRPr="003D49E9">
        <w:rPr>
          <w:lang w:val="es-ES"/>
        </w:rPr>
        <w:t>Asumiendo un nivel de contribuciones prometidas similar al del período 2018-2020, el 20 por ciento de las contribuciones anuales prometidas por Alemania para 2022 asciende a 3.220.267 $EUA o 9.660.800 $EUA para el trienio 2021-2023. Teniendo en cuenta las aprobaciones de la 87</w:t>
      </w:r>
      <w:r w:rsidRPr="003D49E9">
        <w:rPr>
          <w:vertAlign w:val="superscript"/>
          <w:lang w:val="es-ES"/>
        </w:rPr>
        <w:t>a</w:t>
      </w:r>
      <w:r w:rsidRPr="003D49E9">
        <w:rPr>
          <w:lang w:val="es-ES"/>
        </w:rPr>
        <w:t> reunión (1.102.511 $EUA), las presentaciones a la 88</w:t>
      </w:r>
      <w:r w:rsidRPr="003D49E9">
        <w:rPr>
          <w:vertAlign w:val="superscript"/>
          <w:lang w:val="es-ES"/>
        </w:rPr>
        <w:t>a</w:t>
      </w:r>
      <w:r w:rsidRPr="003D49E9">
        <w:rPr>
          <w:lang w:val="es-ES"/>
        </w:rPr>
        <w:t> reunión (3.214.121 $EUA, en caso de aprobarse tal como está previsto) y los montos ajustados de los planes administrativos para 2022 y 2023 (3.968.632 $EUA), Alemania no superará el 20 por ciento de las contribuciones prometidas para el trienio 2021</w:t>
      </w:r>
      <w:r w:rsidRPr="003D49E9">
        <w:rPr>
          <w:lang w:val="es-ES"/>
        </w:rPr>
        <w:noBreakHyphen/>
        <w:t xml:space="preserve">2023. </w:t>
      </w:r>
    </w:p>
    <w:p w14:paraId="4B44159B" w14:textId="4EEF0953" w:rsidR="003D49E9" w:rsidRDefault="003D49E9" w:rsidP="004B0807">
      <w:pPr>
        <w:spacing w:after="240"/>
        <w:jc w:val="left"/>
        <w:rPr>
          <w:b/>
          <w:bCs/>
        </w:rPr>
      </w:pPr>
      <w:r w:rsidRPr="00845F2A">
        <w:rPr>
          <w:b/>
          <w:lang w:val="es-ES"/>
        </w:rPr>
        <w:t>Japón</w:t>
      </w:r>
    </w:p>
    <w:p w14:paraId="0DFDBEE4" w14:textId="7BF15A1C" w:rsidR="003D49E9" w:rsidRPr="003D49E9" w:rsidRDefault="003D49E9" w:rsidP="004B0807">
      <w:pPr>
        <w:pStyle w:val="Heading1"/>
        <w:numPr>
          <w:ilvl w:val="0"/>
          <w:numId w:val="21"/>
        </w:numPr>
        <w:rPr>
          <w:lang w:val="es-ES"/>
        </w:rPr>
      </w:pPr>
      <w:r w:rsidRPr="003D49E9">
        <w:rPr>
          <w:lang w:val="es-ES"/>
        </w:rPr>
        <w:t xml:space="preserve">En el Cuadro 7 se presenta la asignación de recursos del plan administrativo de Japón para </w:t>
      </w:r>
      <w:r w:rsidR="00A843AB">
        <w:rPr>
          <w:lang w:val="es-ES"/>
        </w:rPr>
        <w:t>el per</w:t>
      </w:r>
      <w:r w:rsidR="00845F2A">
        <w:rPr>
          <w:lang w:val="es-ES"/>
        </w:rPr>
        <w:t>ío</w:t>
      </w:r>
      <w:r w:rsidR="00A843AB">
        <w:rPr>
          <w:lang w:val="es-ES"/>
        </w:rPr>
        <w:t xml:space="preserve">do </w:t>
      </w:r>
      <w:r w:rsidRPr="003D49E9">
        <w:rPr>
          <w:lang w:val="es-ES"/>
        </w:rPr>
        <w:t>2022-2024. Asumiendo un nivel de contribuciones prometidas similar al del período 2018-2020, el 20 por ciento de las contribuciones anuales prometidas por Japón para 2022 asciende a 4.879.033 $EUA.</w:t>
      </w:r>
    </w:p>
    <w:p w14:paraId="5A90F3AA" w14:textId="77777777" w:rsidR="003D49E9" w:rsidRPr="003D49E9" w:rsidRDefault="003D49E9" w:rsidP="000755F8">
      <w:pPr>
        <w:pStyle w:val="subhead"/>
        <w:keepNext/>
        <w:keepLines/>
        <w:jc w:val="both"/>
        <w:rPr>
          <w:b/>
          <w:sz w:val="22"/>
          <w:szCs w:val="22"/>
        </w:rPr>
      </w:pPr>
      <w:r>
        <w:rPr>
          <w:b/>
          <w:sz w:val="22"/>
          <w:szCs w:val="22"/>
        </w:rPr>
        <w:lastRenderedPageBreak/>
        <w:t xml:space="preserve">Cuadro 7. </w:t>
      </w:r>
      <w:r w:rsidRPr="003D49E9">
        <w:rPr>
          <w:b/>
          <w:sz w:val="22"/>
          <w:szCs w:val="22"/>
        </w:rPr>
        <w:t>Asignación de recursos para Japón</w:t>
      </w:r>
      <w:r w:rsidRPr="003D49E9">
        <w:rPr>
          <w:sz w:val="22"/>
          <w:szCs w:val="22"/>
        </w:rPr>
        <w:t xml:space="preserve"> </w:t>
      </w:r>
      <w:r w:rsidRPr="003D49E9">
        <w:rPr>
          <w:b/>
          <w:sz w:val="22"/>
          <w:szCs w:val="22"/>
        </w:rPr>
        <w:t>($EUA)*</w:t>
      </w:r>
    </w:p>
    <w:tbl>
      <w:tblPr>
        <w:tblW w:w="9360" w:type="dxa"/>
        <w:tblLayout w:type="fixed"/>
        <w:tblLook w:val="04A0" w:firstRow="1" w:lastRow="0" w:firstColumn="1" w:lastColumn="0" w:noHBand="0" w:noVBand="1"/>
      </w:tblPr>
      <w:tblGrid>
        <w:gridCol w:w="3118"/>
        <w:gridCol w:w="1561"/>
        <w:gridCol w:w="1561"/>
        <w:gridCol w:w="1561"/>
        <w:gridCol w:w="1559"/>
      </w:tblGrid>
      <w:tr w:rsidR="003D49E9" w:rsidRPr="003D49E9" w14:paraId="3ED4730A" w14:textId="77777777" w:rsidTr="003D49E9">
        <w:trPr>
          <w:tblHeader/>
        </w:trPr>
        <w:tc>
          <w:tcPr>
            <w:tcW w:w="1665" w:type="pct"/>
            <w:tcBorders>
              <w:top w:val="single" w:sz="4" w:space="0" w:color="auto"/>
              <w:left w:val="single" w:sz="4" w:space="0" w:color="auto"/>
              <w:bottom w:val="single" w:sz="4" w:space="0" w:color="auto"/>
              <w:right w:val="single" w:sz="4" w:space="0" w:color="auto"/>
            </w:tcBorders>
            <w:noWrap/>
            <w:vAlign w:val="center"/>
            <w:hideMark/>
          </w:tcPr>
          <w:p w14:paraId="05E09B80" w14:textId="77777777" w:rsidR="003D49E9" w:rsidRPr="003D49E9" w:rsidRDefault="003D49E9" w:rsidP="000755F8">
            <w:pPr>
              <w:keepNext/>
              <w:keepLines/>
              <w:jc w:val="left"/>
              <w:rPr>
                <w:b/>
                <w:bCs/>
                <w:sz w:val="21"/>
                <w:szCs w:val="21"/>
                <w:lang w:val="es-ES"/>
              </w:rPr>
            </w:pPr>
            <w:r w:rsidRPr="003D49E9">
              <w:rPr>
                <w:b/>
                <w:bCs/>
                <w:sz w:val="21"/>
                <w:szCs w:val="21"/>
                <w:lang w:val="es-ES"/>
              </w:rPr>
              <w:t>Descripción</w:t>
            </w:r>
          </w:p>
        </w:tc>
        <w:tc>
          <w:tcPr>
            <w:tcW w:w="834" w:type="pct"/>
            <w:tcBorders>
              <w:top w:val="single" w:sz="4" w:space="0" w:color="auto"/>
              <w:left w:val="nil"/>
              <w:bottom w:val="single" w:sz="4" w:space="0" w:color="auto"/>
              <w:right w:val="single" w:sz="4" w:space="0" w:color="auto"/>
            </w:tcBorders>
            <w:noWrap/>
            <w:vAlign w:val="center"/>
            <w:hideMark/>
          </w:tcPr>
          <w:p w14:paraId="14BA2FB4" w14:textId="77777777" w:rsidR="003D49E9" w:rsidRPr="003D49E9" w:rsidRDefault="003D49E9" w:rsidP="000755F8">
            <w:pPr>
              <w:keepNext/>
              <w:keepLines/>
              <w:jc w:val="center"/>
              <w:rPr>
                <w:b/>
                <w:bCs/>
                <w:sz w:val="21"/>
                <w:szCs w:val="21"/>
                <w:lang w:val="es-ES"/>
              </w:rPr>
            </w:pPr>
            <w:r w:rsidRPr="003D49E9">
              <w:rPr>
                <w:b/>
                <w:bCs/>
                <w:sz w:val="21"/>
                <w:szCs w:val="21"/>
                <w:lang w:val="es-ES"/>
              </w:rPr>
              <w:t>2022</w:t>
            </w:r>
          </w:p>
        </w:tc>
        <w:tc>
          <w:tcPr>
            <w:tcW w:w="834" w:type="pct"/>
            <w:tcBorders>
              <w:top w:val="single" w:sz="4" w:space="0" w:color="auto"/>
              <w:left w:val="nil"/>
              <w:bottom w:val="single" w:sz="4" w:space="0" w:color="auto"/>
              <w:right w:val="single" w:sz="4" w:space="0" w:color="auto"/>
            </w:tcBorders>
            <w:noWrap/>
            <w:vAlign w:val="center"/>
            <w:hideMark/>
          </w:tcPr>
          <w:p w14:paraId="45C4DAB1" w14:textId="77777777" w:rsidR="003D49E9" w:rsidRPr="003D49E9" w:rsidRDefault="003D49E9" w:rsidP="000755F8">
            <w:pPr>
              <w:keepNext/>
              <w:keepLines/>
              <w:jc w:val="center"/>
              <w:rPr>
                <w:b/>
                <w:bCs/>
                <w:sz w:val="21"/>
                <w:szCs w:val="21"/>
                <w:lang w:val="es-ES"/>
              </w:rPr>
            </w:pPr>
            <w:r w:rsidRPr="003D49E9">
              <w:rPr>
                <w:b/>
                <w:bCs/>
                <w:sz w:val="21"/>
                <w:szCs w:val="21"/>
                <w:lang w:val="es-ES"/>
              </w:rPr>
              <w:t>2023</w:t>
            </w:r>
          </w:p>
        </w:tc>
        <w:tc>
          <w:tcPr>
            <w:tcW w:w="834" w:type="pct"/>
            <w:tcBorders>
              <w:top w:val="single" w:sz="4" w:space="0" w:color="auto"/>
              <w:left w:val="nil"/>
              <w:bottom w:val="single" w:sz="4" w:space="0" w:color="auto"/>
              <w:right w:val="single" w:sz="4" w:space="0" w:color="auto"/>
            </w:tcBorders>
            <w:noWrap/>
            <w:vAlign w:val="center"/>
            <w:hideMark/>
          </w:tcPr>
          <w:p w14:paraId="2C068B06" w14:textId="77777777" w:rsidR="003D49E9" w:rsidRPr="003D49E9" w:rsidRDefault="003D49E9" w:rsidP="000755F8">
            <w:pPr>
              <w:keepNext/>
              <w:keepLines/>
              <w:jc w:val="center"/>
              <w:rPr>
                <w:b/>
                <w:bCs/>
                <w:sz w:val="21"/>
                <w:szCs w:val="21"/>
                <w:lang w:val="es-ES"/>
              </w:rPr>
            </w:pPr>
            <w:r w:rsidRPr="003D49E9">
              <w:rPr>
                <w:b/>
                <w:bCs/>
                <w:sz w:val="21"/>
                <w:szCs w:val="21"/>
                <w:lang w:val="es-ES"/>
              </w:rPr>
              <w:t>2024**</w:t>
            </w:r>
          </w:p>
        </w:tc>
        <w:tc>
          <w:tcPr>
            <w:tcW w:w="834" w:type="pct"/>
            <w:tcBorders>
              <w:top w:val="single" w:sz="4" w:space="0" w:color="auto"/>
              <w:left w:val="nil"/>
              <w:bottom w:val="single" w:sz="4" w:space="0" w:color="auto"/>
              <w:right w:val="single" w:sz="4" w:space="0" w:color="auto"/>
            </w:tcBorders>
            <w:noWrap/>
            <w:vAlign w:val="center"/>
            <w:hideMark/>
          </w:tcPr>
          <w:p w14:paraId="12102D0A" w14:textId="77777777" w:rsidR="003D49E9" w:rsidRPr="003D49E9" w:rsidRDefault="003D49E9" w:rsidP="000755F8">
            <w:pPr>
              <w:keepNext/>
              <w:keepLines/>
              <w:jc w:val="center"/>
              <w:rPr>
                <w:b/>
                <w:bCs/>
                <w:sz w:val="21"/>
                <w:szCs w:val="21"/>
                <w:lang w:val="es-ES"/>
              </w:rPr>
            </w:pPr>
            <w:r w:rsidRPr="003D49E9">
              <w:rPr>
                <w:b/>
                <w:bCs/>
                <w:sz w:val="21"/>
                <w:szCs w:val="21"/>
                <w:lang w:val="es-ES"/>
              </w:rPr>
              <w:t xml:space="preserve">Total </w:t>
            </w:r>
          </w:p>
          <w:p w14:paraId="119C9388" w14:textId="77777777" w:rsidR="003D49E9" w:rsidRPr="003D49E9" w:rsidRDefault="003D49E9" w:rsidP="000755F8">
            <w:pPr>
              <w:keepNext/>
              <w:keepLines/>
              <w:jc w:val="center"/>
              <w:rPr>
                <w:b/>
                <w:bCs/>
                <w:sz w:val="21"/>
                <w:szCs w:val="21"/>
                <w:lang w:val="es-ES"/>
              </w:rPr>
            </w:pPr>
            <w:r w:rsidRPr="003D49E9">
              <w:rPr>
                <w:b/>
                <w:bCs/>
                <w:sz w:val="21"/>
                <w:szCs w:val="21"/>
                <w:lang w:val="es-ES"/>
              </w:rPr>
              <w:t>(2022-2024)</w:t>
            </w:r>
          </w:p>
        </w:tc>
      </w:tr>
      <w:tr w:rsidR="003D49E9" w:rsidRPr="000755F8" w14:paraId="0D48DC39" w14:textId="77777777" w:rsidTr="003D49E9">
        <w:tc>
          <w:tcPr>
            <w:tcW w:w="5000" w:type="pct"/>
            <w:gridSpan w:val="5"/>
            <w:tcBorders>
              <w:top w:val="nil"/>
              <w:left w:val="single" w:sz="4" w:space="0" w:color="auto"/>
              <w:bottom w:val="single" w:sz="4" w:space="0" w:color="auto"/>
              <w:right w:val="single" w:sz="4" w:space="0" w:color="auto"/>
            </w:tcBorders>
            <w:noWrap/>
            <w:vAlign w:val="center"/>
            <w:hideMark/>
          </w:tcPr>
          <w:p w14:paraId="774E2E08" w14:textId="77777777" w:rsidR="003D49E9" w:rsidRPr="003D49E9" w:rsidRDefault="003D49E9" w:rsidP="000755F8">
            <w:pPr>
              <w:keepNext/>
              <w:keepLines/>
              <w:jc w:val="left"/>
              <w:rPr>
                <w:sz w:val="21"/>
                <w:szCs w:val="21"/>
                <w:lang w:val="es-ES"/>
              </w:rPr>
            </w:pPr>
            <w:r w:rsidRPr="003D49E9">
              <w:rPr>
                <w:b/>
                <w:bCs/>
                <w:sz w:val="21"/>
                <w:szCs w:val="21"/>
                <w:lang w:val="es-ES"/>
              </w:rPr>
              <w:t>Actividades relacionadas con los HCFC</w:t>
            </w:r>
          </w:p>
        </w:tc>
      </w:tr>
      <w:tr w:rsidR="003D49E9" w:rsidRPr="003D49E9" w14:paraId="25A01E36" w14:textId="77777777" w:rsidTr="003D49E9">
        <w:tc>
          <w:tcPr>
            <w:tcW w:w="1665" w:type="pct"/>
            <w:tcBorders>
              <w:top w:val="nil"/>
              <w:left w:val="single" w:sz="4" w:space="0" w:color="auto"/>
              <w:bottom w:val="single" w:sz="4" w:space="0" w:color="auto"/>
              <w:right w:val="single" w:sz="4" w:space="0" w:color="auto"/>
            </w:tcBorders>
            <w:noWrap/>
            <w:vAlign w:val="center"/>
            <w:hideMark/>
          </w:tcPr>
          <w:p w14:paraId="3F353F2A" w14:textId="77777777" w:rsidR="003D49E9" w:rsidRPr="003D49E9" w:rsidRDefault="003D49E9" w:rsidP="000755F8">
            <w:pPr>
              <w:keepNext/>
              <w:keepLines/>
              <w:jc w:val="left"/>
              <w:rPr>
                <w:sz w:val="21"/>
                <w:szCs w:val="21"/>
                <w:lang w:val="es-ES"/>
              </w:rPr>
            </w:pPr>
            <w:r w:rsidRPr="003D49E9">
              <w:rPr>
                <w:sz w:val="21"/>
                <w:szCs w:val="21"/>
                <w:lang w:val="es-ES"/>
              </w:rPr>
              <w:t>PGEH aprobados</w:t>
            </w:r>
          </w:p>
        </w:tc>
        <w:tc>
          <w:tcPr>
            <w:tcW w:w="834" w:type="pct"/>
            <w:tcBorders>
              <w:top w:val="nil"/>
              <w:left w:val="nil"/>
              <w:bottom w:val="single" w:sz="4" w:space="0" w:color="auto"/>
              <w:right w:val="single" w:sz="4" w:space="0" w:color="auto"/>
            </w:tcBorders>
            <w:noWrap/>
            <w:hideMark/>
          </w:tcPr>
          <w:p w14:paraId="78C4FA88" w14:textId="77777777" w:rsidR="003D49E9" w:rsidRPr="003D49E9" w:rsidRDefault="003D49E9" w:rsidP="000755F8">
            <w:pPr>
              <w:keepNext/>
              <w:keepLines/>
              <w:jc w:val="right"/>
              <w:rPr>
                <w:sz w:val="21"/>
                <w:szCs w:val="21"/>
                <w:lang w:val="es-ES"/>
              </w:rPr>
            </w:pPr>
            <w:r w:rsidRPr="003D49E9">
              <w:rPr>
                <w:sz w:val="21"/>
                <w:szCs w:val="21"/>
                <w:lang w:val="es-ES"/>
              </w:rPr>
              <w:t>0</w:t>
            </w:r>
          </w:p>
        </w:tc>
        <w:tc>
          <w:tcPr>
            <w:tcW w:w="834" w:type="pct"/>
            <w:tcBorders>
              <w:top w:val="nil"/>
              <w:left w:val="nil"/>
              <w:bottom w:val="single" w:sz="4" w:space="0" w:color="auto"/>
              <w:right w:val="single" w:sz="4" w:space="0" w:color="auto"/>
            </w:tcBorders>
            <w:noWrap/>
            <w:hideMark/>
          </w:tcPr>
          <w:p w14:paraId="37CC302A" w14:textId="77777777" w:rsidR="003D49E9" w:rsidRPr="003D49E9" w:rsidRDefault="003D49E9" w:rsidP="000755F8">
            <w:pPr>
              <w:keepNext/>
              <w:keepLines/>
              <w:jc w:val="right"/>
              <w:rPr>
                <w:sz w:val="21"/>
                <w:szCs w:val="21"/>
                <w:lang w:val="es-ES"/>
              </w:rPr>
            </w:pPr>
            <w:r w:rsidRPr="003D49E9">
              <w:rPr>
                <w:sz w:val="21"/>
                <w:szCs w:val="21"/>
                <w:lang w:val="es-ES"/>
              </w:rPr>
              <w:t>67.800</w:t>
            </w:r>
          </w:p>
        </w:tc>
        <w:tc>
          <w:tcPr>
            <w:tcW w:w="834" w:type="pct"/>
            <w:tcBorders>
              <w:top w:val="nil"/>
              <w:left w:val="nil"/>
              <w:bottom w:val="single" w:sz="4" w:space="0" w:color="auto"/>
              <w:right w:val="single" w:sz="4" w:space="0" w:color="auto"/>
            </w:tcBorders>
            <w:noWrap/>
            <w:hideMark/>
          </w:tcPr>
          <w:p w14:paraId="2F607F5E" w14:textId="77777777" w:rsidR="003D49E9" w:rsidRPr="003D49E9" w:rsidRDefault="003D49E9" w:rsidP="000755F8">
            <w:pPr>
              <w:keepNext/>
              <w:keepLines/>
              <w:jc w:val="right"/>
              <w:rPr>
                <w:sz w:val="21"/>
                <w:szCs w:val="21"/>
                <w:lang w:val="es-ES"/>
              </w:rPr>
            </w:pPr>
            <w:r w:rsidRPr="003D49E9">
              <w:rPr>
                <w:sz w:val="21"/>
                <w:szCs w:val="21"/>
                <w:lang w:val="es-ES"/>
              </w:rPr>
              <w:t>0</w:t>
            </w:r>
          </w:p>
        </w:tc>
        <w:tc>
          <w:tcPr>
            <w:tcW w:w="833" w:type="pct"/>
            <w:tcBorders>
              <w:top w:val="nil"/>
              <w:left w:val="nil"/>
              <w:bottom w:val="single" w:sz="4" w:space="0" w:color="auto"/>
              <w:right w:val="single" w:sz="4" w:space="0" w:color="auto"/>
            </w:tcBorders>
            <w:noWrap/>
            <w:hideMark/>
          </w:tcPr>
          <w:p w14:paraId="24031743" w14:textId="77777777" w:rsidR="003D49E9" w:rsidRPr="003D49E9" w:rsidRDefault="003D49E9" w:rsidP="000755F8">
            <w:pPr>
              <w:keepNext/>
              <w:keepLines/>
              <w:jc w:val="right"/>
              <w:rPr>
                <w:sz w:val="21"/>
                <w:szCs w:val="21"/>
                <w:lang w:val="es-ES"/>
              </w:rPr>
            </w:pPr>
            <w:r w:rsidRPr="003D49E9">
              <w:rPr>
                <w:sz w:val="21"/>
                <w:szCs w:val="21"/>
                <w:lang w:val="es-ES"/>
              </w:rPr>
              <w:t>67.800</w:t>
            </w:r>
          </w:p>
        </w:tc>
      </w:tr>
      <w:tr w:rsidR="003D49E9" w:rsidRPr="003D49E9" w14:paraId="7B0A4FC6" w14:textId="77777777" w:rsidTr="003D49E9">
        <w:tc>
          <w:tcPr>
            <w:tcW w:w="1665" w:type="pct"/>
            <w:tcBorders>
              <w:top w:val="nil"/>
              <w:left w:val="single" w:sz="4" w:space="0" w:color="auto"/>
              <w:bottom w:val="single" w:sz="4" w:space="0" w:color="auto"/>
              <w:right w:val="single" w:sz="4" w:space="0" w:color="auto"/>
            </w:tcBorders>
            <w:noWrap/>
            <w:vAlign w:val="center"/>
            <w:hideMark/>
          </w:tcPr>
          <w:p w14:paraId="0AB3D24A" w14:textId="77777777" w:rsidR="003D49E9" w:rsidRPr="003D49E9" w:rsidRDefault="003D49E9" w:rsidP="000755F8">
            <w:pPr>
              <w:keepNext/>
              <w:keepLines/>
              <w:jc w:val="left"/>
              <w:rPr>
                <w:b/>
                <w:bCs/>
                <w:sz w:val="21"/>
                <w:szCs w:val="21"/>
                <w:lang w:val="es-ES"/>
              </w:rPr>
            </w:pPr>
            <w:r w:rsidRPr="003D49E9">
              <w:rPr>
                <w:b/>
                <w:bCs/>
                <w:sz w:val="21"/>
                <w:szCs w:val="21"/>
                <w:lang w:val="es-ES"/>
              </w:rPr>
              <w:t>Total</w:t>
            </w:r>
          </w:p>
        </w:tc>
        <w:tc>
          <w:tcPr>
            <w:tcW w:w="834" w:type="pct"/>
            <w:tcBorders>
              <w:top w:val="nil"/>
              <w:left w:val="nil"/>
              <w:bottom w:val="single" w:sz="4" w:space="0" w:color="auto"/>
              <w:right w:val="single" w:sz="4" w:space="0" w:color="auto"/>
            </w:tcBorders>
            <w:noWrap/>
            <w:hideMark/>
          </w:tcPr>
          <w:p w14:paraId="2F971E1A" w14:textId="77777777" w:rsidR="003D49E9" w:rsidRPr="003D49E9" w:rsidRDefault="003D49E9" w:rsidP="000755F8">
            <w:pPr>
              <w:keepNext/>
              <w:keepLines/>
              <w:jc w:val="right"/>
              <w:rPr>
                <w:b/>
                <w:sz w:val="21"/>
                <w:szCs w:val="21"/>
                <w:lang w:val="es-ES"/>
              </w:rPr>
            </w:pPr>
            <w:r w:rsidRPr="003D49E9">
              <w:rPr>
                <w:b/>
                <w:sz w:val="21"/>
                <w:szCs w:val="21"/>
                <w:lang w:val="es-ES"/>
              </w:rPr>
              <w:t>0</w:t>
            </w:r>
          </w:p>
        </w:tc>
        <w:tc>
          <w:tcPr>
            <w:tcW w:w="834" w:type="pct"/>
            <w:tcBorders>
              <w:top w:val="nil"/>
              <w:left w:val="nil"/>
              <w:bottom w:val="single" w:sz="4" w:space="0" w:color="auto"/>
              <w:right w:val="single" w:sz="4" w:space="0" w:color="auto"/>
            </w:tcBorders>
            <w:noWrap/>
            <w:hideMark/>
          </w:tcPr>
          <w:p w14:paraId="536A8E48" w14:textId="77777777" w:rsidR="003D49E9" w:rsidRPr="003D49E9" w:rsidRDefault="003D49E9" w:rsidP="000755F8">
            <w:pPr>
              <w:keepNext/>
              <w:keepLines/>
              <w:jc w:val="right"/>
              <w:rPr>
                <w:b/>
                <w:sz w:val="21"/>
                <w:szCs w:val="21"/>
                <w:lang w:val="es-ES"/>
              </w:rPr>
            </w:pPr>
            <w:r w:rsidRPr="003D49E9">
              <w:rPr>
                <w:b/>
                <w:sz w:val="21"/>
                <w:szCs w:val="21"/>
                <w:lang w:val="es-ES"/>
              </w:rPr>
              <w:t>67.800</w:t>
            </w:r>
          </w:p>
        </w:tc>
        <w:tc>
          <w:tcPr>
            <w:tcW w:w="834" w:type="pct"/>
            <w:tcBorders>
              <w:top w:val="nil"/>
              <w:left w:val="nil"/>
              <w:bottom w:val="single" w:sz="4" w:space="0" w:color="auto"/>
              <w:right w:val="single" w:sz="4" w:space="0" w:color="auto"/>
            </w:tcBorders>
            <w:noWrap/>
            <w:hideMark/>
          </w:tcPr>
          <w:p w14:paraId="39E13AE5" w14:textId="77777777" w:rsidR="003D49E9" w:rsidRPr="003D49E9" w:rsidRDefault="003D49E9" w:rsidP="000755F8">
            <w:pPr>
              <w:keepNext/>
              <w:keepLines/>
              <w:jc w:val="right"/>
              <w:rPr>
                <w:b/>
                <w:sz w:val="21"/>
                <w:szCs w:val="21"/>
                <w:lang w:val="es-ES"/>
              </w:rPr>
            </w:pPr>
            <w:r w:rsidRPr="003D49E9">
              <w:rPr>
                <w:b/>
                <w:sz w:val="21"/>
                <w:szCs w:val="21"/>
                <w:lang w:val="es-ES"/>
              </w:rPr>
              <w:t>0</w:t>
            </w:r>
          </w:p>
        </w:tc>
        <w:tc>
          <w:tcPr>
            <w:tcW w:w="833" w:type="pct"/>
            <w:tcBorders>
              <w:top w:val="nil"/>
              <w:left w:val="nil"/>
              <w:bottom w:val="single" w:sz="4" w:space="0" w:color="auto"/>
              <w:right w:val="single" w:sz="4" w:space="0" w:color="auto"/>
            </w:tcBorders>
            <w:noWrap/>
            <w:hideMark/>
          </w:tcPr>
          <w:p w14:paraId="109D3BC3" w14:textId="77777777" w:rsidR="003D49E9" w:rsidRPr="003D49E9" w:rsidRDefault="003D49E9" w:rsidP="000755F8">
            <w:pPr>
              <w:keepNext/>
              <w:keepLines/>
              <w:jc w:val="right"/>
              <w:rPr>
                <w:b/>
                <w:sz w:val="21"/>
                <w:szCs w:val="21"/>
                <w:lang w:val="es-ES"/>
              </w:rPr>
            </w:pPr>
            <w:r w:rsidRPr="003D49E9">
              <w:rPr>
                <w:b/>
                <w:sz w:val="21"/>
                <w:szCs w:val="21"/>
                <w:lang w:val="es-ES"/>
              </w:rPr>
              <w:t>67.800</w:t>
            </w:r>
          </w:p>
        </w:tc>
      </w:tr>
    </w:tbl>
    <w:p w14:paraId="55A35803" w14:textId="77777777" w:rsidR="003D49E9" w:rsidRPr="003D49E9" w:rsidRDefault="003D49E9" w:rsidP="000755F8">
      <w:pPr>
        <w:keepNext/>
        <w:keepLines/>
        <w:rPr>
          <w:sz w:val="18"/>
          <w:szCs w:val="18"/>
          <w:lang w:val="es-ES"/>
        </w:rPr>
      </w:pPr>
      <w:r w:rsidRPr="003D49E9">
        <w:rPr>
          <w:sz w:val="18"/>
          <w:szCs w:val="18"/>
          <w:lang w:val="es-ES"/>
        </w:rPr>
        <w:t>* Incluidos los gastos de apoyo a los organismos.</w:t>
      </w:r>
    </w:p>
    <w:p w14:paraId="7674594E" w14:textId="77777777" w:rsidR="003D49E9" w:rsidRPr="003D49E9" w:rsidRDefault="003D49E9" w:rsidP="000755F8">
      <w:pPr>
        <w:keepNext/>
        <w:keepLines/>
        <w:jc w:val="left"/>
        <w:rPr>
          <w:sz w:val="18"/>
          <w:szCs w:val="18"/>
          <w:lang w:val="es-ES"/>
        </w:rPr>
      </w:pPr>
      <w:r w:rsidRPr="003D49E9">
        <w:rPr>
          <w:sz w:val="18"/>
          <w:szCs w:val="18"/>
          <w:lang w:val="es-ES"/>
        </w:rPr>
        <w:t>** No hay actividades después de 2024.</w:t>
      </w:r>
    </w:p>
    <w:p w14:paraId="68930CF4" w14:textId="77777777" w:rsidR="003D49E9" w:rsidRPr="003D49E9" w:rsidRDefault="003D49E9" w:rsidP="003D49E9">
      <w:pPr>
        <w:jc w:val="left"/>
        <w:rPr>
          <w:lang w:val="es-ES"/>
        </w:rPr>
      </w:pPr>
    </w:p>
    <w:p w14:paraId="6C64E426" w14:textId="77777777" w:rsidR="003D49E9" w:rsidRPr="003D49E9" w:rsidRDefault="003D49E9" w:rsidP="004B0807">
      <w:pPr>
        <w:spacing w:after="120"/>
        <w:rPr>
          <w:b/>
          <w:lang w:val="es-ES"/>
        </w:rPr>
      </w:pPr>
      <w:r w:rsidRPr="003D49E9">
        <w:rPr>
          <w:b/>
          <w:lang w:val="es-ES"/>
        </w:rPr>
        <w:t>Reino Unido de Gran Bretaña e Irlanda del Norte</w:t>
      </w:r>
    </w:p>
    <w:p w14:paraId="692DFF4C" w14:textId="744B960F" w:rsidR="003D49E9" w:rsidRPr="003D49E9" w:rsidRDefault="003D49E9" w:rsidP="004B0807">
      <w:pPr>
        <w:pStyle w:val="Heading1"/>
        <w:numPr>
          <w:ilvl w:val="0"/>
          <w:numId w:val="21"/>
        </w:numPr>
        <w:spacing w:after="120"/>
        <w:rPr>
          <w:lang w:val="es-ES"/>
        </w:rPr>
      </w:pPr>
      <w:r w:rsidRPr="003D49E9">
        <w:rPr>
          <w:lang w:val="es-ES"/>
        </w:rPr>
        <w:t>En el Cuadro 8 se presenta la asignación de recursos del plan administrativo del Reino Unido de Gran Bretaña e Irlanda del Norte para 2022-2024. Asumiendo un nivel de contribuciones prometidas similar al del período 2018-2020, el 20 por ciento de las contribuciones anuales prometidas por el Reino</w:t>
      </w:r>
      <w:r w:rsidR="004B0807">
        <w:rPr>
          <w:lang w:val="es-ES"/>
        </w:rPr>
        <w:t> </w:t>
      </w:r>
      <w:r w:rsidRPr="003D49E9">
        <w:rPr>
          <w:lang w:val="es-ES"/>
        </w:rPr>
        <w:t xml:space="preserve">Unido de Gran Bretaña e Irlanda del Norte para 2022 asciende a 2.249.500 $EUA. </w:t>
      </w:r>
    </w:p>
    <w:p w14:paraId="24A8041E" w14:textId="77777777" w:rsidR="003D49E9" w:rsidRPr="003D49E9" w:rsidRDefault="003D49E9" w:rsidP="003D49E9">
      <w:pPr>
        <w:rPr>
          <w:b/>
          <w:lang w:val="es-ES"/>
        </w:rPr>
      </w:pPr>
      <w:r w:rsidRPr="003D49E9">
        <w:rPr>
          <w:b/>
          <w:lang w:val="es-ES"/>
        </w:rPr>
        <w:t>Cuadro 8. Asignación de recursos para el Reino Unido de Gran Bretaña e Irlanda del Norte ($EUA)*</w:t>
      </w:r>
    </w:p>
    <w:tbl>
      <w:tblPr>
        <w:tblW w:w="9360" w:type="dxa"/>
        <w:tblLayout w:type="fixed"/>
        <w:tblLook w:val="04A0" w:firstRow="1" w:lastRow="0" w:firstColumn="1" w:lastColumn="0" w:noHBand="0" w:noVBand="1"/>
      </w:tblPr>
      <w:tblGrid>
        <w:gridCol w:w="3118"/>
        <w:gridCol w:w="1561"/>
        <w:gridCol w:w="1561"/>
        <w:gridCol w:w="1561"/>
        <w:gridCol w:w="1559"/>
      </w:tblGrid>
      <w:tr w:rsidR="003D49E9" w:rsidRPr="003D49E9" w14:paraId="5FA45B0D" w14:textId="77777777" w:rsidTr="003D49E9">
        <w:trPr>
          <w:tblHeader/>
        </w:trPr>
        <w:tc>
          <w:tcPr>
            <w:tcW w:w="1665" w:type="pct"/>
            <w:tcBorders>
              <w:top w:val="single" w:sz="4" w:space="0" w:color="auto"/>
              <w:left w:val="single" w:sz="4" w:space="0" w:color="auto"/>
              <w:bottom w:val="single" w:sz="4" w:space="0" w:color="auto"/>
              <w:right w:val="single" w:sz="4" w:space="0" w:color="auto"/>
            </w:tcBorders>
            <w:noWrap/>
            <w:vAlign w:val="center"/>
            <w:hideMark/>
          </w:tcPr>
          <w:p w14:paraId="5CB2AFE3" w14:textId="77777777" w:rsidR="003D49E9" w:rsidRPr="003D49E9" w:rsidRDefault="003D49E9">
            <w:pPr>
              <w:jc w:val="left"/>
              <w:rPr>
                <w:b/>
                <w:bCs/>
                <w:sz w:val="21"/>
                <w:szCs w:val="21"/>
                <w:lang w:val="es-ES"/>
              </w:rPr>
            </w:pPr>
            <w:r w:rsidRPr="003D49E9">
              <w:rPr>
                <w:b/>
                <w:bCs/>
                <w:sz w:val="21"/>
                <w:szCs w:val="21"/>
                <w:lang w:val="es-ES"/>
              </w:rPr>
              <w:t>Descripción</w:t>
            </w:r>
          </w:p>
        </w:tc>
        <w:tc>
          <w:tcPr>
            <w:tcW w:w="834" w:type="pct"/>
            <w:tcBorders>
              <w:top w:val="single" w:sz="4" w:space="0" w:color="auto"/>
              <w:left w:val="nil"/>
              <w:bottom w:val="single" w:sz="4" w:space="0" w:color="auto"/>
              <w:right w:val="single" w:sz="4" w:space="0" w:color="auto"/>
            </w:tcBorders>
            <w:noWrap/>
            <w:vAlign w:val="center"/>
            <w:hideMark/>
          </w:tcPr>
          <w:p w14:paraId="4E12921F" w14:textId="77777777" w:rsidR="003D49E9" w:rsidRPr="003D49E9" w:rsidRDefault="003D49E9">
            <w:pPr>
              <w:jc w:val="center"/>
              <w:rPr>
                <w:b/>
                <w:bCs/>
                <w:sz w:val="21"/>
                <w:szCs w:val="21"/>
                <w:lang w:val="es-ES"/>
              </w:rPr>
            </w:pPr>
            <w:r w:rsidRPr="003D49E9">
              <w:rPr>
                <w:b/>
                <w:bCs/>
                <w:sz w:val="21"/>
                <w:szCs w:val="21"/>
                <w:lang w:val="es-ES"/>
              </w:rPr>
              <w:t>2022</w:t>
            </w:r>
          </w:p>
        </w:tc>
        <w:tc>
          <w:tcPr>
            <w:tcW w:w="834" w:type="pct"/>
            <w:tcBorders>
              <w:top w:val="single" w:sz="4" w:space="0" w:color="auto"/>
              <w:left w:val="nil"/>
              <w:bottom w:val="single" w:sz="4" w:space="0" w:color="auto"/>
              <w:right w:val="single" w:sz="4" w:space="0" w:color="auto"/>
            </w:tcBorders>
            <w:noWrap/>
            <w:vAlign w:val="center"/>
            <w:hideMark/>
          </w:tcPr>
          <w:p w14:paraId="397C965D" w14:textId="77777777" w:rsidR="003D49E9" w:rsidRPr="003D49E9" w:rsidRDefault="003D49E9">
            <w:pPr>
              <w:jc w:val="center"/>
              <w:rPr>
                <w:b/>
                <w:bCs/>
                <w:sz w:val="21"/>
                <w:szCs w:val="21"/>
                <w:lang w:val="es-ES"/>
              </w:rPr>
            </w:pPr>
            <w:r w:rsidRPr="003D49E9">
              <w:rPr>
                <w:b/>
                <w:bCs/>
                <w:sz w:val="21"/>
                <w:szCs w:val="21"/>
                <w:lang w:val="es-ES"/>
              </w:rPr>
              <w:t>2023</w:t>
            </w:r>
          </w:p>
        </w:tc>
        <w:tc>
          <w:tcPr>
            <w:tcW w:w="834" w:type="pct"/>
            <w:tcBorders>
              <w:top w:val="single" w:sz="4" w:space="0" w:color="auto"/>
              <w:left w:val="nil"/>
              <w:bottom w:val="single" w:sz="4" w:space="0" w:color="auto"/>
              <w:right w:val="single" w:sz="4" w:space="0" w:color="auto"/>
            </w:tcBorders>
            <w:noWrap/>
            <w:vAlign w:val="center"/>
            <w:hideMark/>
          </w:tcPr>
          <w:p w14:paraId="7BA14539" w14:textId="77777777" w:rsidR="003D49E9" w:rsidRPr="003D49E9" w:rsidRDefault="003D49E9">
            <w:pPr>
              <w:jc w:val="center"/>
              <w:rPr>
                <w:b/>
                <w:bCs/>
                <w:sz w:val="21"/>
                <w:szCs w:val="21"/>
                <w:lang w:val="es-ES"/>
              </w:rPr>
            </w:pPr>
            <w:r w:rsidRPr="003D49E9">
              <w:rPr>
                <w:b/>
                <w:bCs/>
                <w:sz w:val="21"/>
                <w:szCs w:val="21"/>
                <w:lang w:val="es-ES"/>
              </w:rPr>
              <w:t>2024**</w:t>
            </w:r>
          </w:p>
        </w:tc>
        <w:tc>
          <w:tcPr>
            <w:tcW w:w="834" w:type="pct"/>
            <w:tcBorders>
              <w:top w:val="single" w:sz="4" w:space="0" w:color="auto"/>
              <w:left w:val="nil"/>
              <w:bottom w:val="single" w:sz="4" w:space="0" w:color="auto"/>
              <w:right w:val="single" w:sz="4" w:space="0" w:color="auto"/>
            </w:tcBorders>
            <w:noWrap/>
            <w:vAlign w:val="center"/>
            <w:hideMark/>
          </w:tcPr>
          <w:p w14:paraId="74E99AEF" w14:textId="77777777" w:rsidR="003D49E9" w:rsidRPr="003D49E9" w:rsidRDefault="003D49E9">
            <w:pPr>
              <w:jc w:val="center"/>
              <w:rPr>
                <w:b/>
                <w:bCs/>
                <w:sz w:val="21"/>
                <w:szCs w:val="21"/>
                <w:lang w:val="es-ES"/>
              </w:rPr>
            </w:pPr>
            <w:r w:rsidRPr="003D49E9">
              <w:rPr>
                <w:b/>
                <w:bCs/>
                <w:sz w:val="21"/>
                <w:szCs w:val="21"/>
                <w:lang w:val="es-ES"/>
              </w:rPr>
              <w:t xml:space="preserve">Total </w:t>
            </w:r>
          </w:p>
          <w:p w14:paraId="40E9AD26" w14:textId="77777777" w:rsidR="003D49E9" w:rsidRPr="003D49E9" w:rsidRDefault="003D49E9">
            <w:pPr>
              <w:jc w:val="center"/>
              <w:rPr>
                <w:b/>
                <w:bCs/>
                <w:sz w:val="21"/>
                <w:szCs w:val="21"/>
                <w:lang w:val="es-ES"/>
              </w:rPr>
            </w:pPr>
            <w:r w:rsidRPr="003D49E9">
              <w:rPr>
                <w:b/>
                <w:bCs/>
                <w:sz w:val="21"/>
                <w:szCs w:val="21"/>
                <w:lang w:val="es-ES"/>
              </w:rPr>
              <w:t>(2022-2024)</w:t>
            </w:r>
          </w:p>
        </w:tc>
      </w:tr>
      <w:tr w:rsidR="003D49E9" w:rsidRPr="000755F8" w14:paraId="791B716B" w14:textId="77777777" w:rsidTr="003D49E9">
        <w:trPr>
          <w:tblHeader/>
        </w:trPr>
        <w:tc>
          <w:tcPr>
            <w:tcW w:w="5000" w:type="pct"/>
            <w:gridSpan w:val="5"/>
            <w:tcBorders>
              <w:top w:val="single" w:sz="4" w:space="0" w:color="auto"/>
              <w:left w:val="single" w:sz="4" w:space="0" w:color="auto"/>
              <w:bottom w:val="single" w:sz="4" w:space="0" w:color="auto"/>
              <w:right w:val="single" w:sz="4" w:space="0" w:color="auto"/>
            </w:tcBorders>
            <w:noWrap/>
            <w:hideMark/>
          </w:tcPr>
          <w:p w14:paraId="3F45F02B" w14:textId="77777777" w:rsidR="003D49E9" w:rsidRPr="003D49E9" w:rsidRDefault="003D49E9">
            <w:pPr>
              <w:jc w:val="left"/>
              <w:rPr>
                <w:b/>
                <w:bCs/>
                <w:sz w:val="21"/>
                <w:szCs w:val="21"/>
                <w:lang w:val="es-ES"/>
              </w:rPr>
            </w:pPr>
            <w:r w:rsidRPr="003D49E9">
              <w:rPr>
                <w:b/>
                <w:bCs/>
                <w:sz w:val="21"/>
                <w:szCs w:val="21"/>
                <w:lang w:val="es-ES"/>
              </w:rPr>
              <w:t>Actividades relacionadas con los HFC</w:t>
            </w:r>
          </w:p>
        </w:tc>
      </w:tr>
      <w:tr w:rsidR="003D49E9" w:rsidRPr="003D49E9" w14:paraId="13436213" w14:textId="77777777" w:rsidTr="003D49E9">
        <w:tc>
          <w:tcPr>
            <w:tcW w:w="1665" w:type="pct"/>
            <w:tcBorders>
              <w:top w:val="nil"/>
              <w:left w:val="single" w:sz="4" w:space="0" w:color="auto"/>
              <w:bottom w:val="single" w:sz="4" w:space="0" w:color="auto"/>
              <w:right w:val="single" w:sz="4" w:space="0" w:color="auto"/>
            </w:tcBorders>
            <w:noWrap/>
            <w:vAlign w:val="center"/>
            <w:hideMark/>
          </w:tcPr>
          <w:p w14:paraId="2CDB00DF" w14:textId="77777777" w:rsidR="003D49E9" w:rsidRPr="003D49E9" w:rsidRDefault="003D49E9">
            <w:pPr>
              <w:jc w:val="left"/>
              <w:rPr>
                <w:sz w:val="20"/>
                <w:szCs w:val="20"/>
                <w:lang w:val="es-ES"/>
              </w:rPr>
            </w:pPr>
            <w:r w:rsidRPr="003D49E9">
              <w:rPr>
                <w:sz w:val="21"/>
                <w:szCs w:val="21"/>
                <w:lang w:val="es-ES"/>
              </w:rPr>
              <w:t>KIP: preparación de proyectos</w:t>
            </w:r>
          </w:p>
        </w:tc>
        <w:tc>
          <w:tcPr>
            <w:tcW w:w="834" w:type="pct"/>
            <w:tcBorders>
              <w:top w:val="nil"/>
              <w:left w:val="nil"/>
              <w:bottom w:val="single" w:sz="4" w:space="0" w:color="auto"/>
              <w:right w:val="single" w:sz="4" w:space="0" w:color="auto"/>
            </w:tcBorders>
            <w:noWrap/>
            <w:hideMark/>
          </w:tcPr>
          <w:p w14:paraId="68BD2D2C" w14:textId="77777777" w:rsidR="003D49E9" w:rsidRPr="003D49E9" w:rsidRDefault="003D49E9">
            <w:pPr>
              <w:jc w:val="right"/>
              <w:rPr>
                <w:sz w:val="21"/>
                <w:szCs w:val="21"/>
                <w:lang w:val="es-ES"/>
              </w:rPr>
            </w:pPr>
            <w:r w:rsidRPr="003D49E9">
              <w:rPr>
                <w:sz w:val="21"/>
                <w:szCs w:val="21"/>
                <w:lang w:val="es-ES"/>
              </w:rPr>
              <w:t>192.100</w:t>
            </w:r>
          </w:p>
        </w:tc>
        <w:tc>
          <w:tcPr>
            <w:tcW w:w="834" w:type="pct"/>
            <w:tcBorders>
              <w:top w:val="nil"/>
              <w:left w:val="nil"/>
              <w:bottom w:val="single" w:sz="4" w:space="0" w:color="auto"/>
              <w:right w:val="single" w:sz="4" w:space="0" w:color="auto"/>
            </w:tcBorders>
            <w:noWrap/>
            <w:hideMark/>
          </w:tcPr>
          <w:p w14:paraId="3C7AD9BC" w14:textId="77777777" w:rsidR="003D49E9" w:rsidRPr="003D49E9" w:rsidRDefault="003D49E9">
            <w:pPr>
              <w:jc w:val="right"/>
              <w:rPr>
                <w:sz w:val="21"/>
                <w:szCs w:val="21"/>
                <w:lang w:val="es-ES"/>
              </w:rPr>
            </w:pPr>
            <w:r w:rsidRPr="003D49E9">
              <w:rPr>
                <w:sz w:val="21"/>
                <w:szCs w:val="21"/>
                <w:lang w:val="es-ES"/>
              </w:rPr>
              <w:t>0</w:t>
            </w:r>
          </w:p>
        </w:tc>
        <w:tc>
          <w:tcPr>
            <w:tcW w:w="834" w:type="pct"/>
            <w:tcBorders>
              <w:top w:val="nil"/>
              <w:left w:val="nil"/>
              <w:bottom w:val="single" w:sz="4" w:space="0" w:color="auto"/>
              <w:right w:val="single" w:sz="4" w:space="0" w:color="auto"/>
            </w:tcBorders>
            <w:noWrap/>
            <w:hideMark/>
          </w:tcPr>
          <w:p w14:paraId="4FFFD896" w14:textId="77777777" w:rsidR="003D49E9" w:rsidRPr="003D49E9" w:rsidRDefault="003D49E9">
            <w:pPr>
              <w:jc w:val="right"/>
              <w:rPr>
                <w:sz w:val="21"/>
                <w:szCs w:val="21"/>
                <w:lang w:val="es-ES"/>
              </w:rPr>
            </w:pPr>
            <w:r w:rsidRPr="003D49E9">
              <w:rPr>
                <w:sz w:val="21"/>
                <w:szCs w:val="21"/>
                <w:lang w:val="es-ES"/>
              </w:rPr>
              <w:t>0</w:t>
            </w:r>
          </w:p>
        </w:tc>
        <w:tc>
          <w:tcPr>
            <w:tcW w:w="833" w:type="pct"/>
            <w:tcBorders>
              <w:top w:val="nil"/>
              <w:left w:val="nil"/>
              <w:bottom w:val="single" w:sz="4" w:space="0" w:color="auto"/>
              <w:right w:val="single" w:sz="4" w:space="0" w:color="auto"/>
            </w:tcBorders>
            <w:noWrap/>
            <w:hideMark/>
          </w:tcPr>
          <w:p w14:paraId="2524E3C9" w14:textId="77777777" w:rsidR="003D49E9" w:rsidRPr="003D49E9" w:rsidRDefault="003D49E9">
            <w:pPr>
              <w:jc w:val="right"/>
              <w:rPr>
                <w:sz w:val="21"/>
                <w:szCs w:val="21"/>
                <w:lang w:val="es-ES"/>
              </w:rPr>
            </w:pPr>
            <w:r w:rsidRPr="003D49E9">
              <w:rPr>
                <w:sz w:val="21"/>
                <w:szCs w:val="21"/>
                <w:lang w:val="es-ES"/>
              </w:rPr>
              <w:t>192.100</w:t>
            </w:r>
          </w:p>
        </w:tc>
      </w:tr>
      <w:tr w:rsidR="003D49E9" w:rsidRPr="003D49E9" w14:paraId="4EAD984F" w14:textId="77777777" w:rsidTr="003D49E9">
        <w:tc>
          <w:tcPr>
            <w:tcW w:w="1665" w:type="pct"/>
            <w:tcBorders>
              <w:top w:val="nil"/>
              <w:left w:val="single" w:sz="4" w:space="0" w:color="auto"/>
              <w:bottom w:val="single" w:sz="4" w:space="0" w:color="auto"/>
              <w:right w:val="single" w:sz="4" w:space="0" w:color="auto"/>
            </w:tcBorders>
            <w:noWrap/>
            <w:vAlign w:val="center"/>
            <w:hideMark/>
          </w:tcPr>
          <w:p w14:paraId="1B163464" w14:textId="77777777" w:rsidR="003D49E9" w:rsidRPr="003D49E9" w:rsidRDefault="003D49E9">
            <w:pPr>
              <w:jc w:val="left"/>
              <w:rPr>
                <w:b/>
                <w:bCs/>
                <w:sz w:val="21"/>
                <w:szCs w:val="21"/>
                <w:lang w:val="es-ES"/>
              </w:rPr>
            </w:pPr>
            <w:r w:rsidRPr="003D49E9">
              <w:rPr>
                <w:b/>
                <w:bCs/>
                <w:sz w:val="21"/>
                <w:szCs w:val="21"/>
                <w:lang w:val="es-ES"/>
              </w:rPr>
              <w:t>Total</w:t>
            </w:r>
          </w:p>
        </w:tc>
        <w:tc>
          <w:tcPr>
            <w:tcW w:w="834" w:type="pct"/>
            <w:tcBorders>
              <w:top w:val="nil"/>
              <w:left w:val="nil"/>
              <w:bottom w:val="single" w:sz="4" w:space="0" w:color="auto"/>
              <w:right w:val="single" w:sz="4" w:space="0" w:color="auto"/>
            </w:tcBorders>
            <w:noWrap/>
            <w:hideMark/>
          </w:tcPr>
          <w:p w14:paraId="3DE4B0BA" w14:textId="77777777" w:rsidR="003D49E9" w:rsidRPr="003D49E9" w:rsidRDefault="003D49E9">
            <w:pPr>
              <w:jc w:val="right"/>
              <w:rPr>
                <w:b/>
                <w:sz w:val="21"/>
                <w:szCs w:val="21"/>
                <w:lang w:val="es-ES"/>
              </w:rPr>
            </w:pPr>
            <w:r w:rsidRPr="003D49E9">
              <w:rPr>
                <w:b/>
                <w:sz w:val="21"/>
                <w:szCs w:val="21"/>
                <w:lang w:val="es-ES"/>
              </w:rPr>
              <w:t>192.100</w:t>
            </w:r>
          </w:p>
        </w:tc>
        <w:tc>
          <w:tcPr>
            <w:tcW w:w="834" w:type="pct"/>
            <w:tcBorders>
              <w:top w:val="nil"/>
              <w:left w:val="nil"/>
              <w:bottom w:val="single" w:sz="4" w:space="0" w:color="auto"/>
              <w:right w:val="single" w:sz="4" w:space="0" w:color="auto"/>
            </w:tcBorders>
            <w:noWrap/>
            <w:hideMark/>
          </w:tcPr>
          <w:p w14:paraId="095CA597" w14:textId="77777777" w:rsidR="003D49E9" w:rsidRPr="003D49E9" w:rsidRDefault="003D49E9">
            <w:pPr>
              <w:jc w:val="right"/>
              <w:rPr>
                <w:b/>
                <w:sz w:val="21"/>
                <w:szCs w:val="21"/>
                <w:lang w:val="es-ES"/>
              </w:rPr>
            </w:pPr>
            <w:r w:rsidRPr="003D49E9">
              <w:rPr>
                <w:b/>
                <w:sz w:val="21"/>
                <w:szCs w:val="21"/>
                <w:lang w:val="es-ES"/>
              </w:rPr>
              <w:t>0</w:t>
            </w:r>
          </w:p>
        </w:tc>
        <w:tc>
          <w:tcPr>
            <w:tcW w:w="834" w:type="pct"/>
            <w:tcBorders>
              <w:top w:val="nil"/>
              <w:left w:val="nil"/>
              <w:bottom w:val="single" w:sz="4" w:space="0" w:color="auto"/>
              <w:right w:val="single" w:sz="4" w:space="0" w:color="auto"/>
            </w:tcBorders>
            <w:noWrap/>
            <w:hideMark/>
          </w:tcPr>
          <w:p w14:paraId="4249596A" w14:textId="77777777" w:rsidR="003D49E9" w:rsidRPr="003D49E9" w:rsidRDefault="003D49E9">
            <w:pPr>
              <w:jc w:val="right"/>
              <w:rPr>
                <w:b/>
                <w:sz w:val="21"/>
                <w:szCs w:val="21"/>
                <w:lang w:val="es-ES"/>
              </w:rPr>
            </w:pPr>
            <w:r w:rsidRPr="003D49E9">
              <w:rPr>
                <w:b/>
                <w:sz w:val="21"/>
                <w:szCs w:val="21"/>
                <w:lang w:val="es-ES"/>
              </w:rPr>
              <w:t>0</w:t>
            </w:r>
          </w:p>
        </w:tc>
        <w:tc>
          <w:tcPr>
            <w:tcW w:w="833" w:type="pct"/>
            <w:tcBorders>
              <w:top w:val="nil"/>
              <w:left w:val="nil"/>
              <w:bottom w:val="single" w:sz="4" w:space="0" w:color="auto"/>
              <w:right w:val="single" w:sz="4" w:space="0" w:color="auto"/>
            </w:tcBorders>
            <w:noWrap/>
            <w:hideMark/>
          </w:tcPr>
          <w:p w14:paraId="12F7FCE5" w14:textId="77777777" w:rsidR="003D49E9" w:rsidRPr="003D49E9" w:rsidRDefault="003D49E9">
            <w:pPr>
              <w:jc w:val="right"/>
              <w:rPr>
                <w:b/>
                <w:sz w:val="21"/>
                <w:szCs w:val="21"/>
                <w:lang w:val="es-ES"/>
              </w:rPr>
            </w:pPr>
            <w:r w:rsidRPr="003D49E9">
              <w:rPr>
                <w:b/>
                <w:sz w:val="21"/>
                <w:szCs w:val="21"/>
                <w:lang w:val="es-ES"/>
              </w:rPr>
              <w:t>192.100</w:t>
            </w:r>
          </w:p>
        </w:tc>
      </w:tr>
    </w:tbl>
    <w:p w14:paraId="74B8F499" w14:textId="77777777" w:rsidR="003D49E9" w:rsidRPr="003D49E9" w:rsidRDefault="003D49E9" w:rsidP="003D49E9">
      <w:pPr>
        <w:rPr>
          <w:sz w:val="20"/>
          <w:szCs w:val="20"/>
          <w:lang w:val="es-ES"/>
        </w:rPr>
      </w:pPr>
      <w:r w:rsidRPr="003D49E9">
        <w:rPr>
          <w:sz w:val="20"/>
          <w:szCs w:val="20"/>
          <w:lang w:val="es-ES"/>
        </w:rPr>
        <w:t>* Incluidos los gastos de apoyo a los organismos.</w:t>
      </w:r>
    </w:p>
    <w:p w14:paraId="768C92FB" w14:textId="77777777" w:rsidR="003D49E9" w:rsidRPr="003D49E9" w:rsidRDefault="003D49E9" w:rsidP="003D49E9">
      <w:pPr>
        <w:rPr>
          <w:sz w:val="20"/>
          <w:szCs w:val="20"/>
          <w:lang w:val="es-ES"/>
        </w:rPr>
      </w:pPr>
      <w:r w:rsidRPr="003D49E9">
        <w:rPr>
          <w:sz w:val="20"/>
          <w:szCs w:val="20"/>
          <w:lang w:val="es-ES"/>
        </w:rPr>
        <w:t>** No hay actividades después de 2024.</w:t>
      </w:r>
    </w:p>
    <w:p w14:paraId="09EF9BB3" w14:textId="77777777" w:rsidR="003D49E9" w:rsidRPr="003D49E9" w:rsidRDefault="003D49E9" w:rsidP="003D49E9">
      <w:pPr>
        <w:rPr>
          <w:sz w:val="18"/>
          <w:szCs w:val="18"/>
          <w:lang w:val="es-ES"/>
        </w:rPr>
      </w:pPr>
    </w:p>
    <w:p w14:paraId="4834E6E3" w14:textId="77777777" w:rsidR="003D49E9" w:rsidRPr="003D49E9" w:rsidRDefault="003D49E9" w:rsidP="003D49E9">
      <w:pPr>
        <w:pStyle w:val="Heading1"/>
        <w:numPr>
          <w:ilvl w:val="0"/>
          <w:numId w:val="21"/>
        </w:numPr>
        <w:rPr>
          <w:lang w:val="es-ES"/>
        </w:rPr>
      </w:pPr>
      <w:r w:rsidRPr="003D49E9">
        <w:rPr>
          <w:lang w:val="es-ES"/>
        </w:rPr>
        <w:t>El Reino Unido de Gran Bretaña e Irlanda del Norte incluyó 339.000 $EUA para la preparación del KIP</w:t>
      </w:r>
      <w:r w:rsidRPr="003D49E9">
        <w:rPr>
          <w:rStyle w:val="FootnoteReference"/>
          <w:lang w:val="es-ES"/>
        </w:rPr>
        <w:footnoteReference w:id="10"/>
      </w:r>
      <w:r w:rsidRPr="003D49E9">
        <w:rPr>
          <w:lang w:val="es-ES"/>
        </w:rPr>
        <w:t xml:space="preserve"> de un país (Honduras). </w:t>
      </w:r>
    </w:p>
    <w:p w14:paraId="308A6988" w14:textId="77777777" w:rsidR="003D49E9" w:rsidRPr="003D49E9" w:rsidRDefault="003D49E9" w:rsidP="004B0807">
      <w:pPr>
        <w:keepNext/>
        <w:keepLines/>
        <w:spacing w:after="240"/>
        <w:rPr>
          <w:b/>
          <w:lang w:val="es-ES"/>
        </w:rPr>
      </w:pPr>
      <w:r w:rsidRPr="003D49E9">
        <w:rPr>
          <w:b/>
          <w:lang w:val="es-ES"/>
        </w:rPr>
        <w:t>Ajustes a los planes administrativos de los organismos bilaterales para 2022-2024</w:t>
      </w:r>
    </w:p>
    <w:p w14:paraId="087DDE2A" w14:textId="171AE702" w:rsidR="003D49E9" w:rsidRPr="003D49E9" w:rsidRDefault="003D49E9" w:rsidP="004B0807">
      <w:pPr>
        <w:pStyle w:val="Heading1"/>
        <w:numPr>
          <w:ilvl w:val="0"/>
          <w:numId w:val="21"/>
        </w:numPr>
        <w:rPr>
          <w:lang w:val="es-ES"/>
        </w:rPr>
      </w:pPr>
      <w:r w:rsidRPr="003D49E9">
        <w:rPr>
          <w:lang w:val="es-ES"/>
        </w:rPr>
        <w:t xml:space="preserve">Los ajustes de los planes administrativos bilaterales para 2022-2024 se basaron en las decisiones pertinentes del Comité Ejecutivo. Es posible que </w:t>
      </w:r>
      <w:r w:rsidR="00F301DE">
        <w:rPr>
          <w:lang w:val="es-ES"/>
        </w:rPr>
        <w:t>sean necesarios</w:t>
      </w:r>
      <w:r w:rsidRPr="003D49E9">
        <w:rPr>
          <w:lang w:val="es-ES"/>
        </w:rPr>
        <w:t xml:space="preserve"> más ajustes a la espera de una decisión de las Partes sobre el nivel de reposición del Fondo Multilateral para el trienio 2021-2023</w:t>
      </w:r>
      <w:r>
        <w:rPr>
          <w:rStyle w:val="FootnoteReference"/>
        </w:rPr>
        <w:footnoteReference w:id="11"/>
      </w:r>
      <w:r w:rsidRPr="003D49E9">
        <w:rPr>
          <w:lang w:val="es-ES"/>
        </w:rPr>
        <w:t xml:space="preserve">. </w:t>
      </w:r>
    </w:p>
    <w:p w14:paraId="5FC0B19F" w14:textId="77777777" w:rsidR="003D49E9" w:rsidRPr="003D49E9" w:rsidRDefault="003D49E9" w:rsidP="004B0807">
      <w:pPr>
        <w:pStyle w:val="Heading1"/>
        <w:numPr>
          <w:ilvl w:val="0"/>
          <w:numId w:val="21"/>
        </w:numPr>
        <w:rPr>
          <w:lang w:val="es-ES"/>
        </w:rPr>
      </w:pPr>
      <w:r w:rsidRPr="003D49E9">
        <w:rPr>
          <w:lang w:val="es-ES"/>
        </w:rPr>
        <w:t>Tras realizar los ajustes propuestos anteriormente, el valor total de los planes administrativos de los organismos bilaterales para 2022-2024 es de 6.166.786 $EUA, como se muestra en el Cuadro 9. Estos ajustes se han introducido en el plan administrativo refundido del Fondo Multilateral para 2022-2024</w:t>
      </w:r>
      <w:r>
        <w:rPr>
          <w:rStyle w:val="FootnoteReference"/>
        </w:rPr>
        <w:footnoteReference w:id="12"/>
      </w:r>
      <w:r w:rsidRPr="003D49E9">
        <w:rPr>
          <w:lang w:val="es-ES"/>
        </w:rPr>
        <w:t>.</w:t>
      </w:r>
    </w:p>
    <w:p w14:paraId="7E6AFBB9" w14:textId="77777777" w:rsidR="003D49E9" w:rsidRPr="003D49E9" w:rsidRDefault="003D49E9" w:rsidP="00F301DE">
      <w:pPr>
        <w:pStyle w:val="Heading1"/>
        <w:keepNext/>
        <w:numPr>
          <w:ilvl w:val="0"/>
          <w:numId w:val="0"/>
        </w:numPr>
        <w:tabs>
          <w:tab w:val="left" w:pos="708"/>
        </w:tabs>
        <w:spacing w:after="0"/>
        <w:rPr>
          <w:b/>
          <w:lang w:val="es-ES"/>
        </w:rPr>
      </w:pPr>
      <w:r w:rsidRPr="003D49E9">
        <w:rPr>
          <w:b/>
          <w:lang w:val="es-ES"/>
        </w:rPr>
        <w:lastRenderedPageBreak/>
        <w:t>Cuadro 9. Asignación de recursos en los planes administrativos ajustados de los organismos bilaterales para 2022-2024 ($EUA)*</w:t>
      </w:r>
    </w:p>
    <w:tbl>
      <w:tblPr>
        <w:tblW w:w="9360" w:type="dxa"/>
        <w:tblLayout w:type="fixed"/>
        <w:tblLook w:val="04A0" w:firstRow="1" w:lastRow="0" w:firstColumn="1" w:lastColumn="0" w:noHBand="0" w:noVBand="1"/>
      </w:tblPr>
      <w:tblGrid>
        <w:gridCol w:w="2802"/>
        <w:gridCol w:w="1311"/>
        <w:gridCol w:w="1311"/>
        <w:gridCol w:w="1311"/>
        <w:gridCol w:w="1311"/>
        <w:gridCol w:w="1314"/>
      </w:tblGrid>
      <w:tr w:rsidR="003D49E9" w:rsidRPr="003D49E9" w14:paraId="60D48665" w14:textId="77777777" w:rsidTr="003D49E9">
        <w:tc>
          <w:tcPr>
            <w:tcW w:w="2800" w:type="dxa"/>
            <w:tcBorders>
              <w:top w:val="single" w:sz="4" w:space="0" w:color="auto"/>
              <w:left w:val="single" w:sz="4" w:space="0" w:color="auto"/>
              <w:bottom w:val="single" w:sz="4" w:space="0" w:color="auto"/>
              <w:right w:val="single" w:sz="4" w:space="0" w:color="auto"/>
            </w:tcBorders>
            <w:noWrap/>
            <w:vAlign w:val="center"/>
            <w:hideMark/>
          </w:tcPr>
          <w:p w14:paraId="6947D5AD" w14:textId="77777777" w:rsidR="003D49E9" w:rsidRPr="003D49E9" w:rsidRDefault="003D49E9" w:rsidP="00F301DE">
            <w:pPr>
              <w:keepNext/>
              <w:jc w:val="left"/>
              <w:rPr>
                <w:b/>
                <w:bCs/>
                <w:sz w:val="21"/>
                <w:szCs w:val="21"/>
                <w:lang w:val="es-ES"/>
              </w:rPr>
            </w:pPr>
            <w:r w:rsidRPr="003D49E9">
              <w:rPr>
                <w:b/>
                <w:bCs/>
                <w:sz w:val="21"/>
                <w:szCs w:val="21"/>
                <w:lang w:val="es-ES"/>
              </w:rPr>
              <w:t>Descripción</w:t>
            </w:r>
          </w:p>
        </w:tc>
        <w:tc>
          <w:tcPr>
            <w:tcW w:w="1311" w:type="dxa"/>
            <w:tcBorders>
              <w:top w:val="single" w:sz="4" w:space="0" w:color="auto"/>
              <w:left w:val="nil"/>
              <w:bottom w:val="single" w:sz="4" w:space="0" w:color="auto"/>
              <w:right w:val="single" w:sz="4" w:space="0" w:color="auto"/>
            </w:tcBorders>
            <w:vAlign w:val="center"/>
            <w:hideMark/>
          </w:tcPr>
          <w:p w14:paraId="03DD363A" w14:textId="77777777" w:rsidR="003D49E9" w:rsidRPr="003D49E9" w:rsidRDefault="003D49E9" w:rsidP="00F301DE">
            <w:pPr>
              <w:keepNext/>
              <w:jc w:val="center"/>
              <w:rPr>
                <w:b/>
                <w:bCs/>
                <w:sz w:val="21"/>
                <w:szCs w:val="21"/>
                <w:lang w:val="es-ES"/>
              </w:rPr>
            </w:pPr>
            <w:r w:rsidRPr="003D49E9">
              <w:rPr>
                <w:b/>
                <w:bCs/>
                <w:sz w:val="21"/>
                <w:szCs w:val="21"/>
                <w:lang w:val="es-ES"/>
              </w:rPr>
              <w:t>2022</w:t>
            </w:r>
          </w:p>
        </w:tc>
        <w:tc>
          <w:tcPr>
            <w:tcW w:w="1310" w:type="dxa"/>
            <w:tcBorders>
              <w:top w:val="single" w:sz="4" w:space="0" w:color="auto"/>
              <w:left w:val="nil"/>
              <w:bottom w:val="single" w:sz="4" w:space="0" w:color="auto"/>
              <w:right w:val="single" w:sz="4" w:space="0" w:color="auto"/>
            </w:tcBorders>
            <w:vAlign w:val="center"/>
            <w:hideMark/>
          </w:tcPr>
          <w:p w14:paraId="58760385" w14:textId="77777777" w:rsidR="003D49E9" w:rsidRPr="003D49E9" w:rsidRDefault="003D49E9" w:rsidP="00F301DE">
            <w:pPr>
              <w:keepNext/>
              <w:jc w:val="center"/>
              <w:rPr>
                <w:b/>
                <w:bCs/>
                <w:sz w:val="21"/>
                <w:szCs w:val="21"/>
                <w:lang w:val="es-ES"/>
              </w:rPr>
            </w:pPr>
            <w:r w:rsidRPr="003D49E9">
              <w:rPr>
                <w:b/>
                <w:bCs/>
                <w:sz w:val="21"/>
                <w:szCs w:val="21"/>
                <w:lang w:val="es-ES"/>
              </w:rPr>
              <w:t>2023</w:t>
            </w:r>
          </w:p>
        </w:tc>
        <w:tc>
          <w:tcPr>
            <w:tcW w:w="1310" w:type="dxa"/>
            <w:tcBorders>
              <w:top w:val="single" w:sz="4" w:space="0" w:color="auto"/>
              <w:left w:val="nil"/>
              <w:bottom w:val="single" w:sz="4" w:space="0" w:color="auto"/>
              <w:right w:val="single" w:sz="4" w:space="0" w:color="auto"/>
            </w:tcBorders>
            <w:vAlign w:val="center"/>
            <w:hideMark/>
          </w:tcPr>
          <w:p w14:paraId="4271E4DA" w14:textId="77777777" w:rsidR="003D49E9" w:rsidRPr="003D49E9" w:rsidRDefault="003D49E9" w:rsidP="00F301DE">
            <w:pPr>
              <w:keepNext/>
              <w:jc w:val="center"/>
              <w:rPr>
                <w:b/>
                <w:bCs/>
                <w:sz w:val="21"/>
                <w:szCs w:val="21"/>
                <w:lang w:val="es-ES"/>
              </w:rPr>
            </w:pPr>
            <w:r w:rsidRPr="003D49E9">
              <w:rPr>
                <w:b/>
                <w:bCs/>
                <w:sz w:val="21"/>
                <w:szCs w:val="21"/>
                <w:lang w:val="es-ES"/>
              </w:rPr>
              <w:t>2024</w:t>
            </w:r>
          </w:p>
        </w:tc>
        <w:tc>
          <w:tcPr>
            <w:tcW w:w="1310" w:type="dxa"/>
            <w:tcBorders>
              <w:top w:val="single" w:sz="4" w:space="0" w:color="auto"/>
              <w:left w:val="nil"/>
              <w:bottom w:val="single" w:sz="4" w:space="0" w:color="auto"/>
              <w:right w:val="single" w:sz="4" w:space="0" w:color="auto"/>
            </w:tcBorders>
            <w:vAlign w:val="center"/>
            <w:hideMark/>
          </w:tcPr>
          <w:p w14:paraId="26654960" w14:textId="77777777" w:rsidR="003D49E9" w:rsidRPr="003D49E9" w:rsidRDefault="003D49E9" w:rsidP="00F301DE">
            <w:pPr>
              <w:keepNext/>
              <w:jc w:val="center"/>
              <w:rPr>
                <w:b/>
                <w:bCs/>
                <w:sz w:val="21"/>
                <w:szCs w:val="21"/>
                <w:lang w:val="es-ES"/>
              </w:rPr>
            </w:pPr>
            <w:r w:rsidRPr="003D49E9">
              <w:rPr>
                <w:b/>
                <w:bCs/>
                <w:sz w:val="21"/>
                <w:szCs w:val="21"/>
                <w:lang w:val="es-ES"/>
              </w:rPr>
              <w:t xml:space="preserve">Total </w:t>
            </w:r>
          </w:p>
          <w:p w14:paraId="16BCBAF9" w14:textId="77777777" w:rsidR="003D49E9" w:rsidRPr="003D49E9" w:rsidRDefault="003D49E9" w:rsidP="00F301DE">
            <w:pPr>
              <w:keepNext/>
              <w:jc w:val="center"/>
              <w:rPr>
                <w:b/>
                <w:bCs/>
                <w:sz w:val="21"/>
                <w:szCs w:val="21"/>
                <w:lang w:val="es-ES"/>
              </w:rPr>
            </w:pPr>
            <w:r w:rsidRPr="003D49E9">
              <w:rPr>
                <w:b/>
                <w:bCs/>
                <w:sz w:val="21"/>
                <w:szCs w:val="21"/>
                <w:lang w:val="es-ES"/>
              </w:rPr>
              <w:t>(2022-2024)</w:t>
            </w:r>
          </w:p>
        </w:tc>
        <w:tc>
          <w:tcPr>
            <w:tcW w:w="1314" w:type="dxa"/>
            <w:tcBorders>
              <w:top w:val="single" w:sz="4" w:space="0" w:color="auto"/>
              <w:left w:val="nil"/>
              <w:bottom w:val="single" w:sz="4" w:space="0" w:color="auto"/>
              <w:right w:val="single" w:sz="4" w:space="0" w:color="auto"/>
            </w:tcBorders>
            <w:vAlign w:val="center"/>
            <w:hideMark/>
          </w:tcPr>
          <w:p w14:paraId="615DA6CA" w14:textId="77777777" w:rsidR="003D49E9" w:rsidRPr="003D49E9" w:rsidRDefault="003D49E9" w:rsidP="00F301DE">
            <w:pPr>
              <w:keepNext/>
              <w:jc w:val="center"/>
              <w:rPr>
                <w:b/>
                <w:bCs/>
                <w:sz w:val="21"/>
                <w:szCs w:val="21"/>
                <w:lang w:val="es-ES"/>
              </w:rPr>
            </w:pPr>
            <w:r w:rsidRPr="003D49E9">
              <w:rPr>
                <w:b/>
                <w:bCs/>
                <w:sz w:val="21"/>
                <w:szCs w:val="21"/>
                <w:lang w:val="es-ES"/>
              </w:rPr>
              <w:t>Total después de 2024</w:t>
            </w:r>
          </w:p>
        </w:tc>
      </w:tr>
      <w:tr w:rsidR="003D49E9" w:rsidRPr="000755F8" w14:paraId="08335EE5" w14:textId="77777777" w:rsidTr="003D49E9">
        <w:tc>
          <w:tcPr>
            <w:tcW w:w="9355" w:type="dxa"/>
            <w:gridSpan w:val="6"/>
            <w:tcBorders>
              <w:top w:val="single" w:sz="4" w:space="0" w:color="auto"/>
              <w:left w:val="single" w:sz="4" w:space="0" w:color="auto"/>
              <w:bottom w:val="single" w:sz="4" w:space="0" w:color="auto"/>
              <w:right w:val="single" w:sz="4" w:space="0" w:color="auto"/>
            </w:tcBorders>
            <w:noWrap/>
            <w:vAlign w:val="center"/>
            <w:hideMark/>
          </w:tcPr>
          <w:p w14:paraId="5434C9ED" w14:textId="77777777" w:rsidR="003D49E9" w:rsidRPr="003D49E9" w:rsidRDefault="003D49E9" w:rsidP="00F301DE">
            <w:pPr>
              <w:keepNext/>
              <w:jc w:val="left"/>
              <w:rPr>
                <w:b/>
                <w:bCs/>
                <w:sz w:val="21"/>
                <w:szCs w:val="21"/>
                <w:lang w:val="es-ES"/>
              </w:rPr>
            </w:pPr>
            <w:r w:rsidRPr="003D49E9">
              <w:rPr>
                <w:b/>
                <w:bCs/>
                <w:sz w:val="21"/>
                <w:szCs w:val="21"/>
                <w:lang w:val="es-ES"/>
              </w:rPr>
              <w:t>Actividades relacionadas con los HCFC</w:t>
            </w:r>
          </w:p>
        </w:tc>
      </w:tr>
      <w:tr w:rsidR="003D49E9" w:rsidRPr="003D49E9" w14:paraId="7AFF4164"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35CC29D8" w14:textId="77777777" w:rsidR="003D49E9" w:rsidRPr="003D49E9" w:rsidRDefault="003D49E9" w:rsidP="00F301DE">
            <w:pPr>
              <w:keepNext/>
              <w:jc w:val="left"/>
              <w:rPr>
                <w:sz w:val="21"/>
                <w:szCs w:val="21"/>
                <w:lang w:val="es-ES"/>
              </w:rPr>
            </w:pPr>
            <w:r w:rsidRPr="003D49E9">
              <w:rPr>
                <w:sz w:val="21"/>
                <w:szCs w:val="21"/>
                <w:lang w:val="es-ES"/>
              </w:rPr>
              <w:t>PGEH aprobados</w:t>
            </w:r>
          </w:p>
        </w:tc>
        <w:tc>
          <w:tcPr>
            <w:tcW w:w="1311" w:type="dxa"/>
            <w:tcBorders>
              <w:top w:val="nil"/>
              <w:left w:val="nil"/>
              <w:bottom w:val="single" w:sz="4" w:space="0" w:color="auto"/>
              <w:right w:val="single" w:sz="4" w:space="0" w:color="auto"/>
            </w:tcBorders>
            <w:noWrap/>
            <w:vAlign w:val="center"/>
            <w:hideMark/>
          </w:tcPr>
          <w:p w14:paraId="746E1536" w14:textId="77777777" w:rsidR="003D49E9" w:rsidRPr="003D49E9" w:rsidRDefault="003D49E9" w:rsidP="00F301DE">
            <w:pPr>
              <w:keepNext/>
              <w:jc w:val="right"/>
              <w:rPr>
                <w:sz w:val="21"/>
                <w:szCs w:val="21"/>
                <w:lang w:val="es-ES"/>
              </w:rPr>
            </w:pPr>
            <w:r w:rsidRPr="003D49E9">
              <w:rPr>
                <w:sz w:val="21"/>
                <w:szCs w:val="21"/>
                <w:lang w:val="es-ES"/>
              </w:rPr>
              <w:t>2.307.607</w:t>
            </w:r>
          </w:p>
        </w:tc>
        <w:tc>
          <w:tcPr>
            <w:tcW w:w="1310" w:type="dxa"/>
            <w:tcBorders>
              <w:top w:val="nil"/>
              <w:left w:val="nil"/>
              <w:bottom w:val="single" w:sz="4" w:space="0" w:color="auto"/>
              <w:right w:val="single" w:sz="4" w:space="0" w:color="auto"/>
            </w:tcBorders>
            <w:noWrap/>
            <w:vAlign w:val="center"/>
            <w:hideMark/>
          </w:tcPr>
          <w:p w14:paraId="3E30BF57" w14:textId="77777777" w:rsidR="003D49E9" w:rsidRPr="003D49E9" w:rsidRDefault="003D49E9" w:rsidP="00F301DE">
            <w:pPr>
              <w:keepNext/>
              <w:jc w:val="right"/>
              <w:rPr>
                <w:sz w:val="21"/>
                <w:szCs w:val="21"/>
                <w:lang w:val="es-ES"/>
              </w:rPr>
            </w:pPr>
            <w:r w:rsidRPr="003D49E9">
              <w:rPr>
                <w:sz w:val="21"/>
                <w:szCs w:val="21"/>
                <w:lang w:val="es-ES"/>
              </w:rPr>
              <w:t>2.675.917</w:t>
            </w:r>
          </w:p>
        </w:tc>
        <w:tc>
          <w:tcPr>
            <w:tcW w:w="1310" w:type="dxa"/>
            <w:tcBorders>
              <w:top w:val="nil"/>
              <w:left w:val="nil"/>
              <w:bottom w:val="single" w:sz="4" w:space="0" w:color="auto"/>
              <w:right w:val="single" w:sz="4" w:space="0" w:color="auto"/>
            </w:tcBorders>
            <w:noWrap/>
            <w:vAlign w:val="center"/>
            <w:hideMark/>
          </w:tcPr>
          <w:p w14:paraId="6F2936DB" w14:textId="77777777" w:rsidR="003D49E9" w:rsidRPr="003D49E9" w:rsidRDefault="003D49E9" w:rsidP="00F301DE">
            <w:pPr>
              <w:keepNext/>
              <w:jc w:val="right"/>
              <w:rPr>
                <w:sz w:val="21"/>
                <w:szCs w:val="21"/>
                <w:lang w:val="es-ES"/>
              </w:rPr>
            </w:pPr>
            <w:r w:rsidRPr="003D49E9">
              <w:rPr>
                <w:sz w:val="21"/>
                <w:szCs w:val="21"/>
                <w:lang w:val="es-ES"/>
              </w:rPr>
              <w:t>183.512</w:t>
            </w:r>
          </w:p>
        </w:tc>
        <w:tc>
          <w:tcPr>
            <w:tcW w:w="1310" w:type="dxa"/>
            <w:tcBorders>
              <w:top w:val="nil"/>
              <w:left w:val="nil"/>
              <w:bottom w:val="single" w:sz="4" w:space="0" w:color="auto"/>
              <w:right w:val="single" w:sz="4" w:space="0" w:color="auto"/>
            </w:tcBorders>
            <w:noWrap/>
            <w:vAlign w:val="center"/>
            <w:hideMark/>
          </w:tcPr>
          <w:p w14:paraId="1B2A6FFD" w14:textId="77777777" w:rsidR="003D49E9" w:rsidRPr="003D49E9" w:rsidRDefault="003D49E9" w:rsidP="00F301DE">
            <w:pPr>
              <w:keepNext/>
              <w:jc w:val="right"/>
              <w:rPr>
                <w:sz w:val="21"/>
                <w:szCs w:val="21"/>
                <w:lang w:val="es-ES"/>
              </w:rPr>
            </w:pPr>
            <w:r w:rsidRPr="003D49E9">
              <w:rPr>
                <w:sz w:val="21"/>
                <w:szCs w:val="21"/>
                <w:lang w:val="es-ES"/>
              </w:rPr>
              <w:t>5.167.036</w:t>
            </w:r>
          </w:p>
        </w:tc>
        <w:tc>
          <w:tcPr>
            <w:tcW w:w="1314" w:type="dxa"/>
            <w:tcBorders>
              <w:top w:val="nil"/>
              <w:left w:val="nil"/>
              <w:bottom w:val="single" w:sz="4" w:space="0" w:color="auto"/>
              <w:right w:val="single" w:sz="4" w:space="0" w:color="auto"/>
            </w:tcBorders>
            <w:noWrap/>
            <w:vAlign w:val="center"/>
            <w:hideMark/>
          </w:tcPr>
          <w:p w14:paraId="4616FD46" w14:textId="77777777" w:rsidR="003D49E9" w:rsidRPr="003D49E9" w:rsidRDefault="003D49E9" w:rsidP="00F301DE">
            <w:pPr>
              <w:keepNext/>
              <w:jc w:val="right"/>
              <w:rPr>
                <w:sz w:val="21"/>
                <w:szCs w:val="21"/>
                <w:lang w:val="es-ES"/>
              </w:rPr>
            </w:pPr>
            <w:r w:rsidRPr="003D49E9">
              <w:rPr>
                <w:sz w:val="21"/>
                <w:szCs w:val="21"/>
                <w:lang w:val="es-ES"/>
              </w:rPr>
              <w:t>829.226</w:t>
            </w:r>
          </w:p>
        </w:tc>
      </w:tr>
      <w:tr w:rsidR="003D49E9" w:rsidRPr="003D49E9" w14:paraId="138722D2"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2D7C86CD" w14:textId="77777777" w:rsidR="003D49E9" w:rsidRPr="003D49E9" w:rsidRDefault="003D49E9" w:rsidP="00F301DE">
            <w:pPr>
              <w:keepNext/>
              <w:jc w:val="left"/>
              <w:rPr>
                <w:sz w:val="21"/>
                <w:szCs w:val="21"/>
                <w:lang w:val="es-ES"/>
              </w:rPr>
            </w:pPr>
            <w:r w:rsidRPr="003D49E9">
              <w:rPr>
                <w:sz w:val="21"/>
                <w:szCs w:val="21"/>
                <w:lang w:val="es-ES"/>
              </w:rPr>
              <w:t>Etapa III de los PGEH</w:t>
            </w:r>
          </w:p>
        </w:tc>
        <w:tc>
          <w:tcPr>
            <w:tcW w:w="1311" w:type="dxa"/>
            <w:tcBorders>
              <w:top w:val="nil"/>
              <w:left w:val="nil"/>
              <w:bottom w:val="single" w:sz="4" w:space="0" w:color="auto"/>
              <w:right w:val="single" w:sz="4" w:space="0" w:color="auto"/>
            </w:tcBorders>
            <w:noWrap/>
            <w:vAlign w:val="center"/>
            <w:hideMark/>
          </w:tcPr>
          <w:p w14:paraId="1D4C287D" w14:textId="77777777" w:rsidR="003D49E9" w:rsidRPr="003D49E9" w:rsidRDefault="003D49E9" w:rsidP="00F301DE">
            <w:pPr>
              <w:keepNext/>
              <w:jc w:val="right"/>
              <w:rPr>
                <w:sz w:val="21"/>
                <w:szCs w:val="21"/>
                <w:lang w:val="es-ES"/>
              </w:rPr>
            </w:pPr>
            <w:r w:rsidRPr="003D49E9">
              <w:rPr>
                <w:sz w:val="21"/>
                <w:szCs w:val="21"/>
                <w:lang w:val="es-ES"/>
              </w:rPr>
              <w:t> </w:t>
            </w:r>
          </w:p>
        </w:tc>
        <w:tc>
          <w:tcPr>
            <w:tcW w:w="1310" w:type="dxa"/>
            <w:tcBorders>
              <w:top w:val="nil"/>
              <w:left w:val="nil"/>
              <w:bottom w:val="single" w:sz="4" w:space="0" w:color="auto"/>
              <w:right w:val="single" w:sz="4" w:space="0" w:color="auto"/>
            </w:tcBorders>
            <w:noWrap/>
            <w:vAlign w:val="center"/>
            <w:hideMark/>
          </w:tcPr>
          <w:p w14:paraId="0DB9F7DD" w14:textId="77777777" w:rsidR="003D49E9" w:rsidRPr="003D49E9" w:rsidRDefault="003D49E9" w:rsidP="00F301DE">
            <w:pPr>
              <w:keepNext/>
              <w:jc w:val="right"/>
              <w:rPr>
                <w:sz w:val="21"/>
                <w:szCs w:val="21"/>
                <w:lang w:val="es-ES"/>
              </w:rPr>
            </w:pPr>
            <w:r w:rsidRPr="003D49E9">
              <w:rPr>
                <w:sz w:val="21"/>
                <w:szCs w:val="21"/>
                <w:lang w:val="es-ES"/>
              </w:rPr>
              <w:t>422.650</w:t>
            </w:r>
          </w:p>
        </w:tc>
        <w:tc>
          <w:tcPr>
            <w:tcW w:w="1310" w:type="dxa"/>
            <w:tcBorders>
              <w:top w:val="nil"/>
              <w:left w:val="nil"/>
              <w:bottom w:val="single" w:sz="4" w:space="0" w:color="auto"/>
              <w:right w:val="single" w:sz="4" w:space="0" w:color="auto"/>
            </w:tcBorders>
            <w:noWrap/>
            <w:vAlign w:val="center"/>
            <w:hideMark/>
          </w:tcPr>
          <w:p w14:paraId="32669275" w14:textId="77777777" w:rsidR="003D49E9" w:rsidRPr="003D49E9" w:rsidRDefault="003D49E9" w:rsidP="00F301DE">
            <w:pPr>
              <w:keepNext/>
              <w:jc w:val="right"/>
              <w:rPr>
                <w:sz w:val="21"/>
                <w:szCs w:val="21"/>
                <w:lang w:val="es-ES"/>
              </w:rPr>
            </w:pPr>
            <w:r w:rsidRPr="003D49E9">
              <w:rPr>
                <w:sz w:val="21"/>
                <w:szCs w:val="21"/>
                <w:lang w:val="es-ES"/>
              </w:rPr>
              <w:t> </w:t>
            </w:r>
          </w:p>
        </w:tc>
        <w:tc>
          <w:tcPr>
            <w:tcW w:w="1310" w:type="dxa"/>
            <w:tcBorders>
              <w:top w:val="nil"/>
              <w:left w:val="nil"/>
              <w:bottom w:val="single" w:sz="4" w:space="0" w:color="auto"/>
              <w:right w:val="single" w:sz="4" w:space="0" w:color="auto"/>
            </w:tcBorders>
            <w:noWrap/>
            <w:vAlign w:val="center"/>
            <w:hideMark/>
          </w:tcPr>
          <w:p w14:paraId="240D5CAF" w14:textId="77777777" w:rsidR="003D49E9" w:rsidRPr="003D49E9" w:rsidRDefault="003D49E9" w:rsidP="00F301DE">
            <w:pPr>
              <w:keepNext/>
              <w:jc w:val="right"/>
              <w:rPr>
                <w:sz w:val="21"/>
                <w:szCs w:val="21"/>
                <w:lang w:val="es-ES"/>
              </w:rPr>
            </w:pPr>
            <w:r w:rsidRPr="003D49E9">
              <w:rPr>
                <w:sz w:val="21"/>
                <w:szCs w:val="21"/>
                <w:lang w:val="es-ES"/>
              </w:rPr>
              <w:t>422.650</w:t>
            </w:r>
          </w:p>
        </w:tc>
        <w:tc>
          <w:tcPr>
            <w:tcW w:w="1314" w:type="dxa"/>
            <w:tcBorders>
              <w:top w:val="nil"/>
              <w:left w:val="nil"/>
              <w:bottom w:val="single" w:sz="4" w:space="0" w:color="auto"/>
              <w:right w:val="single" w:sz="4" w:space="0" w:color="auto"/>
            </w:tcBorders>
            <w:noWrap/>
            <w:vAlign w:val="center"/>
            <w:hideMark/>
          </w:tcPr>
          <w:p w14:paraId="2FA978AC" w14:textId="77777777" w:rsidR="003D49E9" w:rsidRPr="003D49E9" w:rsidRDefault="003D49E9" w:rsidP="00F301DE">
            <w:pPr>
              <w:keepNext/>
              <w:jc w:val="right"/>
              <w:rPr>
                <w:sz w:val="21"/>
                <w:szCs w:val="21"/>
                <w:lang w:val="es-ES"/>
              </w:rPr>
            </w:pPr>
            <w:r w:rsidRPr="003D49E9">
              <w:rPr>
                <w:sz w:val="21"/>
                <w:szCs w:val="21"/>
                <w:lang w:val="es-ES"/>
              </w:rPr>
              <w:t> </w:t>
            </w:r>
          </w:p>
        </w:tc>
      </w:tr>
      <w:tr w:rsidR="003D49E9" w:rsidRPr="003D49E9" w14:paraId="7C568C6E"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424F9EF1" w14:textId="77777777" w:rsidR="003D49E9" w:rsidRPr="003D49E9" w:rsidRDefault="003D49E9" w:rsidP="00F301DE">
            <w:pPr>
              <w:keepNext/>
              <w:jc w:val="left"/>
              <w:rPr>
                <w:sz w:val="21"/>
                <w:szCs w:val="21"/>
                <w:lang w:val="es-ES"/>
              </w:rPr>
            </w:pPr>
            <w:r w:rsidRPr="003D49E9">
              <w:rPr>
                <w:sz w:val="21"/>
                <w:szCs w:val="21"/>
                <w:lang w:val="es-ES"/>
              </w:rPr>
              <w:t>Verificación de los PGEH</w:t>
            </w:r>
          </w:p>
        </w:tc>
        <w:tc>
          <w:tcPr>
            <w:tcW w:w="1311" w:type="dxa"/>
            <w:tcBorders>
              <w:top w:val="nil"/>
              <w:left w:val="nil"/>
              <w:bottom w:val="single" w:sz="4" w:space="0" w:color="auto"/>
              <w:right w:val="single" w:sz="4" w:space="0" w:color="auto"/>
            </w:tcBorders>
            <w:noWrap/>
            <w:vAlign w:val="center"/>
            <w:hideMark/>
          </w:tcPr>
          <w:p w14:paraId="0391566D" w14:textId="77777777" w:rsidR="003D49E9" w:rsidRPr="003D49E9" w:rsidRDefault="003D49E9" w:rsidP="00F301DE">
            <w:pPr>
              <w:keepNext/>
              <w:jc w:val="right"/>
              <w:rPr>
                <w:sz w:val="21"/>
                <w:szCs w:val="21"/>
                <w:lang w:val="es-ES"/>
              </w:rPr>
            </w:pPr>
            <w:r w:rsidRPr="003D49E9">
              <w:rPr>
                <w:sz w:val="21"/>
                <w:szCs w:val="21"/>
                <w:lang w:val="es-ES"/>
              </w:rPr>
              <w:t> </w:t>
            </w:r>
          </w:p>
        </w:tc>
        <w:tc>
          <w:tcPr>
            <w:tcW w:w="1310" w:type="dxa"/>
            <w:tcBorders>
              <w:top w:val="nil"/>
              <w:left w:val="nil"/>
              <w:bottom w:val="single" w:sz="4" w:space="0" w:color="auto"/>
              <w:right w:val="single" w:sz="4" w:space="0" w:color="auto"/>
            </w:tcBorders>
            <w:noWrap/>
            <w:vAlign w:val="center"/>
            <w:hideMark/>
          </w:tcPr>
          <w:p w14:paraId="79AD4306" w14:textId="77777777" w:rsidR="003D49E9" w:rsidRPr="003D49E9" w:rsidRDefault="003D49E9" w:rsidP="00F301DE">
            <w:pPr>
              <w:keepNext/>
              <w:jc w:val="right"/>
              <w:rPr>
                <w:sz w:val="21"/>
                <w:szCs w:val="21"/>
                <w:lang w:val="es-ES"/>
              </w:rPr>
            </w:pPr>
            <w:r w:rsidRPr="003D49E9">
              <w:rPr>
                <w:sz w:val="21"/>
                <w:szCs w:val="21"/>
                <w:lang w:val="es-ES"/>
              </w:rPr>
              <w:t>0</w:t>
            </w:r>
          </w:p>
        </w:tc>
        <w:tc>
          <w:tcPr>
            <w:tcW w:w="1310" w:type="dxa"/>
            <w:tcBorders>
              <w:top w:val="nil"/>
              <w:left w:val="nil"/>
              <w:bottom w:val="single" w:sz="4" w:space="0" w:color="auto"/>
              <w:right w:val="single" w:sz="4" w:space="0" w:color="auto"/>
            </w:tcBorders>
            <w:noWrap/>
            <w:vAlign w:val="center"/>
            <w:hideMark/>
          </w:tcPr>
          <w:p w14:paraId="06F13C90" w14:textId="77777777" w:rsidR="003D49E9" w:rsidRPr="003D49E9" w:rsidRDefault="003D49E9" w:rsidP="00F301DE">
            <w:pPr>
              <w:keepNext/>
              <w:jc w:val="right"/>
              <w:rPr>
                <w:sz w:val="21"/>
                <w:szCs w:val="21"/>
                <w:lang w:val="es-ES"/>
              </w:rPr>
            </w:pPr>
            <w:r w:rsidRPr="003D49E9">
              <w:rPr>
                <w:sz w:val="21"/>
                <w:szCs w:val="21"/>
                <w:lang w:val="es-ES"/>
              </w:rPr>
              <w:t> </w:t>
            </w:r>
          </w:p>
        </w:tc>
        <w:tc>
          <w:tcPr>
            <w:tcW w:w="1310" w:type="dxa"/>
            <w:tcBorders>
              <w:top w:val="nil"/>
              <w:left w:val="nil"/>
              <w:bottom w:val="single" w:sz="4" w:space="0" w:color="auto"/>
              <w:right w:val="single" w:sz="4" w:space="0" w:color="auto"/>
            </w:tcBorders>
            <w:noWrap/>
            <w:vAlign w:val="center"/>
            <w:hideMark/>
          </w:tcPr>
          <w:p w14:paraId="6FAD0BB2" w14:textId="77777777" w:rsidR="003D49E9" w:rsidRPr="003D49E9" w:rsidRDefault="003D49E9" w:rsidP="00F301DE">
            <w:pPr>
              <w:keepNext/>
              <w:jc w:val="right"/>
              <w:rPr>
                <w:sz w:val="21"/>
                <w:szCs w:val="21"/>
                <w:lang w:val="es-ES"/>
              </w:rPr>
            </w:pPr>
            <w:r w:rsidRPr="003D49E9">
              <w:rPr>
                <w:sz w:val="21"/>
                <w:szCs w:val="21"/>
                <w:lang w:val="es-ES"/>
              </w:rPr>
              <w:t>0</w:t>
            </w:r>
          </w:p>
        </w:tc>
        <w:tc>
          <w:tcPr>
            <w:tcW w:w="1314" w:type="dxa"/>
            <w:tcBorders>
              <w:top w:val="nil"/>
              <w:left w:val="nil"/>
              <w:bottom w:val="single" w:sz="4" w:space="0" w:color="auto"/>
              <w:right w:val="single" w:sz="4" w:space="0" w:color="auto"/>
            </w:tcBorders>
            <w:noWrap/>
            <w:vAlign w:val="center"/>
            <w:hideMark/>
          </w:tcPr>
          <w:p w14:paraId="5CA68C05" w14:textId="77777777" w:rsidR="003D49E9" w:rsidRPr="003D49E9" w:rsidRDefault="003D49E9" w:rsidP="00F301DE">
            <w:pPr>
              <w:keepNext/>
              <w:jc w:val="right"/>
              <w:rPr>
                <w:sz w:val="21"/>
                <w:szCs w:val="21"/>
                <w:lang w:val="es-ES"/>
              </w:rPr>
            </w:pPr>
            <w:r w:rsidRPr="003D49E9">
              <w:rPr>
                <w:sz w:val="21"/>
                <w:szCs w:val="21"/>
                <w:lang w:val="es-ES"/>
              </w:rPr>
              <w:t> </w:t>
            </w:r>
          </w:p>
        </w:tc>
      </w:tr>
      <w:tr w:rsidR="003D49E9" w:rsidRPr="003D49E9" w14:paraId="2AC08AA0"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1F565864" w14:textId="0D9C3D5B" w:rsidR="003D49E9" w:rsidRPr="003D49E9" w:rsidRDefault="00A843AB" w:rsidP="00F301DE">
            <w:pPr>
              <w:keepNext/>
              <w:jc w:val="left"/>
              <w:rPr>
                <w:b/>
                <w:bCs/>
                <w:sz w:val="21"/>
                <w:szCs w:val="21"/>
                <w:lang w:val="es-ES"/>
              </w:rPr>
            </w:pPr>
            <w:r>
              <w:rPr>
                <w:b/>
                <w:bCs/>
                <w:sz w:val="21"/>
                <w:szCs w:val="21"/>
                <w:lang w:val="es-ES"/>
              </w:rPr>
              <w:t>Subtotal de las</w:t>
            </w:r>
            <w:r w:rsidR="003D49E9" w:rsidRPr="003D49E9">
              <w:rPr>
                <w:b/>
                <w:bCs/>
                <w:sz w:val="21"/>
                <w:szCs w:val="21"/>
                <w:lang w:val="es-ES"/>
              </w:rPr>
              <w:t xml:space="preserve"> actividades relacionadas con los HCFC</w:t>
            </w:r>
          </w:p>
        </w:tc>
        <w:tc>
          <w:tcPr>
            <w:tcW w:w="1311" w:type="dxa"/>
            <w:tcBorders>
              <w:top w:val="nil"/>
              <w:left w:val="nil"/>
              <w:bottom w:val="single" w:sz="4" w:space="0" w:color="auto"/>
              <w:right w:val="single" w:sz="4" w:space="0" w:color="auto"/>
            </w:tcBorders>
            <w:noWrap/>
            <w:vAlign w:val="center"/>
            <w:hideMark/>
          </w:tcPr>
          <w:p w14:paraId="4E89B4B1" w14:textId="77777777" w:rsidR="003D49E9" w:rsidRPr="003D49E9" w:rsidRDefault="003D49E9" w:rsidP="00F301DE">
            <w:pPr>
              <w:keepNext/>
              <w:jc w:val="right"/>
              <w:rPr>
                <w:b/>
                <w:bCs/>
                <w:sz w:val="21"/>
                <w:szCs w:val="21"/>
                <w:lang w:val="es-ES"/>
              </w:rPr>
            </w:pPr>
            <w:r w:rsidRPr="003D49E9">
              <w:rPr>
                <w:b/>
                <w:bCs/>
                <w:sz w:val="21"/>
                <w:szCs w:val="21"/>
                <w:lang w:val="es-ES"/>
              </w:rPr>
              <w:t>2.307.607</w:t>
            </w:r>
          </w:p>
        </w:tc>
        <w:tc>
          <w:tcPr>
            <w:tcW w:w="1310" w:type="dxa"/>
            <w:tcBorders>
              <w:top w:val="nil"/>
              <w:left w:val="nil"/>
              <w:bottom w:val="single" w:sz="4" w:space="0" w:color="auto"/>
              <w:right w:val="single" w:sz="4" w:space="0" w:color="auto"/>
            </w:tcBorders>
            <w:noWrap/>
            <w:vAlign w:val="center"/>
            <w:hideMark/>
          </w:tcPr>
          <w:p w14:paraId="13E5C544" w14:textId="77777777" w:rsidR="003D49E9" w:rsidRPr="003D49E9" w:rsidRDefault="003D49E9" w:rsidP="00F301DE">
            <w:pPr>
              <w:keepNext/>
              <w:jc w:val="right"/>
              <w:rPr>
                <w:b/>
                <w:bCs/>
                <w:sz w:val="21"/>
                <w:szCs w:val="21"/>
                <w:lang w:val="es-ES"/>
              </w:rPr>
            </w:pPr>
            <w:r w:rsidRPr="003D49E9">
              <w:rPr>
                <w:b/>
                <w:bCs/>
                <w:sz w:val="21"/>
                <w:szCs w:val="21"/>
                <w:lang w:val="es-ES"/>
              </w:rPr>
              <w:t>3.098.567</w:t>
            </w:r>
          </w:p>
        </w:tc>
        <w:tc>
          <w:tcPr>
            <w:tcW w:w="1310" w:type="dxa"/>
            <w:tcBorders>
              <w:top w:val="nil"/>
              <w:left w:val="nil"/>
              <w:bottom w:val="single" w:sz="4" w:space="0" w:color="auto"/>
              <w:right w:val="single" w:sz="4" w:space="0" w:color="auto"/>
            </w:tcBorders>
            <w:noWrap/>
            <w:vAlign w:val="center"/>
            <w:hideMark/>
          </w:tcPr>
          <w:p w14:paraId="70CD88CF" w14:textId="77777777" w:rsidR="003D49E9" w:rsidRPr="003D49E9" w:rsidRDefault="003D49E9" w:rsidP="00F301DE">
            <w:pPr>
              <w:keepNext/>
              <w:jc w:val="right"/>
              <w:rPr>
                <w:b/>
                <w:bCs/>
                <w:sz w:val="21"/>
                <w:szCs w:val="21"/>
                <w:lang w:val="es-ES"/>
              </w:rPr>
            </w:pPr>
            <w:r w:rsidRPr="003D49E9">
              <w:rPr>
                <w:b/>
                <w:bCs/>
                <w:sz w:val="21"/>
                <w:szCs w:val="21"/>
                <w:lang w:val="es-ES"/>
              </w:rPr>
              <w:t>183.512</w:t>
            </w:r>
          </w:p>
        </w:tc>
        <w:tc>
          <w:tcPr>
            <w:tcW w:w="1310" w:type="dxa"/>
            <w:tcBorders>
              <w:top w:val="nil"/>
              <w:left w:val="nil"/>
              <w:bottom w:val="single" w:sz="4" w:space="0" w:color="auto"/>
              <w:right w:val="single" w:sz="4" w:space="0" w:color="auto"/>
            </w:tcBorders>
            <w:noWrap/>
            <w:vAlign w:val="center"/>
            <w:hideMark/>
          </w:tcPr>
          <w:p w14:paraId="18065581" w14:textId="77777777" w:rsidR="003D49E9" w:rsidRPr="003D49E9" w:rsidRDefault="003D49E9" w:rsidP="00F301DE">
            <w:pPr>
              <w:keepNext/>
              <w:jc w:val="right"/>
              <w:rPr>
                <w:b/>
                <w:bCs/>
                <w:sz w:val="21"/>
                <w:szCs w:val="21"/>
                <w:lang w:val="es-ES"/>
              </w:rPr>
            </w:pPr>
            <w:r w:rsidRPr="003D49E9">
              <w:rPr>
                <w:b/>
                <w:bCs/>
                <w:sz w:val="21"/>
                <w:szCs w:val="21"/>
                <w:lang w:val="es-ES"/>
              </w:rPr>
              <w:t>5.589.686</w:t>
            </w:r>
          </w:p>
        </w:tc>
        <w:tc>
          <w:tcPr>
            <w:tcW w:w="1314" w:type="dxa"/>
            <w:tcBorders>
              <w:top w:val="nil"/>
              <w:left w:val="nil"/>
              <w:bottom w:val="single" w:sz="4" w:space="0" w:color="auto"/>
              <w:right w:val="single" w:sz="4" w:space="0" w:color="auto"/>
            </w:tcBorders>
            <w:noWrap/>
            <w:vAlign w:val="center"/>
            <w:hideMark/>
          </w:tcPr>
          <w:p w14:paraId="460AE358" w14:textId="77777777" w:rsidR="003D49E9" w:rsidRPr="003D49E9" w:rsidRDefault="003D49E9" w:rsidP="00F301DE">
            <w:pPr>
              <w:keepNext/>
              <w:jc w:val="right"/>
              <w:rPr>
                <w:b/>
                <w:bCs/>
                <w:sz w:val="21"/>
                <w:szCs w:val="21"/>
                <w:lang w:val="es-ES"/>
              </w:rPr>
            </w:pPr>
            <w:r w:rsidRPr="003D49E9">
              <w:rPr>
                <w:b/>
                <w:bCs/>
                <w:sz w:val="21"/>
                <w:szCs w:val="21"/>
                <w:lang w:val="es-ES"/>
              </w:rPr>
              <w:t>829.226</w:t>
            </w:r>
          </w:p>
        </w:tc>
      </w:tr>
      <w:tr w:rsidR="003D49E9" w:rsidRPr="000755F8" w14:paraId="198BB215" w14:textId="77777777" w:rsidTr="003D49E9">
        <w:tc>
          <w:tcPr>
            <w:tcW w:w="9355" w:type="dxa"/>
            <w:gridSpan w:val="6"/>
            <w:tcBorders>
              <w:top w:val="single" w:sz="4" w:space="0" w:color="auto"/>
              <w:left w:val="single" w:sz="4" w:space="0" w:color="auto"/>
              <w:bottom w:val="single" w:sz="4" w:space="0" w:color="auto"/>
              <w:right w:val="single" w:sz="4" w:space="0" w:color="auto"/>
            </w:tcBorders>
            <w:noWrap/>
            <w:vAlign w:val="center"/>
            <w:hideMark/>
          </w:tcPr>
          <w:p w14:paraId="3792E5EE" w14:textId="77777777" w:rsidR="003D49E9" w:rsidRPr="003D49E9" w:rsidRDefault="003D49E9" w:rsidP="00F301DE">
            <w:pPr>
              <w:keepNext/>
              <w:jc w:val="left"/>
              <w:rPr>
                <w:b/>
                <w:bCs/>
                <w:sz w:val="21"/>
                <w:szCs w:val="21"/>
                <w:lang w:val="es-ES"/>
              </w:rPr>
            </w:pPr>
            <w:r w:rsidRPr="003D49E9">
              <w:rPr>
                <w:b/>
                <w:bCs/>
                <w:sz w:val="21"/>
                <w:szCs w:val="21"/>
                <w:lang w:val="es-ES"/>
              </w:rPr>
              <w:t>Actividades relacionadas con los HFC</w:t>
            </w:r>
            <w:r w:rsidRPr="003D49E9">
              <w:rPr>
                <w:sz w:val="21"/>
                <w:szCs w:val="21"/>
                <w:lang w:val="es-ES"/>
              </w:rPr>
              <w:t> </w:t>
            </w:r>
          </w:p>
        </w:tc>
      </w:tr>
      <w:tr w:rsidR="003D49E9" w:rsidRPr="003D49E9" w14:paraId="6F36C407"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1F3B8235" w14:textId="77777777" w:rsidR="003D49E9" w:rsidRPr="003D49E9" w:rsidRDefault="003D49E9" w:rsidP="00F301DE">
            <w:pPr>
              <w:keepNext/>
              <w:jc w:val="left"/>
              <w:rPr>
                <w:sz w:val="21"/>
                <w:szCs w:val="21"/>
                <w:lang w:val="es-ES"/>
              </w:rPr>
            </w:pPr>
            <w:r w:rsidRPr="003D49E9">
              <w:rPr>
                <w:sz w:val="21"/>
                <w:szCs w:val="21"/>
                <w:lang w:val="es-ES"/>
              </w:rPr>
              <w:t>KIP: preparación de proyectos</w:t>
            </w:r>
          </w:p>
        </w:tc>
        <w:tc>
          <w:tcPr>
            <w:tcW w:w="1311" w:type="dxa"/>
            <w:tcBorders>
              <w:top w:val="nil"/>
              <w:left w:val="nil"/>
              <w:bottom w:val="single" w:sz="4" w:space="0" w:color="auto"/>
              <w:right w:val="single" w:sz="4" w:space="0" w:color="auto"/>
            </w:tcBorders>
            <w:noWrap/>
            <w:vAlign w:val="center"/>
            <w:hideMark/>
          </w:tcPr>
          <w:p w14:paraId="48FEF608" w14:textId="77777777" w:rsidR="003D49E9" w:rsidRPr="003D49E9" w:rsidRDefault="003D49E9" w:rsidP="00F301DE">
            <w:pPr>
              <w:keepNext/>
              <w:jc w:val="right"/>
              <w:rPr>
                <w:sz w:val="21"/>
                <w:szCs w:val="21"/>
                <w:lang w:val="es-ES"/>
              </w:rPr>
            </w:pPr>
            <w:r w:rsidRPr="003D49E9">
              <w:rPr>
                <w:sz w:val="21"/>
                <w:szCs w:val="21"/>
                <w:lang w:val="es-ES"/>
              </w:rPr>
              <w:t>277.100</w:t>
            </w:r>
          </w:p>
        </w:tc>
        <w:tc>
          <w:tcPr>
            <w:tcW w:w="1311" w:type="dxa"/>
            <w:tcBorders>
              <w:top w:val="nil"/>
              <w:left w:val="nil"/>
              <w:bottom w:val="single" w:sz="4" w:space="0" w:color="auto"/>
              <w:right w:val="single" w:sz="4" w:space="0" w:color="auto"/>
            </w:tcBorders>
            <w:noWrap/>
            <w:vAlign w:val="center"/>
            <w:hideMark/>
          </w:tcPr>
          <w:p w14:paraId="78317562"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1C7120B2"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3B001C50" w14:textId="77777777" w:rsidR="003D49E9" w:rsidRPr="003D49E9" w:rsidRDefault="003D49E9" w:rsidP="00F301DE">
            <w:pPr>
              <w:keepNext/>
              <w:jc w:val="right"/>
              <w:rPr>
                <w:sz w:val="21"/>
                <w:szCs w:val="21"/>
                <w:lang w:val="es-ES"/>
              </w:rPr>
            </w:pPr>
            <w:r w:rsidRPr="003D49E9">
              <w:rPr>
                <w:sz w:val="21"/>
                <w:szCs w:val="21"/>
                <w:lang w:val="es-ES"/>
              </w:rPr>
              <w:t>277.100</w:t>
            </w:r>
          </w:p>
        </w:tc>
        <w:tc>
          <w:tcPr>
            <w:tcW w:w="1311" w:type="dxa"/>
            <w:tcBorders>
              <w:top w:val="nil"/>
              <w:left w:val="nil"/>
              <w:bottom w:val="single" w:sz="4" w:space="0" w:color="auto"/>
              <w:right w:val="single" w:sz="4" w:space="0" w:color="auto"/>
            </w:tcBorders>
            <w:noWrap/>
            <w:vAlign w:val="center"/>
            <w:hideMark/>
          </w:tcPr>
          <w:p w14:paraId="0E4B0620" w14:textId="77777777" w:rsidR="003D49E9" w:rsidRPr="003D49E9" w:rsidRDefault="003D49E9" w:rsidP="00F301DE">
            <w:pPr>
              <w:keepNext/>
              <w:jc w:val="right"/>
              <w:rPr>
                <w:sz w:val="21"/>
                <w:szCs w:val="21"/>
                <w:lang w:val="es-ES"/>
              </w:rPr>
            </w:pPr>
            <w:r w:rsidRPr="003D49E9">
              <w:rPr>
                <w:sz w:val="21"/>
                <w:szCs w:val="21"/>
                <w:lang w:val="es-ES"/>
              </w:rPr>
              <w:t> </w:t>
            </w:r>
          </w:p>
        </w:tc>
      </w:tr>
      <w:tr w:rsidR="003D49E9" w:rsidRPr="003D49E9" w14:paraId="4F327928"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230B288C" w14:textId="77777777" w:rsidR="003D49E9" w:rsidRPr="003D49E9" w:rsidRDefault="003D49E9" w:rsidP="00F301DE">
            <w:pPr>
              <w:keepNext/>
              <w:jc w:val="left"/>
              <w:rPr>
                <w:sz w:val="21"/>
                <w:szCs w:val="21"/>
                <w:lang w:val="es-ES"/>
              </w:rPr>
            </w:pPr>
            <w:r w:rsidRPr="003D49E9">
              <w:rPr>
                <w:sz w:val="21"/>
                <w:szCs w:val="21"/>
                <w:lang w:val="es-ES"/>
              </w:rPr>
              <w:t>KIP</w:t>
            </w:r>
          </w:p>
        </w:tc>
        <w:tc>
          <w:tcPr>
            <w:tcW w:w="1311" w:type="dxa"/>
            <w:tcBorders>
              <w:top w:val="nil"/>
              <w:left w:val="nil"/>
              <w:bottom w:val="single" w:sz="4" w:space="0" w:color="auto"/>
              <w:right w:val="single" w:sz="4" w:space="0" w:color="auto"/>
            </w:tcBorders>
            <w:noWrap/>
            <w:vAlign w:val="center"/>
            <w:hideMark/>
          </w:tcPr>
          <w:p w14:paraId="7E1F3AD4"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0F20CB28"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781E85FC" w14:textId="77777777" w:rsidR="003D49E9" w:rsidRPr="003D49E9" w:rsidRDefault="003D49E9" w:rsidP="00F301DE">
            <w:pPr>
              <w:keepNext/>
              <w:jc w:val="right"/>
              <w:rPr>
                <w:sz w:val="21"/>
                <w:szCs w:val="21"/>
                <w:lang w:val="es-ES"/>
              </w:rPr>
            </w:pPr>
            <w:r w:rsidRPr="003D49E9">
              <w:rPr>
                <w:sz w:val="21"/>
                <w:szCs w:val="21"/>
                <w:lang w:val="es-ES"/>
              </w:rPr>
              <w:t>300.000</w:t>
            </w:r>
          </w:p>
        </w:tc>
        <w:tc>
          <w:tcPr>
            <w:tcW w:w="1311" w:type="dxa"/>
            <w:tcBorders>
              <w:top w:val="nil"/>
              <w:left w:val="nil"/>
              <w:bottom w:val="single" w:sz="4" w:space="0" w:color="auto"/>
              <w:right w:val="single" w:sz="4" w:space="0" w:color="auto"/>
            </w:tcBorders>
            <w:noWrap/>
            <w:vAlign w:val="center"/>
            <w:hideMark/>
          </w:tcPr>
          <w:p w14:paraId="46070730" w14:textId="77777777" w:rsidR="003D49E9" w:rsidRPr="003D49E9" w:rsidRDefault="003D49E9" w:rsidP="00F301DE">
            <w:pPr>
              <w:keepNext/>
              <w:jc w:val="right"/>
              <w:rPr>
                <w:sz w:val="21"/>
                <w:szCs w:val="21"/>
                <w:lang w:val="es-ES"/>
              </w:rPr>
            </w:pPr>
            <w:r w:rsidRPr="003D49E9">
              <w:rPr>
                <w:sz w:val="21"/>
                <w:szCs w:val="21"/>
                <w:lang w:val="es-ES"/>
              </w:rPr>
              <w:t>300.000</w:t>
            </w:r>
          </w:p>
        </w:tc>
        <w:tc>
          <w:tcPr>
            <w:tcW w:w="1311" w:type="dxa"/>
            <w:tcBorders>
              <w:top w:val="nil"/>
              <w:left w:val="nil"/>
              <w:bottom w:val="single" w:sz="4" w:space="0" w:color="auto"/>
              <w:right w:val="single" w:sz="4" w:space="0" w:color="auto"/>
            </w:tcBorders>
            <w:noWrap/>
            <w:vAlign w:val="center"/>
            <w:hideMark/>
          </w:tcPr>
          <w:p w14:paraId="16AB92FC" w14:textId="77777777" w:rsidR="003D49E9" w:rsidRPr="003D49E9" w:rsidRDefault="003D49E9" w:rsidP="00F301DE">
            <w:pPr>
              <w:keepNext/>
              <w:jc w:val="right"/>
              <w:rPr>
                <w:sz w:val="21"/>
                <w:szCs w:val="21"/>
                <w:lang w:val="es-ES"/>
              </w:rPr>
            </w:pPr>
            <w:r w:rsidRPr="003D49E9">
              <w:rPr>
                <w:sz w:val="21"/>
                <w:szCs w:val="21"/>
                <w:lang w:val="es-ES"/>
              </w:rPr>
              <w:t> </w:t>
            </w:r>
          </w:p>
        </w:tc>
      </w:tr>
      <w:tr w:rsidR="003D49E9" w:rsidRPr="003D49E9" w14:paraId="21C4002D"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5E5EC26E" w14:textId="7FDF54B7" w:rsidR="003D49E9" w:rsidRPr="003D49E9" w:rsidRDefault="00A843AB" w:rsidP="00F301DE">
            <w:pPr>
              <w:keepNext/>
              <w:jc w:val="left"/>
              <w:rPr>
                <w:b/>
                <w:bCs/>
                <w:sz w:val="21"/>
                <w:szCs w:val="21"/>
                <w:lang w:val="es-ES"/>
              </w:rPr>
            </w:pPr>
            <w:r>
              <w:rPr>
                <w:b/>
                <w:bCs/>
                <w:sz w:val="21"/>
                <w:szCs w:val="21"/>
                <w:lang w:val="es-ES"/>
              </w:rPr>
              <w:t>Subtotal</w:t>
            </w:r>
            <w:r w:rsidR="003D49E9" w:rsidRPr="003D49E9">
              <w:rPr>
                <w:b/>
                <w:bCs/>
                <w:sz w:val="21"/>
                <w:szCs w:val="21"/>
                <w:lang w:val="es-ES"/>
              </w:rPr>
              <w:t xml:space="preserve"> de las actividades relacionadas con los HFC</w:t>
            </w:r>
          </w:p>
        </w:tc>
        <w:tc>
          <w:tcPr>
            <w:tcW w:w="1311" w:type="dxa"/>
            <w:tcBorders>
              <w:top w:val="nil"/>
              <w:left w:val="nil"/>
              <w:bottom w:val="single" w:sz="4" w:space="0" w:color="auto"/>
              <w:right w:val="single" w:sz="4" w:space="0" w:color="auto"/>
            </w:tcBorders>
            <w:noWrap/>
            <w:vAlign w:val="center"/>
            <w:hideMark/>
          </w:tcPr>
          <w:p w14:paraId="7455DA10" w14:textId="77777777" w:rsidR="003D49E9" w:rsidRPr="003D49E9" w:rsidRDefault="003D49E9" w:rsidP="00F301DE">
            <w:pPr>
              <w:keepNext/>
              <w:jc w:val="right"/>
              <w:rPr>
                <w:b/>
                <w:bCs/>
                <w:sz w:val="21"/>
                <w:szCs w:val="21"/>
                <w:lang w:val="es-ES"/>
              </w:rPr>
            </w:pPr>
            <w:r w:rsidRPr="003D49E9">
              <w:rPr>
                <w:b/>
                <w:bCs/>
                <w:sz w:val="21"/>
                <w:szCs w:val="21"/>
                <w:lang w:val="es-ES"/>
              </w:rPr>
              <w:t>277.100</w:t>
            </w:r>
          </w:p>
        </w:tc>
        <w:tc>
          <w:tcPr>
            <w:tcW w:w="1311" w:type="dxa"/>
            <w:tcBorders>
              <w:top w:val="nil"/>
              <w:left w:val="nil"/>
              <w:bottom w:val="single" w:sz="4" w:space="0" w:color="auto"/>
              <w:right w:val="single" w:sz="4" w:space="0" w:color="auto"/>
            </w:tcBorders>
            <w:noWrap/>
            <w:vAlign w:val="center"/>
            <w:hideMark/>
          </w:tcPr>
          <w:p w14:paraId="1C9B8B6E" w14:textId="77777777" w:rsidR="003D49E9" w:rsidRPr="003D49E9" w:rsidRDefault="003D49E9" w:rsidP="00F301DE">
            <w:pPr>
              <w:keepNext/>
              <w:jc w:val="right"/>
              <w:rPr>
                <w:b/>
                <w:bCs/>
                <w:sz w:val="21"/>
                <w:szCs w:val="21"/>
                <w:lang w:val="es-ES"/>
              </w:rPr>
            </w:pPr>
            <w:r w:rsidRPr="003D49E9">
              <w:rPr>
                <w:b/>
                <w:bCs/>
                <w:sz w:val="21"/>
                <w:szCs w:val="21"/>
                <w:lang w:val="es-ES"/>
              </w:rPr>
              <w:t>0</w:t>
            </w:r>
          </w:p>
        </w:tc>
        <w:tc>
          <w:tcPr>
            <w:tcW w:w="1311" w:type="dxa"/>
            <w:tcBorders>
              <w:top w:val="nil"/>
              <w:left w:val="nil"/>
              <w:bottom w:val="single" w:sz="4" w:space="0" w:color="auto"/>
              <w:right w:val="single" w:sz="4" w:space="0" w:color="auto"/>
            </w:tcBorders>
            <w:noWrap/>
            <w:vAlign w:val="center"/>
            <w:hideMark/>
          </w:tcPr>
          <w:p w14:paraId="1640B8EE" w14:textId="77777777" w:rsidR="003D49E9" w:rsidRPr="003D49E9" w:rsidRDefault="003D49E9" w:rsidP="00F301DE">
            <w:pPr>
              <w:keepNext/>
              <w:jc w:val="right"/>
              <w:rPr>
                <w:b/>
                <w:bCs/>
                <w:sz w:val="21"/>
                <w:szCs w:val="21"/>
                <w:lang w:val="es-ES"/>
              </w:rPr>
            </w:pPr>
            <w:r w:rsidRPr="003D49E9">
              <w:rPr>
                <w:b/>
                <w:bCs/>
                <w:sz w:val="21"/>
                <w:szCs w:val="21"/>
                <w:lang w:val="es-ES"/>
              </w:rPr>
              <w:t>300.000</w:t>
            </w:r>
          </w:p>
        </w:tc>
        <w:tc>
          <w:tcPr>
            <w:tcW w:w="1311" w:type="dxa"/>
            <w:tcBorders>
              <w:top w:val="nil"/>
              <w:left w:val="nil"/>
              <w:bottom w:val="single" w:sz="4" w:space="0" w:color="auto"/>
              <w:right w:val="single" w:sz="4" w:space="0" w:color="auto"/>
            </w:tcBorders>
            <w:noWrap/>
            <w:vAlign w:val="center"/>
            <w:hideMark/>
          </w:tcPr>
          <w:p w14:paraId="4C033E41" w14:textId="77777777" w:rsidR="003D49E9" w:rsidRPr="003D49E9" w:rsidRDefault="003D49E9" w:rsidP="00F301DE">
            <w:pPr>
              <w:keepNext/>
              <w:jc w:val="right"/>
              <w:rPr>
                <w:b/>
                <w:bCs/>
                <w:sz w:val="21"/>
                <w:szCs w:val="21"/>
                <w:lang w:val="es-ES"/>
              </w:rPr>
            </w:pPr>
            <w:r w:rsidRPr="003D49E9">
              <w:rPr>
                <w:b/>
                <w:bCs/>
                <w:sz w:val="21"/>
                <w:szCs w:val="21"/>
                <w:lang w:val="es-ES"/>
              </w:rPr>
              <w:t>577.100</w:t>
            </w:r>
          </w:p>
        </w:tc>
        <w:tc>
          <w:tcPr>
            <w:tcW w:w="1311" w:type="dxa"/>
            <w:tcBorders>
              <w:top w:val="nil"/>
              <w:left w:val="nil"/>
              <w:bottom w:val="single" w:sz="4" w:space="0" w:color="auto"/>
              <w:right w:val="single" w:sz="4" w:space="0" w:color="auto"/>
            </w:tcBorders>
            <w:noWrap/>
            <w:vAlign w:val="center"/>
            <w:hideMark/>
          </w:tcPr>
          <w:p w14:paraId="33781B81" w14:textId="77777777" w:rsidR="003D49E9" w:rsidRPr="003D49E9" w:rsidRDefault="003D49E9" w:rsidP="00F301DE">
            <w:pPr>
              <w:keepNext/>
              <w:jc w:val="right"/>
              <w:rPr>
                <w:b/>
                <w:bCs/>
                <w:sz w:val="21"/>
                <w:szCs w:val="21"/>
                <w:lang w:val="es-ES"/>
              </w:rPr>
            </w:pPr>
            <w:r w:rsidRPr="003D49E9">
              <w:rPr>
                <w:b/>
                <w:bCs/>
                <w:sz w:val="21"/>
                <w:szCs w:val="21"/>
                <w:lang w:val="es-ES"/>
              </w:rPr>
              <w:t>0</w:t>
            </w:r>
          </w:p>
        </w:tc>
      </w:tr>
      <w:tr w:rsidR="003D49E9" w:rsidRPr="003D49E9" w14:paraId="02958260"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77478FCB" w14:textId="77777777" w:rsidR="003D49E9" w:rsidRPr="003D49E9" w:rsidRDefault="003D49E9" w:rsidP="00F301DE">
            <w:pPr>
              <w:keepNext/>
              <w:jc w:val="left"/>
              <w:rPr>
                <w:b/>
                <w:bCs/>
                <w:sz w:val="21"/>
                <w:szCs w:val="21"/>
                <w:lang w:val="es-ES"/>
              </w:rPr>
            </w:pPr>
            <w:r w:rsidRPr="003D49E9">
              <w:rPr>
                <w:b/>
                <w:bCs/>
                <w:sz w:val="21"/>
                <w:szCs w:val="21"/>
                <w:lang w:val="es-ES"/>
              </w:rPr>
              <w:t>Actividades estándar</w:t>
            </w:r>
          </w:p>
        </w:tc>
        <w:tc>
          <w:tcPr>
            <w:tcW w:w="1311" w:type="dxa"/>
            <w:tcBorders>
              <w:top w:val="nil"/>
              <w:left w:val="nil"/>
              <w:bottom w:val="single" w:sz="4" w:space="0" w:color="auto"/>
              <w:right w:val="single" w:sz="4" w:space="0" w:color="auto"/>
            </w:tcBorders>
            <w:noWrap/>
            <w:vAlign w:val="center"/>
            <w:hideMark/>
          </w:tcPr>
          <w:p w14:paraId="0F644999" w14:textId="77777777" w:rsidR="003D49E9" w:rsidRPr="003D49E9" w:rsidRDefault="003D49E9" w:rsidP="00F301DE">
            <w:pPr>
              <w:keepNext/>
              <w:jc w:val="lef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156826F6" w14:textId="77777777" w:rsidR="003D49E9" w:rsidRPr="003D49E9" w:rsidRDefault="003D49E9" w:rsidP="00F301DE">
            <w:pPr>
              <w:keepNext/>
              <w:jc w:val="lef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57AB5D91" w14:textId="77777777" w:rsidR="003D49E9" w:rsidRPr="003D49E9" w:rsidRDefault="003D49E9" w:rsidP="00F301DE">
            <w:pPr>
              <w:keepNext/>
              <w:jc w:val="lef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64317856" w14:textId="77777777" w:rsidR="003D49E9" w:rsidRPr="003D49E9" w:rsidRDefault="003D49E9" w:rsidP="00F301DE">
            <w:pPr>
              <w:keepNext/>
              <w:jc w:val="lef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58E27453" w14:textId="77777777" w:rsidR="003D49E9" w:rsidRPr="003D49E9" w:rsidRDefault="003D49E9" w:rsidP="00F301DE">
            <w:pPr>
              <w:keepNext/>
              <w:jc w:val="left"/>
              <w:rPr>
                <w:sz w:val="21"/>
                <w:szCs w:val="21"/>
                <w:lang w:val="es-ES"/>
              </w:rPr>
            </w:pPr>
            <w:r w:rsidRPr="003D49E9">
              <w:rPr>
                <w:sz w:val="21"/>
                <w:szCs w:val="21"/>
                <w:lang w:val="es-ES"/>
              </w:rPr>
              <w:t> </w:t>
            </w:r>
          </w:p>
        </w:tc>
      </w:tr>
      <w:tr w:rsidR="003D49E9" w:rsidRPr="003D49E9" w14:paraId="0DB0767B"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3CB757C5" w14:textId="77777777" w:rsidR="003D49E9" w:rsidRPr="003D49E9" w:rsidRDefault="003D49E9" w:rsidP="00F301DE">
            <w:pPr>
              <w:keepNext/>
              <w:jc w:val="left"/>
              <w:rPr>
                <w:sz w:val="21"/>
                <w:szCs w:val="21"/>
                <w:lang w:val="es-ES"/>
              </w:rPr>
            </w:pPr>
            <w:r w:rsidRPr="003D49E9">
              <w:rPr>
                <w:sz w:val="21"/>
                <w:szCs w:val="21"/>
                <w:lang w:val="es-ES"/>
              </w:rPr>
              <w:t xml:space="preserve">Fortalecimiento institucional </w:t>
            </w:r>
          </w:p>
        </w:tc>
        <w:tc>
          <w:tcPr>
            <w:tcW w:w="1311" w:type="dxa"/>
            <w:tcBorders>
              <w:top w:val="nil"/>
              <w:left w:val="nil"/>
              <w:bottom w:val="single" w:sz="4" w:space="0" w:color="auto"/>
              <w:right w:val="single" w:sz="4" w:space="0" w:color="auto"/>
            </w:tcBorders>
            <w:noWrap/>
            <w:vAlign w:val="center"/>
            <w:hideMark/>
          </w:tcPr>
          <w:p w14:paraId="60AEF191"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32761FB8"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78AB99BA" w14:textId="77777777" w:rsidR="003D49E9" w:rsidRPr="003D49E9" w:rsidRDefault="003D49E9" w:rsidP="00F301DE">
            <w:pPr>
              <w:keepNext/>
              <w:jc w:val="right"/>
              <w:rPr>
                <w:sz w:val="21"/>
                <w:szCs w:val="21"/>
                <w:lang w:val="es-ES"/>
              </w:rPr>
            </w:pPr>
            <w:r w:rsidRPr="003D49E9">
              <w:rPr>
                <w:sz w:val="21"/>
                <w:szCs w:val="21"/>
                <w:lang w:val="es-ES"/>
              </w:rPr>
              <w:t> </w:t>
            </w:r>
          </w:p>
        </w:tc>
        <w:tc>
          <w:tcPr>
            <w:tcW w:w="1311" w:type="dxa"/>
            <w:tcBorders>
              <w:top w:val="nil"/>
              <w:left w:val="nil"/>
              <w:bottom w:val="single" w:sz="4" w:space="0" w:color="auto"/>
              <w:right w:val="single" w:sz="4" w:space="0" w:color="auto"/>
            </w:tcBorders>
            <w:noWrap/>
            <w:vAlign w:val="center"/>
            <w:hideMark/>
          </w:tcPr>
          <w:p w14:paraId="6A356423" w14:textId="77777777" w:rsidR="003D49E9" w:rsidRPr="003D49E9" w:rsidRDefault="003D49E9" w:rsidP="00F301DE">
            <w:pPr>
              <w:keepNext/>
              <w:jc w:val="right"/>
              <w:rPr>
                <w:sz w:val="21"/>
                <w:szCs w:val="21"/>
                <w:lang w:val="es-ES"/>
              </w:rPr>
            </w:pPr>
            <w:r w:rsidRPr="003D49E9">
              <w:rPr>
                <w:sz w:val="21"/>
                <w:szCs w:val="21"/>
                <w:lang w:val="es-ES"/>
              </w:rPr>
              <w:t>0</w:t>
            </w:r>
          </w:p>
        </w:tc>
        <w:tc>
          <w:tcPr>
            <w:tcW w:w="1311" w:type="dxa"/>
            <w:tcBorders>
              <w:top w:val="nil"/>
              <w:left w:val="nil"/>
              <w:bottom w:val="nil"/>
              <w:right w:val="single" w:sz="4" w:space="0" w:color="999999"/>
            </w:tcBorders>
            <w:noWrap/>
            <w:vAlign w:val="bottom"/>
            <w:hideMark/>
          </w:tcPr>
          <w:p w14:paraId="1D4F7E64" w14:textId="77777777" w:rsidR="003D49E9" w:rsidRPr="003D49E9" w:rsidRDefault="003D49E9" w:rsidP="00F301DE">
            <w:pPr>
              <w:keepNext/>
              <w:jc w:val="right"/>
              <w:rPr>
                <w:sz w:val="21"/>
                <w:szCs w:val="21"/>
                <w:lang w:val="es-ES"/>
              </w:rPr>
            </w:pPr>
            <w:r w:rsidRPr="003D49E9">
              <w:rPr>
                <w:sz w:val="21"/>
                <w:szCs w:val="21"/>
                <w:lang w:val="es-ES"/>
              </w:rPr>
              <w:t>0</w:t>
            </w:r>
          </w:p>
        </w:tc>
      </w:tr>
      <w:tr w:rsidR="003D49E9" w14:paraId="76545D7B"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45BE1058" w14:textId="29FE647A" w:rsidR="003D49E9" w:rsidRPr="003D49E9" w:rsidRDefault="00A843AB" w:rsidP="00F301DE">
            <w:pPr>
              <w:keepNext/>
              <w:jc w:val="left"/>
              <w:rPr>
                <w:b/>
                <w:bCs/>
                <w:sz w:val="21"/>
                <w:szCs w:val="21"/>
                <w:lang w:val="es-ES"/>
              </w:rPr>
            </w:pPr>
            <w:r>
              <w:rPr>
                <w:b/>
                <w:bCs/>
                <w:sz w:val="21"/>
                <w:szCs w:val="21"/>
                <w:lang w:val="es-ES"/>
              </w:rPr>
              <w:t>Subtotal</w:t>
            </w:r>
            <w:r w:rsidR="003D49E9" w:rsidRPr="003D49E9">
              <w:rPr>
                <w:b/>
                <w:bCs/>
                <w:sz w:val="21"/>
                <w:szCs w:val="21"/>
                <w:lang w:val="es-ES"/>
              </w:rPr>
              <w:t xml:space="preserve"> de las actividades estándar</w:t>
            </w:r>
          </w:p>
        </w:tc>
        <w:tc>
          <w:tcPr>
            <w:tcW w:w="1311" w:type="dxa"/>
            <w:tcBorders>
              <w:top w:val="nil"/>
              <w:left w:val="nil"/>
              <w:bottom w:val="single" w:sz="4" w:space="0" w:color="auto"/>
              <w:right w:val="single" w:sz="4" w:space="0" w:color="auto"/>
            </w:tcBorders>
            <w:noWrap/>
            <w:vAlign w:val="center"/>
            <w:hideMark/>
          </w:tcPr>
          <w:p w14:paraId="2785DAA2" w14:textId="77777777" w:rsidR="003D49E9" w:rsidRDefault="003D49E9" w:rsidP="00F301DE">
            <w:pPr>
              <w:keepNext/>
              <w:jc w:val="right"/>
              <w:rPr>
                <w:b/>
                <w:bCs/>
                <w:sz w:val="21"/>
                <w:szCs w:val="21"/>
              </w:rPr>
            </w:pPr>
            <w:r>
              <w:rPr>
                <w:b/>
                <w:bCs/>
                <w:sz w:val="21"/>
                <w:szCs w:val="21"/>
              </w:rPr>
              <w:t>0</w:t>
            </w:r>
          </w:p>
        </w:tc>
        <w:tc>
          <w:tcPr>
            <w:tcW w:w="1311" w:type="dxa"/>
            <w:tcBorders>
              <w:top w:val="nil"/>
              <w:left w:val="nil"/>
              <w:bottom w:val="single" w:sz="4" w:space="0" w:color="auto"/>
              <w:right w:val="single" w:sz="4" w:space="0" w:color="auto"/>
            </w:tcBorders>
            <w:noWrap/>
            <w:vAlign w:val="center"/>
            <w:hideMark/>
          </w:tcPr>
          <w:p w14:paraId="55214A73" w14:textId="77777777" w:rsidR="003D49E9" w:rsidRDefault="003D49E9" w:rsidP="00F301DE">
            <w:pPr>
              <w:keepNext/>
              <w:jc w:val="right"/>
              <w:rPr>
                <w:b/>
                <w:bCs/>
                <w:sz w:val="21"/>
                <w:szCs w:val="21"/>
              </w:rPr>
            </w:pPr>
            <w:r>
              <w:rPr>
                <w:b/>
                <w:bCs/>
                <w:sz w:val="21"/>
                <w:szCs w:val="21"/>
              </w:rPr>
              <w:t>0</w:t>
            </w:r>
          </w:p>
        </w:tc>
        <w:tc>
          <w:tcPr>
            <w:tcW w:w="1311" w:type="dxa"/>
            <w:tcBorders>
              <w:top w:val="nil"/>
              <w:left w:val="nil"/>
              <w:bottom w:val="single" w:sz="4" w:space="0" w:color="auto"/>
              <w:right w:val="single" w:sz="4" w:space="0" w:color="auto"/>
            </w:tcBorders>
            <w:noWrap/>
            <w:vAlign w:val="center"/>
            <w:hideMark/>
          </w:tcPr>
          <w:p w14:paraId="7931F032" w14:textId="77777777" w:rsidR="003D49E9" w:rsidRDefault="003D49E9" w:rsidP="00F301DE">
            <w:pPr>
              <w:keepNext/>
              <w:jc w:val="right"/>
              <w:rPr>
                <w:b/>
                <w:bCs/>
                <w:sz w:val="21"/>
                <w:szCs w:val="21"/>
              </w:rPr>
            </w:pPr>
            <w:r>
              <w:rPr>
                <w:b/>
                <w:bCs/>
                <w:sz w:val="21"/>
                <w:szCs w:val="21"/>
              </w:rPr>
              <w:t>0</w:t>
            </w:r>
          </w:p>
        </w:tc>
        <w:tc>
          <w:tcPr>
            <w:tcW w:w="1311" w:type="dxa"/>
            <w:tcBorders>
              <w:top w:val="nil"/>
              <w:left w:val="nil"/>
              <w:bottom w:val="single" w:sz="4" w:space="0" w:color="auto"/>
              <w:right w:val="single" w:sz="4" w:space="0" w:color="auto"/>
            </w:tcBorders>
            <w:noWrap/>
            <w:vAlign w:val="center"/>
            <w:hideMark/>
          </w:tcPr>
          <w:p w14:paraId="0BD8A6E1" w14:textId="77777777" w:rsidR="003D49E9" w:rsidRDefault="003D49E9" w:rsidP="00F301DE">
            <w:pPr>
              <w:keepNext/>
              <w:jc w:val="right"/>
              <w:rPr>
                <w:b/>
                <w:bCs/>
                <w:sz w:val="21"/>
                <w:szCs w:val="21"/>
              </w:rPr>
            </w:pPr>
            <w:r>
              <w:rPr>
                <w:b/>
                <w:bCs/>
                <w:sz w:val="21"/>
                <w:szCs w:val="21"/>
              </w:rPr>
              <w:t>0</w:t>
            </w:r>
          </w:p>
        </w:tc>
        <w:tc>
          <w:tcPr>
            <w:tcW w:w="1311" w:type="dxa"/>
            <w:tcBorders>
              <w:top w:val="single" w:sz="4" w:space="0" w:color="auto"/>
              <w:left w:val="nil"/>
              <w:bottom w:val="single" w:sz="4" w:space="0" w:color="auto"/>
              <w:right w:val="single" w:sz="4" w:space="0" w:color="auto"/>
            </w:tcBorders>
            <w:noWrap/>
            <w:vAlign w:val="center"/>
            <w:hideMark/>
          </w:tcPr>
          <w:p w14:paraId="1186AAD5" w14:textId="77777777" w:rsidR="003D49E9" w:rsidRDefault="003D49E9" w:rsidP="00F301DE">
            <w:pPr>
              <w:keepNext/>
              <w:jc w:val="right"/>
              <w:rPr>
                <w:b/>
                <w:bCs/>
                <w:sz w:val="21"/>
                <w:szCs w:val="21"/>
              </w:rPr>
            </w:pPr>
            <w:r>
              <w:rPr>
                <w:b/>
                <w:bCs/>
                <w:sz w:val="21"/>
                <w:szCs w:val="21"/>
              </w:rPr>
              <w:t>0</w:t>
            </w:r>
          </w:p>
        </w:tc>
      </w:tr>
      <w:tr w:rsidR="003D49E9" w14:paraId="2FE4A8BE" w14:textId="77777777" w:rsidTr="003D49E9">
        <w:tc>
          <w:tcPr>
            <w:tcW w:w="2800" w:type="dxa"/>
            <w:tcBorders>
              <w:top w:val="nil"/>
              <w:left w:val="single" w:sz="4" w:space="0" w:color="auto"/>
              <w:bottom w:val="single" w:sz="4" w:space="0" w:color="auto"/>
              <w:right w:val="single" w:sz="4" w:space="0" w:color="auto"/>
            </w:tcBorders>
            <w:noWrap/>
            <w:vAlign w:val="center"/>
            <w:hideMark/>
          </w:tcPr>
          <w:p w14:paraId="1D93290D" w14:textId="77777777" w:rsidR="003D49E9" w:rsidRDefault="003D49E9" w:rsidP="00F301DE">
            <w:pPr>
              <w:keepNext/>
              <w:jc w:val="left"/>
              <w:rPr>
                <w:b/>
                <w:bCs/>
                <w:sz w:val="21"/>
                <w:szCs w:val="21"/>
              </w:rPr>
            </w:pPr>
            <w:r>
              <w:rPr>
                <w:b/>
                <w:bCs/>
                <w:sz w:val="21"/>
                <w:szCs w:val="21"/>
              </w:rPr>
              <w:t>Total</w:t>
            </w:r>
          </w:p>
        </w:tc>
        <w:tc>
          <w:tcPr>
            <w:tcW w:w="1311" w:type="dxa"/>
            <w:tcBorders>
              <w:top w:val="nil"/>
              <w:left w:val="nil"/>
              <w:bottom w:val="single" w:sz="4" w:space="0" w:color="auto"/>
              <w:right w:val="single" w:sz="4" w:space="0" w:color="auto"/>
            </w:tcBorders>
            <w:noWrap/>
            <w:vAlign w:val="center"/>
            <w:hideMark/>
          </w:tcPr>
          <w:p w14:paraId="319AAAD2" w14:textId="77777777" w:rsidR="003D49E9" w:rsidRDefault="003D49E9" w:rsidP="00F301DE">
            <w:pPr>
              <w:keepNext/>
              <w:jc w:val="right"/>
              <w:rPr>
                <w:b/>
                <w:bCs/>
                <w:sz w:val="21"/>
                <w:szCs w:val="21"/>
              </w:rPr>
            </w:pPr>
            <w:r>
              <w:rPr>
                <w:b/>
                <w:bCs/>
                <w:sz w:val="21"/>
                <w:szCs w:val="21"/>
              </w:rPr>
              <w:t>2.584.707</w:t>
            </w:r>
          </w:p>
        </w:tc>
        <w:tc>
          <w:tcPr>
            <w:tcW w:w="1311" w:type="dxa"/>
            <w:tcBorders>
              <w:top w:val="nil"/>
              <w:left w:val="nil"/>
              <w:bottom w:val="single" w:sz="4" w:space="0" w:color="auto"/>
              <w:right w:val="single" w:sz="4" w:space="0" w:color="auto"/>
            </w:tcBorders>
            <w:noWrap/>
            <w:vAlign w:val="center"/>
            <w:hideMark/>
          </w:tcPr>
          <w:p w14:paraId="1597FEA0" w14:textId="77777777" w:rsidR="003D49E9" w:rsidRDefault="003D49E9" w:rsidP="00F301DE">
            <w:pPr>
              <w:keepNext/>
              <w:jc w:val="right"/>
              <w:rPr>
                <w:b/>
                <w:bCs/>
                <w:sz w:val="21"/>
                <w:szCs w:val="21"/>
              </w:rPr>
            </w:pPr>
            <w:r>
              <w:rPr>
                <w:b/>
                <w:bCs/>
                <w:sz w:val="21"/>
                <w:szCs w:val="21"/>
              </w:rPr>
              <w:t>3.098.567</w:t>
            </w:r>
          </w:p>
        </w:tc>
        <w:tc>
          <w:tcPr>
            <w:tcW w:w="1311" w:type="dxa"/>
            <w:tcBorders>
              <w:top w:val="nil"/>
              <w:left w:val="nil"/>
              <w:bottom w:val="single" w:sz="4" w:space="0" w:color="auto"/>
              <w:right w:val="single" w:sz="4" w:space="0" w:color="auto"/>
            </w:tcBorders>
            <w:noWrap/>
            <w:vAlign w:val="center"/>
            <w:hideMark/>
          </w:tcPr>
          <w:p w14:paraId="03100CC8" w14:textId="77777777" w:rsidR="003D49E9" w:rsidRDefault="003D49E9" w:rsidP="00F301DE">
            <w:pPr>
              <w:keepNext/>
              <w:jc w:val="right"/>
              <w:rPr>
                <w:b/>
                <w:bCs/>
                <w:sz w:val="21"/>
                <w:szCs w:val="21"/>
              </w:rPr>
            </w:pPr>
            <w:r>
              <w:rPr>
                <w:b/>
                <w:bCs/>
                <w:sz w:val="21"/>
                <w:szCs w:val="21"/>
              </w:rPr>
              <w:t>483.512</w:t>
            </w:r>
          </w:p>
        </w:tc>
        <w:tc>
          <w:tcPr>
            <w:tcW w:w="1311" w:type="dxa"/>
            <w:tcBorders>
              <w:top w:val="nil"/>
              <w:left w:val="nil"/>
              <w:bottom w:val="single" w:sz="4" w:space="0" w:color="auto"/>
              <w:right w:val="single" w:sz="4" w:space="0" w:color="auto"/>
            </w:tcBorders>
            <w:noWrap/>
            <w:vAlign w:val="center"/>
            <w:hideMark/>
          </w:tcPr>
          <w:p w14:paraId="19C7012B" w14:textId="77777777" w:rsidR="003D49E9" w:rsidRDefault="003D49E9" w:rsidP="00F301DE">
            <w:pPr>
              <w:keepNext/>
              <w:jc w:val="right"/>
              <w:rPr>
                <w:b/>
                <w:bCs/>
                <w:sz w:val="21"/>
                <w:szCs w:val="21"/>
              </w:rPr>
            </w:pPr>
            <w:r>
              <w:rPr>
                <w:b/>
                <w:bCs/>
                <w:sz w:val="21"/>
                <w:szCs w:val="21"/>
              </w:rPr>
              <w:t>6.166.786</w:t>
            </w:r>
          </w:p>
        </w:tc>
        <w:tc>
          <w:tcPr>
            <w:tcW w:w="1311" w:type="dxa"/>
            <w:tcBorders>
              <w:top w:val="nil"/>
              <w:left w:val="nil"/>
              <w:bottom w:val="single" w:sz="4" w:space="0" w:color="auto"/>
              <w:right w:val="single" w:sz="4" w:space="0" w:color="auto"/>
            </w:tcBorders>
            <w:noWrap/>
            <w:vAlign w:val="center"/>
            <w:hideMark/>
          </w:tcPr>
          <w:p w14:paraId="02847E0F" w14:textId="77777777" w:rsidR="003D49E9" w:rsidRDefault="003D49E9" w:rsidP="00F301DE">
            <w:pPr>
              <w:keepNext/>
              <w:jc w:val="right"/>
              <w:rPr>
                <w:b/>
                <w:bCs/>
                <w:sz w:val="21"/>
                <w:szCs w:val="21"/>
              </w:rPr>
            </w:pPr>
            <w:r>
              <w:rPr>
                <w:b/>
                <w:bCs/>
                <w:sz w:val="21"/>
                <w:szCs w:val="21"/>
              </w:rPr>
              <w:t>829.226</w:t>
            </w:r>
          </w:p>
        </w:tc>
      </w:tr>
    </w:tbl>
    <w:p w14:paraId="722A49B4" w14:textId="77777777" w:rsidR="003D49E9" w:rsidRPr="003D49E9" w:rsidRDefault="003D49E9" w:rsidP="00F301DE">
      <w:pPr>
        <w:keepNext/>
        <w:rPr>
          <w:sz w:val="20"/>
          <w:szCs w:val="20"/>
          <w:lang w:val="es-ES"/>
        </w:rPr>
      </w:pPr>
      <w:r w:rsidRPr="003D49E9">
        <w:rPr>
          <w:sz w:val="20"/>
          <w:szCs w:val="20"/>
          <w:lang w:val="es-ES"/>
        </w:rPr>
        <w:t>* Incluidos los gastos de apoyo a los organismos.</w:t>
      </w:r>
    </w:p>
    <w:p w14:paraId="5B5A7693" w14:textId="77777777" w:rsidR="003D49E9" w:rsidRPr="003D49E9" w:rsidRDefault="003D49E9" w:rsidP="003D49E9">
      <w:pPr>
        <w:rPr>
          <w:lang w:val="es-ES"/>
        </w:rPr>
      </w:pPr>
    </w:p>
    <w:p w14:paraId="3883CCBB" w14:textId="77777777" w:rsidR="003D49E9" w:rsidRDefault="003D49E9" w:rsidP="004B0807">
      <w:pPr>
        <w:pStyle w:val="Heading1"/>
        <w:keepNext/>
        <w:keepLines/>
        <w:numPr>
          <w:ilvl w:val="0"/>
          <w:numId w:val="0"/>
        </w:numPr>
        <w:tabs>
          <w:tab w:val="left" w:pos="708"/>
        </w:tabs>
        <w:rPr>
          <w:b/>
          <w:bCs/>
        </w:rPr>
      </w:pPr>
      <w:r>
        <w:rPr>
          <w:b/>
          <w:bCs/>
        </w:rPr>
        <w:t>RECOMENDACIÓN</w:t>
      </w:r>
    </w:p>
    <w:p w14:paraId="57FA98EA" w14:textId="56A95933" w:rsidR="00556AF5" w:rsidRDefault="003D49E9" w:rsidP="004B0807">
      <w:pPr>
        <w:pStyle w:val="Heading1"/>
        <w:numPr>
          <w:ilvl w:val="0"/>
          <w:numId w:val="21"/>
        </w:numPr>
        <w:rPr>
          <w:lang w:val="es-ES"/>
        </w:rPr>
      </w:pPr>
      <w:r w:rsidRPr="003D49E9">
        <w:rPr>
          <w:lang w:val="es-ES"/>
        </w:rPr>
        <w:t xml:space="preserve">El Comité Ejecutivo puede considerar oportuno tomar nota de los planes administrativos de los organismos bilaterales para </w:t>
      </w:r>
      <w:r w:rsidRPr="003D49E9">
        <w:rPr>
          <w:caps/>
          <w:lang w:val="es-ES"/>
        </w:rPr>
        <w:t>20</w:t>
      </w:r>
      <w:r w:rsidRPr="003D49E9">
        <w:rPr>
          <w:lang w:val="es-ES"/>
        </w:rPr>
        <w:t>22-2024</w:t>
      </w:r>
      <w:r w:rsidRPr="003D49E9">
        <w:rPr>
          <w:caps/>
          <w:lang w:val="es-ES"/>
        </w:rPr>
        <w:t xml:space="preserve"> </w:t>
      </w:r>
      <w:r w:rsidRPr="003D49E9">
        <w:rPr>
          <w:lang w:val="es-ES"/>
        </w:rPr>
        <w:t>presentados por los Gobiernos de Alemania, Japón y el Reino</w:t>
      </w:r>
      <w:r w:rsidR="004B0807">
        <w:rPr>
          <w:lang w:val="es-ES"/>
        </w:rPr>
        <w:t> </w:t>
      </w:r>
      <w:r w:rsidRPr="003D49E9">
        <w:rPr>
          <w:lang w:val="es-ES"/>
        </w:rPr>
        <w:t>Unido de Gran Bretaña e Irlanda del Norte, que figuran en el documento UNEP/OzL.Pro/ExCom/88/23.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F61079" w:rsidRPr="000755F8" w14:paraId="4011F792" w14:textId="77777777" w:rsidTr="00F84854">
        <w:tc>
          <w:tcPr>
            <w:tcW w:w="1871" w:type="dxa"/>
          </w:tcPr>
          <w:p w14:paraId="7588F702" w14:textId="3AF7E137" w:rsidR="00F61079" w:rsidRDefault="00F61079" w:rsidP="003A6588">
            <w:pPr>
              <w:rPr>
                <w:lang w:val="es-ES"/>
              </w:rPr>
            </w:pPr>
            <w:r>
              <w:rPr>
                <w:lang w:val="es-ES"/>
              </w:rPr>
              <w:tab/>
            </w:r>
            <w:bookmarkStart w:id="0" w:name="_GoBack"/>
            <w:bookmarkEnd w:id="0"/>
            <w:r>
              <w:rPr>
                <w:lang w:val="es-ES"/>
              </w:rPr>
              <w:br w:type="page"/>
            </w:r>
          </w:p>
          <w:p w14:paraId="227901A3" w14:textId="77777777" w:rsidR="00F61079" w:rsidRPr="000755F8" w:rsidRDefault="00F61079" w:rsidP="003A6588">
            <w:pPr>
              <w:rPr>
                <w:lang w:val="es-ES"/>
              </w:rPr>
            </w:pPr>
          </w:p>
        </w:tc>
        <w:tc>
          <w:tcPr>
            <w:tcW w:w="1872" w:type="dxa"/>
          </w:tcPr>
          <w:p w14:paraId="17409213" w14:textId="77777777" w:rsidR="00F61079" w:rsidRPr="000755F8" w:rsidRDefault="00F61079" w:rsidP="003A6588">
            <w:pPr>
              <w:rPr>
                <w:lang w:val="es-ES"/>
              </w:rPr>
            </w:pPr>
          </w:p>
        </w:tc>
        <w:tc>
          <w:tcPr>
            <w:tcW w:w="1872" w:type="dxa"/>
            <w:tcBorders>
              <w:bottom w:val="single" w:sz="4" w:space="0" w:color="auto"/>
            </w:tcBorders>
          </w:tcPr>
          <w:p w14:paraId="23309DCC" w14:textId="77777777" w:rsidR="00F61079" w:rsidRPr="000755F8" w:rsidRDefault="00F61079" w:rsidP="003A6588">
            <w:pPr>
              <w:rPr>
                <w:lang w:val="es-ES"/>
              </w:rPr>
            </w:pPr>
          </w:p>
        </w:tc>
        <w:tc>
          <w:tcPr>
            <w:tcW w:w="1872" w:type="dxa"/>
          </w:tcPr>
          <w:p w14:paraId="1B226C1C" w14:textId="77777777" w:rsidR="00F61079" w:rsidRPr="000755F8" w:rsidRDefault="00F61079" w:rsidP="003A6588">
            <w:pPr>
              <w:rPr>
                <w:lang w:val="es-ES"/>
              </w:rPr>
            </w:pPr>
          </w:p>
        </w:tc>
        <w:tc>
          <w:tcPr>
            <w:tcW w:w="1873" w:type="dxa"/>
          </w:tcPr>
          <w:p w14:paraId="129A2F36" w14:textId="77777777" w:rsidR="00F61079" w:rsidRPr="000755F8" w:rsidRDefault="00F61079" w:rsidP="003A6588">
            <w:pPr>
              <w:rPr>
                <w:lang w:val="es-ES"/>
              </w:rPr>
            </w:pPr>
          </w:p>
        </w:tc>
      </w:tr>
    </w:tbl>
    <w:p w14:paraId="14BB6E73" w14:textId="77777777" w:rsidR="00F61079" w:rsidRPr="003D49E9" w:rsidRDefault="00F61079" w:rsidP="00F61079">
      <w:pPr>
        <w:tabs>
          <w:tab w:val="left" w:pos="2895"/>
        </w:tabs>
        <w:jc w:val="left"/>
        <w:rPr>
          <w:b/>
          <w:bCs/>
          <w:lang w:val="es-ES"/>
        </w:rPr>
      </w:pPr>
    </w:p>
    <w:sectPr w:rsidR="00F61079" w:rsidRPr="003D49E9">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3A1B" w14:textId="77777777" w:rsidR="00CB6A22" w:rsidRDefault="00CB6A22">
      <w:r>
        <w:separator/>
      </w:r>
    </w:p>
  </w:endnote>
  <w:endnote w:type="continuationSeparator" w:id="0">
    <w:p w14:paraId="3D19E887" w14:textId="77777777" w:rsidR="00CB6A22" w:rsidRDefault="00C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78439"/>
      <w:docPartObj>
        <w:docPartGallery w:val="Page Numbers (Bottom of Page)"/>
        <w:docPartUnique/>
      </w:docPartObj>
    </w:sdtPr>
    <w:sdtEndPr>
      <w:rPr>
        <w:noProof/>
      </w:rPr>
    </w:sdtEndPr>
    <w:sdtContent>
      <w:p w14:paraId="64EEA5D9" w14:textId="0530C4C5" w:rsidR="004B0807" w:rsidRDefault="004B0807">
        <w:pPr>
          <w:pStyle w:val="Footer"/>
          <w:jc w:val="center"/>
        </w:pPr>
        <w:r>
          <w:fldChar w:fldCharType="begin"/>
        </w:r>
        <w:r>
          <w:instrText xml:space="preserve"> PAGE   \* MERGEFORMAT </w:instrText>
        </w:r>
        <w:r>
          <w:fldChar w:fldCharType="separate"/>
        </w:r>
        <w:r w:rsidR="00F84854">
          <w:rPr>
            <w:noProof/>
          </w:rPr>
          <w:t>6</w:t>
        </w:r>
        <w:r>
          <w:rPr>
            <w:noProof/>
          </w:rPr>
          <w:fldChar w:fldCharType="end"/>
        </w:r>
      </w:p>
    </w:sdtContent>
  </w:sdt>
  <w:p w14:paraId="2F60E33E" w14:textId="77777777" w:rsidR="004B0807" w:rsidRDefault="004B0807" w:rsidP="004B080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65084"/>
      <w:docPartObj>
        <w:docPartGallery w:val="Page Numbers (Bottom of Page)"/>
        <w:docPartUnique/>
      </w:docPartObj>
    </w:sdtPr>
    <w:sdtEndPr>
      <w:rPr>
        <w:noProof/>
      </w:rPr>
    </w:sdtEndPr>
    <w:sdtContent>
      <w:p w14:paraId="15AF86E2" w14:textId="3C9A1499" w:rsidR="004B0807" w:rsidRDefault="004B0807">
        <w:pPr>
          <w:pStyle w:val="Footer"/>
          <w:jc w:val="center"/>
        </w:pPr>
        <w:r>
          <w:fldChar w:fldCharType="begin"/>
        </w:r>
        <w:r>
          <w:instrText xml:space="preserve"> PAGE   \* MERGEFORMAT </w:instrText>
        </w:r>
        <w:r>
          <w:fldChar w:fldCharType="separate"/>
        </w:r>
        <w:r w:rsidR="00F84854">
          <w:rPr>
            <w:noProof/>
          </w:rPr>
          <w:t>5</w:t>
        </w:r>
        <w:r>
          <w:rPr>
            <w:noProof/>
          </w:rPr>
          <w:fldChar w:fldCharType="end"/>
        </w:r>
      </w:p>
    </w:sdtContent>
  </w:sdt>
  <w:p w14:paraId="4F4A3CF2" w14:textId="77777777" w:rsidR="004B0807" w:rsidRDefault="004B08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sdt>
        <w:sdtPr>
          <w:id w:val="-681426481"/>
          <w:docPartObj>
            <w:docPartGallery w:val="Page Numbers (Bottom of Page)"/>
            <w:docPartUnique/>
          </w:docPartObj>
        </w:sdtPr>
        <w:sdtEndPr>
          <w:rPr>
            <w:noProof/>
          </w:rPr>
        </w:sdtEndPr>
        <w:sdtContent>
          <w:p w14:paraId="7B07129D" w14:textId="506A2047" w:rsidR="0087455A" w:rsidRPr="00F61079" w:rsidRDefault="00F61079" w:rsidP="00F61079">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sdtContent>
      </w:sdt>
    </w:sdtContent>
  </w:sdt>
  <w:p w14:paraId="5962132F" w14:textId="77777777" w:rsidR="0087455A" w:rsidRPr="000755F8" w:rsidRDefault="0087455A">
    <w:pPr>
      <w:pStyle w:val="Foo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FF1E" w14:textId="77777777" w:rsidR="00CB6A22" w:rsidRDefault="00CB6A22">
      <w:r>
        <w:separator/>
      </w:r>
    </w:p>
  </w:footnote>
  <w:footnote w:type="continuationSeparator" w:id="0">
    <w:p w14:paraId="7D6F4D2D" w14:textId="77777777" w:rsidR="00CB6A22" w:rsidRDefault="00CB6A22">
      <w:r>
        <w:continuationSeparator/>
      </w:r>
    </w:p>
  </w:footnote>
  <w:footnote w:id="1">
    <w:p w14:paraId="3C161C4C" w14:textId="0D5C7AB7" w:rsidR="002959B4" w:rsidRPr="00064429" w:rsidRDefault="002959B4">
      <w:pPr>
        <w:pStyle w:val="FootnoteText"/>
        <w:rPr>
          <w:lang w:val="es-AR"/>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footnote>
  <w:footnote w:id="2">
    <w:p w14:paraId="7615BC30" w14:textId="77777777" w:rsidR="003D49E9" w:rsidRPr="003D49E9" w:rsidRDefault="003D49E9" w:rsidP="003D49E9">
      <w:pPr>
        <w:pStyle w:val="FootnoteText"/>
        <w:rPr>
          <w:lang w:val="es-ES"/>
        </w:rPr>
      </w:pPr>
      <w:r>
        <w:rPr>
          <w:rStyle w:val="FootnoteReference"/>
        </w:rPr>
        <w:footnoteRef/>
      </w:r>
      <w:r w:rsidRPr="003D49E9">
        <w:rPr>
          <w:lang w:val="es-ES"/>
        </w:rPr>
        <w:t xml:space="preserve"> Dadas las limitaciones impuestas por la pandemia de la COVID-19, las observaciones de la Secretaría sobre la presentación inicial del plan administrativo de los organismos bilaterales para 2022-2024 se abordaron mediante conversaciones bilaterales y numerosos intercambios de mensajes electrónicos. Todas las cuestiones se trataron satisfactoriamente.</w:t>
      </w:r>
    </w:p>
  </w:footnote>
  <w:footnote w:id="3">
    <w:p w14:paraId="3AE164B0" w14:textId="000A13A9" w:rsidR="003D49E9" w:rsidRDefault="003D49E9" w:rsidP="003D49E9">
      <w:pPr>
        <w:pStyle w:val="FootnoteText"/>
        <w:rPr>
          <w:lang w:val="es-ES"/>
        </w:rPr>
      </w:pPr>
      <w:r>
        <w:rPr>
          <w:rStyle w:val="FootnoteReference"/>
        </w:rPr>
        <w:footnoteRef/>
      </w:r>
      <w:r w:rsidRPr="003D49E9">
        <w:rPr>
          <w:lang w:val="es-ES"/>
        </w:rPr>
        <w:t xml:space="preserve"> La cooperación bilateral puede considerarse como una contribución al Fondo Multilateral hasta un máximo del 20 por ciento del compromiso anual de un país con el Fondo. El Comité Ejecutivo decidió permitir flexibilidad en cuanto al año en el que se acreditarían los proyectos bilaterales, siempre que los organismos bilaterales present</w:t>
      </w:r>
      <w:r w:rsidR="00A843AB">
        <w:rPr>
          <w:lang w:val="es-ES"/>
        </w:rPr>
        <w:t>en</w:t>
      </w:r>
      <w:r w:rsidRPr="003D49E9">
        <w:rPr>
          <w:lang w:val="es-ES"/>
        </w:rPr>
        <w:t xml:space="preserve"> sus planes de trabajo a principios de año, con tiempo para que se estudi</w:t>
      </w:r>
      <w:r w:rsidR="00FB3185">
        <w:rPr>
          <w:lang w:val="es-ES"/>
        </w:rPr>
        <w:t>en</w:t>
      </w:r>
      <w:r w:rsidRPr="003D49E9">
        <w:rPr>
          <w:lang w:val="es-ES"/>
        </w:rPr>
        <w:t xml:space="preserve"> durante los debates de los planes administrativos </w:t>
      </w:r>
      <w:r w:rsidR="00A843AB">
        <w:rPr>
          <w:lang w:val="es-ES"/>
        </w:rPr>
        <w:t>de</w:t>
      </w:r>
      <w:r w:rsidRPr="003D49E9">
        <w:rPr>
          <w:lang w:val="es-ES"/>
        </w:rPr>
        <w:t xml:space="preserve"> la primera reunión del año del Comité (decisión 25/13(a)). En el caso de la cooperación bilateral de otras Partes que no operan al amparo del artículo 5, como Canadá, España, los Estados Unidos de América, la Federación Rusa, Finlandia, Israel, Italia, Polonia, Portugal, la República Checa, Suecia y Suiza, estos países no presentaron planes administrativos bilaterales y el monto total de las actividades bilaterales podría aumentar en caso de que se presentaran.</w:t>
      </w:r>
    </w:p>
    <w:p w14:paraId="1DA0DD04" w14:textId="7CFA2768" w:rsidR="00F84854" w:rsidRDefault="00F84854" w:rsidP="003D49E9">
      <w:pPr>
        <w:pStyle w:val="FootnoteText"/>
        <w:rPr>
          <w:lang w:val="es-ES"/>
        </w:rPr>
      </w:pPr>
    </w:p>
    <w:p w14:paraId="23C6AD6E" w14:textId="77777777" w:rsidR="00F84854" w:rsidRPr="003D49E9" w:rsidRDefault="00F84854" w:rsidP="003D49E9">
      <w:pPr>
        <w:pStyle w:val="FootnoteText"/>
        <w:rPr>
          <w:lang w:val="es-ES"/>
        </w:rPr>
      </w:pPr>
    </w:p>
  </w:footnote>
  <w:footnote w:id="4">
    <w:p w14:paraId="37EACC4F" w14:textId="118FBD60" w:rsidR="003D49E9" w:rsidRDefault="003D49E9" w:rsidP="003D49E9">
      <w:pPr>
        <w:pStyle w:val="FootnoteText"/>
        <w:rPr>
          <w:lang w:val="es-ES"/>
        </w:rPr>
      </w:pPr>
      <w:r>
        <w:rPr>
          <w:rStyle w:val="FootnoteReference"/>
        </w:rPr>
        <w:footnoteRef/>
      </w:r>
      <w:r w:rsidRPr="003D49E9">
        <w:rPr>
          <w:lang w:val="es-ES"/>
        </w:rPr>
        <w:t xml:space="preserve"> Todas las actividades posteriores a 2024 corresponden a la etapa I aprobada de los PGEH de Mauricio, Namibia, Papua Nueva Guinea y Seychelles; a la etapa II aprobada de los PGEH de Kenya y países insulares del Pacífico; y a fortalecimiento institucional para Papua Nueva Guinea. </w:t>
      </w:r>
    </w:p>
    <w:p w14:paraId="5260D12F" w14:textId="77777777" w:rsidR="000755F8" w:rsidRPr="003D49E9" w:rsidRDefault="000755F8" w:rsidP="003D49E9">
      <w:pPr>
        <w:pStyle w:val="FootnoteText"/>
        <w:rPr>
          <w:lang w:val="es-ES"/>
        </w:rPr>
      </w:pPr>
    </w:p>
  </w:footnote>
  <w:footnote w:id="5">
    <w:p w14:paraId="45ACD0BC" w14:textId="3A264128" w:rsidR="003D49E9" w:rsidRDefault="003D49E9" w:rsidP="003D49E9">
      <w:pPr>
        <w:pStyle w:val="Default"/>
        <w:jc w:val="both"/>
        <w:rPr>
          <w:color w:val="auto"/>
          <w:sz w:val="20"/>
          <w:szCs w:val="20"/>
        </w:rPr>
      </w:pPr>
      <w:r>
        <w:rPr>
          <w:rStyle w:val="FootnoteReference"/>
          <w:color w:val="auto"/>
          <w:sz w:val="20"/>
          <w:szCs w:val="20"/>
        </w:rPr>
        <w:footnoteRef/>
      </w:r>
      <w:r>
        <w:rPr>
          <w:color w:val="auto"/>
          <w:sz w:val="20"/>
          <w:szCs w:val="20"/>
        </w:rPr>
        <w:t xml:space="preserve"> En ausencia de una decisión de las Partes sobre el nivel de reposición del Fondo Multilateral para el trienio 2021</w:t>
      </w:r>
      <w:r w:rsidR="004B0807">
        <w:rPr>
          <w:color w:val="auto"/>
          <w:sz w:val="20"/>
          <w:szCs w:val="20"/>
        </w:rPr>
        <w:noBreakHyphen/>
      </w:r>
      <w:r>
        <w:rPr>
          <w:color w:val="auto"/>
          <w:sz w:val="20"/>
          <w:szCs w:val="20"/>
        </w:rPr>
        <w:t xml:space="preserve">2023, y a la luz de la decisión XXXII/1, la escala de contribuciones para el Fondo Multilateral para 2021-2023 se asumió al mismo nivel del trienio 2018-2020. </w:t>
      </w:r>
    </w:p>
  </w:footnote>
  <w:footnote w:id="6">
    <w:p w14:paraId="0771E7B6" w14:textId="77777777" w:rsidR="00F26FE4" w:rsidRPr="003D49E9" w:rsidRDefault="00F26FE4" w:rsidP="00F26FE4">
      <w:pPr>
        <w:pStyle w:val="FootnoteText"/>
        <w:rPr>
          <w:lang w:val="es-ES"/>
        </w:rPr>
      </w:pPr>
      <w:r>
        <w:rPr>
          <w:rStyle w:val="FootnoteReference"/>
        </w:rPr>
        <w:footnoteRef/>
      </w:r>
      <w:r w:rsidRPr="003D49E9">
        <w:rPr>
          <w:lang w:val="es-ES"/>
        </w:rPr>
        <w:t xml:space="preserve"> La inclusión de la etapa III de los PGEH en los planes administrativos tan solo se permite para países cuyos objetivos de reducción sean inferiores a los objetivos de cumplimiento para 2025.</w:t>
      </w:r>
    </w:p>
  </w:footnote>
  <w:footnote w:id="7">
    <w:p w14:paraId="37D2D7EE" w14:textId="77777777" w:rsidR="00F26FE4" w:rsidRPr="003D49E9" w:rsidRDefault="00F26FE4" w:rsidP="00F26FE4">
      <w:pPr>
        <w:pStyle w:val="FootnoteText"/>
        <w:rPr>
          <w:lang w:val="es-ES"/>
        </w:rPr>
      </w:pPr>
      <w:r>
        <w:rPr>
          <w:rStyle w:val="FootnoteReference"/>
        </w:rPr>
        <w:footnoteRef/>
      </w:r>
      <w:r w:rsidRPr="003D49E9">
        <w:rPr>
          <w:lang w:val="es-ES"/>
        </w:rPr>
        <w:t xml:space="preserve"> La financiación para la preparación de planes nacionales de ejecución destinados a cumplir con las obligaciones iniciales de reducción de los HFC se podría proporcionar, como muy pronto, cinco años antes de la fecha de cumplimiento de esas obligaciones, después de que un país haya ratificado la Enmienda de Kigali y sobre la base de las directrices que se hayan de aprobar en el futuro (decisión 79/46(b)(iii)). Además, la decisión 84/46(f) permitía la inclusión de actividades de preparación para la reducción de los HFC en el plan administrativo de países que no hayan ratificado la Enmienda de Kigali, pero </w:t>
      </w:r>
      <w:r>
        <w:rPr>
          <w:lang w:val="es-ES"/>
        </w:rPr>
        <w:t xml:space="preserve">que </w:t>
      </w:r>
      <w:r w:rsidRPr="003D49E9">
        <w:rPr>
          <w:lang w:val="es-ES"/>
        </w:rPr>
        <w:t>hayan presentado una carta indicando la intención de su gobierno de hacer todo lo posible para ratificarla. Las directrices para la preparación de los KIP se aprobaron en la 87</w:t>
      </w:r>
      <w:r w:rsidRPr="003D49E9">
        <w:rPr>
          <w:vertAlign w:val="superscript"/>
          <w:lang w:val="es-ES"/>
        </w:rPr>
        <w:t>a</w:t>
      </w:r>
      <w:r w:rsidRPr="003D49E9">
        <w:rPr>
          <w:lang w:val="es-ES"/>
        </w:rPr>
        <w:t> reunión (decisión 87/50).</w:t>
      </w:r>
    </w:p>
  </w:footnote>
  <w:footnote w:id="8">
    <w:p w14:paraId="2EB2A2BF" w14:textId="77777777" w:rsidR="00F26FE4" w:rsidRPr="003D49E9" w:rsidRDefault="00F26FE4" w:rsidP="00F26FE4">
      <w:pPr>
        <w:pStyle w:val="FootnoteText"/>
        <w:rPr>
          <w:lang w:val="es-ES"/>
        </w:rPr>
      </w:pPr>
      <w:r>
        <w:rPr>
          <w:rStyle w:val="FootnoteReference"/>
        </w:rPr>
        <w:footnoteRef/>
      </w:r>
      <w:r w:rsidRPr="003D49E9">
        <w:rPr>
          <w:lang w:val="es-ES"/>
        </w:rPr>
        <w:t>Únicamente permitir la inclusión en los planes administrativos de los KIP de países que hayan ratificado la Enmienda de Kigali.</w:t>
      </w:r>
    </w:p>
  </w:footnote>
  <w:footnote w:id="9">
    <w:p w14:paraId="161A58B3" w14:textId="77777777" w:rsidR="00F26FE4" w:rsidRPr="003D49E9" w:rsidRDefault="00F26FE4" w:rsidP="00F26FE4">
      <w:pPr>
        <w:pStyle w:val="FootnoteText"/>
        <w:rPr>
          <w:highlight w:val="yellow"/>
          <w:lang w:val="es-ES"/>
        </w:rPr>
      </w:pPr>
      <w:r>
        <w:rPr>
          <w:vertAlign w:val="superscript"/>
        </w:rPr>
        <w:footnoteRef/>
      </w:r>
      <w:r w:rsidRPr="003D49E9">
        <w:rPr>
          <w:lang w:val="es-ES"/>
        </w:rPr>
        <w:t xml:space="preserve"> UNEP/OzL.Pro/ExCom/88/22.</w:t>
      </w:r>
    </w:p>
  </w:footnote>
  <w:footnote w:id="10">
    <w:p w14:paraId="2AB54B9A" w14:textId="77777777" w:rsidR="003D49E9" w:rsidRPr="003D49E9" w:rsidRDefault="003D49E9" w:rsidP="003D49E9">
      <w:pPr>
        <w:pStyle w:val="FootnoteText"/>
        <w:rPr>
          <w:highlight w:val="yellow"/>
          <w:lang w:val="es-ES"/>
        </w:rPr>
      </w:pPr>
      <w:r>
        <w:rPr>
          <w:rStyle w:val="FootnoteReference"/>
        </w:rPr>
        <w:footnoteRef/>
      </w:r>
      <w:r w:rsidRPr="003D49E9">
        <w:rPr>
          <w:lang w:val="es-ES"/>
        </w:rPr>
        <w:t xml:space="preserve"> Véase la nota a pie de página 7.</w:t>
      </w:r>
    </w:p>
  </w:footnote>
  <w:footnote w:id="11">
    <w:p w14:paraId="08220A3F" w14:textId="77777777" w:rsidR="003D49E9" w:rsidRPr="003D49E9" w:rsidRDefault="003D49E9" w:rsidP="003D49E9">
      <w:pPr>
        <w:pStyle w:val="FootnoteText"/>
        <w:rPr>
          <w:highlight w:val="yellow"/>
          <w:lang w:val="es-ES"/>
        </w:rPr>
      </w:pPr>
      <w:r>
        <w:rPr>
          <w:rStyle w:val="FootnoteReference"/>
        </w:rPr>
        <w:footnoteRef/>
      </w:r>
      <w:r w:rsidRPr="003D49E9">
        <w:rPr>
          <w:lang w:val="es-ES"/>
        </w:rPr>
        <w:t xml:space="preserve"> A falta de una decisión de las Partes sobre el nivel de reposición del Fondo Multilateral para el trienio 2021-2023, y a la luz de la decisión XXXII/1, el presupuesto indicativo para la asignación de recursos de los planes administrativos para 2021-2023 se asumió al mismo nivel que la reposición del trienio 2018-2020. Esta cuestión se analiza en el plan administrativo refundido para 2022-2024 del Fondo Multilateral (UNEP/OzL.Pro/ExCom/86/22).</w:t>
      </w:r>
    </w:p>
  </w:footnote>
  <w:footnote w:id="12">
    <w:p w14:paraId="1CEFC850" w14:textId="77777777" w:rsidR="003D49E9" w:rsidRPr="0080274B" w:rsidRDefault="003D49E9" w:rsidP="003D49E9">
      <w:pPr>
        <w:pStyle w:val="FootnoteText"/>
        <w:rPr>
          <w:lang w:val="es-ES"/>
        </w:rPr>
      </w:pPr>
      <w:r>
        <w:rPr>
          <w:rStyle w:val="FootnoteReference"/>
        </w:rPr>
        <w:footnoteRef/>
      </w:r>
      <w:r w:rsidRPr="0080274B">
        <w:rPr>
          <w:lang w:val="es-ES"/>
        </w:rPr>
        <w:t xml:space="preserve"> UNEP/</w:t>
      </w:r>
      <w:proofErr w:type="spellStart"/>
      <w:r w:rsidRPr="0080274B">
        <w:rPr>
          <w:lang w:val="es-ES"/>
        </w:rPr>
        <w:t>OzL.Pro</w:t>
      </w:r>
      <w:proofErr w:type="spellEnd"/>
      <w:r w:rsidRPr="0080274B">
        <w:rPr>
          <w:lang w:val="es-ES"/>
        </w:rPr>
        <w:t>/</w:t>
      </w:r>
      <w:proofErr w:type="spellStart"/>
      <w:r w:rsidRPr="0080274B">
        <w:rPr>
          <w:lang w:val="es-ES"/>
        </w:rPr>
        <w:t>ExCom</w:t>
      </w:r>
      <w:proofErr w:type="spellEnd"/>
      <w:r w:rsidRPr="0080274B">
        <w:rPr>
          <w:lang w:val="es-ES"/>
        </w:rPr>
        <w:t>/88/22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978A" w14:textId="3A3FCA57" w:rsidR="00F61079" w:rsidRPr="0033525D" w:rsidRDefault="00F61079" w:rsidP="00F6107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/88/23</w:t>
    </w:r>
    <w:r>
      <w:fldChar w:fldCharType="end"/>
    </w:r>
  </w:p>
  <w:p w14:paraId="01210D6B" w14:textId="3B1F4F05" w:rsidR="00F61079" w:rsidRDefault="00F61079">
    <w:pPr>
      <w:pStyle w:val="Header"/>
    </w:pPr>
  </w:p>
  <w:p w14:paraId="3B273BF2" w14:textId="77777777" w:rsidR="00F61079" w:rsidRDefault="00F610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6AF6" w14:textId="7243C37B" w:rsidR="00F61079" w:rsidRPr="0033525D" w:rsidRDefault="00F61079" w:rsidP="00F6107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/88/23</w:t>
    </w:r>
    <w:r>
      <w:fldChar w:fldCharType="end"/>
    </w:r>
  </w:p>
  <w:p w14:paraId="33C836F9" w14:textId="77777777" w:rsidR="00F61079" w:rsidRDefault="00F610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96"/>
    <w:rsid w:val="00064429"/>
    <w:rsid w:val="000755F8"/>
    <w:rsid w:val="00106F6E"/>
    <w:rsid w:val="00114CAA"/>
    <w:rsid w:val="001C2D22"/>
    <w:rsid w:val="001F4047"/>
    <w:rsid w:val="00235D4C"/>
    <w:rsid w:val="0024162E"/>
    <w:rsid w:val="002425B4"/>
    <w:rsid w:val="00244477"/>
    <w:rsid w:val="002959B4"/>
    <w:rsid w:val="002C2476"/>
    <w:rsid w:val="00344EAB"/>
    <w:rsid w:val="00366B50"/>
    <w:rsid w:val="003863A4"/>
    <w:rsid w:val="0039251E"/>
    <w:rsid w:val="003A5E1F"/>
    <w:rsid w:val="003B7115"/>
    <w:rsid w:val="003C3492"/>
    <w:rsid w:val="003D49E9"/>
    <w:rsid w:val="003E7510"/>
    <w:rsid w:val="00455352"/>
    <w:rsid w:val="00476E28"/>
    <w:rsid w:val="004B0807"/>
    <w:rsid w:val="00556AF5"/>
    <w:rsid w:val="007006C2"/>
    <w:rsid w:val="00792A47"/>
    <w:rsid w:val="0080274B"/>
    <w:rsid w:val="00831BC5"/>
    <w:rsid w:val="00845F2A"/>
    <w:rsid w:val="0087455A"/>
    <w:rsid w:val="008E61FD"/>
    <w:rsid w:val="009D004E"/>
    <w:rsid w:val="00A30421"/>
    <w:rsid w:val="00A843AB"/>
    <w:rsid w:val="00AB56E5"/>
    <w:rsid w:val="00AC7A52"/>
    <w:rsid w:val="00B06896"/>
    <w:rsid w:val="00B60EEC"/>
    <w:rsid w:val="00B84ACF"/>
    <w:rsid w:val="00C14E67"/>
    <w:rsid w:val="00CB6A22"/>
    <w:rsid w:val="00D84B6F"/>
    <w:rsid w:val="00DB795B"/>
    <w:rsid w:val="00E17F97"/>
    <w:rsid w:val="00F10CD9"/>
    <w:rsid w:val="00F12B29"/>
    <w:rsid w:val="00F25F7C"/>
    <w:rsid w:val="00F26FE4"/>
    <w:rsid w:val="00F301DE"/>
    <w:rsid w:val="00F61079"/>
    <w:rsid w:val="00F84854"/>
    <w:rsid w:val="00F9224D"/>
    <w:rsid w:val="00FB3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9BA90"/>
  <w15:docId w15:val="{027F750C-1040-4372-809E-6111ED0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semiHidden/>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
    <w:basedOn w:val="Normal"/>
    <w:link w:val="FootnoteTextChar"/>
    <w:semiHidden/>
    <w:unhideWhenUsed/>
    <w:qFormat/>
    <w:rsid w:val="002959B4"/>
    <w:rPr>
      <w:sz w:val="20"/>
      <w:szCs w:val="20"/>
    </w:rPr>
  </w:style>
  <w:style w:type="character" w:customStyle="1" w:styleId="FootnoteTextChar">
    <w:name w:val="Footnote Text Char"/>
    <w:aliases w:val="Char1 Char,Char1 Char Char Char,Fußnotentextf Char"/>
    <w:basedOn w:val="DefaultParagraphFont"/>
    <w:link w:val="FootnoteText"/>
    <w:semiHidden/>
    <w:rsid w:val="002959B4"/>
    <w:rPr>
      <w:lang w:val="en-GB"/>
    </w:rPr>
  </w:style>
  <w:style w:type="character" w:styleId="FootnoteReference">
    <w:name w:val="footnote reference"/>
    <w:aliases w:val="16 Point,Superscript 6 Point,Footnote text,Footnote Text1,Footnote Text2"/>
    <w:basedOn w:val="DefaultParagraphFont"/>
    <w:semiHidden/>
    <w:unhideWhenUsed/>
    <w:rsid w:val="002959B4"/>
    <w:rPr>
      <w:vertAlign w:val="superscript"/>
    </w:rPr>
  </w:style>
  <w:style w:type="paragraph" w:customStyle="1" w:styleId="Title2">
    <w:name w:val="Title2"/>
    <w:rsid w:val="003D49E9"/>
    <w:pPr>
      <w:jc w:val="center"/>
      <w:outlineLvl w:val="0"/>
    </w:pPr>
    <w:rPr>
      <w:b/>
      <w:caps/>
      <w:sz w:val="22"/>
      <w:szCs w:val="22"/>
      <w:lang w:val="es-ES"/>
    </w:rPr>
  </w:style>
  <w:style w:type="paragraph" w:customStyle="1" w:styleId="a--">
    <w:name w:val="a-(-)"/>
    <w:basedOn w:val="Normal"/>
    <w:uiPriority w:val="99"/>
    <w:rsid w:val="003D49E9"/>
    <w:pPr>
      <w:tabs>
        <w:tab w:val="left" w:pos="-720"/>
        <w:tab w:val="left" w:pos="0"/>
        <w:tab w:val="left" w:pos="720"/>
        <w:tab w:val="left" w:pos="1440"/>
        <w:tab w:val="left" w:pos="2160"/>
        <w:tab w:val="left" w:pos="2880"/>
        <w:tab w:val="left" w:pos="3600"/>
      </w:tabs>
      <w:suppressAutoHyphens/>
    </w:pPr>
    <w:rPr>
      <w:b/>
      <w:bCs/>
      <w:sz w:val="24"/>
      <w:szCs w:val="24"/>
      <w:lang w:val="es-ES"/>
    </w:rPr>
  </w:style>
  <w:style w:type="character" w:customStyle="1" w:styleId="Heading2Char">
    <w:name w:val="Heading 2 Char"/>
    <w:aliases w:val="SubPara (a) Char1,Heading 2 Char3 Char,Heading 2 Char Char2 Char,Heading 2 Char1 Char Char1 Char,SubPara (a) Char Char Char1 Char,Heading 2 Char Char Char Char1 Char,Heading 2 Char1 Char Char Char Char1 Char,Heading 2 Char2 Char"/>
    <w:basedOn w:val="DefaultParagraphFont"/>
    <w:link w:val="Heading2"/>
    <w:rsid w:val="003D49E9"/>
    <w:rPr>
      <w:sz w:val="22"/>
      <w:szCs w:val="22"/>
      <w:lang w:val="en-GB"/>
    </w:rPr>
  </w:style>
  <w:style w:type="paragraph" w:customStyle="1" w:styleId="subhead">
    <w:name w:val="subhead"/>
    <w:basedOn w:val="Normal"/>
    <w:next w:val="Normal"/>
    <w:uiPriority w:val="99"/>
    <w:rsid w:val="003D49E9"/>
    <w:pPr>
      <w:tabs>
        <w:tab w:val="left" w:pos="-720"/>
        <w:tab w:val="left" w:pos="0"/>
        <w:tab w:val="left" w:pos="720"/>
        <w:tab w:val="left" w:pos="1440"/>
        <w:tab w:val="left" w:pos="2160"/>
        <w:tab w:val="left" w:pos="2880"/>
        <w:tab w:val="left" w:pos="3600"/>
      </w:tabs>
      <w:jc w:val="center"/>
    </w:pPr>
    <w:rPr>
      <w:sz w:val="24"/>
      <w:szCs w:val="24"/>
      <w:lang w:val="es-ES"/>
    </w:rPr>
  </w:style>
  <w:style w:type="paragraph" w:customStyle="1" w:styleId="Default">
    <w:name w:val="Default"/>
    <w:rsid w:val="003D49E9"/>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4823">
      <w:bodyDiv w:val="1"/>
      <w:marLeft w:val="0"/>
      <w:marRight w:val="0"/>
      <w:marTop w:val="0"/>
      <w:marBottom w:val="0"/>
      <w:divBdr>
        <w:top w:val="none" w:sz="0" w:space="0" w:color="auto"/>
        <w:left w:val="none" w:sz="0" w:space="0" w:color="auto"/>
        <w:bottom w:val="none" w:sz="0" w:space="0" w:color="auto"/>
        <w:right w:val="none" w:sz="0" w:space="0" w:color="auto"/>
      </w:divBdr>
    </w:div>
    <w:div w:id="139508501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ci&#243;n\trabajos\Multilateral%20Fund\2021_10_Presession_88\S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UNEP/OzL.Pro/ExCom/88/23</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95AB8F-4A81-4492-BD7D-0D2940B0488A}"/>
</file>

<file path=customXml/itemProps2.xml><?xml version="1.0" encoding="utf-8"?>
<ds:datastoreItem xmlns:ds="http://schemas.openxmlformats.org/officeDocument/2006/customXml" ds:itemID="{4006196F-1296-43E4-BF43-BC06CE34B4EF}"/>
</file>

<file path=customXml/itemProps3.xml><?xml version="1.0" encoding="utf-8"?>
<ds:datastoreItem xmlns:ds="http://schemas.openxmlformats.org/officeDocument/2006/customXml" ds:itemID="{12D5DC30-B6A6-45EA-AF22-483DBFCE3E75}"/>
</file>

<file path=customXml/itemProps4.xml><?xml version="1.0" encoding="utf-8"?>
<ds:datastoreItem xmlns:ds="http://schemas.openxmlformats.org/officeDocument/2006/customXml" ds:itemID="{1AC5C8DE-5856-4DA1-8708-EF47F607C7C9}"/>
</file>

<file path=docProps/app.xml><?xml version="1.0" encoding="utf-8"?>
<Properties xmlns="http://schemas.openxmlformats.org/officeDocument/2006/extended-properties" xmlns:vt="http://schemas.openxmlformats.org/officeDocument/2006/docPropsVTypes">
  <Template>S88-template</Template>
  <TotalTime>4</TotalTime>
  <Pages>7</Pages>
  <Words>1894</Words>
  <Characters>10797</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Planes administrativos de los organismos bilaterales para 2022-2024</vt:lpstr>
      <vt:lpstr/>
    </vt:vector>
  </TitlesOfParts>
  <Company>UNMFS</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Planes administrativos de los organismos bilaterales para 2022-2024</dc:title>
  <dc:subject/>
  <dc:creator>Diana Llorente</dc:creator>
  <cp:keywords/>
  <dc:description/>
  <cp:lastModifiedBy>HBE</cp:lastModifiedBy>
  <cp:revision>5</cp:revision>
  <cp:lastPrinted>2001-05-26T16:40:00Z</cp:lastPrinted>
  <dcterms:created xsi:type="dcterms:W3CDTF">2021-10-27T17:27:00Z</dcterms:created>
  <dcterms:modified xsi:type="dcterms:W3CDTF">2022-01-04T03:40:00Z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UNEP/OzL.Pro/ExCom/88/23</vt:lpwstr>
  </property>
  <property fmtid="{D5CDD505-2E9C-101B-9397-08002B2CF9AE}" pid="3" name="Revision date">
    <vt:lpwstr>10/26/2021</vt:lpwstr>
  </property>
  <property fmtid="{D5CDD505-2E9C-101B-9397-08002B2CF9AE}" pid="4" name="ContentTypeId">
    <vt:lpwstr>0x010100F9B34BAB91CF9C49929DFB9E017C6363</vt:lpwstr>
  </property>
</Properties>
</file>