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D492" w14:textId="2E5D4789" w:rsidR="00733864" w:rsidRPr="00DF4BB7" w:rsidRDefault="005555C1" w:rsidP="00493C77">
      <w:pPr>
        <w:spacing w:after="240" w:line="240" w:lineRule="auto"/>
        <w:jc w:val="center"/>
        <w:rPr>
          <w:rFonts w:ascii="Times New Roman" w:hAnsi="Times New Roman" w:cs="Times New Roman"/>
          <w:b/>
          <w:bCs/>
        </w:rPr>
      </w:pPr>
      <w:r w:rsidRPr="00DF4BB7">
        <w:rPr>
          <w:rFonts w:ascii="Times New Roman" w:hAnsi="Times New Roman"/>
          <w:b/>
          <w:bCs/>
        </w:rPr>
        <w:t>Anexo IV</w:t>
      </w:r>
    </w:p>
    <w:p w14:paraId="2715C313" w14:textId="4FB2658B" w:rsidR="005A5438" w:rsidRPr="00DF4BB7" w:rsidRDefault="005A5438" w:rsidP="00493C77">
      <w:pPr>
        <w:spacing w:after="240" w:line="240" w:lineRule="auto"/>
        <w:jc w:val="center"/>
        <w:rPr>
          <w:rFonts w:ascii="Times New Roman" w:hAnsi="Times New Roman" w:cs="Times New Roman"/>
          <w:b/>
          <w:bCs/>
        </w:rPr>
      </w:pPr>
      <w:r w:rsidRPr="00DF4BB7">
        <w:rPr>
          <w:rFonts w:ascii="Times New Roman" w:hAnsi="Times New Roman"/>
          <w:b/>
          <w:bCs/>
        </w:rPr>
        <w:t>PRESENTACIÓN DE DATOS SOBRE EL PROGRESO EN LA EJECUCIÓN DE LOS PROGRAMAS DE PAÍS A LA SECRETARÍA DEL FONDO</w:t>
      </w:r>
    </w:p>
    <w:p w14:paraId="08E9882C" w14:textId="30FD6EC3" w:rsidR="005A5438" w:rsidRPr="00DF4BB7" w:rsidRDefault="005A5438" w:rsidP="00493C77">
      <w:pPr>
        <w:spacing w:after="240" w:line="240" w:lineRule="auto"/>
        <w:jc w:val="center"/>
        <w:rPr>
          <w:rFonts w:ascii="Times New Roman" w:hAnsi="Times New Roman" w:cs="Times New Roman"/>
          <w:b/>
          <w:bCs/>
        </w:rPr>
      </w:pPr>
      <w:r w:rsidRPr="00DF4BB7">
        <w:rPr>
          <w:rFonts w:ascii="Times New Roman" w:hAnsi="Times New Roman"/>
          <w:b/>
          <w:bCs/>
        </w:rPr>
        <w:t>Manual práctico para la presentación de datos del programa de país</w:t>
      </w:r>
      <w:r w:rsidR="001A7B2A" w:rsidRPr="00DF4BB7">
        <w:rPr>
          <w:rFonts w:ascii="Times New Roman" w:hAnsi="Times New Roman"/>
          <w:b/>
          <w:bCs/>
        </w:rPr>
        <w:br/>
      </w:r>
      <w:r w:rsidRPr="00DF4BB7">
        <w:rPr>
          <w:rFonts w:ascii="Times New Roman" w:hAnsi="Times New Roman"/>
          <w:b/>
          <w:bCs/>
        </w:rPr>
        <w:t>(datos de 2019 y años posteriores)</w:t>
      </w:r>
    </w:p>
    <w:p w14:paraId="0219B26A" w14:textId="77777777" w:rsidR="00A446CD" w:rsidRPr="00DF4BB7" w:rsidRDefault="00A446CD" w:rsidP="00493C77">
      <w:pPr>
        <w:pStyle w:val="Heading1"/>
        <w:rPr>
          <w:b/>
        </w:rPr>
      </w:pPr>
      <w:r w:rsidRPr="00DF4BB7">
        <w:rPr>
          <w:b/>
        </w:rPr>
        <w:t>Antecedentes</w:t>
      </w:r>
    </w:p>
    <w:p w14:paraId="6482612D" w14:textId="77777777" w:rsidR="005A66EB" w:rsidRPr="00DF4BB7" w:rsidRDefault="005A66EB" w:rsidP="00A44B05">
      <w:pPr>
        <w:pStyle w:val="Heading1"/>
        <w:numPr>
          <w:ilvl w:val="0"/>
          <w:numId w:val="41"/>
        </w:numPr>
        <w:ind w:left="0" w:firstLine="0"/>
        <w:rPr>
          <w:rFonts w:ascii="TimesNewRomanPSMT" w:hAnsi="TimesNewRomanPSMT" w:cs="TimesNewRomanPSMT"/>
        </w:rPr>
      </w:pPr>
      <w:r w:rsidRPr="00DF4BB7">
        <w:t>Los países que operan al amparo del artículo 5 que solicitan financiación del Fondo Multilateral para la eliminación de sustancias controladas en los sectores de consumo y producción (donde proceda) deben presentar anualmente un informe obligatorio sobre los progresos realizados en la ejecución de los programas de país (PP) a la Secretaría del Fondo</w:t>
      </w:r>
      <w:r w:rsidRPr="00DF4BB7">
        <w:rPr>
          <w:sz w:val="20"/>
          <w:szCs w:val="18"/>
          <w:vertAlign w:val="superscript"/>
        </w:rPr>
        <w:footnoteReference w:id="1"/>
      </w:r>
      <w:r w:rsidRPr="00DF4BB7">
        <w:t xml:space="preserve">. </w:t>
      </w:r>
    </w:p>
    <w:p w14:paraId="164786FE" w14:textId="07917B1B" w:rsidR="005A66EB" w:rsidRPr="00DF4BB7" w:rsidRDefault="005A66EB" w:rsidP="00A44B05">
      <w:pPr>
        <w:pStyle w:val="Heading1"/>
        <w:numPr>
          <w:ilvl w:val="0"/>
          <w:numId w:val="41"/>
        </w:numPr>
        <w:ind w:left="0" w:firstLine="0"/>
      </w:pPr>
      <w:r w:rsidRPr="00DF4BB7">
        <w:t xml:space="preserve">La presentación de datos del PP constituye la única fuente de información sobre la distribución sectorial del uso de sustancias controladas en los países que operan al amparo del artículo 5. Basándose en las presentaciones de datos del PP, la Secretaría prepara un documento sobre los datos de los PP y las perspectivas de cumplimiento, que el Comité Ejecutivo examina en cada reunión. Este documento también se presenta a título de documento de información en cada una de las reuniones del Comité de Aplicación establecido con arreglo al procedimiento relativo al incumplimiento del Protocolo de Montreal. </w:t>
      </w:r>
    </w:p>
    <w:p w14:paraId="732C78C6" w14:textId="20F8F6D7" w:rsidR="005A66EB" w:rsidRPr="00DF4BB7" w:rsidRDefault="005A66EB" w:rsidP="00A44B05">
      <w:pPr>
        <w:pStyle w:val="Heading1"/>
        <w:numPr>
          <w:ilvl w:val="0"/>
          <w:numId w:val="41"/>
        </w:numPr>
        <w:ind w:left="0" w:firstLine="0"/>
      </w:pPr>
      <w:r w:rsidRPr="00DF4BB7">
        <w:t xml:space="preserve">Por lo tanto, es de gran importancia la exactitud de los datos de consumo y producción informados para el PP. </w:t>
      </w:r>
    </w:p>
    <w:p w14:paraId="7DC7AD67" w14:textId="7A7F1DE9" w:rsidR="00BC297C" w:rsidRPr="00DF4BB7" w:rsidRDefault="00BC297C" w:rsidP="00BC297C">
      <w:pPr>
        <w:rPr>
          <w:rFonts w:ascii="Times New Roman" w:hAnsi="Times New Roman" w:cs="Times New Roman"/>
          <w:b/>
        </w:rPr>
      </w:pPr>
      <w:r w:rsidRPr="00DF4BB7">
        <w:rPr>
          <w:rFonts w:ascii="Times New Roman" w:hAnsi="Times New Roman"/>
          <w:b/>
        </w:rPr>
        <w:t xml:space="preserve">Alcance del Manual práctico para la presentación de datos del programa de país </w:t>
      </w:r>
    </w:p>
    <w:p w14:paraId="2FA8460F" w14:textId="08CD8AF1" w:rsidR="00B56E9B" w:rsidRPr="00DF4BB7" w:rsidRDefault="0009081A" w:rsidP="00A44B05">
      <w:pPr>
        <w:pStyle w:val="Heading1"/>
        <w:numPr>
          <w:ilvl w:val="0"/>
          <w:numId w:val="41"/>
        </w:numPr>
        <w:ind w:left="0" w:firstLine="0"/>
      </w:pPr>
      <w:r w:rsidRPr="00DF4BB7">
        <w:t>Los países que operan al amparo del artículo 5 deben presentar informes anuales sobre los progresos realizados en la ejecución del PP para el año civil anterior a la Secretaría del Fondo, ocho semanas antes de la primera reunión del Comité Ejecutivo del año, si es posible, y a más tardar el 1 de mayo conforme a la decisión 74/9 b) iv). La Secretaría ha elaborado el presente Manual práctico para la presentación de datos del programa de país para asistir a los oficiales nacionales del ozono en el llenado de los informes de datos del PP.</w:t>
      </w:r>
    </w:p>
    <w:p w14:paraId="6594698A" w14:textId="7094F878" w:rsidR="00E43F46" w:rsidRPr="00DF4BB7" w:rsidRDefault="00841998" w:rsidP="00A44B05">
      <w:pPr>
        <w:pStyle w:val="Heading1"/>
        <w:numPr>
          <w:ilvl w:val="0"/>
          <w:numId w:val="41"/>
        </w:numPr>
        <w:ind w:left="0" w:firstLine="0"/>
      </w:pPr>
      <w:r w:rsidRPr="00DF4BB7">
        <w:t>El formato de la presentación de datos del PP contiene seis secciones separadas como se describe a continuación:</w:t>
      </w:r>
    </w:p>
    <w:tbl>
      <w:tblPr>
        <w:tblW w:w="9493" w:type="dxa"/>
        <w:tblLook w:val="04A0" w:firstRow="1" w:lastRow="0" w:firstColumn="1" w:lastColumn="0" w:noHBand="0" w:noVBand="1"/>
      </w:tblPr>
      <w:tblGrid>
        <w:gridCol w:w="4248"/>
        <w:gridCol w:w="5245"/>
      </w:tblGrid>
      <w:tr w:rsidR="005A5438" w:rsidRPr="00DF4BB7" w14:paraId="386B4F8C" w14:textId="77777777" w:rsidTr="006451A1">
        <w:trPr>
          <w:tblHeader/>
        </w:trPr>
        <w:tc>
          <w:tcPr>
            <w:tcW w:w="4248" w:type="dxa"/>
            <w:tcBorders>
              <w:top w:val="single" w:sz="4" w:space="0" w:color="auto"/>
              <w:left w:val="single" w:sz="4" w:space="0" w:color="auto"/>
              <w:bottom w:val="single" w:sz="4" w:space="0" w:color="auto"/>
              <w:right w:val="single" w:sz="4" w:space="0" w:color="auto"/>
            </w:tcBorders>
            <w:hideMark/>
          </w:tcPr>
          <w:p w14:paraId="09A1C6E7" w14:textId="77777777" w:rsidR="005A5438" w:rsidRPr="00DF4BB7" w:rsidRDefault="005A5438" w:rsidP="00586B08">
            <w:pPr>
              <w:pStyle w:val="Heading1"/>
              <w:widowControl w:val="0"/>
              <w:tabs>
                <w:tab w:val="left" w:pos="720"/>
              </w:tabs>
              <w:spacing w:after="0"/>
              <w:jc w:val="left"/>
              <w:rPr>
                <w:b/>
                <w:sz w:val="21"/>
                <w:szCs w:val="21"/>
              </w:rPr>
            </w:pPr>
            <w:r w:rsidRPr="00DF4BB7">
              <w:rPr>
                <w:b/>
                <w:sz w:val="21"/>
                <w:szCs w:val="21"/>
              </w:rPr>
              <w:lastRenderedPageBreak/>
              <w:t>Sección</w:t>
            </w:r>
          </w:p>
        </w:tc>
        <w:tc>
          <w:tcPr>
            <w:tcW w:w="5245" w:type="dxa"/>
            <w:tcBorders>
              <w:top w:val="single" w:sz="4" w:space="0" w:color="auto"/>
              <w:left w:val="single" w:sz="4" w:space="0" w:color="auto"/>
              <w:bottom w:val="single" w:sz="4" w:space="0" w:color="auto"/>
              <w:right w:val="single" w:sz="4" w:space="0" w:color="auto"/>
            </w:tcBorders>
            <w:hideMark/>
          </w:tcPr>
          <w:p w14:paraId="1E583162" w14:textId="25CF6C55" w:rsidR="005A5438" w:rsidRPr="00DF4BB7" w:rsidRDefault="005A5438" w:rsidP="00586B08">
            <w:pPr>
              <w:pStyle w:val="Heading1"/>
              <w:widowControl w:val="0"/>
              <w:tabs>
                <w:tab w:val="left" w:pos="720"/>
              </w:tabs>
              <w:spacing w:after="0"/>
              <w:jc w:val="center"/>
              <w:rPr>
                <w:b/>
                <w:sz w:val="21"/>
                <w:szCs w:val="21"/>
              </w:rPr>
            </w:pPr>
            <w:r w:rsidRPr="00DF4BB7">
              <w:rPr>
                <w:b/>
                <w:sz w:val="21"/>
                <w:szCs w:val="21"/>
              </w:rPr>
              <w:t>Descripción</w:t>
            </w:r>
          </w:p>
        </w:tc>
      </w:tr>
      <w:tr w:rsidR="00586B08" w:rsidRPr="00DF4BB7" w14:paraId="3CD10C7D" w14:textId="77777777" w:rsidTr="00586B08">
        <w:trPr>
          <w:tblHeader/>
        </w:trPr>
        <w:tc>
          <w:tcPr>
            <w:tcW w:w="4248" w:type="dxa"/>
            <w:tcBorders>
              <w:top w:val="single" w:sz="4" w:space="0" w:color="auto"/>
              <w:left w:val="single" w:sz="4" w:space="0" w:color="auto"/>
              <w:bottom w:val="single" w:sz="4" w:space="0" w:color="auto"/>
              <w:right w:val="single" w:sz="4" w:space="0" w:color="auto"/>
            </w:tcBorders>
            <w:hideMark/>
          </w:tcPr>
          <w:p w14:paraId="38618C38" w14:textId="77777777" w:rsidR="00586B08" w:rsidRPr="00DF4BB7" w:rsidRDefault="00586B08" w:rsidP="00586B08">
            <w:pPr>
              <w:pStyle w:val="Heading1"/>
              <w:numPr>
                <w:ilvl w:val="0"/>
                <w:numId w:val="2"/>
              </w:numPr>
              <w:tabs>
                <w:tab w:val="left" w:pos="720"/>
              </w:tabs>
              <w:spacing w:after="0" w:line="256" w:lineRule="auto"/>
              <w:ind w:left="336"/>
              <w:jc w:val="left"/>
              <w:rPr>
                <w:sz w:val="21"/>
                <w:szCs w:val="21"/>
              </w:rPr>
            </w:pPr>
            <w:r w:rsidRPr="00DF4BB7">
              <w:rPr>
                <w:sz w:val="21"/>
                <w:szCs w:val="21"/>
              </w:rPr>
              <w:t>Grupos I y II del Anexo A</w:t>
            </w:r>
          </w:p>
          <w:p w14:paraId="114D1863" w14:textId="30C99CB1" w:rsidR="00586B08" w:rsidRPr="00DF4BB7" w:rsidRDefault="00586B08" w:rsidP="00A44B05">
            <w:pPr>
              <w:pStyle w:val="Heading1"/>
              <w:tabs>
                <w:tab w:val="left" w:pos="720"/>
              </w:tabs>
              <w:spacing w:after="0"/>
              <w:ind w:left="336"/>
              <w:jc w:val="left"/>
              <w:rPr>
                <w:sz w:val="21"/>
                <w:szCs w:val="21"/>
              </w:rPr>
            </w:pPr>
            <w:r w:rsidRPr="00DF4BB7">
              <w:rPr>
                <w:sz w:val="21"/>
                <w:szCs w:val="21"/>
              </w:rPr>
              <w:t>Grupos I, II y III del Anexo B</w:t>
            </w:r>
          </w:p>
          <w:p w14:paraId="55AD51D9" w14:textId="77777777" w:rsidR="00586B08" w:rsidRPr="00DF4BB7" w:rsidRDefault="00586B08" w:rsidP="00A44B05">
            <w:pPr>
              <w:pStyle w:val="Heading1"/>
              <w:tabs>
                <w:tab w:val="left" w:pos="720"/>
              </w:tabs>
              <w:spacing w:after="0"/>
              <w:ind w:left="336"/>
              <w:jc w:val="left"/>
              <w:rPr>
                <w:sz w:val="21"/>
                <w:szCs w:val="21"/>
              </w:rPr>
            </w:pPr>
            <w:r w:rsidRPr="00DF4BB7">
              <w:rPr>
                <w:sz w:val="21"/>
                <w:szCs w:val="21"/>
              </w:rPr>
              <w:t xml:space="preserve">Grupo I del Anexo C </w:t>
            </w:r>
          </w:p>
          <w:p w14:paraId="7529E166" w14:textId="77777777" w:rsidR="00586B08" w:rsidRPr="00DF4BB7" w:rsidRDefault="00586B08" w:rsidP="00A44B05">
            <w:pPr>
              <w:pStyle w:val="Heading1"/>
              <w:tabs>
                <w:tab w:val="left" w:pos="720"/>
              </w:tabs>
              <w:spacing w:after="0"/>
              <w:ind w:left="336"/>
              <w:jc w:val="left"/>
              <w:rPr>
                <w:sz w:val="21"/>
                <w:szCs w:val="21"/>
              </w:rPr>
            </w:pPr>
            <w:r w:rsidRPr="00DF4BB7">
              <w:rPr>
                <w:sz w:val="21"/>
                <w:szCs w:val="21"/>
              </w:rPr>
              <w:t xml:space="preserve">Anexo E </w:t>
            </w:r>
          </w:p>
        </w:tc>
        <w:tc>
          <w:tcPr>
            <w:tcW w:w="5245" w:type="dxa"/>
            <w:tcBorders>
              <w:top w:val="single" w:sz="4" w:space="0" w:color="auto"/>
              <w:left w:val="single" w:sz="4" w:space="0" w:color="auto"/>
              <w:bottom w:val="single" w:sz="4" w:space="0" w:color="auto"/>
              <w:right w:val="single" w:sz="4" w:space="0" w:color="auto"/>
            </w:tcBorders>
            <w:hideMark/>
          </w:tcPr>
          <w:p w14:paraId="62B8F1A6"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Presentación de datos de sustancias controladas de: </w:t>
            </w:r>
          </w:p>
          <w:p w14:paraId="6C1B6736"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Grupo I (CFC) y Grupo II (halones) del Anexo A; </w:t>
            </w:r>
          </w:p>
          <w:p w14:paraId="725370C2" w14:textId="11862268" w:rsidR="00586B08" w:rsidRPr="00DF4BB7" w:rsidRDefault="00586B08" w:rsidP="00586B08">
            <w:pPr>
              <w:pStyle w:val="Heading1"/>
              <w:tabs>
                <w:tab w:val="left" w:pos="720"/>
              </w:tabs>
              <w:spacing w:after="0"/>
              <w:jc w:val="left"/>
              <w:rPr>
                <w:sz w:val="21"/>
                <w:szCs w:val="21"/>
              </w:rPr>
            </w:pPr>
            <w:r w:rsidRPr="00DF4BB7">
              <w:rPr>
                <w:sz w:val="21"/>
                <w:szCs w:val="21"/>
              </w:rPr>
              <w:t>Grupo I (CFC-13), Grupo II (</w:t>
            </w:r>
            <w:r w:rsidR="004D2D9E">
              <w:rPr>
                <w:sz w:val="21"/>
                <w:szCs w:val="21"/>
              </w:rPr>
              <w:t>t</w:t>
            </w:r>
            <w:r w:rsidR="00C45AC9" w:rsidRPr="00C45AC9">
              <w:rPr>
                <w:sz w:val="21"/>
                <w:szCs w:val="21"/>
              </w:rPr>
              <w:t>etracloruro de carbono</w:t>
            </w:r>
            <w:r w:rsidRPr="00DF4BB7">
              <w:rPr>
                <w:sz w:val="21"/>
                <w:szCs w:val="21"/>
              </w:rPr>
              <w:t>) y Grupo III (</w:t>
            </w:r>
            <w:proofErr w:type="spellStart"/>
            <w:r w:rsidR="004D2D9E">
              <w:rPr>
                <w:sz w:val="21"/>
                <w:szCs w:val="21"/>
              </w:rPr>
              <w:t>m</w:t>
            </w:r>
            <w:r w:rsidR="00477796" w:rsidRPr="00477796">
              <w:rPr>
                <w:sz w:val="21"/>
                <w:szCs w:val="21"/>
              </w:rPr>
              <w:t>etilcloroformo</w:t>
            </w:r>
            <w:proofErr w:type="spellEnd"/>
            <w:r w:rsidRPr="00DF4BB7">
              <w:rPr>
                <w:sz w:val="21"/>
                <w:szCs w:val="21"/>
              </w:rPr>
              <w:t xml:space="preserve">) del Anexo B; </w:t>
            </w:r>
          </w:p>
          <w:p w14:paraId="0619C348" w14:textId="77777777" w:rsidR="00586B08" w:rsidRPr="00DF4BB7" w:rsidRDefault="00586B08" w:rsidP="00586B08">
            <w:pPr>
              <w:pStyle w:val="Heading1"/>
              <w:tabs>
                <w:tab w:val="left" w:pos="720"/>
              </w:tabs>
              <w:spacing w:after="0"/>
              <w:jc w:val="left"/>
              <w:rPr>
                <w:sz w:val="21"/>
                <w:szCs w:val="21"/>
              </w:rPr>
            </w:pPr>
            <w:r w:rsidRPr="00DF4BB7">
              <w:rPr>
                <w:sz w:val="21"/>
                <w:szCs w:val="21"/>
              </w:rPr>
              <w:t>Grupo I del Anexo C (HCFC);</w:t>
            </w:r>
          </w:p>
          <w:p w14:paraId="25655DED" w14:textId="6ADB785D" w:rsidR="00586B08" w:rsidRPr="00DF4BB7" w:rsidRDefault="00586B08" w:rsidP="00EC137C">
            <w:pPr>
              <w:pStyle w:val="Heading1"/>
              <w:tabs>
                <w:tab w:val="left" w:pos="720"/>
              </w:tabs>
              <w:spacing w:after="0"/>
              <w:jc w:val="left"/>
              <w:rPr>
                <w:sz w:val="21"/>
                <w:szCs w:val="21"/>
              </w:rPr>
            </w:pPr>
            <w:r w:rsidRPr="00DF4BB7">
              <w:rPr>
                <w:sz w:val="21"/>
                <w:szCs w:val="21"/>
              </w:rPr>
              <w:t>Anexo E (</w:t>
            </w:r>
            <w:r w:rsidR="00EC137C">
              <w:rPr>
                <w:sz w:val="21"/>
                <w:szCs w:val="21"/>
              </w:rPr>
              <w:t>m</w:t>
            </w:r>
            <w:r w:rsidR="00C45AC9" w:rsidRPr="00C45AC9">
              <w:rPr>
                <w:sz w:val="21"/>
                <w:szCs w:val="21"/>
              </w:rPr>
              <w:t>etilbromuro</w:t>
            </w:r>
            <w:r w:rsidRPr="00DF4BB7">
              <w:rPr>
                <w:sz w:val="21"/>
                <w:szCs w:val="21"/>
              </w:rPr>
              <w:t>)</w:t>
            </w:r>
          </w:p>
        </w:tc>
      </w:tr>
      <w:tr w:rsidR="00586B08" w:rsidRPr="00DF4BB7" w14:paraId="1FF6AF62" w14:textId="77777777" w:rsidTr="00586B08">
        <w:trPr>
          <w:tblHeader/>
        </w:trPr>
        <w:tc>
          <w:tcPr>
            <w:tcW w:w="4248" w:type="dxa"/>
            <w:tcBorders>
              <w:top w:val="single" w:sz="4" w:space="0" w:color="auto"/>
              <w:left w:val="single" w:sz="4" w:space="0" w:color="auto"/>
              <w:bottom w:val="single" w:sz="4" w:space="0" w:color="auto"/>
              <w:right w:val="single" w:sz="4" w:space="0" w:color="auto"/>
            </w:tcBorders>
            <w:hideMark/>
          </w:tcPr>
          <w:p w14:paraId="2DC34BE9" w14:textId="2C821752" w:rsidR="00586B08" w:rsidRPr="00DF4BB7" w:rsidRDefault="00586B08" w:rsidP="00586B08">
            <w:pPr>
              <w:pStyle w:val="Heading1"/>
              <w:numPr>
                <w:ilvl w:val="0"/>
                <w:numId w:val="2"/>
              </w:numPr>
              <w:tabs>
                <w:tab w:val="left" w:pos="720"/>
              </w:tabs>
              <w:spacing w:after="0" w:line="256" w:lineRule="auto"/>
              <w:ind w:left="336"/>
              <w:jc w:val="left"/>
              <w:rPr>
                <w:sz w:val="21"/>
                <w:szCs w:val="21"/>
              </w:rPr>
            </w:pPr>
            <w:r w:rsidRPr="00DF4BB7">
              <w:rPr>
                <w:sz w:val="21"/>
                <w:szCs w:val="21"/>
              </w:rPr>
              <w:t>Anexo F - Consumo</w:t>
            </w:r>
          </w:p>
        </w:tc>
        <w:tc>
          <w:tcPr>
            <w:tcW w:w="5245" w:type="dxa"/>
            <w:tcBorders>
              <w:top w:val="single" w:sz="4" w:space="0" w:color="auto"/>
              <w:left w:val="single" w:sz="4" w:space="0" w:color="auto"/>
              <w:bottom w:val="single" w:sz="4" w:space="0" w:color="auto"/>
              <w:right w:val="single" w:sz="4" w:space="0" w:color="auto"/>
            </w:tcBorders>
            <w:hideMark/>
          </w:tcPr>
          <w:p w14:paraId="3843E6B6"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Presentación de datos para los HFC (incluido el uso de HFC-23) y los HFC contenidos en polioles premezclados importados </w:t>
            </w:r>
          </w:p>
        </w:tc>
      </w:tr>
      <w:tr w:rsidR="00586B08" w:rsidRPr="00DF4BB7" w14:paraId="6D97E40A" w14:textId="77777777" w:rsidTr="00586B08">
        <w:trPr>
          <w:tblHeader/>
        </w:trPr>
        <w:tc>
          <w:tcPr>
            <w:tcW w:w="4248" w:type="dxa"/>
            <w:tcBorders>
              <w:top w:val="single" w:sz="4" w:space="0" w:color="auto"/>
              <w:left w:val="single" w:sz="4" w:space="0" w:color="auto"/>
              <w:bottom w:val="single" w:sz="4" w:space="0" w:color="auto"/>
              <w:right w:val="single" w:sz="4" w:space="0" w:color="auto"/>
            </w:tcBorders>
            <w:hideMark/>
          </w:tcPr>
          <w:p w14:paraId="55B2FF38" w14:textId="77777777" w:rsidR="00586B08" w:rsidRPr="00DF4BB7" w:rsidRDefault="00586B08" w:rsidP="00586B08">
            <w:pPr>
              <w:pStyle w:val="Heading1"/>
              <w:numPr>
                <w:ilvl w:val="0"/>
                <w:numId w:val="2"/>
              </w:numPr>
              <w:tabs>
                <w:tab w:val="left" w:pos="720"/>
              </w:tabs>
              <w:spacing w:after="0" w:line="256" w:lineRule="auto"/>
              <w:ind w:left="336"/>
              <w:jc w:val="left"/>
              <w:rPr>
                <w:sz w:val="21"/>
                <w:szCs w:val="21"/>
              </w:rPr>
            </w:pPr>
            <w:r w:rsidRPr="00DF4BB7">
              <w:rPr>
                <w:sz w:val="21"/>
                <w:szCs w:val="21"/>
              </w:rPr>
              <w:t xml:space="preserve">Precio de los HCFC, los HFC y las sustancias alternativas </w:t>
            </w:r>
          </w:p>
        </w:tc>
        <w:tc>
          <w:tcPr>
            <w:tcW w:w="5245" w:type="dxa"/>
            <w:tcBorders>
              <w:top w:val="single" w:sz="4" w:space="0" w:color="auto"/>
              <w:left w:val="single" w:sz="4" w:space="0" w:color="auto"/>
              <w:bottom w:val="single" w:sz="4" w:space="0" w:color="auto"/>
              <w:right w:val="single" w:sz="4" w:space="0" w:color="auto"/>
            </w:tcBorders>
            <w:hideMark/>
          </w:tcPr>
          <w:p w14:paraId="4EF5DF29"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Precio franco a bordo (FOB) medio estimado o precio minorista de las sustancias controladas. </w:t>
            </w:r>
          </w:p>
          <w:p w14:paraId="497EFD3D"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Los precios se podrían obtener de los importadores o proveedores. </w:t>
            </w:r>
          </w:p>
          <w:p w14:paraId="27C5E2BB"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Los datos de precios de minoristas pueden incluir impuestos y costos de transporte. </w:t>
            </w:r>
          </w:p>
        </w:tc>
      </w:tr>
      <w:tr w:rsidR="00586B08" w:rsidRPr="00DF4BB7" w14:paraId="6874CA35" w14:textId="77777777" w:rsidTr="00586B08">
        <w:trPr>
          <w:tblHeader/>
        </w:trPr>
        <w:tc>
          <w:tcPr>
            <w:tcW w:w="4248" w:type="dxa"/>
            <w:tcBorders>
              <w:top w:val="single" w:sz="4" w:space="0" w:color="auto"/>
              <w:left w:val="single" w:sz="4" w:space="0" w:color="auto"/>
              <w:bottom w:val="single" w:sz="4" w:space="0" w:color="auto"/>
              <w:right w:val="single" w:sz="4" w:space="0" w:color="auto"/>
            </w:tcBorders>
            <w:hideMark/>
          </w:tcPr>
          <w:p w14:paraId="7714581A" w14:textId="77777777" w:rsidR="00586B08" w:rsidRPr="00DF4BB7" w:rsidRDefault="00586B08" w:rsidP="00586B08">
            <w:pPr>
              <w:pStyle w:val="Heading1"/>
              <w:numPr>
                <w:ilvl w:val="0"/>
                <w:numId w:val="2"/>
              </w:numPr>
              <w:tabs>
                <w:tab w:val="left" w:pos="720"/>
              </w:tabs>
              <w:spacing w:after="0" w:line="256" w:lineRule="auto"/>
              <w:ind w:left="336"/>
              <w:jc w:val="left"/>
              <w:rPr>
                <w:sz w:val="21"/>
                <w:szCs w:val="21"/>
              </w:rPr>
            </w:pPr>
            <w:r w:rsidRPr="00DF4BB7">
              <w:rPr>
                <w:sz w:val="21"/>
                <w:szCs w:val="21"/>
              </w:rPr>
              <w:t>Grupo II del Anexo F (generación de HFC-23)</w:t>
            </w:r>
          </w:p>
        </w:tc>
        <w:tc>
          <w:tcPr>
            <w:tcW w:w="5245" w:type="dxa"/>
            <w:tcBorders>
              <w:top w:val="single" w:sz="4" w:space="0" w:color="auto"/>
              <w:left w:val="single" w:sz="4" w:space="0" w:color="auto"/>
              <w:bottom w:val="single" w:sz="4" w:space="0" w:color="auto"/>
              <w:right w:val="single" w:sz="4" w:space="0" w:color="auto"/>
            </w:tcBorders>
            <w:hideMark/>
          </w:tcPr>
          <w:p w14:paraId="6284E30A"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Cuantificación de la generación de HFC-23 como subproducto, relacionada solamente con países con plantas de fabricación de sustancias del Grupo I del Anexo C o el Anexo F que generan HFC-23. </w:t>
            </w:r>
          </w:p>
          <w:p w14:paraId="1F06F1BE" w14:textId="77777777" w:rsidR="00586B08" w:rsidRPr="00DF4BB7" w:rsidRDefault="00586B08" w:rsidP="00586B08">
            <w:pPr>
              <w:pStyle w:val="Heading1"/>
              <w:tabs>
                <w:tab w:val="left" w:pos="720"/>
              </w:tabs>
              <w:spacing w:after="0"/>
              <w:jc w:val="left"/>
              <w:rPr>
                <w:sz w:val="21"/>
                <w:szCs w:val="21"/>
              </w:rPr>
            </w:pPr>
            <w:r w:rsidRPr="00DF4BB7">
              <w:rPr>
                <w:sz w:val="21"/>
                <w:szCs w:val="21"/>
              </w:rPr>
              <w:t>Las cantidades de producción o generación de HFC-23 que se captan para el uso, el uso como materia prima, la destrucción o el almacenamiento.</w:t>
            </w:r>
          </w:p>
        </w:tc>
      </w:tr>
      <w:tr w:rsidR="00586B08" w:rsidRPr="00DF4BB7" w14:paraId="145DDB90" w14:textId="77777777" w:rsidTr="00586B08">
        <w:trPr>
          <w:tblHeader/>
        </w:trPr>
        <w:tc>
          <w:tcPr>
            <w:tcW w:w="4248" w:type="dxa"/>
            <w:tcBorders>
              <w:top w:val="single" w:sz="4" w:space="0" w:color="auto"/>
              <w:left w:val="single" w:sz="4" w:space="0" w:color="auto"/>
              <w:bottom w:val="single" w:sz="4" w:space="0" w:color="auto"/>
              <w:right w:val="single" w:sz="4" w:space="0" w:color="auto"/>
            </w:tcBorders>
            <w:hideMark/>
          </w:tcPr>
          <w:p w14:paraId="637E3855" w14:textId="77777777" w:rsidR="00586B08" w:rsidRPr="00DF4BB7" w:rsidRDefault="00586B08" w:rsidP="00586B08">
            <w:pPr>
              <w:pStyle w:val="Heading1"/>
              <w:numPr>
                <w:ilvl w:val="0"/>
                <w:numId w:val="2"/>
              </w:numPr>
              <w:tabs>
                <w:tab w:val="left" w:pos="720"/>
              </w:tabs>
              <w:spacing w:after="0" w:line="256" w:lineRule="auto"/>
              <w:ind w:left="336"/>
              <w:jc w:val="left"/>
              <w:rPr>
                <w:sz w:val="21"/>
                <w:szCs w:val="21"/>
              </w:rPr>
            </w:pPr>
            <w:r w:rsidRPr="00DF4BB7">
              <w:rPr>
                <w:sz w:val="21"/>
                <w:szCs w:val="21"/>
              </w:rPr>
              <w:t>Grupo II del Anexo F (emisiones de HFC-23)</w:t>
            </w:r>
          </w:p>
        </w:tc>
        <w:tc>
          <w:tcPr>
            <w:tcW w:w="5245" w:type="dxa"/>
            <w:tcBorders>
              <w:top w:val="single" w:sz="4" w:space="0" w:color="auto"/>
              <w:left w:val="single" w:sz="4" w:space="0" w:color="auto"/>
              <w:bottom w:val="single" w:sz="4" w:space="0" w:color="auto"/>
              <w:right w:val="single" w:sz="4" w:space="0" w:color="auto"/>
            </w:tcBorders>
            <w:hideMark/>
          </w:tcPr>
          <w:p w14:paraId="7C43EFFD" w14:textId="77777777" w:rsidR="00586B08" w:rsidRPr="00DF4BB7" w:rsidRDefault="00586B08" w:rsidP="00586B08">
            <w:pPr>
              <w:pStyle w:val="Heading1"/>
              <w:tabs>
                <w:tab w:val="left" w:pos="720"/>
              </w:tabs>
              <w:spacing w:after="0"/>
              <w:jc w:val="left"/>
              <w:rPr>
                <w:sz w:val="21"/>
                <w:szCs w:val="21"/>
              </w:rPr>
            </w:pPr>
            <w:r w:rsidRPr="00DF4BB7">
              <w:rPr>
                <w:sz w:val="21"/>
                <w:szCs w:val="21"/>
              </w:rPr>
              <w:t>Emisiones de HFC-23, relacionadas solamente con países con plantas de fabricación de sustancias del Grupo I del Anexo C o el Anexo F que generan HFC</w:t>
            </w:r>
            <w:r w:rsidRPr="00DF4BB7">
              <w:rPr>
                <w:sz w:val="21"/>
                <w:szCs w:val="21"/>
              </w:rPr>
              <w:noBreakHyphen/>
              <w:t>23.</w:t>
            </w:r>
          </w:p>
          <w:p w14:paraId="555AB851" w14:textId="77777777" w:rsidR="00586B08" w:rsidRPr="00DF4BB7" w:rsidRDefault="00586B08" w:rsidP="00586B08">
            <w:pPr>
              <w:pStyle w:val="Heading1"/>
              <w:tabs>
                <w:tab w:val="left" w:pos="720"/>
              </w:tabs>
              <w:spacing w:after="0"/>
              <w:jc w:val="left"/>
              <w:rPr>
                <w:sz w:val="21"/>
                <w:szCs w:val="21"/>
              </w:rPr>
            </w:pPr>
            <w:r w:rsidRPr="00DF4BB7">
              <w:rPr>
                <w:sz w:val="21"/>
                <w:szCs w:val="21"/>
              </w:rPr>
              <w:t>Las emisiones de HFC</w:t>
            </w:r>
            <w:r w:rsidRPr="00DF4BB7">
              <w:rPr>
                <w:sz w:val="21"/>
                <w:szCs w:val="21"/>
              </w:rPr>
              <w:noBreakHyphen/>
              <w:t>23 se deben presentar por separado para cada planta de fabricación.</w:t>
            </w:r>
          </w:p>
        </w:tc>
      </w:tr>
      <w:tr w:rsidR="00586B08" w:rsidRPr="00DF4BB7" w14:paraId="16B5D70A" w14:textId="77777777" w:rsidTr="00586B08">
        <w:trPr>
          <w:tblHeader/>
        </w:trPr>
        <w:tc>
          <w:tcPr>
            <w:tcW w:w="4248" w:type="dxa"/>
            <w:tcBorders>
              <w:top w:val="single" w:sz="4" w:space="0" w:color="auto"/>
              <w:left w:val="single" w:sz="4" w:space="0" w:color="auto"/>
              <w:bottom w:val="single" w:sz="4" w:space="0" w:color="auto"/>
              <w:right w:val="single" w:sz="4" w:space="0" w:color="auto"/>
            </w:tcBorders>
            <w:hideMark/>
          </w:tcPr>
          <w:p w14:paraId="6FBCD882" w14:textId="77777777" w:rsidR="00586B08" w:rsidRPr="00DF4BB7" w:rsidRDefault="00586B08" w:rsidP="00586B08">
            <w:pPr>
              <w:pStyle w:val="Heading1"/>
              <w:numPr>
                <w:ilvl w:val="0"/>
                <w:numId w:val="2"/>
              </w:numPr>
              <w:tabs>
                <w:tab w:val="left" w:pos="720"/>
              </w:tabs>
              <w:spacing w:after="0" w:line="256" w:lineRule="auto"/>
              <w:ind w:left="336"/>
              <w:jc w:val="left"/>
              <w:rPr>
                <w:sz w:val="21"/>
                <w:szCs w:val="21"/>
              </w:rPr>
            </w:pPr>
            <w:r w:rsidRPr="00DF4BB7">
              <w:rPr>
                <w:sz w:val="21"/>
                <w:szCs w:val="21"/>
              </w:rPr>
              <w:t>Observaciones de los organismos bilaterales/de ejecución</w:t>
            </w:r>
          </w:p>
        </w:tc>
        <w:tc>
          <w:tcPr>
            <w:tcW w:w="5245" w:type="dxa"/>
            <w:tcBorders>
              <w:top w:val="single" w:sz="4" w:space="0" w:color="auto"/>
              <w:left w:val="single" w:sz="4" w:space="0" w:color="auto"/>
              <w:bottom w:val="single" w:sz="4" w:space="0" w:color="auto"/>
              <w:right w:val="single" w:sz="4" w:space="0" w:color="auto"/>
            </w:tcBorders>
            <w:hideMark/>
          </w:tcPr>
          <w:p w14:paraId="3ACAF215" w14:textId="77777777" w:rsidR="00586B08" w:rsidRPr="00DF4BB7" w:rsidRDefault="00586B08" w:rsidP="00586B08">
            <w:pPr>
              <w:pStyle w:val="Heading1"/>
              <w:tabs>
                <w:tab w:val="left" w:pos="720"/>
              </w:tabs>
              <w:spacing w:after="0"/>
              <w:jc w:val="left"/>
              <w:rPr>
                <w:sz w:val="21"/>
                <w:szCs w:val="21"/>
              </w:rPr>
            </w:pPr>
            <w:r w:rsidRPr="00DF4BB7">
              <w:rPr>
                <w:sz w:val="21"/>
                <w:szCs w:val="21"/>
              </w:rPr>
              <w:t xml:space="preserve">Observaciones descriptivas </w:t>
            </w:r>
          </w:p>
        </w:tc>
      </w:tr>
    </w:tbl>
    <w:p w14:paraId="2A73D730" w14:textId="77777777" w:rsidR="005A5438" w:rsidRPr="00DF4BB7" w:rsidRDefault="005A5438" w:rsidP="006451A1">
      <w:pPr>
        <w:spacing w:after="0" w:line="240" w:lineRule="auto"/>
        <w:rPr>
          <w:rFonts w:ascii="Times New Roman" w:hAnsi="Times New Roman" w:cs="Times New Roman"/>
        </w:rPr>
      </w:pPr>
    </w:p>
    <w:p w14:paraId="2AB9911E" w14:textId="54430D84" w:rsidR="0070657E" w:rsidRPr="00DF4BB7" w:rsidRDefault="0070657E" w:rsidP="00A44B05">
      <w:pPr>
        <w:pStyle w:val="Heading1"/>
        <w:numPr>
          <w:ilvl w:val="0"/>
          <w:numId w:val="41"/>
        </w:numPr>
        <w:ind w:left="0" w:firstLine="0"/>
      </w:pPr>
      <w:r w:rsidRPr="00DF4BB7">
        <w:t>Para los países que han ratificado la Enmienda de Kigali, presentar los datos para el PP de las sustancias del Anexo F es obligatorio. Se alienta a los países que no han ratificado la Enmienda de Kigali a que presenten datos sobre las sustancias del Anexo F en forma voluntaria. Los formularios de datos D y E son pertinentes únicamente para los países que tienen plantas de producción de sustancias controladas.</w:t>
      </w:r>
    </w:p>
    <w:p w14:paraId="2C010238" w14:textId="5ECA91C8" w:rsidR="008B5DE0" w:rsidRPr="00DF4BB7" w:rsidRDefault="00373BBF" w:rsidP="00493C77">
      <w:pPr>
        <w:spacing w:after="240" w:line="240" w:lineRule="auto"/>
        <w:rPr>
          <w:rFonts w:ascii="Times New Roman" w:hAnsi="Times New Roman" w:cs="Times New Roman"/>
          <w:b/>
          <w:bCs/>
        </w:rPr>
      </w:pPr>
      <w:r w:rsidRPr="00DF4BB7">
        <w:rPr>
          <w:rFonts w:ascii="Times New Roman" w:hAnsi="Times New Roman"/>
          <w:b/>
          <w:bCs/>
        </w:rPr>
        <w:t>Notificación de las sustancias controladas con arreglo al artículo 7 del Protocolo de Montreal</w:t>
      </w:r>
    </w:p>
    <w:p w14:paraId="7A7246C2" w14:textId="25AAF401" w:rsidR="00876949" w:rsidRPr="00DF4BB7" w:rsidRDefault="00876949" w:rsidP="00A44B05">
      <w:pPr>
        <w:pStyle w:val="Heading1"/>
        <w:numPr>
          <w:ilvl w:val="0"/>
          <w:numId w:val="41"/>
        </w:numPr>
        <w:ind w:left="0" w:firstLine="0"/>
        <w:rPr>
          <w:rFonts w:eastAsiaTheme="minorHAnsi"/>
        </w:rPr>
      </w:pPr>
      <w:r w:rsidRPr="00DF4BB7">
        <w:t xml:space="preserve">Los países que operan al amparo del artículo 5 deben presentar a la Secretaría del Ozono datos sobre importaciones, exportaciones y producción de sustancias controladas con arreglo artículo 7 del Protocolo de Montreal. Las columnas de importaciones, exportaciones y producción del formato para la presentación de datos del PP deben ser congruentes con los datos notificados con arreglo al artículo 7. En el caso de que haya una discrepancia, el país debe proporcionar una explicación de la diferencia en la columna “Observaciones” en las Secciones A, B y E. </w:t>
      </w:r>
    </w:p>
    <w:p w14:paraId="0D117EA9" w14:textId="4F1D17D8" w:rsidR="007D7638" w:rsidRPr="00DF4BB7" w:rsidRDefault="007D7638" w:rsidP="00A44B05">
      <w:pPr>
        <w:pStyle w:val="Heading1"/>
        <w:numPr>
          <w:ilvl w:val="0"/>
          <w:numId w:val="41"/>
        </w:numPr>
        <w:ind w:left="0" w:firstLine="0"/>
      </w:pPr>
      <w:r w:rsidRPr="00DF4BB7">
        <w:t xml:space="preserve">Se requieren datos del “Uso por sector” para cada sustancia controlada. Estos datos permiten realizar un análisis de las tendencias del consumo de sustancias controladas, así como una evaluación precisa de la asistencia que se ha de proporcionar a los países que operan al amparo del artículo 5 para la eliminación/reducción eficaz en función del costo de las sustancias controladas. Esos datos específicos de cada sector también resultarán útiles para que los países que operan al amparo del artículo 5 elaboren sus propias estrategias de eliminación/reducción. </w:t>
      </w:r>
    </w:p>
    <w:p w14:paraId="7334C85F" w14:textId="77AD1540" w:rsidR="005A39A8" w:rsidRPr="00DF4BB7" w:rsidRDefault="00415A69" w:rsidP="00A44B05">
      <w:pPr>
        <w:pStyle w:val="Heading1"/>
        <w:numPr>
          <w:ilvl w:val="0"/>
          <w:numId w:val="41"/>
        </w:numPr>
        <w:ind w:left="0" w:firstLine="0"/>
        <w:rPr>
          <w:rFonts w:eastAsiaTheme="minorHAnsi"/>
        </w:rPr>
      </w:pPr>
      <w:r w:rsidRPr="00DF4BB7">
        <w:lastRenderedPageBreak/>
        <w:t xml:space="preserve">En la mayoría de los casos, cuando la cantidad total de una sustancia controlada importada para el año fue consumida por completo en los diferentes sectores de uso, el TOTAL de “Uso por sector” es igual a la cantidad TOTAL de la columna “Importación” menos la columna “Exportación” más la columna “Producción”. En otros casos, las cantidades de estas columnas no serán iguales, dado que las cantidades de “Uso por sector” para el año no siempre es equivalente a las cantidades totales importadas para el mismo año. Por ejemplo, un país puede registrar el uso de una sustancia controlada en el sector de servicio y mantenimiento de refrigeración de las importaciones del año anterior, sin haber importado esa sustancia controlada en el año sobre el que se informa. El país debe proporcionar una aclaración en la columna “Observaciones” para cada sustancia controlada en aquellos casos en que haya una discrepancia en los datos. </w:t>
      </w:r>
    </w:p>
    <w:p w14:paraId="441B683E" w14:textId="668EFBFD" w:rsidR="00ED2DFF" w:rsidRPr="00DF4BB7" w:rsidRDefault="00ED2DFF" w:rsidP="00A44B05">
      <w:pPr>
        <w:pStyle w:val="Heading1"/>
        <w:numPr>
          <w:ilvl w:val="0"/>
          <w:numId w:val="41"/>
        </w:numPr>
        <w:ind w:left="0" w:firstLine="0"/>
        <w:rPr>
          <w:rFonts w:eastAsiaTheme="minorHAnsi"/>
        </w:rPr>
      </w:pPr>
      <w:r w:rsidRPr="00DF4BB7">
        <w:t>Los países deben verificar los datos notificados para todas las sustancias controladas antes de enviar el informe, asegurándose de que no haya discrepancias en los datos o de que se haya proporcionado una explicación para casos donde hay discrepancias en los datos. Las incongruencias en los datos podrían ocasionar demoras en el proceso de examen por el Fondo Multilateral debido a la necesidad de conciliar los datos.</w:t>
      </w:r>
    </w:p>
    <w:p w14:paraId="0E9C85EB" w14:textId="0911F07D" w:rsidR="0056186A" w:rsidRPr="00DF4BB7" w:rsidRDefault="0056186A" w:rsidP="00A44B05">
      <w:pPr>
        <w:pStyle w:val="Heading1"/>
        <w:numPr>
          <w:ilvl w:val="0"/>
          <w:numId w:val="41"/>
        </w:numPr>
        <w:ind w:left="0" w:firstLine="0"/>
      </w:pPr>
      <w:r w:rsidRPr="00DF4BB7">
        <w:t>La lista de mezclas/mixturas que contienen sustancias controladas, con sus composiciones, se encuentra en el Apéndice I de este Manual práctico.</w:t>
      </w:r>
    </w:p>
    <w:p w14:paraId="784B09F1" w14:textId="10BA95A4" w:rsidR="00373BBF" w:rsidRPr="00DF4BB7" w:rsidRDefault="00373BBF" w:rsidP="00373BBF">
      <w:pPr>
        <w:rPr>
          <w:rFonts w:ascii="Times New Roman" w:hAnsi="Times New Roman" w:cs="Times New Roman"/>
          <w:b/>
        </w:rPr>
      </w:pPr>
      <w:r w:rsidRPr="00DF4BB7">
        <w:rPr>
          <w:rFonts w:ascii="Times New Roman" w:hAnsi="Times New Roman"/>
          <w:b/>
        </w:rPr>
        <w:t>Instrucciones prácticas para rellenar los formularios de datos</w:t>
      </w:r>
    </w:p>
    <w:p w14:paraId="4AF7E071" w14:textId="40E995E5" w:rsidR="00C159E6" w:rsidRPr="00DF4BB7" w:rsidRDefault="00373BBF" w:rsidP="00A44B05">
      <w:pPr>
        <w:pStyle w:val="Heading1"/>
        <w:numPr>
          <w:ilvl w:val="0"/>
          <w:numId w:val="41"/>
        </w:numPr>
        <w:ind w:left="0" w:firstLine="0"/>
      </w:pPr>
      <w:r w:rsidRPr="00DF4BB7">
        <w:t>Las observaciones siguientes resultan pertinentes para rellenar los formularios de datos:</w:t>
      </w:r>
    </w:p>
    <w:p w14:paraId="226A39AD" w14:textId="50B31731" w:rsidR="00C159E6" w:rsidRPr="00DF4BB7"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DF4BB7">
        <w:rPr>
          <w:rFonts w:ascii="Times New Roman" w:hAnsi="Times New Roman"/>
        </w:rPr>
        <w:t xml:space="preserve">Se requiere el ingreso de datos solamente en las celdas no sombreadas. Las celdas no sombreadas están </w:t>
      </w:r>
      <w:proofErr w:type="spellStart"/>
      <w:r w:rsidRPr="00DF4BB7">
        <w:rPr>
          <w:rFonts w:ascii="Times New Roman" w:hAnsi="Times New Roman"/>
        </w:rPr>
        <w:t>prerellenadas</w:t>
      </w:r>
      <w:proofErr w:type="spellEnd"/>
      <w:r w:rsidRPr="00DF4BB7">
        <w:rPr>
          <w:rFonts w:ascii="Times New Roman" w:hAnsi="Times New Roman"/>
        </w:rPr>
        <w:t xml:space="preserve"> automáticamente con valores de 0 (cero)</w:t>
      </w:r>
    </w:p>
    <w:p w14:paraId="60336788" w14:textId="4D344D0C" w:rsidR="00C159E6" w:rsidRPr="00DF4BB7"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DF4BB7">
        <w:rPr>
          <w:rFonts w:ascii="Times New Roman" w:hAnsi="Times New Roman"/>
        </w:rPr>
        <w:t xml:space="preserve">Los datos deben indicarse en </w:t>
      </w:r>
      <w:r w:rsidRPr="00DF4BB7">
        <w:rPr>
          <w:rFonts w:ascii="Times New Roman" w:hAnsi="Times New Roman"/>
          <w:b/>
        </w:rPr>
        <w:t>toneladas métricas únicamente</w:t>
      </w:r>
      <w:r w:rsidRPr="00DF4BB7">
        <w:rPr>
          <w:rFonts w:ascii="Times New Roman" w:hAnsi="Times New Roman"/>
        </w:rPr>
        <w:t xml:space="preserve"> y no en toneladas PAO o equivalentes de CO</w:t>
      </w:r>
      <w:r w:rsidRPr="00DF4BB7">
        <w:rPr>
          <w:rFonts w:ascii="Times New Roman" w:hAnsi="Times New Roman"/>
          <w:vertAlign w:val="subscript"/>
        </w:rPr>
        <w:t>2</w:t>
      </w:r>
      <w:r w:rsidR="00843F03" w:rsidRPr="00DF4BB7">
        <w:rPr>
          <w:rFonts w:ascii="Times New Roman" w:hAnsi="Times New Roman"/>
        </w:rPr>
        <w:t>. L</w:t>
      </w:r>
      <w:r w:rsidRPr="00DF4BB7">
        <w:rPr>
          <w:rFonts w:ascii="Times New Roman" w:hAnsi="Times New Roman"/>
        </w:rPr>
        <w:t xml:space="preserve">a Secretaría realizará la conversión de los datos a </w:t>
      </w:r>
      <w:r w:rsidR="00843F03" w:rsidRPr="00DF4BB7">
        <w:rPr>
          <w:rFonts w:ascii="Times New Roman" w:hAnsi="Times New Roman"/>
        </w:rPr>
        <w:t xml:space="preserve">toneladas </w:t>
      </w:r>
      <w:r w:rsidRPr="00DF4BB7">
        <w:rPr>
          <w:rFonts w:ascii="Times New Roman" w:hAnsi="Times New Roman"/>
        </w:rPr>
        <w:t xml:space="preserve">PAO o equivalentes </w:t>
      </w:r>
      <w:r w:rsidR="00843F03" w:rsidRPr="00DF4BB7">
        <w:rPr>
          <w:rFonts w:ascii="Times New Roman" w:hAnsi="Times New Roman"/>
        </w:rPr>
        <w:t xml:space="preserve">de </w:t>
      </w:r>
      <w:r w:rsidRPr="00DF4BB7">
        <w:rPr>
          <w:rFonts w:ascii="Times New Roman" w:hAnsi="Times New Roman"/>
        </w:rPr>
        <w:t>CO</w:t>
      </w:r>
      <w:r w:rsidRPr="00DF4BB7">
        <w:rPr>
          <w:rFonts w:ascii="Times New Roman" w:hAnsi="Times New Roman"/>
          <w:vertAlign w:val="subscript"/>
        </w:rPr>
        <w:t>2</w:t>
      </w:r>
    </w:p>
    <w:p w14:paraId="2F17A366" w14:textId="035F6D97" w:rsidR="00C159E6" w:rsidRPr="00DF4BB7"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DF4BB7">
        <w:rPr>
          <w:rFonts w:ascii="Times New Roman" w:hAnsi="Times New Roman"/>
        </w:rPr>
        <w:t>Las cantidades de sustancias controladas contenidas en productos finales, ya sean importados o exportados, p. ej. acondicionadores de aire de vehículos, refrigeradores y congeladores domésticos o acondicionadores de aire, no deben ser notificadas en los formularios de datos</w:t>
      </w:r>
    </w:p>
    <w:p w14:paraId="38E45579" w14:textId="08216E1E" w:rsidR="00C159E6" w:rsidRPr="00DF4BB7" w:rsidRDefault="00C159E6" w:rsidP="00493C77">
      <w:pPr>
        <w:pStyle w:val="ListParagraph"/>
        <w:numPr>
          <w:ilvl w:val="0"/>
          <w:numId w:val="12"/>
        </w:numPr>
        <w:spacing w:after="240" w:line="240" w:lineRule="auto"/>
        <w:ind w:left="1418" w:hanging="709"/>
        <w:contextualSpacing w:val="0"/>
        <w:jc w:val="both"/>
        <w:rPr>
          <w:rFonts w:ascii="Times New Roman" w:hAnsi="Times New Roman" w:cs="Times New Roman"/>
        </w:rPr>
      </w:pPr>
      <w:r w:rsidRPr="00DF4BB7">
        <w:rPr>
          <w:rFonts w:ascii="Times New Roman" w:hAnsi="Times New Roman"/>
        </w:rPr>
        <w:t>Los datos notificados no deben incluir las cantidades de sustancias controladas utilizadas como materia prima para la producción de otros productos químicos o utilizadas para aplicaciones de cuarentena y previas al envío o las cantidades que han sido destruidas. Estas cantidades pueden explicarse en la columna “Observaciones”</w:t>
      </w:r>
    </w:p>
    <w:p w14:paraId="381DCB20" w14:textId="7F489496" w:rsidR="00AB5E31" w:rsidRPr="00DF4BB7" w:rsidRDefault="00AB5E31" w:rsidP="00A44B05">
      <w:pPr>
        <w:pStyle w:val="Heading1"/>
        <w:numPr>
          <w:ilvl w:val="0"/>
          <w:numId w:val="41"/>
        </w:numPr>
        <w:ind w:left="0" w:firstLine="0"/>
      </w:pPr>
      <w:r w:rsidRPr="00DF4BB7">
        <w:t>Las instrucciones siguientes están dispuestas por sección y guían al usuario para recopilar la información requerida a fin de que la presentación de datos resulte precisa y fiable.</w:t>
      </w:r>
    </w:p>
    <w:p w14:paraId="6A06691B" w14:textId="3F448A74" w:rsidR="00D91BA1" w:rsidRPr="00DF4BB7" w:rsidRDefault="00AB72D0" w:rsidP="00ED2DFF">
      <w:pPr>
        <w:spacing w:after="240" w:line="240" w:lineRule="auto"/>
        <w:ind w:left="1440" w:hanging="1440"/>
        <w:rPr>
          <w:rFonts w:ascii="Times New Roman" w:hAnsi="Times New Roman" w:cs="Times New Roman"/>
          <w:b/>
          <w:bCs/>
        </w:rPr>
      </w:pPr>
      <w:r w:rsidRPr="00DF4BB7">
        <w:rPr>
          <w:rFonts w:ascii="Times New Roman" w:hAnsi="Times New Roman"/>
          <w:b/>
          <w:bCs/>
        </w:rPr>
        <w:t>Sección A.</w:t>
      </w:r>
      <w:r w:rsidRPr="00DF4BB7">
        <w:rPr>
          <w:rFonts w:ascii="Times New Roman" w:hAnsi="Times New Roman"/>
          <w:b/>
          <w:bCs/>
        </w:rPr>
        <w:tab/>
      </w:r>
      <w:r w:rsidR="00843F03" w:rsidRPr="00DF4BB7">
        <w:rPr>
          <w:rFonts w:ascii="Times New Roman" w:hAnsi="Times New Roman"/>
          <w:b/>
          <w:bCs/>
        </w:rPr>
        <w:t>Sustancias del Anexo A, el Anexo B, el Anexo C y el Anexo E</w:t>
      </w:r>
    </w:p>
    <w:p w14:paraId="12FB32E3" w14:textId="1FF537DB" w:rsidR="00506B61" w:rsidRPr="00DF4BB7" w:rsidRDefault="00843F03" w:rsidP="00670D0E">
      <w:pPr>
        <w:pStyle w:val="Heading1"/>
        <w:numPr>
          <w:ilvl w:val="0"/>
          <w:numId w:val="41"/>
        </w:numPr>
        <w:ind w:left="0" w:firstLine="0"/>
      </w:pPr>
      <w:r w:rsidRPr="00DF4BB7">
        <w:t xml:space="preserve">Esta sección se utiliza para notificar datos de sustancias controladas del Anexo A (CFC y halones), el Anexo B (CFC-13, </w:t>
      </w:r>
      <w:r w:rsidR="004E615B" w:rsidRPr="00670D0E">
        <w:t>Tetracloruro de carbono</w:t>
      </w:r>
      <w:r w:rsidR="004E615B" w:rsidRPr="00DF4BB7">
        <w:t xml:space="preserve"> </w:t>
      </w:r>
      <w:r w:rsidRPr="00DF4BB7">
        <w:t xml:space="preserve">y </w:t>
      </w:r>
      <w:proofErr w:type="spellStart"/>
      <w:r w:rsidR="00670D0E">
        <w:t>m</w:t>
      </w:r>
      <w:r w:rsidR="00670D0E" w:rsidRPr="00670D0E">
        <w:t>etilcloroformo</w:t>
      </w:r>
      <w:proofErr w:type="spellEnd"/>
      <w:r w:rsidRPr="00DF4BB7">
        <w:t>), el Anexo C (HCFC) y el Anexo E (metilbromuro) como se muestra en el cuadro siguiente. Las celdas de los formularios de datos donde no se requieren datos están sombreadas</w:t>
      </w:r>
      <w:r w:rsidR="009D09BF" w:rsidRPr="00DF4BB7">
        <w:t>.</w:t>
      </w:r>
    </w:p>
    <w:p w14:paraId="49DBEE87" w14:textId="4EB1D094" w:rsidR="00506B61" w:rsidRPr="00DF4BB7" w:rsidRDefault="003B21A8" w:rsidP="003B21A8">
      <w:pPr>
        <w:pStyle w:val="ListParagraph"/>
        <w:spacing w:after="240" w:line="240" w:lineRule="auto"/>
        <w:ind w:left="-426"/>
        <w:contextualSpacing w:val="0"/>
        <w:jc w:val="center"/>
        <w:rPr>
          <w:rFonts w:ascii="Times New Roman" w:hAnsi="Times New Roman" w:cs="Times New Roman"/>
        </w:rPr>
      </w:pPr>
      <w:r w:rsidRPr="003B21A8">
        <w:rPr>
          <w:rFonts w:ascii="Times New Roman" w:hAnsi="Times New Roman" w:cs="Times New Roman"/>
          <w:noProof/>
          <w:lang w:val="en-CA" w:eastAsia="zh-CN"/>
        </w:rPr>
        <w:lastRenderedPageBreak/>
        <w:drawing>
          <wp:inline distT="0" distB="0" distL="0" distR="0" wp14:anchorId="60343653" wp14:editId="4CD26B6A">
            <wp:extent cx="6531428" cy="3903297"/>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8106" cy="3907288"/>
                    </a:xfrm>
                    <a:prstGeom prst="rect">
                      <a:avLst/>
                    </a:prstGeom>
                    <a:noFill/>
                    <a:ln>
                      <a:noFill/>
                    </a:ln>
                  </pic:spPr>
                </pic:pic>
              </a:graphicData>
            </a:graphic>
          </wp:inline>
        </w:drawing>
      </w:r>
    </w:p>
    <w:p w14:paraId="155A9680" w14:textId="5F07250C" w:rsidR="00A86707" w:rsidRPr="00DF4BB7" w:rsidRDefault="00BB7130" w:rsidP="00A44B05">
      <w:pPr>
        <w:pStyle w:val="Heading1"/>
        <w:numPr>
          <w:ilvl w:val="0"/>
          <w:numId w:val="41"/>
        </w:numPr>
        <w:ind w:left="0" w:firstLine="0"/>
      </w:pPr>
      <w:r w:rsidRPr="00DF4BB7">
        <w:t xml:space="preserve">Cada sustancia controlada debe desglosarse en los usos de sectores específicos, como aerosoles, espumas, refrigeración (fabricación, y servicio y mantenimiento), disolventes, agentes de proceso, uso en laboratorio y metilbromuro. Se deben sumar todas las columnas “Uso por sector” para obtener un total para cada sustancia. </w:t>
      </w:r>
    </w:p>
    <w:p w14:paraId="4F4C5DBA" w14:textId="0F1DB2D3" w:rsidR="00506B61" w:rsidRPr="00DF4BB7" w:rsidRDefault="00ED2DFF" w:rsidP="00A44B05">
      <w:pPr>
        <w:pStyle w:val="Heading1"/>
        <w:numPr>
          <w:ilvl w:val="0"/>
          <w:numId w:val="41"/>
        </w:numPr>
        <w:ind w:left="0" w:firstLine="0"/>
      </w:pPr>
      <w:r w:rsidRPr="00DF4BB7">
        <w:t xml:space="preserve">Las cantidades de HCFC-141b contenido en sistemas con polioles premezclados importados se deben notificar únicamente bajo el sector de espumas y no bajo otros sectores. </w:t>
      </w:r>
    </w:p>
    <w:p w14:paraId="3FB48F5F" w14:textId="293756F6" w:rsidR="00506B61" w:rsidRPr="00DF4BB7" w:rsidRDefault="00506B61" w:rsidP="00A44B05">
      <w:pPr>
        <w:pStyle w:val="Heading1"/>
        <w:numPr>
          <w:ilvl w:val="0"/>
          <w:numId w:val="41"/>
        </w:numPr>
        <w:ind w:left="0" w:firstLine="0"/>
      </w:pPr>
      <w:r w:rsidRPr="00DF4BB7">
        <w:t xml:space="preserve">Cuando los datos se refieran a una mezcla de dos o más sustancias, se deben indicar las cantidades de cada componente individual por separado. Las cantidades de cada sustancia se deben calcular sobre la base de los porcentajes de la composición, y la cantidad total se debe indicar en </w:t>
      </w:r>
      <w:proofErr w:type="gramStart"/>
      <w:r w:rsidRPr="00DF4BB7">
        <w:t>el fila apropiada</w:t>
      </w:r>
      <w:proofErr w:type="gramEnd"/>
      <w:r w:rsidRPr="00DF4BB7">
        <w:t xml:space="preserve"> para cada sustancia.</w:t>
      </w:r>
    </w:p>
    <w:p w14:paraId="0CED1172" w14:textId="3B33D27A" w:rsidR="00FB3E21" w:rsidRPr="00DF4BB7" w:rsidRDefault="00FB3E21" w:rsidP="00A44B05">
      <w:pPr>
        <w:pStyle w:val="Heading1"/>
        <w:numPr>
          <w:ilvl w:val="0"/>
          <w:numId w:val="41"/>
        </w:numPr>
        <w:ind w:left="0" w:firstLine="0"/>
      </w:pPr>
      <w:r w:rsidRPr="00DF4BB7">
        <w:t>Para las sustancias del Anexo C (HCFC), si el país importa o tiene usos de sustancias controladas diferentes de aquellas listadas, los datos se deben ingresar en las columnas “Otra”.</w:t>
      </w:r>
    </w:p>
    <w:p w14:paraId="7DC30566" w14:textId="7D38D2EA" w:rsidR="00506B61" w:rsidRPr="00DF4BB7" w:rsidRDefault="004B005E" w:rsidP="00A44B05">
      <w:pPr>
        <w:pStyle w:val="Heading1"/>
        <w:numPr>
          <w:ilvl w:val="0"/>
          <w:numId w:val="41"/>
        </w:numPr>
        <w:ind w:left="0" w:firstLine="0"/>
      </w:pPr>
      <w:r w:rsidRPr="00DF4BB7">
        <w:t>El uso de metilbromuro se divide en dos categorías: aplicaciones de cuarentena y previas al envío (“QPS”) y aplicaciones que no son de cuarentena y previas al envío (“No QPS”). Estas cantidades se deben notificar en las columnas correspondientes, bajo el encabezado “Metilbromuro”. La cantidad total de las columnas “QPS” y “No QPS” también se deben notificar en las columnas “Importación/Exportación/Producción”. Los países con consumo de metilbromuro aprobado para usos críticos aprobados por las Partes en el Protocolo de Montreal pueden explicar estos datos en la columna “Observaciones”.</w:t>
      </w:r>
    </w:p>
    <w:p w14:paraId="3DB302BB" w14:textId="39D02A76" w:rsidR="00BE72CE" w:rsidRPr="00DF4BB7" w:rsidRDefault="002103DA" w:rsidP="00A44B05">
      <w:pPr>
        <w:pStyle w:val="Heading1"/>
        <w:numPr>
          <w:ilvl w:val="0"/>
          <w:numId w:val="41"/>
        </w:numPr>
        <w:ind w:left="0" w:firstLine="0"/>
      </w:pPr>
      <w:r w:rsidRPr="00DF4BB7">
        <w:t xml:space="preserve">En “Cupos de importación”, la información requerida es si el país ha establecido un cupo de importación para cada sustancia controlada para el año sobre el que se informa. Por ejemplo, si durante el </w:t>
      </w:r>
      <w:r w:rsidRPr="00DF4BB7">
        <w:lastRenderedPageBreak/>
        <w:t xml:space="preserve">año sobre el que se informa, el país ha expedido licencias para la importación de una cantidad real de una sustancia controlada, se debe ingresar esta cantidad en la columna “Cupos de importación”. </w:t>
      </w:r>
    </w:p>
    <w:p w14:paraId="177C9056" w14:textId="47C740C4" w:rsidR="00175BEB" w:rsidRPr="00DF4BB7" w:rsidRDefault="002E5FAA" w:rsidP="00A44B05">
      <w:pPr>
        <w:pStyle w:val="Heading1"/>
        <w:numPr>
          <w:ilvl w:val="0"/>
          <w:numId w:val="41"/>
        </w:numPr>
        <w:ind w:left="0" w:firstLine="0"/>
      </w:pPr>
      <w:r w:rsidRPr="00DF4BB7">
        <w:t>En el caso de que la importación de una sustancia controlada específica esté prohibida, se debe indicar la fecha de la prohibición en la columna “Si la importación está prohibida, indicar fecha”.</w:t>
      </w:r>
    </w:p>
    <w:p w14:paraId="20B9E2E6" w14:textId="75D9B227" w:rsidR="0044366F" w:rsidRPr="00DF4BB7" w:rsidRDefault="0044366F" w:rsidP="00A44B05">
      <w:pPr>
        <w:pStyle w:val="Heading1"/>
        <w:numPr>
          <w:ilvl w:val="0"/>
          <w:numId w:val="41"/>
        </w:numPr>
        <w:ind w:left="0" w:firstLine="0"/>
      </w:pPr>
      <w:r w:rsidRPr="00DF4BB7">
        <w:t>La información adicional sobre cada sustancia controlada se debe notificar en la columna “Observaciones”.</w:t>
      </w:r>
    </w:p>
    <w:p w14:paraId="1642591D" w14:textId="2B38377E" w:rsidR="00F1327D" w:rsidRPr="00DF4BB7" w:rsidRDefault="009D09BF" w:rsidP="00493C77">
      <w:pPr>
        <w:pStyle w:val="Heading1"/>
        <w:tabs>
          <w:tab w:val="left" w:pos="720"/>
        </w:tabs>
        <w:jc w:val="left"/>
        <w:rPr>
          <w:b/>
          <w:bCs/>
        </w:rPr>
      </w:pPr>
      <w:r w:rsidRPr="00DF4BB7">
        <w:rPr>
          <w:b/>
          <w:bCs/>
        </w:rPr>
        <w:t>Sección B.</w:t>
      </w:r>
      <w:r w:rsidR="00B5710D" w:rsidRPr="00DF4BB7">
        <w:rPr>
          <w:b/>
          <w:bCs/>
        </w:rPr>
        <w:tab/>
      </w:r>
      <w:r w:rsidRPr="00DF4BB7">
        <w:rPr>
          <w:b/>
          <w:bCs/>
        </w:rPr>
        <w:t>Anexo F</w:t>
      </w:r>
    </w:p>
    <w:p w14:paraId="0A6172EC" w14:textId="5DE3DEE0" w:rsidR="00642798" w:rsidRDefault="00303121" w:rsidP="00A44B05">
      <w:pPr>
        <w:pStyle w:val="Heading1"/>
        <w:numPr>
          <w:ilvl w:val="0"/>
          <w:numId w:val="41"/>
        </w:numPr>
        <w:ind w:left="0" w:firstLine="0"/>
      </w:pPr>
      <w:r w:rsidRPr="00DF4BB7">
        <w:t>Esta sección se usa para notificar datos sobre las sustancias controladas del Anexo F (HFC), incluidos el HFC-23 (uso) y los HFC contenidos en polioles premezclados importados, como se indica en el cuadro a continuación:</w:t>
      </w:r>
    </w:p>
    <w:p w14:paraId="09EA1B7C" w14:textId="19DF83DC" w:rsidR="00100E1D" w:rsidRPr="00100E1D" w:rsidRDefault="00100E1D" w:rsidP="00100E1D">
      <w:r w:rsidRPr="00100E1D">
        <w:drawing>
          <wp:inline distT="0" distB="0" distL="0" distR="0" wp14:anchorId="62932833" wp14:editId="41F13856">
            <wp:extent cx="6216650" cy="455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0" cy="4559300"/>
                    </a:xfrm>
                    <a:prstGeom prst="rect">
                      <a:avLst/>
                    </a:prstGeom>
                    <a:noFill/>
                    <a:ln>
                      <a:noFill/>
                    </a:ln>
                  </pic:spPr>
                </pic:pic>
              </a:graphicData>
            </a:graphic>
          </wp:inline>
        </w:drawing>
      </w:r>
    </w:p>
    <w:p w14:paraId="5E71C854" w14:textId="77777777" w:rsidR="00570A67" w:rsidRDefault="00570A67" w:rsidP="00570A67">
      <w:pPr>
        <w:pStyle w:val="Heading1"/>
        <w:spacing w:after="0"/>
      </w:pPr>
    </w:p>
    <w:p w14:paraId="44E2CB19" w14:textId="01B6D764" w:rsidR="00F845E8" w:rsidRPr="00DF4BB7" w:rsidRDefault="00F845E8" w:rsidP="00A44B05">
      <w:pPr>
        <w:pStyle w:val="Heading1"/>
        <w:numPr>
          <w:ilvl w:val="0"/>
          <w:numId w:val="41"/>
        </w:numPr>
        <w:ind w:left="0" w:firstLine="0"/>
      </w:pPr>
      <w:r w:rsidRPr="00DF4BB7">
        <w:t xml:space="preserve">Al notificar las mezclas/mixturas de sustancias controladas, no se debe duplicar la notificación de cada sustancia controlada de las mezclas/mixturas. Los países deben notificar por separado el uso de sustancias controladas individuales puras y las cantidades contenidas en las mezclas o mixturas utilizadas, y deben asegurarse de que las cantidades de sustancias controladas no se notifiquen más de una vez. </w:t>
      </w:r>
    </w:p>
    <w:p w14:paraId="4B96591F" w14:textId="1B92902D" w:rsidR="005A5438" w:rsidRPr="00DF4BB7" w:rsidRDefault="00344B06" w:rsidP="00A44B05">
      <w:pPr>
        <w:pStyle w:val="Heading1"/>
        <w:numPr>
          <w:ilvl w:val="0"/>
          <w:numId w:val="41"/>
        </w:numPr>
        <w:ind w:left="0" w:firstLine="0"/>
      </w:pPr>
      <w:r w:rsidRPr="00DF4BB7">
        <w:lastRenderedPageBreak/>
        <w:t>Si se usa una mezcla/mixtura no listada en el cuadro anterior, se debe indicar el nombre de la mezcla/mixtura en la fila “Otras” y se debe indicar el porcentaje de cada una de las sustancias controladas constituyentes de la mezcla notificada en la columna “Observaciones”.</w:t>
      </w:r>
    </w:p>
    <w:p w14:paraId="1F963F9E" w14:textId="77777777" w:rsidR="001F376F" w:rsidRPr="00DF4BB7" w:rsidRDefault="001F376F" w:rsidP="001F376F">
      <w:pPr>
        <w:pStyle w:val="Heading1"/>
        <w:numPr>
          <w:ilvl w:val="0"/>
          <w:numId w:val="41"/>
        </w:numPr>
        <w:ind w:left="0" w:firstLine="0"/>
        <w:rPr>
          <w:rFonts w:eastAsiaTheme="minorHAnsi"/>
        </w:rPr>
      </w:pPr>
      <w:r w:rsidRPr="00DF4BB7">
        <w:t>Cuando una mezcla/mixtura de HFC también contiene HCFC como uno de sus constituyentes, la cantidad de HCFC se debe incluir en la Sección A.</w:t>
      </w:r>
    </w:p>
    <w:p w14:paraId="61E5C856" w14:textId="5EF2953A" w:rsidR="00B1440D" w:rsidRPr="00DF4BB7" w:rsidRDefault="00957ECF" w:rsidP="00A44B05">
      <w:pPr>
        <w:pStyle w:val="Heading1"/>
        <w:numPr>
          <w:ilvl w:val="0"/>
          <w:numId w:val="41"/>
        </w:numPr>
        <w:ind w:left="0" w:firstLine="0"/>
      </w:pPr>
      <w:r w:rsidRPr="00DF4BB7">
        <w:t xml:space="preserve">Los datos deben indicarse en </w:t>
      </w:r>
      <w:r w:rsidRPr="00DF4BB7">
        <w:rPr>
          <w:b/>
        </w:rPr>
        <w:t>toneladas métricas únicamente</w:t>
      </w:r>
      <w:r w:rsidRPr="00DF4BB7">
        <w:t xml:space="preserve"> y no en equivalentes de CO</w:t>
      </w:r>
      <w:r w:rsidRPr="00DF4BB7">
        <w:rPr>
          <w:vertAlign w:val="subscript"/>
        </w:rPr>
        <w:t>2</w:t>
      </w:r>
      <w:r w:rsidRPr="00DF4BB7">
        <w:t xml:space="preserve">. </w:t>
      </w:r>
    </w:p>
    <w:p w14:paraId="47436F6C" w14:textId="3FC8DF1D" w:rsidR="00B1440D" w:rsidRPr="00DF4BB7" w:rsidRDefault="00B1440D" w:rsidP="00A44B05">
      <w:pPr>
        <w:pStyle w:val="Heading1"/>
        <w:numPr>
          <w:ilvl w:val="0"/>
          <w:numId w:val="41"/>
        </w:numPr>
        <w:ind w:left="0" w:firstLine="0"/>
      </w:pPr>
      <w:r w:rsidRPr="00DF4BB7">
        <w:t xml:space="preserve">Cada sustancia controlada debe desglosarse en los usos de sectores específicos, como aerosoles, espumas, lucha contra incendios, refrigeración (fabricación, y servicio y mantenimiento), disolventes y otros. El uso en otros sectores no considerados específicamente en la tabla </w:t>
      </w:r>
      <w:r w:rsidR="00863A15" w:rsidRPr="00DF4BB7">
        <w:t>se debe presentar</w:t>
      </w:r>
      <w:r w:rsidRPr="00DF4BB7">
        <w:t xml:space="preserve"> en la columna “Otros”. Se deben sumar todas las columnas “Uso por sector” para obtener un total para cada sustancia. </w:t>
      </w:r>
    </w:p>
    <w:p w14:paraId="01165675" w14:textId="3F31D8B2" w:rsidR="001B14CB" w:rsidRPr="00DF4BB7" w:rsidRDefault="001F376F" w:rsidP="00A44B05">
      <w:pPr>
        <w:pStyle w:val="Heading1"/>
        <w:numPr>
          <w:ilvl w:val="0"/>
          <w:numId w:val="41"/>
        </w:numPr>
        <w:ind w:left="0" w:firstLine="0"/>
      </w:pPr>
      <w:r w:rsidRPr="00DF4BB7">
        <w:t>Para el sector de fabricación de equipos de refrigeración, se deben proporcionar datos por separado para el subsector de aire acondicionado (A/A). Los datos para otros subsectores deben proporcionarse en la columna “Otros”. Si no hay disponible un desglose del consumo en la fabricación para los sectores de A/A u otros, la información sobre el consumo total en el sector de fabricación de equipos de refrigeración se debe notificar en la columna “Total”.</w:t>
      </w:r>
    </w:p>
    <w:p w14:paraId="74E8D8FE" w14:textId="7A0B27CD" w:rsidR="00C414DE" w:rsidRPr="00DF4BB7" w:rsidRDefault="00D56731" w:rsidP="00A44B05">
      <w:pPr>
        <w:pStyle w:val="Heading1"/>
        <w:numPr>
          <w:ilvl w:val="0"/>
          <w:numId w:val="41"/>
        </w:numPr>
        <w:ind w:left="0" w:firstLine="0"/>
      </w:pPr>
      <w:r w:rsidRPr="00DF4BB7">
        <w:t xml:space="preserve">Los datos de HFC-23 deben proporcionarse solo para uso y producción. El HFC-23 destruido y utilizado como materia prima no se debe incluir en la producción. Esto se explica en las </w:t>
      </w:r>
      <w:r w:rsidR="001F376F" w:rsidRPr="00DF4BB7">
        <w:t>S</w:t>
      </w:r>
      <w:r w:rsidRPr="00DF4BB7">
        <w:t>ecciones D y E a continuación.</w:t>
      </w:r>
    </w:p>
    <w:p w14:paraId="23D96C3B" w14:textId="287691EA" w:rsidR="00911EE1" w:rsidRPr="00DF4BB7" w:rsidRDefault="003B1F8C" w:rsidP="00A44B05">
      <w:pPr>
        <w:pStyle w:val="Heading1"/>
        <w:numPr>
          <w:ilvl w:val="0"/>
          <w:numId w:val="41"/>
        </w:numPr>
        <w:ind w:left="0" w:firstLine="0"/>
      </w:pPr>
      <w:r w:rsidRPr="00DF4BB7">
        <w:t>C</w:t>
      </w:r>
      <w:r w:rsidR="00B76E47" w:rsidRPr="00DF4BB7">
        <w:t>u</w:t>
      </w:r>
      <w:r w:rsidRPr="00DF4BB7">
        <w:t xml:space="preserve">ando se importan en el país o se exportan del país sustancias controladas puras o mezclas/mixturas de ellas, los datos deben notificarse en la columna apropiada. </w:t>
      </w:r>
    </w:p>
    <w:p w14:paraId="752ED5CB" w14:textId="77777777" w:rsidR="00226D5B" w:rsidRDefault="007F5D5A" w:rsidP="00A44B05">
      <w:pPr>
        <w:pStyle w:val="Heading1"/>
        <w:numPr>
          <w:ilvl w:val="0"/>
          <w:numId w:val="41"/>
        </w:numPr>
        <w:ind w:left="0" w:firstLine="0"/>
      </w:pPr>
      <w:r w:rsidRPr="00DF4BB7">
        <w:t>En aquellos casos en que se usan importaciones de sustancias controladas para la producción, estas cantidades deben explicarse en la columna “Observaciones”. Las cantidades totales importadas deben notificarse en la columna “Importación” de la Sección B</w:t>
      </w:r>
      <w:r w:rsidR="00226D5B">
        <w:t>.</w:t>
      </w:r>
    </w:p>
    <w:p w14:paraId="64BC959F" w14:textId="0B92F338" w:rsidR="007F5D5A" w:rsidRPr="005D3C2B" w:rsidRDefault="005D3C2B" w:rsidP="00A44B05">
      <w:pPr>
        <w:pStyle w:val="Heading1"/>
        <w:numPr>
          <w:ilvl w:val="0"/>
          <w:numId w:val="41"/>
        </w:numPr>
        <w:ind w:left="0" w:firstLine="0"/>
      </w:pPr>
      <w:r w:rsidRPr="005D3C2B">
        <w:t>En aquellos casos en que el país fabrique mezclas, las cantidades de mezclas fabricadas se deben proporcionar en la columna “Fabricación de mezclas*”, en el entendimiento de que los datos se notificarán en forma voluntaria</w:t>
      </w:r>
      <w:r w:rsidR="007F5D5A" w:rsidRPr="005D3C2B">
        <w:t>.</w:t>
      </w:r>
    </w:p>
    <w:p w14:paraId="31C4ED53" w14:textId="16DF337A" w:rsidR="009471BF" w:rsidRPr="00DF4BB7" w:rsidRDefault="009471BF" w:rsidP="00A44B05">
      <w:pPr>
        <w:pStyle w:val="Heading1"/>
        <w:numPr>
          <w:ilvl w:val="0"/>
          <w:numId w:val="41"/>
        </w:numPr>
        <w:ind w:left="0" w:firstLine="0"/>
      </w:pPr>
      <w:r w:rsidRPr="00DF4BB7">
        <w:t xml:space="preserve">En “Cupos de importación”, la información requerida es si el país ha establecido un cupo de importación para cada sustancia controlada para el año sobre el que se informa. Por ejemplo, si durante el año sobre el que se informa, se han expedido licencias para la importación de una cantidad real de una sustancia controlada, se debe ingresar la cantidad real en la columna “Cupos de importación”. </w:t>
      </w:r>
    </w:p>
    <w:p w14:paraId="6AD14697" w14:textId="774B419A" w:rsidR="009471BF" w:rsidRPr="00DF4BB7" w:rsidRDefault="009471BF" w:rsidP="00A44B05">
      <w:pPr>
        <w:pStyle w:val="Heading1"/>
        <w:numPr>
          <w:ilvl w:val="0"/>
          <w:numId w:val="41"/>
        </w:numPr>
        <w:ind w:left="0" w:firstLine="0"/>
      </w:pPr>
      <w:r w:rsidRPr="00DF4BB7">
        <w:t>En aquellos casos en que la importación de una sustancia controlada específica esté prohibida, la fecha de la prohibición se debe indicar en la columna “Si la importación está prohibida, indicar fecha”.</w:t>
      </w:r>
    </w:p>
    <w:p w14:paraId="2A9A49CB" w14:textId="2828F661" w:rsidR="001415F1" w:rsidRPr="00DF4BB7" w:rsidRDefault="000F3F4C" w:rsidP="00493C77">
      <w:pPr>
        <w:pStyle w:val="ListParagraph"/>
        <w:spacing w:after="240" w:line="240" w:lineRule="auto"/>
        <w:ind w:left="0"/>
        <w:contextualSpacing w:val="0"/>
        <w:jc w:val="both"/>
        <w:rPr>
          <w:rFonts w:ascii="Times New Roman" w:hAnsi="Times New Roman" w:cs="Times New Roman"/>
          <w:b/>
        </w:rPr>
      </w:pPr>
      <w:r w:rsidRPr="00DF4BB7">
        <w:rPr>
          <w:rFonts w:ascii="Times New Roman" w:hAnsi="Times New Roman"/>
          <w:b/>
        </w:rPr>
        <w:t>Sección C.</w:t>
      </w:r>
      <w:r w:rsidR="001F376F" w:rsidRPr="00DF4BB7">
        <w:rPr>
          <w:rFonts w:ascii="Times New Roman" w:hAnsi="Times New Roman"/>
          <w:b/>
        </w:rPr>
        <w:tab/>
      </w:r>
      <w:r w:rsidRPr="00DF4BB7">
        <w:rPr>
          <w:rFonts w:ascii="Times New Roman" w:hAnsi="Times New Roman"/>
          <w:b/>
        </w:rPr>
        <w:t xml:space="preserve">Precio de los HCFC, los </w:t>
      </w:r>
      <w:proofErr w:type="spellStart"/>
      <w:r w:rsidRPr="00DF4BB7">
        <w:rPr>
          <w:rFonts w:ascii="Times New Roman" w:hAnsi="Times New Roman"/>
          <w:b/>
        </w:rPr>
        <w:t>HFC</w:t>
      </w:r>
      <w:r w:rsidR="001F376F" w:rsidRPr="00DF4BB7">
        <w:rPr>
          <w:rFonts w:ascii="Times New Roman" w:hAnsi="Times New Roman"/>
          <w:b/>
        </w:rPr>
        <w:t>y</w:t>
      </w:r>
      <w:proofErr w:type="spellEnd"/>
      <w:r w:rsidRPr="00DF4BB7">
        <w:rPr>
          <w:rFonts w:ascii="Times New Roman" w:hAnsi="Times New Roman"/>
          <w:b/>
        </w:rPr>
        <w:t xml:space="preserve"> las sustancias alternativas</w:t>
      </w:r>
    </w:p>
    <w:p w14:paraId="7C0DC2DD" w14:textId="77A5D32A" w:rsidR="000F3F4C" w:rsidRPr="00DF4BB7" w:rsidRDefault="000F3F4C" w:rsidP="00A44B05">
      <w:pPr>
        <w:pStyle w:val="Heading1"/>
        <w:numPr>
          <w:ilvl w:val="0"/>
          <w:numId w:val="41"/>
        </w:numPr>
        <w:ind w:left="0" w:firstLine="0"/>
      </w:pPr>
      <w:r w:rsidRPr="00DF4BB7">
        <w:t>Esta sección se usa para notificar los precios de los HCFC, los HFC</w:t>
      </w:r>
      <w:r w:rsidR="001F376F" w:rsidRPr="00DF4BB7">
        <w:t xml:space="preserve"> y</w:t>
      </w:r>
      <w:r w:rsidRPr="00DF4BB7">
        <w:t xml:space="preserve"> las sustancias alternativas, como se indica en el cuadro a continuación. </w:t>
      </w:r>
    </w:p>
    <w:p w14:paraId="36F99B7C" w14:textId="50228C58" w:rsidR="000F3F4C" w:rsidRPr="00DF4BB7" w:rsidRDefault="00992FC8" w:rsidP="005A66EB">
      <w:pPr>
        <w:pStyle w:val="ListParagraph"/>
        <w:spacing w:after="240" w:line="240" w:lineRule="auto"/>
        <w:ind w:left="0"/>
        <w:contextualSpacing w:val="0"/>
        <w:jc w:val="center"/>
        <w:rPr>
          <w:rFonts w:ascii="Times New Roman" w:hAnsi="Times New Roman" w:cs="Times New Roman"/>
          <w:b/>
        </w:rPr>
      </w:pPr>
      <w:r w:rsidRPr="00992FC8">
        <w:rPr>
          <w:rFonts w:ascii="Times New Roman" w:hAnsi="Times New Roman" w:cs="Times New Roman"/>
          <w:b/>
          <w:noProof/>
          <w:lang w:val="en-CA" w:eastAsia="zh-CN"/>
        </w:rPr>
        <w:lastRenderedPageBreak/>
        <w:drawing>
          <wp:inline distT="0" distB="0" distL="0" distR="0" wp14:anchorId="7561E8FB" wp14:editId="61D0C8FE">
            <wp:extent cx="5943600" cy="67079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707971"/>
                    </a:xfrm>
                    <a:prstGeom prst="rect">
                      <a:avLst/>
                    </a:prstGeom>
                    <a:noFill/>
                    <a:ln>
                      <a:noFill/>
                    </a:ln>
                  </pic:spPr>
                </pic:pic>
              </a:graphicData>
            </a:graphic>
          </wp:inline>
        </w:drawing>
      </w:r>
    </w:p>
    <w:p w14:paraId="4EFDFE19" w14:textId="71FC1DF0" w:rsidR="00B746DE" w:rsidRPr="00DF4BB7" w:rsidRDefault="00B746DE" w:rsidP="00A44B05">
      <w:pPr>
        <w:pStyle w:val="Heading1"/>
        <w:numPr>
          <w:ilvl w:val="0"/>
          <w:numId w:val="41"/>
        </w:numPr>
        <w:ind w:left="0" w:firstLine="0"/>
      </w:pPr>
      <w:r w:rsidRPr="00DF4BB7">
        <w:t>Se pueden proporcionar datos de precios minoristas o franco a bordo (FOB). Sin embargo, el tipo de precio se debe indicar en la columna “Observaciones”.</w:t>
      </w:r>
    </w:p>
    <w:p w14:paraId="2B06F296" w14:textId="62D636B7" w:rsidR="0055089E" w:rsidRPr="00DF4BB7" w:rsidRDefault="0055089E" w:rsidP="00A44B05">
      <w:pPr>
        <w:pStyle w:val="Heading1"/>
        <w:numPr>
          <w:ilvl w:val="0"/>
          <w:numId w:val="41"/>
        </w:numPr>
        <w:ind w:left="0" w:firstLine="0"/>
      </w:pPr>
      <w:r w:rsidRPr="00DF4BB7">
        <w:t>En lo que respecta a los precios FOB, el Comité Ejecutivo ha pedido a los gobiernos que informen, voluntariamente, el precio FOB medio de importación para cada sustancia controlada y producto sustitutivo de sustancias controladas en el formato revisado de los PP (decisión 68/4 b) iv)).</w:t>
      </w:r>
    </w:p>
    <w:p w14:paraId="20CEBFFC" w14:textId="0ABF3E78" w:rsidR="000F3F4C" w:rsidRPr="00DF4BB7" w:rsidRDefault="00B746DE" w:rsidP="00A44B05">
      <w:pPr>
        <w:pStyle w:val="Heading1"/>
        <w:numPr>
          <w:ilvl w:val="0"/>
          <w:numId w:val="41"/>
        </w:numPr>
        <w:ind w:left="0" w:firstLine="0"/>
      </w:pPr>
      <w:r w:rsidRPr="00DF4BB7">
        <w:lastRenderedPageBreak/>
        <w:t>Se deben proporcionar los precios minoristas medios estimados de los HCFC, los HFC y las alternativas, en dólares de los EE. UU. por kilogramo. La mayoría de los proveedores de alternativas tiene una lista de precios que puede solicitarse para calcular el precio medio. Si el monto se indica en moneda local, se deben usar tipos de cambio oficiales para convertir los precios a dólares de los EE. UU. Esto resultará útil para comparar los precios recopilados con los precios mundiales existentes de las sustancias a fin de observar las diferencias de precios</w:t>
      </w:r>
      <w:r w:rsidR="00B51E44" w:rsidRPr="00DF4BB7">
        <w:t>.</w:t>
      </w:r>
    </w:p>
    <w:p w14:paraId="01020EB7" w14:textId="77777777" w:rsidR="000F3F4C" w:rsidRPr="00DF4BB7" w:rsidRDefault="004D62BC" w:rsidP="00A44B05">
      <w:pPr>
        <w:pStyle w:val="Heading1"/>
        <w:numPr>
          <w:ilvl w:val="0"/>
          <w:numId w:val="41"/>
        </w:numPr>
        <w:ind w:left="0" w:firstLine="0"/>
      </w:pPr>
      <w:r w:rsidRPr="00DF4BB7">
        <w:t>Se puede proporcionar información adicional en la columna “Observaciones”.</w:t>
      </w:r>
    </w:p>
    <w:p w14:paraId="46FB385B" w14:textId="642E5B74" w:rsidR="00214854" w:rsidRPr="00DF4BB7" w:rsidRDefault="00214854" w:rsidP="00493C77">
      <w:pPr>
        <w:pStyle w:val="ListParagraph"/>
        <w:spacing w:after="240" w:line="240" w:lineRule="auto"/>
        <w:ind w:left="0"/>
        <w:contextualSpacing w:val="0"/>
        <w:jc w:val="both"/>
        <w:rPr>
          <w:rFonts w:ascii="Times New Roman" w:hAnsi="Times New Roman" w:cs="Times New Roman"/>
          <w:b/>
        </w:rPr>
      </w:pPr>
      <w:r w:rsidRPr="00DF4BB7">
        <w:rPr>
          <w:rFonts w:ascii="Times New Roman" w:hAnsi="Times New Roman"/>
          <w:b/>
        </w:rPr>
        <w:t>Sección D.</w:t>
      </w:r>
      <w:r w:rsidR="00B746DE" w:rsidRPr="00DF4BB7">
        <w:rPr>
          <w:rFonts w:ascii="Times New Roman" w:hAnsi="Times New Roman"/>
          <w:b/>
        </w:rPr>
        <w:tab/>
      </w:r>
      <w:r w:rsidRPr="00DF4BB7">
        <w:rPr>
          <w:rFonts w:ascii="Times New Roman" w:hAnsi="Times New Roman"/>
          <w:b/>
        </w:rPr>
        <w:t>Grupo II del Anexo F - Datos sobre generación de HFC-23</w:t>
      </w:r>
    </w:p>
    <w:p w14:paraId="2EADC58A" w14:textId="685BC2B8" w:rsidR="000F3F4C" w:rsidRPr="00DF4BB7" w:rsidRDefault="00771C37" w:rsidP="00A44B05">
      <w:pPr>
        <w:pStyle w:val="Heading1"/>
        <w:numPr>
          <w:ilvl w:val="0"/>
          <w:numId w:val="41"/>
        </w:numPr>
        <w:ind w:left="0" w:firstLine="0"/>
      </w:pPr>
      <w:r w:rsidRPr="00DF4BB7">
        <w:t>Se debe rellenar esta sección si el país generó HFC-23 en alguna planta que produjo (fabricó) sustancias del Grupo I del Anexo C, o del Anexo F.</w:t>
      </w:r>
    </w:p>
    <w:p w14:paraId="5B801333" w14:textId="2CC2A321" w:rsidR="00771C37" w:rsidRPr="00DF4BB7" w:rsidRDefault="00355CAE" w:rsidP="00493C77">
      <w:pPr>
        <w:pStyle w:val="BodyTextIndent"/>
        <w:spacing w:after="240"/>
        <w:ind w:left="0"/>
        <w:jc w:val="both"/>
        <w:rPr>
          <w:b/>
          <w:sz w:val="22"/>
          <w:szCs w:val="22"/>
        </w:rPr>
      </w:pPr>
      <w:r w:rsidRPr="00355CAE">
        <w:rPr>
          <w:b/>
          <w:noProof/>
          <w:sz w:val="22"/>
          <w:szCs w:val="22"/>
          <w:lang w:val="en-CA" w:eastAsia="zh-CN"/>
        </w:rPr>
        <w:drawing>
          <wp:inline distT="0" distB="0" distL="0" distR="0" wp14:anchorId="25002A53" wp14:editId="0921B3EB">
            <wp:extent cx="6256507"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236" cy="1302798"/>
                    </a:xfrm>
                    <a:prstGeom prst="rect">
                      <a:avLst/>
                    </a:prstGeom>
                    <a:noFill/>
                    <a:ln>
                      <a:noFill/>
                    </a:ln>
                  </pic:spPr>
                </pic:pic>
              </a:graphicData>
            </a:graphic>
          </wp:inline>
        </w:drawing>
      </w:r>
    </w:p>
    <w:p w14:paraId="5B6D8416" w14:textId="322F8E00" w:rsidR="00771C37" w:rsidRPr="00DF4BB7" w:rsidRDefault="0058235C" w:rsidP="00A44B05">
      <w:pPr>
        <w:pStyle w:val="Heading1"/>
        <w:numPr>
          <w:ilvl w:val="0"/>
          <w:numId w:val="41"/>
        </w:numPr>
        <w:ind w:left="0" w:firstLine="0"/>
      </w:pPr>
      <w:r w:rsidRPr="00DF4BB7">
        <w:t>En esta sección, se debe indicar la cantidad total de HFC-23 como subproducto captado para todos los usos; es decir, destrucción, materia prima o cualquier otro uso. Las cantidades de HFC-23 como subproducto captadas para destrucción o uso como materia prima no se contabilizarán como producción con arreglo al artículo 1 del Protocolo de Montreal.</w:t>
      </w:r>
    </w:p>
    <w:p w14:paraId="137123CD" w14:textId="07CAAB91" w:rsidR="004323BA" w:rsidRPr="00DF4BB7" w:rsidRDefault="004323BA" w:rsidP="00A44B05">
      <w:pPr>
        <w:pStyle w:val="Heading1"/>
        <w:numPr>
          <w:ilvl w:val="0"/>
          <w:numId w:val="41"/>
        </w:numPr>
        <w:ind w:left="0" w:firstLine="0"/>
      </w:pPr>
      <w:r w:rsidRPr="00DF4BB7">
        <w:t>Al proporcionar los datos de “Captado para todos los usos”, no se debe deducir la cantidad de “Captado para usos como materia prima dentro de su país” o “Captado para destrucción”. La columna sobre producción “Pura (A)” de la Sección B1 para HFC-23 (uso) debería incluir datos sobre el HFC-23 captado para todos los usos menos la cantidad captada para usos como materia prima dentro del país y la cantidad utilizada para destrucción.</w:t>
      </w:r>
    </w:p>
    <w:p w14:paraId="767720D9" w14:textId="3B307214" w:rsidR="00A92FC1" w:rsidRPr="00DF4BB7" w:rsidRDefault="00A92FC1" w:rsidP="00493C77">
      <w:pPr>
        <w:spacing w:after="240" w:line="240" w:lineRule="auto"/>
        <w:jc w:val="both"/>
        <w:rPr>
          <w:rFonts w:ascii="Times New Roman" w:hAnsi="Times New Roman" w:cs="Times New Roman"/>
          <w:b/>
        </w:rPr>
      </w:pPr>
      <w:r w:rsidRPr="00DF4BB7">
        <w:rPr>
          <w:rFonts w:ascii="Times New Roman" w:hAnsi="Times New Roman"/>
          <w:b/>
        </w:rPr>
        <w:t>Sección E.</w:t>
      </w:r>
      <w:r w:rsidR="00B746DE" w:rsidRPr="00DF4BB7">
        <w:rPr>
          <w:rFonts w:ascii="Times New Roman" w:hAnsi="Times New Roman"/>
          <w:b/>
        </w:rPr>
        <w:tab/>
      </w:r>
      <w:r w:rsidRPr="00DF4BB7">
        <w:rPr>
          <w:rFonts w:ascii="Times New Roman" w:hAnsi="Times New Roman"/>
          <w:b/>
        </w:rPr>
        <w:t>Grupo II del Anexo F (emisiones de HFC-23)</w:t>
      </w:r>
    </w:p>
    <w:p w14:paraId="541EFB37" w14:textId="0BFD1B63" w:rsidR="0055089E" w:rsidRPr="00DF4BB7" w:rsidRDefault="006F7680" w:rsidP="00A44B05">
      <w:pPr>
        <w:pStyle w:val="Heading1"/>
        <w:numPr>
          <w:ilvl w:val="0"/>
          <w:numId w:val="41"/>
        </w:numPr>
        <w:ind w:left="0" w:firstLine="0"/>
      </w:pPr>
      <w:r w:rsidRPr="00DF4BB7">
        <w:t>Se debe rellenar esta sección solamente para los países que han generado HFC-23 en alguna planta que produjo (fabricó) sustancias del Grupo I del Anexo C, o del Anexo F. La información requerida en las columnas que están sombreadas en gris se proporciona en forma voluntaria.</w:t>
      </w:r>
    </w:p>
    <w:p w14:paraId="10C5CFE2" w14:textId="5718CC11" w:rsidR="00D00DDB" w:rsidRPr="00DF4BB7" w:rsidRDefault="00BC0BE1" w:rsidP="00723DBC">
      <w:pPr>
        <w:pStyle w:val="ListParagraph"/>
        <w:spacing w:after="240" w:line="240" w:lineRule="auto"/>
        <w:ind w:left="-284"/>
        <w:contextualSpacing w:val="0"/>
        <w:jc w:val="both"/>
        <w:rPr>
          <w:rFonts w:ascii="Times New Roman" w:hAnsi="Times New Roman" w:cs="Times New Roman"/>
        </w:rPr>
      </w:pPr>
      <w:r w:rsidRPr="00BC0BE1">
        <w:rPr>
          <w:rFonts w:ascii="Times New Roman" w:hAnsi="Times New Roman" w:cs="Times New Roman"/>
          <w:noProof/>
          <w:lang w:val="en-CA" w:eastAsia="zh-CN"/>
        </w:rPr>
        <w:lastRenderedPageBreak/>
        <w:drawing>
          <wp:inline distT="0" distB="0" distL="0" distR="0" wp14:anchorId="617F938B" wp14:editId="20BE6D59">
            <wp:extent cx="6346371" cy="203278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1982" cy="2034586"/>
                    </a:xfrm>
                    <a:prstGeom prst="rect">
                      <a:avLst/>
                    </a:prstGeom>
                    <a:noFill/>
                    <a:ln>
                      <a:noFill/>
                    </a:ln>
                  </pic:spPr>
                </pic:pic>
              </a:graphicData>
            </a:graphic>
          </wp:inline>
        </w:drawing>
      </w:r>
    </w:p>
    <w:p w14:paraId="16E512FF" w14:textId="3CD39254" w:rsidR="00584FCB" w:rsidRPr="00A47D48" w:rsidRDefault="000F6E12" w:rsidP="00FD738A">
      <w:pPr>
        <w:pStyle w:val="Heading1"/>
        <w:numPr>
          <w:ilvl w:val="0"/>
          <w:numId w:val="41"/>
        </w:numPr>
        <w:ind w:left="0" w:firstLine="0"/>
      </w:pPr>
      <w:r w:rsidRPr="00A47D48">
        <w:t>En el caso de que una planta de producción no genere emisiones, esa planta de producción debe incluirse en el formulario de datos y debe ingresarse cero en la columna de emisiones. La “Cantidad total generada” de HFC</w:t>
      </w:r>
      <w:r w:rsidRPr="00A47D48">
        <w:noBreakHyphen/>
        <w:t>23 se refiere a la cantidad total, sea captada o no; esta cantidad no se debe notificar en la Sección D. La cantidad total para cada columna bajo “Cantidad generada y captada” es la que debe notificarse en la Sección D.</w:t>
      </w:r>
    </w:p>
    <w:p w14:paraId="6D168C63" w14:textId="77777777" w:rsidR="00584FCB" w:rsidRPr="00A47D48" w:rsidRDefault="00194F97" w:rsidP="00A44B05">
      <w:pPr>
        <w:pStyle w:val="Heading1"/>
        <w:numPr>
          <w:ilvl w:val="0"/>
          <w:numId w:val="41"/>
        </w:numPr>
        <w:ind w:left="0" w:firstLine="0"/>
      </w:pPr>
      <w:r w:rsidRPr="00A47D48">
        <w:t>La “Cantidad usada como materia prima sin captación previa” se refiere a la cantidad convertida a otras sustancias en las plantas especificadas, y la suma de esas cantidades no debe notificarse en la Sección D.</w:t>
      </w:r>
    </w:p>
    <w:p w14:paraId="1514A44F" w14:textId="77777777" w:rsidR="00757519" w:rsidRPr="00A47D48" w:rsidRDefault="00194F97" w:rsidP="00A44B05">
      <w:pPr>
        <w:pStyle w:val="Heading1"/>
        <w:numPr>
          <w:ilvl w:val="0"/>
          <w:numId w:val="41"/>
        </w:numPr>
        <w:ind w:left="0" w:firstLine="0"/>
      </w:pPr>
      <w:r w:rsidRPr="00A47D48">
        <w:t>La “Cantidad destruida sin captación previa” se refiere a las cantidades destruidas en las plantas especificadas, y la suma de esas cantidades no debe notificarse en la Sección D.</w:t>
      </w:r>
    </w:p>
    <w:p w14:paraId="53F0255E" w14:textId="51A12791" w:rsidR="002E5FAA" w:rsidRPr="00A47D48" w:rsidRDefault="002E5FAA" w:rsidP="00493C77">
      <w:pPr>
        <w:pStyle w:val="BodyTextIndent"/>
        <w:spacing w:after="240"/>
        <w:ind w:left="0"/>
        <w:jc w:val="both"/>
        <w:rPr>
          <w:b/>
          <w:sz w:val="22"/>
          <w:szCs w:val="22"/>
        </w:rPr>
      </w:pPr>
      <w:r w:rsidRPr="00A47D48">
        <w:rPr>
          <w:b/>
          <w:sz w:val="22"/>
          <w:szCs w:val="22"/>
        </w:rPr>
        <w:t>Sección</w:t>
      </w:r>
      <w:r w:rsidR="00B746DE" w:rsidRPr="00A47D48">
        <w:rPr>
          <w:b/>
          <w:sz w:val="22"/>
          <w:szCs w:val="22"/>
        </w:rPr>
        <w:t> </w:t>
      </w:r>
      <w:r w:rsidRPr="00A47D48">
        <w:rPr>
          <w:b/>
          <w:sz w:val="22"/>
          <w:szCs w:val="22"/>
        </w:rPr>
        <w:t>F</w:t>
      </w:r>
      <w:r w:rsidR="00B746DE" w:rsidRPr="00A47D48">
        <w:rPr>
          <w:b/>
          <w:sz w:val="22"/>
          <w:szCs w:val="22"/>
        </w:rPr>
        <w:t>.</w:t>
      </w:r>
      <w:r w:rsidR="00B746DE" w:rsidRPr="00A47D48">
        <w:rPr>
          <w:b/>
          <w:sz w:val="22"/>
          <w:szCs w:val="22"/>
        </w:rPr>
        <w:tab/>
      </w:r>
      <w:r w:rsidRPr="00A47D48">
        <w:rPr>
          <w:b/>
          <w:sz w:val="22"/>
          <w:szCs w:val="22"/>
        </w:rPr>
        <w:t>Observaciones de los organismos bilaterales/de ejecución</w:t>
      </w:r>
    </w:p>
    <w:p w14:paraId="49260DF2" w14:textId="757E92B9" w:rsidR="002E5FAA" w:rsidRPr="00A47D48" w:rsidRDefault="00B746DE" w:rsidP="00A44B05">
      <w:pPr>
        <w:pStyle w:val="Heading1"/>
        <w:numPr>
          <w:ilvl w:val="0"/>
          <w:numId w:val="41"/>
        </w:numPr>
        <w:ind w:left="0" w:firstLine="0"/>
      </w:pPr>
      <w:r w:rsidRPr="00A47D48">
        <w:t>Esta sección es muy importante. Los países deben enviar los formularios rellenados al correspondiente organismo bilateral o de ejecución responsable del proyecto de fortalecimiento institucional para garantizar la precisión de los datos; por ejemplo, haciendo una verificación cruzada de los datos de consumo y producción notificados en los formularios de datos de los PP comparándolos con los datos de consumo y producción notificados en las propuestas de proyecto o planes sectoriales en curso</w:t>
      </w:r>
      <w:r w:rsidR="002E5FAA" w:rsidRPr="00A47D48">
        <w:t>.</w:t>
      </w:r>
    </w:p>
    <w:p w14:paraId="53F1CFDC" w14:textId="77777777" w:rsidR="00E9676A" w:rsidRPr="00DF4BB7" w:rsidRDefault="00E9676A" w:rsidP="00493C77">
      <w:pPr>
        <w:spacing w:after="240" w:line="240" w:lineRule="auto"/>
        <w:rPr>
          <w:rFonts w:ascii="Times New Roman" w:hAnsi="Times New Roman" w:cs="Times New Roman"/>
        </w:rPr>
      </w:pPr>
      <w:r w:rsidRPr="00DF4BB7">
        <w:br w:type="page"/>
      </w:r>
    </w:p>
    <w:p w14:paraId="7EC007AE" w14:textId="5F36A8F6" w:rsidR="002E5FAA" w:rsidRPr="00DF4BB7" w:rsidRDefault="00E9676A" w:rsidP="00493C77">
      <w:pPr>
        <w:pStyle w:val="ListParagraph"/>
        <w:spacing w:after="240" w:line="240" w:lineRule="auto"/>
        <w:ind w:left="0"/>
        <w:contextualSpacing w:val="0"/>
        <w:jc w:val="center"/>
        <w:rPr>
          <w:rFonts w:ascii="Times New Roman" w:hAnsi="Times New Roman" w:cs="Times New Roman"/>
          <w:b/>
        </w:rPr>
      </w:pPr>
      <w:r w:rsidRPr="00DF4BB7">
        <w:rPr>
          <w:rFonts w:ascii="Times New Roman" w:hAnsi="Times New Roman"/>
          <w:b/>
        </w:rPr>
        <w:lastRenderedPageBreak/>
        <w:t>Apéndice I</w:t>
      </w:r>
    </w:p>
    <w:p w14:paraId="27F39978" w14:textId="68FE44D4" w:rsidR="00232FF7" w:rsidRPr="00DF4BB7" w:rsidRDefault="00232FF7" w:rsidP="00493C77">
      <w:pPr>
        <w:pStyle w:val="ListParagraph"/>
        <w:spacing w:after="240" w:line="240" w:lineRule="auto"/>
        <w:ind w:left="0"/>
        <w:contextualSpacing w:val="0"/>
        <w:jc w:val="center"/>
        <w:rPr>
          <w:rFonts w:ascii="Times New Roman" w:hAnsi="Times New Roman" w:cs="Times New Roman"/>
          <w:b/>
        </w:rPr>
      </w:pPr>
      <w:r w:rsidRPr="00DF4BB7">
        <w:rPr>
          <w:rFonts w:ascii="Times New Roman" w:hAnsi="Times New Roman"/>
          <w:b/>
        </w:rPr>
        <w:t>Composición de mezclas de sustancias controladas</w:t>
      </w:r>
      <w:r w:rsidR="0075749F" w:rsidRPr="00DF4BB7">
        <w:rPr>
          <w:rStyle w:val="FootnoteReference"/>
          <w:rFonts w:ascii="Times New Roman" w:hAnsi="Times New Roman" w:cs="Times New Roman"/>
          <w:b/>
        </w:rPr>
        <w:footnoteReference w:id="2"/>
      </w:r>
    </w:p>
    <w:tbl>
      <w:tblPr>
        <w:tblW w:w="11057" w:type="dxa"/>
        <w:tblInd w:w="-714" w:type="dxa"/>
        <w:tblLayout w:type="fixed"/>
        <w:tblLook w:val="04A0" w:firstRow="1" w:lastRow="0" w:firstColumn="1" w:lastColumn="0" w:noHBand="0" w:noVBand="1"/>
      </w:tblPr>
      <w:tblGrid>
        <w:gridCol w:w="1099"/>
        <w:gridCol w:w="1170"/>
        <w:gridCol w:w="709"/>
        <w:gridCol w:w="1166"/>
        <w:gridCol w:w="820"/>
        <w:gridCol w:w="965"/>
        <w:gridCol w:w="736"/>
        <w:gridCol w:w="960"/>
        <w:gridCol w:w="599"/>
        <w:gridCol w:w="960"/>
        <w:gridCol w:w="597"/>
        <w:gridCol w:w="706"/>
        <w:gridCol w:w="570"/>
      </w:tblGrid>
      <w:tr w:rsidR="00232FF7" w:rsidRPr="00DF4BB7" w14:paraId="0FA9E02F" w14:textId="77777777" w:rsidTr="006451A1">
        <w:trPr>
          <w:tblHead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362CA"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Mezclas</w:t>
            </w:r>
          </w:p>
        </w:tc>
        <w:tc>
          <w:tcPr>
            <w:tcW w:w="9958" w:type="dxa"/>
            <w:gridSpan w:val="12"/>
            <w:tcBorders>
              <w:top w:val="single" w:sz="4" w:space="0" w:color="auto"/>
              <w:left w:val="nil"/>
              <w:bottom w:val="single" w:sz="4" w:space="0" w:color="auto"/>
              <w:right w:val="single" w:sz="4" w:space="0" w:color="000000"/>
            </w:tcBorders>
            <w:shd w:val="clear" w:color="auto" w:fill="auto"/>
            <w:noWrap/>
            <w:tcMar>
              <w:left w:w="0" w:type="dxa"/>
              <w:right w:w="43" w:type="dxa"/>
            </w:tcMar>
            <w:vAlign w:val="center"/>
            <w:hideMark/>
          </w:tcPr>
          <w:p w14:paraId="6501C32F"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Composición</w:t>
            </w:r>
          </w:p>
        </w:tc>
      </w:tr>
      <w:tr w:rsidR="00232FF7" w:rsidRPr="00DF4BB7" w14:paraId="2B361F05" w14:textId="77777777" w:rsidTr="006451A1">
        <w:trPr>
          <w:tblHeader/>
        </w:trPr>
        <w:tc>
          <w:tcPr>
            <w:tcW w:w="1099" w:type="dxa"/>
            <w:vMerge/>
            <w:tcBorders>
              <w:top w:val="single" w:sz="4" w:space="0" w:color="auto"/>
              <w:left w:val="single" w:sz="4" w:space="0" w:color="auto"/>
              <w:bottom w:val="single" w:sz="4" w:space="0" w:color="000000"/>
              <w:right w:val="single" w:sz="4" w:space="0" w:color="auto"/>
            </w:tcBorders>
            <w:vAlign w:val="center"/>
            <w:hideMark/>
          </w:tcPr>
          <w:p w14:paraId="030A1317" w14:textId="77777777" w:rsidR="00232FF7" w:rsidRPr="00DF4BB7" w:rsidRDefault="00232FF7" w:rsidP="006451A1">
            <w:pPr>
              <w:spacing w:after="0" w:line="240" w:lineRule="auto"/>
              <w:rPr>
                <w:rFonts w:ascii="Times New Roman" w:eastAsia="Times New Roman" w:hAnsi="Times New Roman" w:cs="Times New Roman"/>
                <w:b/>
                <w:bCs/>
                <w:color w:val="000000"/>
                <w:sz w:val="16"/>
                <w:szCs w:val="16"/>
                <w:lang w:eastAsia="en-CA"/>
              </w:rPr>
            </w:pPr>
          </w:p>
        </w:tc>
        <w:tc>
          <w:tcPr>
            <w:tcW w:w="1879" w:type="dxa"/>
            <w:gridSpan w:val="2"/>
            <w:tcBorders>
              <w:top w:val="single" w:sz="4" w:space="0" w:color="auto"/>
              <w:left w:val="nil"/>
              <w:bottom w:val="single" w:sz="4" w:space="0" w:color="auto"/>
              <w:right w:val="single" w:sz="4" w:space="0" w:color="000000"/>
            </w:tcBorders>
            <w:shd w:val="clear" w:color="auto" w:fill="auto"/>
            <w:vAlign w:val="center"/>
            <w:hideMark/>
          </w:tcPr>
          <w:p w14:paraId="348B0CAF"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Componente 1</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14:paraId="55725950"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Componente 2</w:t>
            </w:r>
          </w:p>
        </w:tc>
        <w:tc>
          <w:tcPr>
            <w:tcW w:w="1701" w:type="dxa"/>
            <w:gridSpan w:val="2"/>
            <w:tcBorders>
              <w:top w:val="single" w:sz="4" w:space="0" w:color="auto"/>
              <w:left w:val="nil"/>
              <w:bottom w:val="single" w:sz="4" w:space="0" w:color="auto"/>
              <w:right w:val="single" w:sz="4" w:space="0" w:color="000000"/>
            </w:tcBorders>
            <w:shd w:val="clear" w:color="auto" w:fill="auto"/>
            <w:tcMar>
              <w:left w:w="0" w:type="dxa"/>
              <w:right w:w="43" w:type="dxa"/>
            </w:tcMar>
            <w:vAlign w:val="center"/>
            <w:hideMark/>
          </w:tcPr>
          <w:p w14:paraId="1ED92456"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Componente 3</w:t>
            </w:r>
          </w:p>
        </w:tc>
        <w:tc>
          <w:tcPr>
            <w:tcW w:w="1559" w:type="dxa"/>
            <w:gridSpan w:val="2"/>
            <w:tcBorders>
              <w:top w:val="single" w:sz="4" w:space="0" w:color="auto"/>
              <w:left w:val="nil"/>
              <w:bottom w:val="single" w:sz="4" w:space="0" w:color="auto"/>
              <w:right w:val="single" w:sz="4" w:space="0" w:color="000000"/>
            </w:tcBorders>
            <w:shd w:val="clear" w:color="auto" w:fill="auto"/>
            <w:tcMar>
              <w:right w:w="43" w:type="dxa"/>
            </w:tcMar>
            <w:vAlign w:val="center"/>
            <w:hideMark/>
          </w:tcPr>
          <w:p w14:paraId="0B53BBA8"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Componente 4</w:t>
            </w:r>
          </w:p>
        </w:tc>
        <w:tc>
          <w:tcPr>
            <w:tcW w:w="1557" w:type="dxa"/>
            <w:gridSpan w:val="2"/>
            <w:tcBorders>
              <w:top w:val="single" w:sz="4" w:space="0" w:color="auto"/>
              <w:left w:val="nil"/>
              <w:bottom w:val="single" w:sz="4" w:space="0" w:color="auto"/>
              <w:right w:val="single" w:sz="4" w:space="0" w:color="000000"/>
            </w:tcBorders>
            <w:shd w:val="clear" w:color="auto" w:fill="auto"/>
            <w:vAlign w:val="center"/>
            <w:hideMark/>
          </w:tcPr>
          <w:p w14:paraId="2652C94A"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Componente 5</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5100EAA2" w14:textId="77777777" w:rsidR="00232FF7" w:rsidRPr="00DF4BB7" w:rsidRDefault="00232FF7" w:rsidP="006451A1">
            <w:pPr>
              <w:spacing w:after="0" w:line="240" w:lineRule="auto"/>
              <w:jc w:val="center"/>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Componente 6</w:t>
            </w:r>
          </w:p>
        </w:tc>
      </w:tr>
      <w:tr w:rsidR="00232FF7" w:rsidRPr="00DF4BB7" w14:paraId="76873233" w14:textId="77777777" w:rsidTr="006451A1">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650D84F" w14:textId="77777777" w:rsidR="00232FF7" w:rsidRPr="00DF4BB7" w:rsidRDefault="00232FF7" w:rsidP="006451A1">
            <w:pPr>
              <w:spacing w:after="0" w:line="240" w:lineRule="auto"/>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 xml:space="preserve">Mezclas </w:t>
            </w:r>
            <w:proofErr w:type="spellStart"/>
            <w:r w:rsidRPr="00DF4BB7">
              <w:rPr>
                <w:rFonts w:ascii="Times New Roman" w:hAnsi="Times New Roman"/>
                <w:b/>
                <w:bCs/>
                <w:color w:val="000000"/>
                <w:sz w:val="16"/>
                <w:szCs w:val="16"/>
              </w:rPr>
              <w:t>zeotrópicas</w:t>
            </w:r>
            <w:proofErr w:type="spellEnd"/>
          </w:p>
        </w:tc>
      </w:tr>
      <w:tr w:rsidR="00232FF7" w:rsidRPr="00DF4BB7" w14:paraId="75BEB7F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B9DD7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R-401A</w:t>
            </w:r>
          </w:p>
        </w:tc>
        <w:tc>
          <w:tcPr>
            <w:tcW w:w="1170" w:type="dxa"/>
            <w:tcBorders>
              <w:top w:val="nil"/>
              <w:left w:val="nil"/>
              <w:bottom w:val="single" w:sz="4" w:space="0" w:color="auto"/>
              <w:right w:val="nil"/>
            </w:tcBorders>
            <w:shd w:val="clear" w:color="auto" w:fill="auto"/>
            <w:vAlign w:val="center"/>
            <w:hideMark/>
          </w:tcPr>
          <w:p w14:paraId="31529F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B2205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34%</w:t>
            </w:r>
          </w:p>
        </w:tc>
        <w:tc>
          <w:tcPr>
            <w:tcW w:w="1166" w:type="dxa"/>
            <w:tcBorders>
              <w:top w:val="nil"/>
              <w:left w:val="nil"/>
              <w:bottom w:val="single" w:sz="4" w:space="0" w:color="auto"/>
              <w:right w:val="single" w:sz="4" w:space="0" w:color="auto"/>
            </w:tcBorders>
            <w:shd w:val="clear" w:color="auto" w:fill="auto"/>
            <w:vAlign w:val="center"/>
            <w:hideMark/>
          </w:tcPr>
          <w:p w14:paraId="518EDDD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70E1DBE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53%</w:t>
            </w:r>
          </w:p>
        </w:tc>
        <w:tc>
          <w:tcPr>
            <w:tcW w:w="965" w:type="dxa"/>
            <w:tcBorders>
              <w:top w:val="nil"/>
              <w:left w:val="nil"/>
              <w:bottom w:val="single" w:sz="4" w:space="0" w:color="auto"/>
              <w:right w:val="single" w:sz="4" w:space="0" w:color="auto"/>
            </w:tcBorders>
            <w:shd w:val="clear" w:color="auto" w:fill="auto"/>
            <w:vAlign w:val="center"/>
            <w:hideMark/>
          </w:tcPr>
          <w:p w14:paraId="23BDC90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2D57CC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14:paraId="13211F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530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A06F9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8942B1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74514D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03CC0D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B12532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0A38F7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R-401B</w:t>
            </w:r>
          </w:p>
        </w:tc>
        <w:tc>
          <w:tcPr>
            <w:tcW w:w="1170" w:type="dxa"/>
            <w:tcBorders>
              <w:top w:val="nil"/>
              <w:left w:val="nil"/>
              <w:bottom w:val="single" w:sz="4" w:space="0" w:color="auto"/>
              <w:right w:val="nil"/>
            </w:tcBorders>
            <w:shd w:val="clear" w:color="auto" w:fill="auto"/>
            <w:vAlign w:val="center"/>
            <w:hideMark/>
          </w:tcPr>
          <w:p w14:paraId="0DC385E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F48ED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28%</w:t>
            </w:r>
          </w:p>
        </w:tc>
        <w:tc>
          <w:tcPr>
            <w:tcW w:w="1166" w:type="dxa"/>
            <w:tcBorders>
              <w:top w:val="nil"/>
              <w:left w:val="nil"/>
              <w:bottom w:val="single" w:sz="4" w:space="0" w:color="auto"/>
              <w:right w:val="single" w:sz="4" w:space="0" w:color="auto"/>
            </w:tcBorders>
            <w:shd w:val="clear" w:color="auto" w:fill="auto"/>
            <w:vAlign w:val="center"/>
            <w:hideMark/>
          </w:tcPr>
          <w:p w14:paraId="611890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065DA9B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61%</w:t>
            </w:r>
          </w:p>
        </w:tc>
        <w:tc>
          <w:tcPr>
            <w:tcW w:w="965" w:type="dxa"/>
            <w:tcBorders>
              <w:top w:val="nil"/>
              <w:left w:val="nil"/>
              <w:bottom w:val="single" w:sz="4" w:space="0" w:color="auto"/>
              <w:right w:val="single" w:sz="4" w:space="0" w:color="auto"/>
            </w:tcBorders>
            <w:shd w:val="clear" w:color="auto" w:fill="auto"/>
            <w:vAlign w:val="center"/>
            <w:hideMark/>
          </w:tcPr>
          <w:p w14:paraId="52448A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A87F2D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3C7C41E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5FA0BC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4A35D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A50D4B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9FD1FE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EBE06A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AD914B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90C6C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R-401C</w:t>
            </w:r>
          </w:p>
        </w:tc>
        <w:tc>
          <w:tcPr>
            <w:tcW w:w="1170" w:type="dxa"/>
            <w:tcBorders>
              <w:top w:val="nil"/>
              <w:left w:val="nil"/>
              <w:bottom w:val="single" w:sz="4" w:space="0" w:color="auto"/>
              <w:right w:val="nil"/>
            </w:tcBorders>
            <w:shd w:val="clear" w:color="auto" w:fill="auto"/>
            <w:vAlign w:val="center"/>
            <w:hideMark/>
          </w:tcPr>
          <w:p w14:paraId="5CA8CEC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3120DD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52%</w:t>
            </w:r>
          </w:p>
        </w:tc>
        <w:tc>
          <w:tcPr>
            <w:tcW w:w="1166" w:type="dxa"/>
            <w:tcBorders>
              <w:top w:val="nil"/>
              <w:left w:val="nil"/>
              <w:bottom w:val="single" w:sz="4" w:space="0" w:color="auto"/>
              <w:right w:val="single" w:sz="4" w:space="0" w:color="auto"/>
            </w:tcBorders>
            <w:shd w:val="clear" w:color="auto" w:fill="auto"/>
            <w:vAlign w:val="center"/>
            <w:hideMark/>
          </w:tcPr>
          <w:p w14:paraId="76AB12D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1BFE41A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33%</w:t>
            </w:r>
          </w:p>
        </w:tc>
        <w:tc>
          <w:tcPr>
            <w:tcW w:w="965" w:type="dxa"/>
            <w:tcBorders>
              <w:top w:val="nil"/>
              <w:left w:val="nil"/>
              <w:bottom w:val="single" w:sz="4" w:space="0" w:color="auto"/>
              <w:right w:val="single" w:sz="4" w:space="0" w:color="auto"/>
            </w:tcBorders>
            <w:shd w:val="clear" w:color="auto" w:fill="auto"/>
            <w:vAlign w:val="center"/>
            <w:hideMark/>
          </w:tcPr>
          <w:p w14:paraId="0429A09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01F96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02C8A6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B2DE0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6FCCC8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B3F059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BC5AA9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92E936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5E2DC9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4FC32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R-402A</w:t>
            </w:r>
          </w:p>
        </w:tc>
        <w:tc>
          <w:tcPr>
            <w:tcW w:w="1170" w:type="dxa"/>
            <w:tcBorders>
              <w:top w:val="nil"/>
              <w:left w:val="nil"/>
              <w:bottom w:val="single" w:sz="4" w:space="0" w:color="auto"/>
              <w:right w:val="nil"/>
            </w:tcBorders>
            <w:shd w:val="clear" w:color="auto" w:fill="auto"/>
            <w:vAlign w:val="center"/>
            <w:hideMark/>
          </w:tcPr>
          <w:p w14:paraId="6A1BF5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DACD7F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w:t>
            </w:r>
          </w:p>
        </w:tc>
        <w:tc>
          <w:tcPr>
            <w:tcW w:w="1166" w:type="dxa"/>
            <w:tcBorders>
              <w:top w:val="nil"/>
              <w:left w:val="nil"/>
              <w:bottom w:val="single" w:sz="4" w:space="0" w:color="auto"/>
              <w:right w:val="single" w:sz="4" w:space="0" w:color="auto"/>
            </w:tcBorders>
            <w:shd w:val="clear" w:color="auto" w:fill="auto"/>
            <w:vAlign w:val="center"/>
            <w:hideMark/>
          </w:tcPr>
          <w:p w14:paraId="7AE5408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47EA085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38%</w:t>
            </w:r>
          </w:p>
        </w:tc>
        <w:tc>
          <w:tcPr>
            <w:tcW w:w="965" w:type="dxa"/>
            <w:tcBorders>
              <w:top w:val="nil"/>
              <w:left w:val="nil"/>
              <w:bottom w:val="single" w:sz="4" w:space="0" w:color="auto"/>
              <w:right w:val="single" w:sz="4" w:space="0" w:color="auto"/>
            </w:tcBorders>
            <w:shd w:val="clear" w:color="auto" w:fill="auto"/>
            <w:vAlign w:val="center"/>
            <w:hideMark/>
          </w:tcPr>
          <w:p w14:paraId="784E9E2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7743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4DD19D9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96CA2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CD6D58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8CB347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6A9E7C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F2D3F5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458BD7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B3588B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R-402B</w:t>
            </w:r>
          </w:p>
        </w:tc>
        <w:tc>
          <w:tcPr>
            <w:tcW w:w="1170" w:type="dxa"/>
            <w:tcBorders>
              <w:top w:val="nil"/>
              <w:left w:val="nil"/>
              <w:bottom w:val="single" w:sz="4" w:space="0" w:color="auto"/>
              <w:right w:val="nil"/>
            </w:tcBorders>
            <w:shd w:val="clear" w:color="auto" w:fill="auto"/>
            <w:vAlign w:val="center"/>
            <w:hideMark/>
          </w:tcPr>
          <w:p w14:paraId="5FCA91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162F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w:t>
            </w:r>
          </w:p>
        </w:tc>
        <w:tc>
          <w:tcPr>
            <w:tcW w:w="1166" w:type="dxa"/>
            <w:tcBorders>
              <w:top w:val="nil"/>
              <w:left w:val="nil"/>
              <w:bottom w:val="single" w:sz="4" w:space="0" w:color="auto"/>
              <w:right w:val="single" w:sz="4" w:space="0" w:color="auto"/>
            </w:tcBorders>
            <w:shd w:val="clear" w:color="auto" w:fill="auto"/>
            <w:vAlign w:val="center"/>
            <w:hideMark/>
          </w:tcPr>
          <w:p w14:paraId="5C7F892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23BCB5B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60%</w:t>
            </w:r>
          </w:p>
        </w:tc>
        <w:tc>
          <w:tcPr>
            <w:tcW w:w="965" w:type="dxa"/>
            <w:tcBorders>
              <w:top w:val="nil"/>
              <w:left w:val="nil"/>
              <w:bottom w:val="single" w:sz="4" w:space="0" w:color="auto"/>
              <w:right w:val="single" w:sz="4" w:space="0" w:color="auto"/>
            </w:tcBorders>
            <w:shd w:val="clear" w:color="auto" w:fill="auto"/>
            <w:vAlign w:val="center"/>
            <w:hideMark/>
          </w:tcPr>
          <w:p w14:paraId="1993271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E498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14:paraId="7F67D3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D29C15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5EA4F5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8F198D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7803AD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D5EAE7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D366ED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B693F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R-403A</w:t>
            </w:r>
          </w:p>
        </w:tc>
        <w:tc>
          <w:tcPr>
            <w:tcW w:w="1170" w:type="dxa"/>
            <w:tcBorders>
              <w:top w:val="nil"/>
              <w:left w:val="nil"/>
              <w:bottom w:val="single" w:sz="4" w:space="0" w:color="auto"/>
              <w:right w:val="nil"/>
            </w:tcBorders>
            <w:shd w:val="clear" w:color="auto" w:fill="auto"/>
            <w:vAlign w:val="center"/>
            <w:hideMark/>
          </w:tcPr>
          <w:p w14:paraId="7FBE463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998E8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1166" w:type="dxa"/>
            <w:tcBorders>
              <w:top w:val="nil"/>
              <w:left w:val="nil"/>
              <w:bottom w:val="single" w:sz="4" w:space="0" w:color="auto"/>
              <w:right w:val="single" w:sz="4" w:space="0" w:color="auto"/>
            </w:tcBorders>
            <w:shd w:val="clear" w:color="auto" w:fill="auto"/>
            <w:vAlign w:val="center"/>
            <w:hideMark/>
          </w:tcPr>
          <w:p w14:paraId="3AFE320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44D3087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75%</w:t>
            </w:r>
          </w:p>
        </w:tc>
        <w:tc>
          <w:tcPr>
            <w:tcW w:w="965" w:type="dxa"/>
            <w:tcBorders>
              <w:top w:val="nil"/>
              <w:left w:val="nil"/>
              <w:bottom w:val="single" w:sz="4" w:space="0" w:color="auto"/>
              <w:right w:val="single" w:sz="4" w:space="0" w:color="auto"/>
            </w:tcBorders>
            <w:shd w:val="clear" w:color="auto" w:fill="auto"/>
            <w:vAlign w:val="center"/>
            <w:hideMark/>
          </w:tcPr>
          <w:p w14:paraId="6EF8C51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AD4FC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0BDB6CE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BEC9B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F146EF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DF1814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4FA27B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BD248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0DECCF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C460BB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R-403B</w:t>
            </w:r>
          </w:p>
        </w:tc>
        <w:tc>
          <w:tcPr>
            <w:tcW w:w="1170" w:type="dxa"/>
            <w:tcBorders>
              <w:top w:val="nil"/>
              <w:left w:val="nil"/>
              <w:bottom w:val="single" w:sz="4" w:space="0" w:color="auto"/>
              <w:right w:val="nil"/>
            </w:tcBorders>
            <w:shd w:val="clear" w:color="auto" w:fill="auto"/>
            <w:vAlign w:val="center"/>
            <w:hideMark/>
          </w:tcPr>
          <w:p w14:paraId="363D13E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03127E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1166" w:type="dxa"/>
            <w:tcBorders>
              <w:top w:val="nil"/>
              <w:left w:val="nil"/>
              <w:bottom w:val="single" w:sz="4" w:space="0" w:color="auto"/>
              <w:right w:val="single" w:sz="4" w:space="0" w:color="auto"/>
            </w:tcBorders>
            <w:shd w:val="clear" w:color="auto" w:fill="auto"/>
            <w:vAlign w:val="center"/>
            <w:hideMark/>
          </w:tcPr>
          <w:p w14:paraId="58D4E8D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7AF4653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56%</w:t>
            </w:r>
          </w:p>
        </w:tc>
        <w:tc>
          <w:tcPr>
            <w:tcW w:w="965" w:type="dxa"/>
            <w:tcBorders>
              <w:top w:val="nil"/>
              <w:left w:val="nil"/>
              <w:bottom w:val="single" w:sz="4" w:space="0" w:color="auto"/>
              <w:right w:val="single" w:sz="4" w:space="0" w:color="auto"/>
            </w:tcBorders>
            <w:shd w:val="clear" w:color="auto" w:fill="auto"/>
            <w:vAlign w:val="center"/>
            <w:hideMark/>
          </w:tcPr>
          <w:p w14:paraId="0CDC50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B1AE6F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14:paraId="521BD71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17784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C6E1D5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768CC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A6EBDC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5747CA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1A92C6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E69DF5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R-404A</w:t>
            </w:r>
          </w:p>
        </w:tc>
        <w:tc>
          <w:tcPr>
            <w:tcW w:w="1170" w:type="dxa"/>
            <w:tcBorders>
              <w:top w:val="nil"/>
              <w:left w:val="nil"/>
              <w:bottom w:val="single" w:sz="4" w:space="0" w:color="auto"/>
              <w:right w:val="nil"/>
            </w:tcBorders>
            <w:shd w:val="clear" w:color="auto" w:fill="auto"/>
            <w:vAlign w:val="center"/>
            <w:hideMark/>
          </w:tcPr>
          <w:p w14:paraId="6EAA14F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F384C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44%</w:t>
            </w:r>
          </w:p>
        </w:tc>
        <w:tc>
          <w:tcPr>
            <w:tcW w:w="1166" w:type="dxa"/>
            <w:tcBorders>
              <w:top w:val="nil"/>
              <w:left w:val="nil"/>
              <w:bottom w:val="single" w:sz="4" w:space="0" w:color="auto"/>
              <w:right w:val="single" w:sz="4" w:space="0" w:color="auto"/>
            </w:tcBorders>
            <w:shd w:val="clear" w:color="auto" w:fill="auto"/>
            <w:vAlign w:val="center"/>
            <w:hideMark/>
          </w:tcPr>
          <w:p w14:paraId="523984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039F399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965" w:type="dxa"/>
            <w:tcBorders>
              <w:top w:val="nil"/>
              <w:left w:val="nil"/>
              <w:bottom w:val="single" w:sz="4" w:space="0" w:color="auto"/>
              <w:right w:val="single" w:sz="4" w:space="0" w:color="auto"/>
            </w:tcBorders>
            <w:shd w:val="clear" w:color="auto" w:fill="auto"/>
            <w:vAlign w:val="center"/>
            <w:hideMark/>
          </w:tcPr>
          <w:p w14:paraId="0E7229C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CBAA1A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14:paraId="2ED820A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69FEE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16512B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D8C3A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7ACD43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C55C66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40316A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218E36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R-405A</w:t>
            </w:r>
          </w:p>
        </w:tc>
        <w:tc>
          <w:tcPr>
            <w:tcW w:w="1170" w:type="dxa"/>
            <w:tcBorders>
              <w:top w:val="nil"/>
              <w:left w:val="nil"/>
              <w:bottom w:val="single" w:sz="4" w:space="0" w:color="auto"/>
              <w:right w:val="nil"/>
            </w:tcBorders>
            <w:shd w:val="clear" w:color="auto" w:fill="auto"/>
            <w:vAlign w:val="center"/>
            <w:hideMark/>
          </w:tcPr>
          <w:p w14:paraId="6FD8AF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D3727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w:t>
            </w:r>
          </w:p>
        </w:tc>
        <w:tc>
          <w:tcPr>
            <w:tcW w:w="1166" w:type="dxa"/>
            <w:tcBorders>
              <w:top w:val="nil"/>
              <w:left w:val="nil"/>
              <w:bottom w:val="single" w:sz="4" w:space="0" w:color="auto"/>
              <w:right w:val="single" w:sz="4" w:space="0" w:color="auto"/>
            </w:tcBorders>
            <w:shd w:val="clear" w:color="auto" w:fill="auto"/>
            <w:vAlign w:val="center"/>
            <w:hideMark/>
          </w:tcPr>
          <w:p w14:paraId="58DBFD2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0A8B8F8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45%</w:t>
            </w:r>
          </w:p>
        </w:tc>
        <w:tc>
          <w:tcPr>
            <w:tcW w:w="965" w:type="dxa"/>
            <w:tcBorders>
              <w:top w:val="nil"/>
              <w:left w:val="nil"/>
              <w:bottom w:val="single" w:sz="4" w:space="0" w:color="auto"/>
              <w:right w:val="single" w:sz="4" w:space="0" w:color="auto"/>
            </w:tcBorders>
            <w:shd w:val="clear" w:color="auto" w:fill="auto"/>
            <w:vAlign w:val="center"/>
            <w:hideMark/>
          </w:tcPr>
          <w:p w14:paraId="270EA13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74A722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7E0AE39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PFC-C318</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2CAF1F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14:paraId="3EB0D1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0533D9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46DFA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A2D397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F78A88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587C42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R-406A</w:t>
            </w:r>
          </w:p>
        </w:tc>
        <w:tc>
          <w:tcPr>
            <w:tcW w:w="1170" w:type="dxa"/>
            <w:tcBorders>
              <w:top w:val="nil"/>
              <w:left w:val="nil"/>
              <w:bottom w:val="single" w:sz="4" w:space="0" w:color="auto"/>
              <w:right w:val="nil"/>
            </w:tcBorders>
            <w:shd w:val="clear" w:color="auto" w:fill="auto"/>
            <w:vAlign w:val="center"/>
            <w:hideMark/>
          </w:tcPr>
          <w:p w14:paraId="747DDA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28A71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1166" w:type="dxa"/>
            <w:tcBorders>
              <w:top w:val="nil"/>
              <w:left w:val="nil"/>
              <w:bottom w:val="single" w:sz="4" w:space="0" w:color="auto"/>
              <w:right w:val="single" w:sz="4" w:space="0" w:color="auto"/>
            </w:tcBorders>
            <w:shd w:val="clear" w:color="auto" w:fill="auto"/>
            <w:vAlign w:val="center"/>
            <w:hideMark/>
          </w:tcPr>
          <w:p w14:paraId="019E67F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820" w:type="dxa"/>
            <w:tcBorders>
              <w:top w:val="nil"/>
              <w:left w:val="nil"/>
              <w:bottom w:val="single" w:sz="4" w:space="0" w:color="auto"/>
              <w:right w:val="single" w:sz="4" w:space="0" w:color="auto"/>
            </w:tcBorders>
            <w:shd w:val="clear" w:color="auto" w:fill="auto"/>
            <w:vAlign w:val="center"/>
            <w:hideMark/>
          </w:tcPr>
          <w:p w14:paraId="3506021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41%</w:t>
            </w:r>
          </w:p>
        </w:tc>
        <w:tc>
          <w:tcPr>
            <w:tcW w:w="965" w:type="dxa"/>
            <w:tcBorders>
              <w:top w:val="nil"/>
              <w:left w:val="nil"/>
              <w:bottom w:val="single" w:sz="4" w:space="0" w:color="auto"/>
              <w:right w:val="single" w:sz="4" w:space="0" w:color="auto"/>
            </w:tcBorders>
            <w:shd w:val="clear" w:color="auto" w:fill="auto"/>
            <w:vAlign w:val="center"/>
            <w:hideMark/>
          </w:tcPr>
          <w:p w14:paraId="428BAE2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A6276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14:paraId="1841EF1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7EDF7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24F86F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FFA589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224CFE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947B85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5890E7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E5D3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R-407A</w:t>
            </w:r>
          </w:p>
        </w:tc>
        <w:tc>
          <w:tcPr>
            <w:tcW w:w="1170" w:type="dxa"/>
            <w:tcBorders>
              <w:top w:val="nil"/>
              <w:left w:val="nil"/>
              <w:bottom w:val="single" w:sz="4" w:space="0" w:color="auto"/>
              <w:right w:val="nil"/>
            </w:tcBorders>
            <w:shd w:val="clear" w:color="auto" w:fill="auto"/>
            <w:vAlign w:val="center"/>
            <w:hideMark/>
          </w:tcPr>
          <w:p w14:paraId="05FF19B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68B32D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40%</w:t>
            </w:r>
          </w:p>
        </w:tc>
        <w:tc>
          <w:tcPr>
            <w:tcW w:w="1166" w:type="dxa"/>
            <w:tcBorders>
              <w:top w:val="nil"/>
              <w:left w:val="nil"/>
              <w:bottom w:val="single" w:sz="4" w:space="0" w:color="auto"/>
              <w:right w:val="single" w:sz="4" w:space="0" w:color="auto"/>
            </w:tcBorders>
            <w:shd w:val="clear" w:color="auto" w:fill="auto"/>
            <w:vAlign w:val="center"/>
            <w:hideMark/>
          </w:tcPr>
          <w:p w14:paraId="4529368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591D67C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40%</w:t>
            </w:r>
          </w:p>
        </w:tc>
        <w:tc>
          <w:tcPr>
            <w:tcW w:w="965" w:type="dxa"/>
            <w:tcBorders>
              <w:top w:val="nil"/>
              <w:left w:val="nil"/>
              <w:bottom w:val="single" w:sz="4" w:space="0" w:color="auto"/>
              <w:right w:val="single" w:sz="4" w:space="0" w:color="auto"/>
            </w:tcBorders>
            <w:shd w:val="clear" w:color="auto" w:fill="auto"/>
            <w:vAlign w:val="center"/>
            <w:hideMark/>
          </w:tcPr>
          <w:p w14:paraId="58241B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3A63D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67165ED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414F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49867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5CFD95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1D1636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8DF31D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6E1B77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5FD4F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R-407B</w:t>
            </w:r>
          </w:p>
        </w:tc>
        <w:tc>
          <w:tcPr>
            <w:tcW w:w="1170" w:type="dxa"/>
            <w:tcBorders>
              <w:top w:val="nil"/>
              <w:left w:val="nil"/>
              <w:bottom w:val="single" w:sz="4" w:space="0" w:color="auto"/>
              <w:right w:val="nil"/>
            </w:tcBorders>
            <w:shd w:val="clear" w:color="auto" w:fill="auto"/>
            <w:vAlign w:val="center"/>
            <w:hideMark/>
          </w:tcPr>
          <w:p w14:paraId="41E6E5F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10CBB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70%</w:t>
            </w:r>
          </w:p>
        </w:tc>
        <w:tc>
          <w:tcPr>
            <w:tcW w:w="1166" w:type="dxa"/>
            <w:tcBorders>
              <w:top w:val="nil"/>
              <w:left w:val="nil"/>
              <w:bottom w:val="single" w:sz="4" w:space="0" w:color="auto"/>
              <w:right w:val="single" w:sz="4" w:space="0" w:color="auto"/>
            </w:tcBorders>
            <w:shd w:val="clear" w:color="auto" w:fill="auto"/>
            <w:vAlign w:val="center"/>
            <w:hideMark/>
          </w:tcPr>
          <w:p w14:paraId="6964BC1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588FD10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5" w:type="dxa"/>
            <w:tcBorders>
              <w:top w:val="nil"/>
              <w:left w:val="nil"/>
              <w:bottom w:val="single" w:sz="4" w:space="0" w:color="auto"/>
              <w:right w:val="single" w:sz="4" w:space="0" w:color="auto"/>
            </w:tcBorders>
            <w:shd w:val="clear" w:color="auto" w:fill="auto"/>
            <w:vAlign w:val="center"/>
            <w:hideMark/>
          </w:tcPr>
          <w:p w14:paraId="20531F9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EF84C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12C489A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8E08AB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936E5F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A216A9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7F02A9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43F991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8A15E4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491A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R-407C</w:t>
            </w:r>
          </w:p>
        </w:tc>
        <w:tc>
          <w:tcPr>
            <w:tcW w:w="1170" w:type="dxa"/>
            <w:tcBorders>
              <w:top w:val="nil"/>
              <w:left w:val="nil"/>
              <w:bottom w:val="single" w:sz="4" w:space="0" w:color="auto"/>
              <w:right w:val="nil"/>
            </w:tcBorders>
            <w:shd w:val="clear" w:color="auto" w:fill="auto"/>
            <w:vAlign w:val="center"/>
            <w:hideMark/>
          </w:tcPr>
          <w:p w14:paraId="6B9C466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46B57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64AD59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95CA0B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52%</w:t>
            </w:r>
          </w:p>
        </w:tc>
        <w:tc>
          <w:tcPr>
            <w:tcW w:w="965" w:type="dxa"/>
            <w:tcBorders>
              <w:top w:val="nil"/>
              <w:left w:val="nil"/>
              <w:bottom w:val="single" w:sz="4" w:space="0" w:color="auto"/>
              <w:right w:val="single" w:sz="4" w:space="0" w:color="auto"/>
            </w:tcBorders>
            <w:shd w:val="clear" w:color="auto" w:fill="auto"/>
            <w:vAlign w:val="center"/>
            <w:hideMark/>
          </w:tcPr>
          <w:p w14:paraId="218E5FE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00F49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23%</w:t>
            </w:r>
          </w:p>
        </w:tc>
        <w:tc>
          <w:tcPr>
            <w:tcW w:w="960" w:type="dxa"/>
            <w:tcBorders>
              <w:top w:val="nil"/>
              <w:left w:val="nil"/>
              <w:bottom w:val="single" w:sz="4" w:space="0" w:color="auto"/>
              <w:right w:val="single" w:sz="4" w:space="0" w:color="auto"/>
            </w:tcBorders>
            <w:shd w:val="clear" w:color="auto" w:fill="auto"/>
            <w:vAlign w:val="center"/>
            <w:hideMark/>
          </w:tcPr>
          <w:p w14:paraId="35B3DAA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FD859D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9FB5BC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AFCD6D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0CB692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68EA0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5559C6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1AB09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R-407D</w:t>
            </w:r>
          </w:p>
        </w:tc>
        <w:tc>
          <w:tcPr>
            <w:tcW w:w="1170" w:type="dxa"/>
            <w:tcBorders>
              <w:top w:val="nil"/>
              <w:left w:val="nil"/>
              <w:bottom w:val="single" w:sz="4" w:space="0" w:color="auto"/>
              <w:right w:val="nil"/>
            </w:tcBorders>
            <w:shd w:val="clear" w:color="auto" w:fill="auto"/>
            <w:vAlign w:val="center"/>
            <w:hideMark/>
          </w:tcPr>
          <w:p w14:paraId="49AADED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34A7B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1166" w:type="dxa"/>
            <w:tcBorders>
              <w:top w:val="nil"/>
              <w:left w:val="nil"/>
              <w:bottom w:val="single" w:sz="4" w:space="0" w:color="auto"/>
              <w:right w:val="single" w:sz="4" w:space="0" w:color="auto"/>
            </w:tcBorders>
            <w:shd w:val="clear" w:color="auto" w:fill="auto"/>
            <w:vAlign w:val="center"/>
            <w:hideMark/>
          </w:tcPr>
          <w:p w14:paraId="6E12F2B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7F7460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70%</w:t>
            </w:r>
          </w:p>
        </w:tc>
        <w:tc>
          <w:tcPr>
            <w:tcW w:w="965" w:type="dxa"/>
            <w:tcBorders>
              <w:top w:val="nil"/>
              <w:left w:val="nil"/>
              <w:bottom w:val="single" w:sz="4" w:space="0" w:color="auto"/>
              <w:right w:val="single" w:sz="4" w:space="0" w:color="auto"/>
            </w:tcBorders>
            <w:shd w:val="clear" w:color="auto" w:fill="auto"/>
            <w:vAlign w:val="center"/>
            <w:hideMark/>
          </w:tcPr>
          <w:p w14:paraId="14456C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56D5E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0C59B6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8BCDD5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08453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F865F9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10D874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F0CB3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C9F2DF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05D3FB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R-407E</w:t>
            </w:r>
          </w:p>
        </w:tc>
        <w:tc>
          <w:tcPr>
            <w:tcW w:w="1170" w:type="dxa"/>
            <w:tcBorders>
              <w:top w:val="nil"/>
              <w:left w:val="nil"/>
              <w:bottom w:val="single" w:sz="4" w:space="0" w:color="auto"/>
              <w:right w:val="nil"/>
            </w:tcBorders>
            <w:shd w:val="clear" w:color="auto" w:fill="auto"/>
            <w:vAlign w:val="center"/>
            <w:hideMark/>
          </w:tcPr>
          <w:p w14:paraId="3461D0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759A9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1166" w:type="dxa"/>
            <w:tcBorders>
              <w:top w:val="nil"/>
              <w:left w:val="nil"/>
              <w:bottom w:val="single" w:sz="4" w:space="0" w:color="auto"/>
              <w:right w:val="single" w:sz="4" w:space="0" w:color="auto"/>
            </w:tcBorders>
            <w:shd w:val="clear" w:color="auto" w:fill="auto"/>
            <w:vAlign w:val="center"/>
            <w:hideMark/>
          </w:tcPr>
          <w:p w14:paraId="65B97A9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17A0A88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60%</w:t>
            </w:r>
          </w:p>
        </w:tc>
        <w:tc>
          <w:tcPr>
            <w:tcW w:w="965" w:type="dxa"/>
            <w:tcBorders>
              <w:top w:val="nil"/>
              <w:left w:val="nil"/>
              <w:bottom w:val="single" w:sz="4" w:space="0" w:color="auto"/>
              <w:right w:val="single" w:sz="4" w:space="0" w:color="auto"/>
            </w:tcBorders>
            <w:shd w:val="clear" w:color="auto" w:fill="auto"/>
            <w:vAlign w:val="center"/>
            <w:hideMark/>
          </w:tcPr>
          <w:p w14:paraId="096D38C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E28E57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41F6F92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AC0B2C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D97F1F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92B1B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5B8A42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77E200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0011EA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1B347E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R-407F</w:t>
            </w:r>
          </w:p>
        </w:tc>
        <w:tc>
          <w:tcPr>
            <w:tcW w:w="1170" w:type="dxa"/>
            <w:tcBorders>
              <w:top w:val="nil"/>
              <w:left w:val="nil"/>
              <w:bottom w:val="single" w:sz="4" w:space="0" w:color="auto"/>
              <w:right w:val="nil"/>
            </w:tcBorders>
            <w:shd w:val="clear" w:color="auto" w:fill="auto"/>
            <w:vAlign w:val="center"/>
            <w:hideMark/>
          </w:tcPr>
          <w:p w14:paraId="55D952F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517BF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30%</w:t>
            </w:r>
          </w:p>
        </w:tc>
        <w:tc>
          <w:tcPr>
            <w:tcW w:w="1166" w:type="dxa"/>
            <w:tcBorders>
              <w:top w:val="nil"/>
              <w:left w:val="nil"/>
              <w:bottom w:val="single" w:sz="4" w:space="0" w:color="auto"/>
              <w:right w:val="single" w:sz="4" w:space="0" w:color="auto"/>
            </w:tcBorders>
            <w:shd w:val="clear" w:color="auto" w:fill="auto"/>
            <w:vAlign w:val="center"/>
            <w:hideMark/>
          </w:tcPr>
          <w:p w14:paraId="0A0EA61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F0608D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40%</w:t>
            </w:r>
          </w:p>
        </w:tc>
        <w:tc>
          <w:tcPr>
            <w:tcW w:w="965" w:type="dxa"/>
            <w:tcBorders>
              <w:top w:val="nil"/>
              <w:left w:val="nil"/>
              <w:bottom w:val="single" w:sz="4" w:space="0" w:color="auto"/>
              <w:right w:val="single" w:sz="4" w:space="0" w:color="auto"/>
            </w:tcBorders>
            <w:shd w:val="clear" w:color="auto" w:fill="auto"/>
            <w:vAlign w:val="center"/>
            <w:hideMark/>
          </w:tcPr>
          <w:p w14:paraId="558DBC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8E146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1AB144F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DAF0B7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F5707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8BC3A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81258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2D9FE6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B916C9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014B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R-407G</w:t>
            </w:r>
          </w:p>
        </w:tc>
        <w:tc>
          <w:tcPr>
            <w:tcW w:w="1170" w:type="dxa"/>
            <w:tcBorders>
              <w:top w:val="nil"/>
              <w:left w:val="nil"/>
              <w:bottom w:val="single" w:sz="4" w:space="0" w:color="auto"/>
              <w:right w:val="nil"/>
            </w:tcBorders>
            <w:shd w:val="clear" w:color="auto" w:fill="auto"/>
            <w:vAlign w:val="center"/>
            <w:hideMark/>
          </w:tcPr>
          <w:p w14:paraId="4AA810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C7BB72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2,50%</w:t>
            </w:r>
          </w:p>
        </w:tc>
        <w:tc>
          <w:tcPr>
            <w:tcW w:w="1166" w:type="dxa"/>
            <w:tcBorders>
              <w:top w:val="nil"/>
              <w:left w:val="nil"/>
              <w:bottom w:val="single" w:sz="4" w:space="0" w:color="auto"/>
              <w:right w:val="single" w:sz="4" w:space="0" w:color="auto"/>
            </w:tcBorders>
            <w:shd w:val="clear" w:color="auto" w:fill="auto"/>
            <w:vAlign w:val="center"/>
            <w:hideMark/>
          </w:tcPr>
          <w:p w14:paraId="212D5D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47B3CB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95%</w:t>
            </w:r>
          </w:p>
        </w:tc>
        <w:tc>
          <w:tcPr>
            <w:tcW w:w="965" w:type="dxa"/>
            <w:tcBorders>
              <w:top w:val="nil"/>
              <w:left w:val="nil"/>
              <w:bottom w:val="single" w:sz="4" w:space="0" w:color="auto"/>
              <w:right w:val="single" w:sz="4" w:space="0" w:color="auto"/>
            </w:tcBorders>
            <w:shd w:val="clear" w:color="auto" w:fill="auto"/>
            <w:vAlign w:val="center"/>
            <w:hideMark/>
          </w:tcPr>
          <w:p w14:paraId="66D57D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3E0C6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26E62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D0F95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EFB22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36E220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31C8F5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9B478F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639A34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4FF43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R-408A</w:t>
            </w:r>
          </w:p>
        </w:tc>
        <w:tc>
          <w:tcPr>
            <w:tcW w:w="1170" w:type="dxa"/>
            <w:tcBorders>
              <w:top w:val="nil"/>
              <w:left w:val="nil"/>
              <w:bottom w:val="single" w:sz="4" w:space="0" w:color="auto"/>
              <w:right w:val="nil"/>
            </w:tcBorders>
            <w:shd w:val="clear" w:color="auto" w:fill="auto"/>
            <w:vAlign w:val="center"/>
            <w:hideMark/>
          </w:tcPr>
          <w:p w14:paraId="6FC303A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6EFF1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47%</w:t>
            </w:r>
          </w:p>
        </w:tc>
        <w:tc>
          <w:tcPr>
            <w:tcW w:w="1166" w:type="dxa"/>
            <w:tcBorders>
              <w:top w:val="nil"/>
              <w:left w:val="nil"/>
              <w:bottom w:val="single" w:sz="4" w:space="0" w:color="auto"/>
              <w:right w:val="single" w:sz="4" w:space="0" w:color="auto"/>
            </w:tcBorders>
            <w:shd w:val="clear" w:color="auto" w:fill="auto"/>
            <w:vAlign w:val="center"/>
            <w:hideMark/>
          </w:tcPr>
          <w:p w14:paraId="683E149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30A9A86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w:t>
            </w:r>
          </w:p>
        </w:tc>
        <w:tc>
          <w:tcPr>
            <w:tcW w:w="965" w:type="dxa"/>
            <w:tcBorders>
              <w:top w:val="nil"/>
              <w:left w:val="nil"/>
              <w:bottom w:val="single" w:sz="4" w:space="0" w:color="auto"/>
              <w:right w:val="single" w:sz="4" w:space="0" w:color="auto"/>
            </w:tcBorders>
            <w:shd w:val="clear" w:color="auto" w:fill="auto"/>
            <w:vAlign w:val="center"/>
            <w:hideMark/>
          </w:tcPr>
          <w:p w14:paraId="77AE10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CDD19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46%</w:t>
            </w:r>
          </w:p>
        </w:tc>
        <w:tc>
          <w:tcPr>
            <w:tcW w:w="960" w:type="dxa"/>
            <w:tcBorders>
              <w:top w:val="nil"/>
              <w:left w:val="nil"/>
              <w:bottom w:val="single" w:sz="4" w:space="0" w:color="auto"/>
              <w:right w:val="single" w:sz="4" w:space="0" w:color="auto"/>
            </w:tcBorders>
            <w:shd w:val="clear" w:color="auto" w:fill="auto"/>
            <w:vAlign w:val="center"/>
            <w:hideMark/>
          </w:tcPr>
          <w:p w14:paraId="51EF2D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B193F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A8740D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1CFD3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CE8E35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D677D2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0B3BF64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3AA2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R-409A</w:t>
            </w:r>
          </w:p>
        </w:tc>
        <w:tc>
          <w:tcPr>
            <w:tcW w:w="1170" w:type="dxa"/>
            <w:tcBorders>
              <w:top w:val="nil"/>
              <w:left w:val="nil"/>
              <w:bottom w:val="single" w:sz="4" w:space="0" w:color="auto"/>
              <w:right w:val="nil"/>
            </w:tcBorders>
            <w:shd w:val="clear" w:color="auto" w:fill="auto"/>
            <w:vAlign w:val="center"/>
            <w:hideMark/>
          </w:tcPr>
          <w:p w14:paraId="406BA2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C48337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78EB75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820" w:type="dxa"/>
            <w:tcBorders>
              <w:top w:val="nil"/>
              <w:left w:val="nil"/>
              <w:bottom w:val="single" w:sz="4" w:space="0" w:color="auto"/>
              <w:right w:val="single" w:sz="4" w:space="0" w:color="auto"/>
            </w:tcBorders>
            <w:shd w:val="clear" w:color="auto" w:fill="auto"/>
            <w:vAlign w:val="center"/>
            <w:hideMark/>
          </w:tcPr>
          <w:p w14:paraId="7C08D4D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5" w:type="dxa"/>
            <w:tcBorders>
              <w:top w:val="nil"/>
              <w:left w:val="nil"/>
              <w:bottom w:val="single" w:sz="4" w:space="0" w:color="auto"/>
              <w:right w:val="single" w:sz="4" w:space="0" w:color="auto"/>
            </w:tcBorders>
            <w:shd w:val="clear" w:color="auto" w:fill="auto"/>
            <w:vAlign w:val="center"/>
            <w:hideMark/>
          </w:tcPr>
          <w:p w14:paraId="79D9643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E6696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59672D2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63CE2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8BBCA1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745378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657078C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6D66D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FB0D50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62B6E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R-409B</w:t>
            </w:r>
          </w:p>
        </w:tc>
        <w:tc>
          <w:tcPr>
            <w:tcW w:w="1170" w:type="dxa"/>
            <w:tcBorders>
              <w:top w:val="nil"/>
              <w:left w:val="nil"/>
              <w:bottom w:val="single" w:sz="4" w:space="0" w:color="auto"/>
              <w:right w:val="nil"/>
            </w:tcBorders>
            <w:shd w:val="clear" w:color="auto" w:fill="auto"/>
            <w:vAlign w:val="center"/>
            <w:hideMark/>
          </w:tcPr>
          <w:p w14:paraId="640F00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9E864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12910D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820" w:type="dxa"/>
            <w:tcBorders>
              <w:top w:val="nil"/>
              <w:left w:val="nil"/>
              <w:bottom w:val="single" w:sz="4" w:space="0" w:color="auto"/>
              <w:right w:val="single" w:sz="4" w:space="0" w:color="auto"/>
            </w:tcBorders>
            <w:shd w:val="clear" w:color="auto" w:fill="auto"/>
            <w:vAlign w:val="center"/>
            <w:hideMark/>
          </w:tcPr>
          <w:p w14:paraId="61C1E54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w:t>
            </w:r>
          </w:p>
        </w:tc>
        <w:tc>
          <w:tcPr>
            <w:tcW w:w="965" w:type="dxa"/>
            <w:tcBorders>
              <w:top w:val="nil"/>
              <w:left w:val="nil"/>
              <w:bottom w:val="single" w:sz="4" w:space="0" w:color="auto"/>
              <w:right w:val="single" w:sz="4" w:space="0" w:color="auto"/>
            </w:tcBorders>
            <w:shd w:val="clear" w:color="auto" w:fill="auto"/>
            <w:vAlign w:val="center"/>
            <w:hideMark/>
          </w:tcPr>
          <w:p w14:paraId="6686268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3807F9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33AC152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B3793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F3D1D5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69BC35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60A28D1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70AAD8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F3CA5A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DE999C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R-410A</w:t>
            </w:r>
          </w:p>
        </w:tc>
        <w:tc>
          <w:tcPr>
            <w:tcW w:w="1170" w:type="dxa"/>
            <w:tcBorders>
              <w:top w:val="nil"/>
              <w:left w:val="nil"/>
              <w:bottom w:val="single" w:sz="4" w:space="0" w:color="auto"/>
              <w:right w:val="nil"/>
            </w:tcBorders>
            <w:shd w:val="clear" w:color="auto" w:fill="auto"/>
            <w:vAlign w:val="center"/>
            <w:hideMark/>
          </w:tcPr>
          <w:p w14:paraId="15BE3E0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E5DF28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1166" w:type="dxa"/>
            <w:tcBorders>
              <w:top w:val="nil"/>
              <w:left w:val="nil"/>
              <w:bottom w:val="single" w:sz="4" w:space="0" w:color="auto"/>
              <w:right w:val="single" w:sz="4" w:space="0" w:color="auto"/>
            </w:tcBorders>
            <w:shd w:val="clear" w:color="auto" w:fill="auto"/>
            <w:vAlign w:val="center"/>
            <w:hideMark/>
          </w:tcPr>
          <w:p w14:paraId="352ECF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5FDD6D9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965" w:type="dxa"/>
            <w:tcBorders>
              <w:top w:val="nil"/>
              <w:left w:val="nil"/>
              <w:bottom w:val="single" w:sz="4" w:space="0" w:color="auto"/>
              <w:right w:val="single" w:sz="4" w:space="0" w:color="auto"/>
            </w:tcBorders>
            <w:shd w:val="clear" w:color="auto" w:fill="auto"/>
            <w:vAlign w:val="center"/>
            <w:hideMark/>
          </w:tcPr>
          <w:p w14:paraId="4CC27FD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E4A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5754DD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038C2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C90FA7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0E60AC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438B38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E4B71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6128DE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4AB34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R-410B</w:t>
            </w:r>
          </w:p>
        </w:tc>
        <w:tc>
          <w:tcPr>
            <w:tcW w:w="1170" w:type="dxa"/>
            <w:tcBorders>
              <w:top w:val="nil"/>
              <w:left w:val="nil"/>
              <w:bottom w:val="single" w:sz="4" w:space="0" w:color="auto"/>
              <w:right w:val="nil"/>
            </w:tcBorders>
            <w:shd w:val="clear" w:color="auto" w:fill="auto"/>
            <w:vAlign w:val="center"/>
            <w:hideMark/>
          </w:tcPr>
          <w:p w14:paraId="7713C8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FDB2A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55%</w:t>
            </w:r>
          </w:p>
        </w:tc>
        <w:tc>
          <w:tcPr>
            <w:tcW w:w="1166" w:type="dxa"/>
            <w:tcBorders>
              <w:top w:val="nil"/>
              <w:left w:val="nil"/>
              <w:bottom w:val="single" w:sz="4" w:space="0" w:color="auto"/>
              <w:right w:val="single" w:sz="4" w:space="0" w:color="auto"/>
            </w:tcBorders>
            <w:shd w:val="clear" w:color="auto" w:fill="auto"/>
            <w:vAlign w:val="center"/>
            <w:hideMark/>
          </w:tcPr>
          <w:p w14:paraId="3BBC7B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48C88FC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45%</w:t>
            </w:r>
          </w:p>
        </w:tc>
        <w:tc>
          <w:tcPr>
            <w:tcW w:w="965" w:type="dxa"/>
            <w:tcBorders>
              <w:top w:val="nil"/>
              <w:left w:val="nil"/>
              <w:bottom w:val="single" w:sz="4" w:space="0" w:color="auto"/>
              <w:right w:val="single" w:sz="4" w:space="0" w:color="auto"/>
            </w:tcBorders>
            <w:shd w:val="clear" w:color="auto" w:fill="auto"/>
            <w:vAlign w:val="center"/>
            <w:hideMark/>
          </w:tcPr>
          <w:p w14:paraId="51400BF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1182B0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37374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51990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1689EC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59EF3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DE6033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C1614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C6024C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0D9829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R-411A</w:t>
            </w:r>
          </w:p>
        </w:tc>
        <w:tc>
          <w:tcPr>
            <w:tcW w:w="1170" w:type="dxa"/>
            <w:tcBorders>
              <w:top w:val="nil"/>
              <w:left w:val="nil"/>
              <w:bottom w:val="single" w:sz="4" w:space="0" w:color="auto"/>
              <w:right w:val="nil"/>
            </w:tcBorders>
            <w:shd w:val="clear" w:color="auto" w:fill="auto"/>
            <w:vAlign w:val="center"/>
            <w:hideMark/>
          </w:tcPr>
          <w:p w14:paraId="1372FDB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HO-1270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C5E2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1,50%</w:t>
            </w:r>
          </w:p>
        </w:tc>
        <w:tc>
          <w:tcPr>
            <w:tcW w:w="1166" w:type="dxa"/>
            <w:tcBorders>
              <w:top w:val="nil"/>
              <w:left w:val="nil"/>
              <w:bottom w:val="single" w:sz="4" w:space="0" w:color="auto"/>
              <w:right w:val="single" w:sz="4" w:space="0" w:color="auto"/>
            </w:tcBorders>
            <w:shd w:val="clear" w:color="auto" w:fill="auto"/>
            <w:vAlign w:val="center"/>
            <w:hideMark/>
          </w:tcPr>
          <w:p w14:paraId="6734BDA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6D5BC3E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87,50%</w:t>
            </w:r>
          </w:p>
        </w:tc>
        <w:tc>
          <w:tcPr>
            <w:tcW w:w="965" w:type="dxa"/>
            <w:tcBorders>
              <w:top w:val="nil"/>
              <w:left w:val="nil"/>
              <w:bottom w:val="single" w:sz="4" w:space="0" w:color="auto"/>
              <w:right w:val="single" w:sz="4" w:space="0" w:color="auto"/>
            </w:tcBorders>
            <w:shd w:val="clear" w:color="auto" w:fill="auto"/>
            <w:vAlign w:val="center"/>
            <w:hideMark/>
          </w:tcPr>
          <w:p w14:paraId="747806E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BAEBC5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397C346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CF2B1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592442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74DE64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2884EF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24B434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C685FB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F6FAC0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R-411B</w:t>
            </w:r>
          </w:p>
        </w:tc>
        <w:tc>
          <w:tcPr>
            <w:tcW w:w="1170" w:type="dxa"/>
            <w:tcBorders>
              <w:top w:val="nil"/>
              <w:left w:val="nil"/>
              <w:bottom w:val="single" w:sz="4" w:space="0" w:color="auto"/>
              <w:right w:val="nil"/>
            </w:tcBorders>
            <w:shd w:val="clear" w:color="auto" w:fill="auto"/>
            <w:vAlign w:val="center"/>
            <w:hideMark/>
          </w:tcPr>
          <w:p w14:paraId="3A284C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HO-1270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71586B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1166" w:type="dxa"/>
            <w:tcBorders>
              <w:top w:val="nil"/>
              <w:left w:val="nil"/>
              <w:bottom w:val="single" w:sz="4" w:space="0" w:color="auto"/>
              <w:right w:val="single" w:sz="4" w:space="0" w:color="auto"/>
            </w:tcBorders>
            <w:shd w:val="clear" w:color="auto" w:fill="auto"/>
            <w:vAlign w:val="center"/>
            <w:hideMark/>
          </w:tcPr>
          <w:p w14:paraId="4FDEFFD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3908B1C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94%</w:t>
            </w:r>
          </w:p>
        </w:tc>
        <w:tc>
          <w:tcPr>
            <w:tcW w:w="965" w:type="dxa"/>
            <w:tcBorders>
              <w:top w:val="nil"/>
              <w:left w:val="nil"/>
              <w:bottom w:val="single" w:sz="4" w:space="0" w:color="auto"/>
              <w:right w:val="single" w:sz="4" w:space="0" w:color="auto"/>
            </w:tcBorders>
            <w:shd w:val="clear" w:color="auto" w:fill="auto"/>
            <w:vAlign w:val="center"/>
            <w:hideMark/>
          </w:tcPr>
          <w:p w14:paraId="1D9898E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22F851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741126F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1064E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CFC42B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49955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97C9C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C9508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025EDBB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B2C217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R-412A</w:t>
            </w:r>
          </w:p>
        </w:tc>
        <w:tc>
          <w:tcPr>
            <w:tcW w:w="1170" w:type="dxa"/>
            <w:tcBorders>
              <w:top w:val="nil"/>
              <w:left w:val="nil"/>
              <w:bottom w:val="single" w:sz="4" w:space="0" w:color="auto"/>
              <w:right w:val="nil"/>
            </w:tcBorders>
            <w:shd w:val="clear" w:color="auto" w:fill="auto"/>
            <w:vAlign w:val="center"/>
            <w:hideMark/>
          </w:tcPr>
          <w:p w14:paraId="770D42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B27D0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2473DE0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0C1A3E0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70%</w:t>
            </w:r>
          </w:p>
        </w:tc>
        <w:tc>
          <w:tcPr>
            <w:tcW w:w="965" w:type="dxa"/>
            <w:tcBorders>
              <w:top w:val="nil"/>
              <w:left w:val="nil"/>
              <w:bottom w:val="single" w:sz="4" w:space="0" w:color="auto"/>
              <w:right w:val="single" w:sz="4" w:space="0" w:color="auto"/>
            </w:tcBorders>
            <w:shd w:val="clear" w:color="auto" w:fill="auto"/>
            <w:vAlign w:val="center"/>
            <w:hideMark/>
          </w:tcPr>
          <w:p w14:paraId="65CACAA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FCCDA9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0EA5A4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996089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BD48E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47B0C0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F8980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90510B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BC7751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203E9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R-413A</w:t>
            </w:r>
          </w:p>
        </w:tc>
        <w:tc>
          <w:tcPr>
            <w:tcW w:w="1170" w:type="dxa"/>
            <w:tcBorders>
              <w:top w:val="nil"/>
              <w:left w:val="nil"/>
              <w:bottom w:val="single" w:sz="4" w:space="0" w:color="auto"/>
              <w:right w:val="nil"/>
            </w:tcBorders>
            <w:shd w:val="clear" w:color="auto" w:fill="auto"/>
            <w:vAlign w:val="center"/>
            <w:hideMark/>
          </w:tcPr>
          <w:p w14:paraId="4C0E26C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F1D3A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1166" w:type="dxa"/>
            <w:tcBorders>
              <w:top w:val="nil"/>
              <w:left w:val="nil"/>
              <w:bottom w:val="single" w:sz="4" w:space="0" w:color="auto"/>
              <w:right w:val="single" w:sz="4" w:space="0" w:color="auto"/>
            </w:tcBorders>
            <w:shd w:val="clear" w:color="auto" w:fill="auto"/>
            <w:vAlign w:val="center"/>
            <w:hideMark/>
          </w:tcPr>
          <w:p w14:paraId="3950BF6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9CA915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88%</w:t>
            </w:r>
          </w:p>
        </w:tc>
        <w:tc>
          <w:tcPr>
            <w:tcW w:w="965" w:type="dxa"/>
            <w:tcBorders>
              <w:top w:val="nil"/>
              <w:left w:val="nil"/>
              <w:bottom w:val="single" w:sz="4" w:space="0" w:color="auto"/>
              <w:right w:val="single" w:sz="4" w:space="0" w:color="auto"/>
            </w:tcBorders>
            <w:shd w:val="clear" w:color="auto" w:fill="auto"/>
            <w:vAlign w:val="center"/>
            <w:hideMark/>
          </w:tcPr>
          <w:p w14:paraId="1B3619F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PFC-218</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8FA38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72822B3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C1CD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3EC077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0E7135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BDD791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A7A95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20F83B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E503A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R-414A</w:t>
            </w:r>
          </w:p>
        </w:tc>
        <w:tc>
          <w:tcPr>
            <w:tcW w:w="1170" w:type="dxa"/>
            <w:tcBorders>
              <w:top w:val="nil"/>
              <w:left w:val="nil"/>
              <w:bottom w:val="single" w:sz="4" w:space="0" w:color="auto"/>
              <w:right w:val="nil"/>
            </w:tcBorders>
            <w:shd w:val="clear" w:color="auto" w:fill="auto"/>
            <w:vAlign w:val="center"/>
            <w:hideMark/>
          </w:tcPr>
          <w:p w14:paraId="75C8D10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08442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1166" w:type="dxa"/>
            <w:tcBorders>
              <w:top w:val="nil"/>
              <w:left w:val="nil"/>
              <w:bottom w:val="single" w:sz="4" w:space="0" w:color="auto"/>
              <w:right w:val="single" w:sz="4" w:space="0" w:color="auto"/>
            </w:tcBorders>
            <w:shd w:val="clear" w:color="auto" w:fill="auto"/>
            <w:vAlign w:val="center"/>
            <w:hideMark/>
          </w:tcPr>
          <w:p w14:paraId="3C2B45A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820" w:type="dxa"/>
            <w:tcBorders>
              <w:top w:val="nil"/>
              <w:left w:val="nil"/>
              <w:bottom w:val="single" w:sz="4" w:space="0" w:color="auto"/>
              <w:right w:val="single" w:sz="4" w:space="0" w:color="auto"/>
            </w:tcBorders>
            <w:shd w:val="clear" w:color="auto" w:fill="auto"/>
            <w:vAlign w:val="center"/>
            <w:hideMark/>
          </w:tcPr>
          <w:p w14:paraId="631B644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28,50%</w:t>
            </w:r>
          </w:p>
        </w:tc>
        <w:tc>
          <w:tcPr>
            <w:tcW w:w="965" w:type="dxa"/>
            <w:tcBorders>
              <w:top w:val="nil"/>
              <w:left w:val="nil"/>
              <w:bottom w:val="single" w:sz="4" w:space="0" w:color="auto"/>
              <w:right w:val="single" w:sz="4" w:space="0" w:color="auto"/>
            </w:tcBorders>
            <w:shd w:val="clear" w:color="auto" w:fill="auto"/>
            <w:vAlign w:val="center"/>
            <w:hideMark/>
          </w:tcPr>
          <w:p w14:paraId="2CE26DA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596720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16,5%</w:t>
            </w:r>
          </w:p>
        </w:tc>
        <w:tc>
          <w:tcPr>
            <w:tcW w:w="960" w:type="dxa"/>
            <w:tcBorders>
              <w:top w:val="nil"/>
              <w:left w:val="nil"/>
              <w:bottom w:val="single" w:sz="4" w:space="0" w:color="auto"/>
              <w:right w:val="single" w:sz="4" w:space="0" w:color="auto"/>
            </w:tcBorders>
            <w:shd w:val="clear" w:color="auto" w:fill="auto"/>
            <w:vAlign w:val="center"/>
            <w:hideMark/>
          </w:tcPr>
          <w:p w14:paraId="77A1F4E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B3DF54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14:paraId="32F75BD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68C1A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7E2A6C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D25E6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753784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83DE46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R-414B</w:t>
            </w:r>
          </w:p>
        </w:tc>
        <w:tc>
          <w:tcPr>
            <w:tcW w:w="1170" w:type="dxa"/>
            <w:tcBorders>
              <w:top w:val="nil"/>
              <w:left w:val="nil"/>
              <w:bottom w:val="single" w:sz="4" w:space="0" w:color="auto"/>
              <w:right w:val="nil"/>
            </w:tcBorders>
            <w:shd w:val="clear" w:color="auto" w:fill="auto"/>
            <w:vAlign w:val="center"/>
            <w:hideMark/>
          </w:tcPr>
          <w:p w14:paraId="096FBE6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E8226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1,50%</w:t>
            </w:r>
          </w:p>
        </w:tc>
        <w:tc>
          <w:tcPr>
            <w:tcW w:w="1166" w:type="dxa"/>
            <w:tcBorders>
              <w:top w:val="nil"/>
              <w:left w:val="nil"/>
              <w:bottom w:val="single" w:sz="4" w:space="0" w:color="auto"/>
              <w:right w:val="single" w:sz="4" w:space="0" w:color="auto"/>
            </w:tcBorders>
            <w:shd w:val="clear" w:color="auto" w:fill="auto"/>
            <w:vAlign w:val="center"/>
            <w:hideMark/>
          </w:tcPr>
          <w:p w14:paraId="4A7B961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820" w:type="dxa"/>
            <w:tcBorders>
              <w:top w:val="nil"/>
              <w:left w:val="nil"/>
              <w:bottom w:val="single" w:sz="4" w:space="0" w:color="auto"/>
              <w:right w:val="single" w:sz="4" w:space="0" w:color="auto"/>
            </w:tcBorders>
            <w:shd w:val="clear" w:color="auto" w:fill="auto"/>
            <w:vAlign w:val="center"/>
            <w:hideMark/>
          </w:tcPr>
          <w:p w14:paraId="023ABD3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39%</w:t>
            </w:r>
          </w:p>
        </w:tc>
        <w:tc>
          <w:tcPr>
            <w:tcW w:w="965" w:type="dxa"/>
            <w:tcBorders>
              <w:top w:val="nil"/>
              <w:left w:val="nil"/>
              <w:bottom w:val="single" w:sz="4" w:space="0" w:color="auto"/>
              <w:right w:val="single" w:sz="4" w:space="0" w:color="auto"/>
            </w:tcBorders>
            <w:shd w:val="clear" w:color="auto" w:fill="auto"/>
            <w:vAlign w:val="center"/>
            <w:hideMark/>
          </w:tcPr>
          <w:p w14:paraId="2278AE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AC8A38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9,50%</w:t>
            </w:r>
          </w:p>
        </w:tc>
        <w:tc>
          <w:tcPr>
            <w:tcW w:w="960" w:type="dxa"/>
            <w:tcBorders>
              <w:top w:val="nil"/>
              <w:left w:val="nil"/>
              <w:bottom w:val="single" w:sz="4" w:space="0" w:color="auto"/>
              <w:right w:val="single" w:sz="4" w:space="0" w:color="auto"/>
            </w:tcBorders>
            <w:shd w:val="clear" w:color="auto" w:fill="auto"/>
            <w:vAlign w:val="center"/>
            <w:hideMark/>
          </w:tcPr>
          <w:p w14:paraId="4E37572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17417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63376B5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01CCA4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B890D6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3D46C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35FE44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83995A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R-415A</w:t>
            </w:r>
          </w:p>
        </w:tc>
        <w:tc>
          <w:tcPr>
            <w:tcW w:w="1170" w:type="dxa"/>
            <w:tcBorders>
              <w:top w:val="nil"/>
              <w:left w:val="nil"/>
              <w:bottom w:val="single" w:sz="4" w:space="0" w:color="auto"/>
              <w:right w:val="nil"/>
            </w:tcBorders>
            <w:shd w:val="clear" w:color="auto" w:fill="auto"/>
            <w:vAlign w:val="center"/>
            <w:hideMark/>
          </w:tcPr>
          <w:p w14:paraId="242F166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BA5D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82%</w:t>
            </w:r>
          </w:p>
        </w:tc>
        <w:tc>
          <w:tcPr>
            <w:tcW w:w="1166" w:type="dxa"/>
            <w:tcBorders>
              <w:top w:val="nil"/>
              <w:left w:val="nil"/>
              <w:bottom w:val="single" w:sz="4" w:space="0" w:color="auto"/>
              <w:right w:val="single" w:sz="4" w:space="0" w:color="auto"/>
            </w:tcBorders>
            <w:shd w:val="clear" w:color="auto" w:fill="auto"/>
            <w:vAlign w:val="center"/>
            <w:hideMark/>
          </w:tcPr>
          <w:p w14:paraId="4B951D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32973BB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18%</w:t>
            </w:r>
          </w:p>
        </w:tc>
        <w:tc>
          <w:tcPr>
            <w:tcW w:w="965" w:type="dxa"/>
            <w:tcBorders>
              <w:top w:val="nil"/>
              <w:left w:val="nil"/>
              <w:bottom w:val="single" w:sz="4" w:space="0" w:color="auto"/>
              <w:right w:val="single" w:sz="4" w:space="0" w:color="auto"/>
            </w:tcBorders>
            <w:shd w:val="clear" w:color="auto" w:fill="auto"/>
            <w:vAlign w:val="center"/>
            <w:hideMark/>
          </w:tcPr>
          <w:p w14:paraId="6EDA8F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CABD4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9CB391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45AC0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89742A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DE569F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6520273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D8E33A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585898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0C67A5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R-415B</w:t>
            </w:r>
          </w:p>
        </w:tc>
        <w:tc>
          <w:tcPr>
            <w:tcW w:w="1170" w:type="dxa"/>
            <w:tcBorders>
              <w:top w:val="nil"/>
              <w:left w:val="nil"/>
              <w:bottom w:val="single" w:sz="4" w:space="0" w:color="auto"/>
              <w:right w:val="nil"/>
            </w:tcBorders>
            <w:shd w:val="clear" w:color="auto" w:fill="auto"/>
            <w:vAlign w:val="center"/>
            <w:hideMark/>
          </w:tcPr>
          <w:p w14:paraId="1950857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1D1DF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1513709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25D3EF6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75%</w:t>
            </w:r>
          </w:p>
        </w:tc>
        <w:tc>
          <w:tcPr>
            <w:tcW w:w="965" w:type="dxa"/>
            <w:tcBorders>
              <w:top w:val="nil"/>
              <w:left w:val="nil"/>
              <w:bottom w:val="single" w:sz="4" w:space="0" w:color="auto"/>
              <w:right w:val="single" w:sz="4" w:space="0" w:color="auto"/>
            </w:tcBorders>
            <w:shd w:val="clear" w:color="auto" w:fill="auto"/>
            <w:vAlign w:val="center"/>
            <w:hideMark/>
          </w:tcPr>
          <w:p w14:paraId="4E934CD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3F847A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6E0855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6827A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CC541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663291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52BBF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A5121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EFF24F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EFA6C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R-416A</w:t>
            </w:r>
          </w:p>
        </w:tc>
        <w:tc>
          <w:tcPr>
            <w:tcW w:w="1170" w:type="dxa"/>
            <w:tcBorders>
              <w:top w:val="nil"/>
              <w:left w:val="nil"/>
              <w:bottom w:val="single" w:sz="4" w:space="0" w:color="auto"/>
              <w:right w:val="nil"/>
            </w:tcBorders>
            <w:shd w:val="clear" w:color="auto" w:fill="auto"/>
            <w:vAlign w:val="center"/>
            <w:hideMark/>
          </w:tcPr>
          <w:p w14:paraId="483326E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6870B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1,50%</w:t>
            </w:r>
          </w:p>
        </w:tc>
        <w:tc>
          <w:tcPr>
            <w:tcW w:w="1166" w:type="dxa"/>
            <w:tcBorders>
              <w:top w:val="nil"/>
              <w:left w:val="nil"/>
              <w:bottom w:val="single" w:sz="4" w:space="0" w:color="auto"/>
              <w:right w:val="single" w:sz="4" w:space="0" w:color="auto"/>
            </w:tcBorders>
            <w:shd w:val="clear" w:color="auto" w:fill="auto"/>
            <w:vAlign w:val="center"/>
            <w:hideMark/>
          </w:tcPr>
          <w:p w14:paraId="5AB80B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820" w:type="dxa"/>
            <w:tcBorders>
              <w:top w:val="nil"/>
              <w:left w:val="nil"/>
              <w:bottom w:val="single" w:sz="4" w:space="0" w:color="auto"/>
              <w:right w:val="single" w:sz="4" w:space="0" w:color="auto"/>
            </w:tcBorders>
            <w:shd w:val="clear" w:color="auto" w:fill="auto"/>
            <w:vAlign w:val="center"/>
            <w:hideMark/>
          </w:tcPr>
          <w:p w14:paraId="618C8F9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39,50%</w:t>
            </w:r>
          </w:p>
        </w:tc>
        <w:tc>
          <w:tcPr>
            <w:tcW w:w="965" w:type="dxa"/>
            <w:tcBorders>
              <w:top w:val="nil"/>
              <w:left w:val="nil"/>
              <w:bottom w:val="single" w:sz="4" w:space="0" w:color="auto"/>
              <w:right w:val="single" w:sz="4" w:space="0" w:color="auto"/>
            </w:tcBorders>
            <w:shd w:val="clear" w:color="auto" w:fill="auto"/>
            <w:vAlign w:val="center"/>
            <w:hideMark/>
          </w:tcPr>
          <w:p w14:paraId="686E8C7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40EC86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14:paraId="762B13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D8C681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E81143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8F24D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29B37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7ACE5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68665D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D3A59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R-417A</w:t>
            </w:r>
          </w:p>
        </w:tc>
        <w:tc>
          <w:tcPr>
            <w:tcW w:w="1170" w:type="dxa"/>
            <w:tcBorders>
              <w:top w:val="nil"/>
              <w:left w:val="nil"/>
              <w:bottom w:val="single" w:sz="4" w:space="0" w:color="auto"/>
              <w:right w:val="nil"/>
            </w:tcBorders>
            <w:shd w:val="clear" w:color="auto" w:fill="auto"/>
            <w:vAlign w:val="center"/>
            <w:hideMark/>
          </w:tcPr>
          <w:p w14:paraId="4276ED1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733D9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3,40%</w:t>
            </w:r>
          </w:p>
        </w:tc>
        <w:tc>
          <w:tcPr>
            <w:tcW w:w="1166" w:type="dxa"/>
            <w:tcBorders>
              <w:top w:val="nil"/>
              <w:left w:val="nil"/>
              <w:bottom w:val="single" w:sz="4" w:space="0" w:color="auto"/>
              <w:right w:val="single" w:sz="4" w:space="0" w:color="auto"/>
            </w:tcBorders>
            <w:shd w:val="clear" w:color="auto" w:fill="auto"/>
            <w:vAlign w:val="center"/>
            <w:hideMark/>
          </w:tcPr>
          <w:p w14:paraId="4B0E8B5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08047F5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46,60%</w:t>
            </w:r>
          </w:p>
        </w:tc>
        <w:tc>
          <w:tcPr>
            <w:tcW w:w="965" w:type="dxa"/>
            <w:tcBorders>
              <w:top w:val="nil"/>
              <w:left w:val="nil"/>
              <w:bottom w:val="single" w:sz="4" w:space="0" w:color="auto"/>
              <w:right w:val="single" w:sz="4" w:space="0" w:color="auto"/>
            </w:tcBorders>
            <w:shd w:val="clear" w:color="auto" w:fill="auto"/>
            <w:vAlign w:val="center"/>
            <w:hideMark/>
          </w:tcPr>
          <w:p w14:paraId="2F970F2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2DAC2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6033261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54948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763B2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6C1010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5502B1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F915C1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4BF1DB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CFE15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R-417B</w:t>
            </w:r>
          </w:p>
        </w:tc>
        <w:tc>
          <w:tcPr>
            <w:tcW w:w="1170" w:type="dxa"/>
            <w:tcBorders>
              <w:top w:val="nil"/>
              <w:left w:val="nil"/>
              <w:bottom w:val="single" w:sz="4" w:space="0" w:color="auto"/>
              <w:right w:val="nil"/>
            </w:tcBorders>
            <w:shd w:val="clear" w:color="auto" w:fill="auto"/>
            <w:vAlign w:val="center"/>
            <w:hideMark/>
          </w:tcPr>
          <w:p w14:paraId="1A9D804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4F95B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2,70%</w:t>
            </w:r>
          </w:p>
        </w:tc>
        <w:tc>
          <w:tcPr>
            <w:tcW w:w="1166" w:type="dxa"/>
            <w:tcBorders>
              <w:top w:val="nil"/>
              <w:left w:val="nil"/>
              <w:bottom w:val="single" w:sz="4" w:space="0" w:color="auto"/>
              <w:right w:val="single" w:sz="4" w:space="0" w:color="auto"/>
            </w:tcBorders>
            <w:shd w:val="clear" w:color="auto" w:fill="auto"/>
            <w:vAlign w:val="center"/>
            <w:hideMark/>
          </w:tcPr>
          <w:p w14:paraId="33303AF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5C53F91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79%</w:t>
            </w:r>
          </w:p>
        </w:tc>
        <w:tc>
          <w:tcPr>
            <w:tcW w:w="965" w:type="dxa"/>
            <w:tcBorders>
              <w:top w:val="nil"/>
              <w:left w:val="nil"/>
              <w:bottom w:val="single" w:sz="4" w:space="0" w:color="auto"/>
              <w:right w:val="single" w:sz="4" w:space="0" w:color="auto"/>
            </w:tcBorders>
            <w:shd w:val="clear" w:color="auto" w:fill="auto"/>
            <w:vAlign w:val="center"/>
            <w:hideMark/>
          </w:tcPr>
          <w:p w14:paraId="1C88BB6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895D04" w14:textId="77777777" w:rsidR="00232FF7" w:rsidRPr="00DF4BB7" w:rsidRDefault="006451A1"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18,3%</w:t>
            </w:r>
          </w:p>
        </w:tc>
        <w:tc>
          <w:tcPr>
            <w:tcW w:w="960" w:type="dxa"/>
            <w:tcBorders>
              <w:top w:val="nil"/>
              <w:left w:val="nil"/>
              <w:bottom w:val="single" w:sz="4" w:space="0" w:color="auto"/>
              <w:right w:val="single" w:sz="4" w:space="0" w:color="auto"/>
            </w:tcBorders>
            <w:shd w:val="clear" w:color="auto" w:fill="auto"/>
            <w:vAlign w:val="center"/>
            <w:hideMark/>
          </w:tcPr>
          <w:p w14:paraId="64C2480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C53269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CFD339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8B130E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0ADC9E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628C2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84362A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E3A1B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R-417C</w:t>
            </w:r>
          </w:p>
        </w:tc>
        <w:tc>
          <w:tcPr>
            <w:tcW w:w="1170" w:type="dxa"/>
            <w:tcBorders>
              <w:top w:val="nil"/>
              <w:left w:val="nil"/>
              <w:bottom w:val="single" w:sz="4" w:space="0" w:color="auto"/>
              <w:right w:val="nil"/>
            </w:tcBorders>
            <w:shd w:val="clear" w:color="auto" w:fill="auto"/>
            <w:vAlign w:val="center"/>
            <w:hideMark/>
          </w:tcPr>
          <w:p w14:paraId="31BEBD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6DF6D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1,70%</w:t>
            </w:r>
          </w:p>
        </w:tc>
        <w:tc>
          <w:tcPr>
            <w:tcW w:w="1166" w:type="dxa"/>
            <w:tcBorders>
              <w:top w:val="nil"/>
              <w:left w:val="nil"/>
              <w:bottom w:val="single" w:sz="4" w:space="0" w:color="auto"/>
              <w:right w:val="single" w:sz="4" w:space="0" w:color="auto"/>
            </w:tcBorders>
            <w:shd w:val="clear" w:color="auto" w:fill="auto"/>
            <w:vAlign w:val="center"/>
            <w:hideMark/>
          </w:tcPr>
          <w:p w14:paraId="7EA38CB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635A36F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19,50%</w:t>
            </w:r>
          </w:p>
        </w:tc>
        <w:tc>
          <w:tcPr>
            <w:tcW w:w="965" w:type="dxa"/>
            <w:tcBorders>
              <w:top w:val="nil"/>
              <w:left w:val="nil"/>
              <w:bottom w:val="single" w:sz="4" w:space="0" w:color="auto"/>
              <w:right w:val="single" w:sz="4" w:space="0" w:color="auto"/>
            </w:tcBorders>
            <w:shd w:val="clear" w:color="auto" w:fill="auto"/>
            <w:vAlign w:val="center"/>
            <w:hideMark/>
          </w:tcPr>
          <w:p w14:paraId="16FCD1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C0B12F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78,8%</w:t>
            </w:r>
          </w:p>
        </w:tc>
        <w:tc>
          <w:tcPr>
            <w:tcW w:w="960" w:type="dxa"/>
            <w:tcBorders>
              <w:top w:val="nil"/>
              <w:left w:val="nil"/>
              <w:bottom w:val="single" w:sz="4" w:space="0" w:color="auto"/>
              <w:right w:val="single" w:sz="4" w:space="0" w:color="auto"/>
            </w:tcBorders>
            <w:shd w:val="clear" w:color="auto" w:fill="auto"/>
            <w:vAlign w:val="center"/>
            <w:hideMark/>
          </w:tcPr>
          <w:p w14:paraId="4FE2D90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CADD3C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3A1CC5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128D9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733CB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909CE7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070D1A4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2BB6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R-418A</w:t>
            </w:r>
          </w:p>
        </w:tc>
        <w:tc>
          <w:tcPr>
            <w:tcW w:w="1170" w:type="dxa"/>
            <w:tcBorders>
              <w:top w:val="nil"/>
              <w:left w:val="nil"/>
              <w:bottom w:val="single" w:sz="4" w:space="0" w:color="auto"/>
              <w:right w:val="nil"/>
            </w:tcBorders>
            <w:shd w:val="clear" w:color="auto" w:fill="auto"/>
            <w:vAlign w:val="center"/>
            <w:hideMark/>
          </w:tcPr>
          <w:p w14:paraId="041070B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C04C8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1,50%</w:t>
            </w:r>
          </w:p>
        </w:tc>
        <w:tc>
          <w:tcPr>
            <w:tcW w:w="1166" w:type="dxa"/>
            <w:tcBorders>
              <w:top w:val="nil"/>
              <w:left w:val="nil"/>
              <w:bottom w:val="single" w:sz="4" w:space="0" w:color="auto"/>
              <w:right w:val="single" w:sz="4" w:space="0" w:color="auto"/>
            </w:tcBorders>
            <w:shd w:val="clear" w:color="auto" w:fill="auto"/>
            <w:vAlign w:val="center"/>
            <w:hideMark/>
          </w:tcPr>
          <w:p w14:paraId="3D44DE8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1619310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96%</w:t>
            </w:r>
          </w:p>
        </w:tc>
        <w:tc>
          <w:tcPr>
            <w:tcW w:w="965" w:type="dxa"/>
            <w:tcBorders>
              <w:top w:val="nil"/>
              <w:left w:val="nil"/>
              <w:bottom w:val="single" w:sz="4" w:space="0" w:color="auto"/>
              <w:right w:val="single" w:sz="4" w:space="0" w:color="auto"/>
            </w:tcBorders>
            <w:shd w:val="clear" w:color="auto" w:fill="auto"/>
            <w:vAlign w:val="center"/>
            <w:hideMark/>
          </w:tcPr>
          <w:p w14:paraId="5F7A2FB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860B7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4A73FCE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BAD84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1070C6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672CC1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D0D5D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4C6508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BF79D7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CB5BC3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R-419A</w:t>
            </w:r>
          </w:p>
        </w:tc>
        <w:tc>
          <w:tcPr>
            <w:tcW w:w="1170" w:type="dxa"/>
            <w:tcBorders>
              <w:top w:val="nil"/>
              <w:left w:val="nil"/>
              <w:bottom w:val="single" w:sz="4" w:space="0" w:color="auto"/>
              <w:right w:val="nil"/>
            </w:tcBorders>
            <w:shd w:val="clear" w:color="auto" w:fill="auto"/>
            <w:vAlign w:val="center"/>
            <w:hideMark/>
          </w:tcPr>
          <w:p w14:paraId="0303043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C68C1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1166" w:type="dxa"/>
            <w:tcBorders>
              <w:top w:val="nil"/>
              <w:left w:val="nil"/>
              <w:bottom w:val="single" w:sz="4" w:space="0" w:color="auto"/>
              <w:right w:val="single" w:sz="4" w:space="0" w:color="auto"/>
            </w:tcBorders>
            <w:shd w:val="clear" w:color="auto" w:fill="auto"/>
            <w:vAlign w:val="center"/>
            <w:hideMark/>
          </w:tcPr>
          <w:p w14:paraId="4CF88EA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768617D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77%</w:t>
            </w:r>
          </w:p>
        </w:tc>
        <w:tc>
          <w:tcPr>
            <w:tcW w:w="965" w:type="dxa"/>
            <w:tcBorders>
              <w:top w:val="nil"/>
              <w:left w:val="nil"/>
              <w:bottom w:val="single" w:sz="4" w:space="0" w:color="auto"/>
              <w:right w:val="single" w:sz="4" w:space="0" w:color="auto"/>
            </w:tcBorders>
            <w:shd w:val="clear" w:color="auto" w:fill="auto"/>
            <w:vAlign w:val="center"/>
            <w:hideMark/>
          </w:tcPr>
          <w:p w14:paraId="114CF47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04B219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6D5580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32102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FA325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0D6FEB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2F7004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8D3AF4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BD5E91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560CF4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R-419B</w:t>
            </w:r>
          </w:p>
        </w:tc>
        <w:tc>
          <w:tcPr>
            <w:tcW w:w="1170" w:type="dxa"/>
            <w:tcBorders>
              <w:top w:val="nil"/>
              <w:left w:val="nil"/>
              <w:bottom w:val="single" w:sz="4" w:space="0" w:color="auto"/>
              <w:right w:val="nil"/>
            </w:tcBorders>
            <w:shd w:val="clear" w:color="auto" w:fill="auto"/>
            <w:vAlign w:val="center"/>
            <w:hideMark/>
          </w:tcPr>
          <w:p w14:paraId="6DFD74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5C971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3,50%</w:t>
            </w:r>
          </w:p>
        </w:tc>
        <w:tc>
          <w:tcPr>
            <w:tcW w:w="1166" w:type="dxa"/>
            <w:tcBorders>
              <w:top w:val="nil"/>
              <w:left w:val="nil"/>
              <w:bottom w:val="single" w:sz="4" w:space="0" w:color="auto"/>
              <w:right w:val="single" w:sz="4" w:space="0" w:color="auto"/>
            </w:tcBorders>
            <w:shd w:val="clear" w:color="auto" w:fill="auto"/>
            <w:vAlign w:val="center"/>
            <w:hideMark/>
          </w:tcPr>
          <w:p w14:paraId="0E1E02E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30617FA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48,50%</w:t>
            </w:r>
          </w:p>
        </w:tc>
        <w:tc>
          <w:tcPr>
            <w:tcW w:w="965" w:type="dxa"/>
            <w:tcBorders>
              <w:top w:val="nil"/>
              <w:left w:val="nil"/>
              <w:bottom w:val="single" w:sz="4" w:space="0" w:color="auto"/>
              <w:right w:val="single" w:sz="4" w:space="0" w:color="auto"/>
            </w:tcBorders>
            <w:shd w:val="clear" w:color="auto" w:fill="auto"/>
            <w:vAlign w:val="center"/>
            <w:hideMark/>
          </w:tcPr>
          <w:p w14:paraId="276B04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F9AA21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48%</w:t>
            </w:r>
          </w:p>
        </w:tc>
        <w:tc>
          <w:tcPr>
            <w:tcW w:w="960" w:type="dxa"/>
            <w:tcBorders>
              <w:top w:val="nil"/>
              <w:left w:val="nil"/>
              <w:bottom w:val="single" w:sz="4" w:space="0" w:color="auto"/>
              <w:right w:val="single" w:sz="4" w:space="0" w:color="auto"/>
            </w:tcBorders>
            <w:shd w:val="clear" w:color="auto" w:fill="auto"/>
            <w:vAlign w:val="center"/>
            <w:hideMark/>
          </w:tcPr>
          <w:p w14:paraId="7A49126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0543F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B27412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BFB14C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7A5955E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040AA6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565933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85BEF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R-420A</w:t>
            </w:r>
          </w:p>
        </w:tc>
        <w:tc>
          <w:tcPr>
            <w:tcW w:w="1170" w:type="dxa"/>
            <w:tcBorders>
              <w:top w:val="nil"/>
              <w:left w:val="nil"/>
              <w:bottom w:val="single" w:sz="4" w:space="0" w:color="auto"/>
              <w:right w:val="nil"/>
            </w:tcBorders>
            <w:shd w:val="clear" w:color="auto" w:fill="auto"/>
            <w:vAlign w:val="center"/>
            <w:hideMark/>
          </w:tcPr>
          <w:p w14:paraId="3A047F8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99E276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w:t>
            </w:r>
          </w:p>
        </w:tc>
        <w:tc>
          <w:tcPr>
            <w:tcW w:w="1166" w:type="dxa"/>
            <w:tcBorders>
              <w:top w:val="nil"/>
              <w:left w:val="nil"/>
              <w:bottom w:val="single" w:sz="4" w:space="0" w:color="auto"/>
              <w:right w:val="single" w:sz="4" w:space="0" w:color="auto"/>
            </w:tcBorders>
            <w:shd w:val="clear" w:color="auto" w:fill="auto"/>
            <w:vAlign w:val="center"/>
            <w:hideMark/>
          </w:tcPr>
          <w:p w14:paraId="235B6D5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057DABC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88%</w:t>
            </w:r>
          </w:p>
        </w:tc>
        <w:tc>
          <w:tcPr>
            <w:tcW w:w="965" w:type="dxa"/>
            <w:tcBorders>
              <w:top w:val="nil"/>
              <w:left w:val="nil"/>
              <w:bottom w:val="single" w:sz="4" w:space="0" w:color="auto"/>
              <w:right w:val="single" w:sz="4" w:space="0" w:color="auto"/>
            </w:tcBorders>
            <w:shd w:val="clear" w:color="auto" w:fill="auto"/>
            <w:vAlign w:val="center"/>
            <w:hideMark/>
          </w:tcPr>
          <w:p w14:paraId="41337B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F0C72E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BA035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22CB3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DD9E3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B0BCB1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E7BAA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93A1C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46AFD4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4CE01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R-421A</w:t>
            </w:r>
          </w:p>
        </w:tc>
        <w:tc>
          <w:tcPr>
            <w:tcW w:w="1170" w:type="dxa"/>
            <w:tcBorders>
              <w:top w:val="nil"/>
              <w:left w:val="nil"/>
              <w:bottom w:val="single" w:sz="4" w:space="0" w:color="auto"/>
              <w:right w:val="nil"/>
            </w:tcBorders>
            <w:shd w:val="clear" w:color="auto" w:fill="auto"/>
            <w:vAlign w:val="center"/>
            <w:hideMark/>
          </w:tcPr>
          <w:p w14:paraId="3E21EE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BA5ED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58%</w:t>
            </w:r>
          </w:p>
        </w:tc>
        <w:tc>
          <w:tcPr>
            <w:tcW w:w="1166" w:type="dxa"/>
            <w:tcBorders>
              <w:top w:val="nil"/>
              <w:left w:val="nil"/>
              <w:bottom w:val="single" w:sz="4" w:space="0" w:color="auto"/>
              <w:right w:val="single" w:sz="4" w:space="0" w:color="auto"/>
            </w:tcBorders>
            <w:shd w:val="clear" w:color="auto" w:fill="auto"/>
            <w:vAlign w:val="center"/>
            <w:hideMark/>
          </w:tcPr>
          <w:p w14:paraId="26D5C7B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725C386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42%</w:t>
            </w:r>
          </w:p>
        </w:tc>
        <w:tc>
          <w:tcPr>
            <w:tcW w:w="965" w:type="dxa"/>
            <w:tcBorders>
              <w:top w:val="nil"/>
              <w:left w:val="nil"/>
              <w:bottom w:val="single" w:sz="4" w:space="0" w:color="auto"/>
              <w:right w:val="single" w:sz="4" w:space="0" w:color="auto"/>
            </w:tcBorders>
            <w:shd w:val="clear" w:color="auto" w:fill="auto"/>
            <w:vAlign w:val="center"/>
            <w:hideMark/>
          </w:tcPr>
          <w:p w14:paraId="56ECE81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8F98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4D7C65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4E2018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D6087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B3591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11E23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C466A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5ED78A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782521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R-421B</w:t>
            </w:r>
          </w:p>
        </w:tc>
        <w:tc>
          <w:tcPr>
            <w:tcW w:w="1170" w:type="dxa"/>
            <w:tcBorders>
              <w:top w:val="nil"/>
              <w:left w:val="nil"/>
              <w:bottom w:val="single" w:sz="4" w:space="0" w:color="auto"/>
              <w:right w:val="nil"/>
            </w:tcBorders>
            <w:shd w:val="clear" w:color="auto" w:fill="auto"/>
            <w:vAlign w:val="center"/>
            <w:hideMark/>
          </w:tcPr>
          <w:p w14:paraId="3D9363D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A6B01A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85%</w:t>
            </w:r>
          </w:p>
        </w:tc>
        <w:tc>
          <w:tcPr>
            <w:tcW w:w="1166" w:type="dxa"/>
            <w:tcBorders>
              <w:top w:val="nil"/>
              <w:left w:val="nil"/>
              <w:bottom w:val="single" w:sz="4" w:space="0" w:color="auto"/>
              <w:right w:val="single" w:sz="4" w:space="0" w:color="auto"/>
            </w:tcBorders>
            <w:shd w:val="clear" w:color="auto" w:fill="auto"/>
            <w:vAlign w:val="center"/>
            <w:hideMark/>
          </w:tcPr>
          <w:p w14:paraId="562A70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352517F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5" w:type="dxa"/>
            <w:tcBorders>
              <w:top w:val="nil"/>
              <w:left w:val="nil"/>
              <w:bottom w:val="single" w:sz="4" w:space="0" w:color="auto"/>
              <w:right w:val="single" w:sz="4" w:space="0" w:color="auto"/>
            </w:tcBorders>
            <w:shd w:val="clear" w:color="auto" w:fill="auto"/>
            <w:vAlign w:val="center"/>
            <w:hideMark/>
          </w:tcPr>
          <w:p w14:paraId="6B16494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10733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C6163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F39884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D2D56D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F68800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7040F7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1D2254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AB9FA9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23A604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R-422A</w:t>
            </w:r>
          </w:p>
        </w:tc>
        <w:tc>
          <w:tcPr>
            <w:tcW w:w="1170" w:type="dxa"/>
            <w:tcBorders>
              <w:top w:val="nil"/>
              <w:left w:val="nil"/>
              <w:bottom w:val="single" w:sz="4" w:space="0" w:color="auto"/>
              <w:right w:val="nil"/>
            </w:tcBorders>
            <w:shd w:val="clear" w:color="auto" w:fill="auto"/>
            <w:vAlign w:val="center"/>
            <w:hideMark/>
          </w:tcPr>
          <w:p w14:paraId="748D6EA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DB8A4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3,40%</w:t>
            </w:r>
          </w:p>
        </w:tc>
        <w:tc>
          <w:tcPr>
            <w:tcW w:w="1166" w:type="dxa"/>
            <w:tcBorders>
              <w:top w:val="nil"/>
              <w:left w:val="nil"/>
              <w:bottom w:val="single" w:sz="4" w:space="0" w:color="auto"/>
              <w:right w:val="single" w:sz="4" w:space="0" w:color="auto"/>
            </w:tcBorders>
            <w:shd w:val="clear" w:color="auto" w:fill="auto"/>
            <w:vAlign w:val="center"/>
            <w:hideMark/>
          </w:tcPr>
          <w:p w14:paraId="3153F4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7CE3027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85,10%</w:t>
            </w:r>
          </w:p>
        </w:tc>
        <w:tc>
          <w:tcPr>
            <w:tcW w:w="965" w:type="dxa"/>
            <w:tcBorders>
              <w:top w:val="nil"/>
              <w:left w:val="nil"/>
              <w:bottom w:val="single" w:sz="4" w:space="0" w:color="auto"/>
              <w:right w:val="single" w:sz="4" w:space="0" w:color="auto"/>
            </w:tcBorders>
            <w:shd w:val="clear" w:color="auto" w:fill="auto"/>
            <w:vAlign w:val="center"/>
            <w:hideMark/>
          </w:tcPr>
          <w:p w14:paraId="2BE246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AD058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11,5%</w:t>
            </w:r>
          </w:p>
        </w:tc>
        <w:tc>
          <w:tcPr>
            <w:tcW w:w="960" w:type="dxa"/>
            <w:tcBorders>
              <w:top w:val="nil"/>
              <w:left w:val="nil"/>
              <w:bottom w:val="single" w:sz="4" w:space="0" w:color="auto"/>
              <w:right w:val="single" w:sz="4" w:space="0" w:color="auto"/>
            </w:tcBorders>
            <w:shd w:val="clear" w:color="auto" w:fill="auto"/>
            <w:vAlign w:val="center"/>
            <w:hideMark/>
          </w:tcPr>
          <w:p w14:paraId="62B8BE9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4747E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423C23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ADE99E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8C368F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B9FC0F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13634A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BCFB4F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R-422B</w:t>
            </w:r>
          </w:p>
        </w:tc>
        <w:tc>
          <w:tcPr>
            <w:tcW w:w="1170" w:type="dxa"/>
            <w:tcBorders>
              <w:top w:val="nil"/>
              <w:left w:val="nil"/>
              <w:bottom w:val="single" w:sz="4" w:space="0" w:color="auto"/>
              <w:right w:val="nil"/>
            </w:tcBorders>
            <w:shd w:val="clear" w:color="auto" w:fill="auto"/>
            <w:vAlign w:val="center"/>
            <w:hideMark/>
          </w:tcPr>
          <w:p w14:paraId="1A5F665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8E4F69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1166" w:type="dxa"/>
            <w:tcBorders>
              <w:top w:val="nil"/>
              <w:left w:val="nil"/>
              <w:bottom w:val="single" w:sz="4" w:space="0" w:color="auto"/>
              <w:right w:val="single" w:sz="4" w:space="0" w:color="auto"/>
            </w:tcBorders>
            <w:shd w:val="clear" w:color="auto" w:fill="auto"/>
            <w:vAlign w:val="center"/>
            <w:hideMark/>
          </w:tcPr>
          <w:p w14:paraId="62D4A51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12CD6F7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55%</w:t>
            </w:r>
          </w:p>
        </w:tc>
        <w:tc>
          <w:tcPr>
            <w:tcW w:w="965" w:type="dxa"/>
            <w:tcBorders>
              <w:top w:val="nil"/>
              <w:left w:val="nil"/>
              <w:bottom w:val="single" w:sz="4" w:space="0" w:color="auto"/>
              <w:right w:val="single" w:sz="4" w:space="0" w:color="auto"/>
            </w:tcBorders>
            <w:shd w:val="clear" w:color="auto" w:fill="auto"/>
            <w:vAlign w:val="center"/>
            <w:hideMark/>
          </w:tcPr>
          <w:p w14:paraId="6E391BF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FF2AB5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3BA530D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B5017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A94111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D60CA3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539990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DB0C30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EE136B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78E364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R-422C</w:t>
            </w:r>
          </w:p>
        </w:tc>
        <w:tc>
          <w:tcPr>
            <w:tcW w:w="1170" w:type="dxa"/>
            <w:tcBorders>
              <w:top w:val="nil"/>
              <w:left w:val="nil"/>
              <w:bottom w:val="single" w:sz="4" w:space="0" w:color="auto"/>
              <w:right w:val="nil"/>
            </w:tcBorders>
            <w:shd w:val="clear" w:color="auto" w:fill="auto"/>
            <w:vAlign w:val="center"/>
            <w:hideMark/>
          </w:tcPr>
          <w:p w14:paraId="15C5B65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F1BC7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1166" w:type="dxa"/>
            <w:tcBorders>
              <w:top w:val="nil"/>
              <w:left w:val="nil"/>
              <w:bottom w:val="single" w:sz="4" w:space="0" w:color="auto"/>
              <w:right w:val="single" w:sz="4" w:space="0" w:color="auto"/>
            </w:tcBorders>
            <w:shd w:val="clear" w:color="auto" w:fill="auto"/>
            <w:vAlign w:val="center"/>
            <w:hideMark/>
          </w:tcPr>
          <w:p w14:paraId="40D8014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39B6487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82%</w:t>
            </w:r>
          </w:p>
        </w:tc>
        <w:tc>
          <w:tcPr>
            <w:tcW w:w="965" w:type="dxa"/>
            <w:tcBorders>
              <w:top w:val="nil"/>
              <w:left w:val="nil"/>
              <w:bottom w:val="single" w:sz="4" w:space="0" w:color="auto"/>
              <w:right w:val="single" w:sz="4" w:space="0" w:color="auto"/>
            </w:tcBorders>
            <w:shd w:val="clear" w:color="auto" w:fill="auto"/>
            <w:vAlign w:val="center"/>
            <w:hideMark/>
          </w:tcPr>
          <w:p w14:paraId="21074CE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01F33C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38125A0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3144DE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CFD79D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33764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F175B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E2FE7E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A89016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0FD704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R-422D</w:t>
            </w:r>
          </w:p>
        </w:tc>
        <w:tc>
          <w:tcPr>
            <w:tcW w:w="1170" w:type="dxa"/>
            <w:tcBorders>
              <w:top w:val="nil"/>
              <w:left w:val="nil"/>
              <w:bottom w:val="single" w:sz="4" w:space="0" w:color="auto"/>
              <w:right w:val="nil"/>
            </w:tcBorders>
            <w:shd w:val="clear" w:color="auto" w:fill="auto"/>
            <w:vAlign w:val="center"/>
            <w:hideMark/>
          </w:tcPr>
          <w:p w14:paraId="55C97DE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EF070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3,40%</w:t>
            </w:r>
          </w:p>
        </w:tc>
        <w:tc>
          <w:tcPr>
            <w:tcW w:w="1166" w:type="dxa"/>
            <w:tcBorders>
              <w:top w:val="nil"/>
              <w:left w:val="nil"/>
              <w:bottom w:val="single" w:sz="4" w:space="0" w:color="auto"/>
              <w:right w:val="single" w:sz="4" w:space="0" w:color="auto"/>
            </w:tcBorders>
            <w:shd w:val="clear" w:color="auto" w:fill="auto"/>
            <w:vAlign w:val="center"/>
            <w:hideMark/>
          </w:tcPr>
          <w:p w14:paraId="45ECFB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2F8B38E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65,10%</w:t>
            </w:r>
          </w:p>
        </w:tc>
        <w:tc>
          <w:tcPr>
            <w:tcW w:w="965" w:type="dxa"/>
            <w:tcBorders>
              <w:top w:val="nil"/>
              <w:left w:val="nil"/>
              <w:bottom w:val="single" w:sz="4" w:space="0" w:color="auto"/>
              <w:right w:val="single" w:sz="4" w:space="0" w:color="auto"/>
            </w:tcBorders>
            <w:shd w:val="clear" w:color="auto" w:fill="auto"/>
            <w:vAlign w:val="center"/>
            <w:hideMark/>
          </w:tcPr>
          <w:p w14:paraId="0B13C22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00C14C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31,5%</w:t>
            </w:r>
          </w:p>
        </w:tc>
        <w:tc>
          <w:tcPr>
            <w:tcW w:w="960" w:type="dxa"/>
            <w:tcBorders>
              <w:top w:val="nil"/>
              <w:left w:val="nil"/>
              <w:bottom w:val="single" w:sz="4" w:space="0" w:color="auto"/>
              <w:right w:val="single" w:sz="4" w:space="0" w:color="auto"/>
            </w:tcBorders>
            <w:shd w:val="clear" w:color="auto" w:fill="auto"/>
            <w:vAlign w:val="center"/>
            <w:hideMark/>
          </w:tcPr>
          <w:p w14:paraId="3A8602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21A5A5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80888C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A743DF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687925D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AAE44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F4EE6D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507DC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R-422E</w:t>
            </w:r>
          </w:p>
        </w:tc>
        <w:tc>
          <w:tcPr>
            <w:tcW w:w="1170" w:type="dxa"/>
            <w:tcBorders>
              <w:top w:val="nil"/>
              <w:left w:val="nil"/>
              <w:bottom w:val="single" w:sz="4" w:space="0" w:color="auto"/>
              <w:right w:val="nil"/>
            </w:tcBorders>
            <w:shd w:val="clear" w:color="auto" w:fill="auto"/>
            <w:vAlign w:val="center"/>
            <w:hideMark/>
          </w:tcPr>
          <w:p w14:paraId="299D66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66975C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2,70%</w:t>
            </w:r>
          </w:p>
        </w:tc>
        <w:tc>
          <w:tcPr>
            <w:tcW w:w="1166" w:type="dxa"/>
            <w:tcBorders>
              <w:top w:val="nil"/>
              <w:left w:val="nil"/>
              <w:bottom w:val="single" w:sz="4" w:space="0" w:color="auto"/>
              <w:right w:val="single" w:sz="4" w:space="0" w:color="auto"/>
            </w:tcBorders>
            <w:shd w:val="clear" w:color="auto" w:fill="auto"/>
            <w:vAlign w:val="center"/>
            <w:hideMark/>
          </w:tcPr>
          <w:p w14:paraId="66D73D4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6A5700F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58%</w:t>
            </w:r>
          </w:p>
        </w:tc>
        <w:tc>
          <w:tcPr>
            <w:tcW w:w="965" w:type="dxa"/>
            <w:tcBorders>
              <w:top w:val="nil"/>
              <w:left w:val="nil"/>
              <w:bottom w:val="single" w:sz="4" w:space="0" w:color="auto"/>
              <w:right w:val="single" w:sz="4" w:space="0" w:color="auto"/>
            </w:tcBorders>
            <w:shd w:val="clear" w:color="auto" w:fill="auto"/>
            <w:vAlign w:val="center"/>
            <w:hideMark/>
          </w:tcPr>
          <w:p w14:paraId="26CE0A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77D43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39,3%</w:t>
            </w:r>
          </w:p>
        </w:tc>
        <w:tc>
          <w:tcPr>
            <w:tcW w:w="960" w:type="dxa"/>
            <w:tcBorders>
              <w:top w:val="nil"/>
              <w:left w:val="nil"/>
              <w:bottom w:val="single" w:sz="4" w:space="0" w:color="auto"/>
              <w:right w:val="single" w:sz="4" w:space="0" w:color="auto"/>
            </w:tcBorders>
            <w:shd w:val="clear" w:color="auto" w:fill="auto"/>
            <w:vAlign w:val="center"/>
            <w:hideMark/>
          </w:tcPr>
          <w:p w14:paraId="1514E14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141D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7CE622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398285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F5077F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D16D0A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5BDF84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0FB8A7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R-423A</w:t>
            </w:r>
          </w:p>
        </w:tc>
        <w:tc>
          <w:tcPr>
            <w:tcW w:w="1170" w:type="dxa"/>
            <w:tcBorders>
              <w:top w:val="nil"/>
              <w:left w:val="nil"/>
              <w:bottom w:val="single" w:sz="4" w:space="0" w:color="auto"/>
              <w:right w:val="nil"/>
            </w:tcBorders>
            <w:shd w:val="clear" w:color="auto" w:fill="auto"/>
            <w:vAlign w:val="center"/>
            <w:hideMark/>
          </w:tcPr>
          <w:p w14:paraId="4CFC03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2A79A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52,50%</w:t>
            </w:r>
          </w:p>
        </w:tc>
        <w:tc>
          <w:tcPr>
            <w:tcW w:w="1166" w:type="dxa"/>
            <w:tcBorders>
              <w:top w:val="nil"/>
              <w:left w:val="nil"/>
              <w:bottom w:val="single" w:sz="4" w:space="0" w:color="auto"/>
              <w:right w:val="single" w:sz="4" w:space="0" w:color="auto"/>
            </w:tcBorders>
            <w:shd w:val="clear" w:color="auto" w:fill="auto"/>
            <w:vAlign w:val="center"/>
            <w:hideMark/>
          </w:tcPr>
          <w:p w14:paraId="278A117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820" w:type="dxa"/>
            <w:tcBorders>
              <w:top w:val="nil"/>
              <w:left w:val="nil"/>
              <w:bottom w:val="single" w:sz="4" w:space="0" w:color="auto"/>
              <w:right w:val="single" w:sz="4" w:space="0" w:color="auto"/>
            </w:tcBorders>
            <w:shd w:val="clear" w:color="auto" w:fill="auto"/>
            <w:vAlign w:val="center"/>
            <w:hideMark/>
          </w:tcPr>
          <w:p w14:paraId="76CC468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47,50%</w:t>
            </w:r>
          </w:p>
        </w:tc>
        <w:tc>
          <w:tcPr>
            <w:tcW w:w="965" w:type="dxa"/>
            <w:tcBorders>
              <w:top w:val="nil"/>
              <w:left w:val="nil"/>
              <w:bottom w:val="single" w:sz="4" w:space="0" w:color="auto"/>
              <w:right w:val="single" w:sz="4" w:space="0" w:color="auto"/>
            </w:tcBorders>
            <w:shd w:val="clear" w:color="auto" w:fill="auto"/>
            <w:vAlign w:val="center"/>
            <w:hideMark/>
          </w:tcPr>
          <w:p w14:paraId="15B9F25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93036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F602F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DCD6A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A23E0D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D74A0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E3C0C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0AF077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52A854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3EAC7C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R-424A</w:t>
            </w:r>
          </w:p>
        </w:tc>
        <w:tc>
          <w:tcPr>
            <w:tcW w:w="1170" w:type="dxa"/>
            <w:tcBorders>
              <w:top w:val="nil"/>
              <w:left w:val="nil"/>
              <w:bottom w:val="single" w:sz="4" w:space="0" w:color="auto"/>
              <w:right w:val="nil"/>
            </w:tcBorders>
            <w:shd w:val="clear" w:color="auto" w:fill="auto"/>
            <w:vAlign w:val="center"/>
            <w:hideMark/>
          </w:tcPr>
          <w:p w14:paraId="00FE43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5D5BE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w:t>
            </w:r>
          </w:p>
        </w:tc>
        <w:tc>
          <w:tcPr>
            <w:tcW w:w="1166" w:type="dxa"/>
            <w:tcBorders>
              <w:top w:val="nil"/>
              <w:left w:val="nil"/>
              <w:bottom w:val="single" w:sz="4" w:space="0" w:color="auto"/>
              <w:right w:val="single" w:sz="4" w:space="0" w:color="auto"/>
            </w:tcBorders>
            <w:shd w:val="clear" w:color="auto" w:fill="auto"/>
            <w:vAlign w:val="center"/>
            <w:hideMark/>
          </w:tcPr>
          <w:p w14:paraId="599C4F6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820" w:type="dxa"/>
            <w:tcBorders>
              <w:top w:val="nil"/>
              <w:left w:val="nil"/>
              <w:bottom w:val="single" w:sz="4" w:space="0" w:color="auto"/>
              <w:right w:val="single" w:sz="4" w:space="0" w:color="auto"/>
            </w:tcBorders>
            <w:shd w:val="clear" w:color="auto" w:fill="auto"/>
            <w:vAlign w:val="center"/>
            <w:hideMark/>
          </w:tcPr>
          <w:p w14:paraId="5C9F835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0,90%</w:t>
            </w:r>
          </w:p>
        </w:tc>
        <w:tc>
          <w:tcPr>
            <w:tcW w:w="965" w:type="dxa"/>
            <w:tcBorders>
              <w:top w:val="nil"/>
              <w:left w:val="nil"/>
              <w:bottom w:val="single" w:sz="4" w:space="0" w:color="auto"/>
              <w:right w:val="single" w:sz="4" w:space="0" w:color="auto"/>
            </w:tcBorders>
            <w:shd w:val="clear" w:color="auto" w:fill="auto"/>
            <w:vAlign w:val="center"/>
            <w:hideMark/>
          </w:tcPr>
          <w:p w14:paraId="6E7D88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HC-601a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0EA7AA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w:t>
            </w:r>
          </w:p>
        </w:tc>
        <w:tc>
          <w:tcPr>
            <w:tcW w:w="960" w:type="dxa"/>
            <w:tcBorders>
              <w:top w:val="nil"/>
              <w:left w:val="nil"/>
              <w:bottom w:val="single" w:sz="4" w:space="0" w:color="auto"/>
              <w:right w:val="single" w:sz="4" w:space="0" w:color="auto"/>
            </w:tcBorders>
            <w:shd w:val="clear" w:color="auto" w:fill="auto"/>
            <w:vAlign w:val="center"/>
            <w:hideMark/>
          </w:tcPr>
          <w:p w14:paraId="1E71398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8B7F0F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50,5%</w:t>
            </w:r>
          </w:p>
        </w:tc>
        <w:tc>
          <w:tcPr>
            <w:tcW w:w="960" w:type="dxa"/>
            <w:tcBorders>
              <w:top w:val="nil"/>
              <w:left w:val="nil"/>
              <w:bottom w:val="single" w:sz="4" w:space="0" w:color="auto"/>
              <w:right w:val="single" w:sz="4" w:space="0" w:color="auto"/>
            </w:tcBorders>
            <w:shd w:val="clear" w:color="auto" w:fill="auto"/>
            <w:vAlign w:val="center"/>
            <w:hideMark/>
          </w:tcPr>
          <w:p w14:paraId="43A40B2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597" w:type="dxa"/>
            <w:tcBorders>
              <w:top w:val="nil"/>
              <w:left w:val="nil"/>
              <w:bottom w:val="single" w:sz="4" w:space="0" w:color="auto"/>
              <w:right w:val="single" w:sz="4" w:space="0" w:color="auto"/>
            </w:tcBorders>
            <w:shd w:val="clear" w:color="auto" w:fill="auto"/>
            <w:vAlign w:val="center"/>
            <w:hideMark/>
          </w:tcPr>
          <w:p w14:paraId="074D6FE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47%</w:t>
            </w:r>
          </w:p>
        </w:tc>
        <w:tc>
          <w:tcPr>
            <w:tcW w:w="706" w:type="dxa"/>
            <w:tcBorders>
              <w:top w:val="nil"/>
              <w:left w:val="nil"/>
              <w:bottom w:val="single" w:sz="4" w:space="0" w:color="auto"/>
              <w:right w:val="single" w:sz="4" w:space="0" w:color="auto"/>
            </w:tcBorders>
            <w:shd w:val="clear" w:color="auto" w:fill="auto"/>
            <w:vAlign w:val="center"/>
            <w:hideMark/>
          </w:tcPr>
          <w:p w14:paraId="40CBA1E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F0DF2D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B494D0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B4837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R-425A</w:t>
            </w:r>
          </w:p>
        </w:tc>
        <w:tc>
          <w:tcPr>
            <w:tcW w:w="1170" w:type="dxa"/>
            <w:tcBorders>
              <w:top w:val="nil"/>
              <w:left w:val="nil"/>
              <w:bottom w:val="single" w:sz="4" w:space="0" w:color="auto"/>
              <w:right w:val="nil"/>
            </w:tcBorders>
            <w:shd w:val="clear" w:color="auto" w:fill="auto"/>
            <w:vAlign w:val="center"/>
            <w:hideMark/>
          </w:tcPr>
          <w:p w14:paraId="5C87397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B47AF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69,50%</w:t>
            </w:r>
          </w:p>
        </w:tc>
        <w:tc>
          <w:tcPr>
            <w:tcW w:w="1166" w:type="dxa"/>
            <w:tcBorders>
              <w:top w:val="nil"/>
              <w:left w:val="nil"/>
              <w:bottom w:val="single" w:sz="4" w:space="0" w:color="auto"/>
              <w:right w:val="single" w:sz="4" w:space="0" w:color="auto"/>
            </w:tcBorders>
            <w:shd w:val="clear" w:color="auto" w:fill="auto"/>
            <w:vAlign w:val="center"/>
            <w:hideMark/>
          </w:tcPr>
          <w:p w14:paraId="08DF70A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820" w:type="dxa"/>
            <w:tcBorders>
              <w:top w:val="nil"/>
              <w:left w:val="nil"/>
              <w:bottom w:val="single" w:sz="4" w:space="0" w:color="auto"/>
              <w:right w:val="single" w:sz="4" w:space="0" w:color="auto"/>
            </w:tcBorders>
            <w:shd w:val="clear" w:color="auto" w:fill="auto"/>
            <w:vAlign w:val="center"/>
            <w:hideMark/>
          </w:tcPr>
          <w:p w14:paraId="7EF0FB8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w:t>
            </w:r>
          </w:p>
        </w:tc>
        <w:tc>
          <w:tcPr>
            <w:tcW w:w="965" w:type="dxa"/>
            <w:tcBorders>
              <w:top w:val="nil"/>
              <w:left w:val="nil"/>
              <w:bottom w:val="single" w:sz="4" w:space="0" w:color="auto"/>
              <w:right w:val="single" w:sz="4" w:space="0" w:color="auto"/>
            </w:tcBorders>
            <w:shd w:val="clear" w:color="auto" w:fill="auto"/>
            <w:vAlign w:val="center"/>
            <w:hideMark/>
          </w:tcPr>
          <w:p w14:paraId="7DEF1DF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95EAE7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18,5%</w:t>
            </w:r>
          </w:p>
        </w:tc>
        <w:tc>
          <w:tcPr>
            <w:tcW w:w="960" w:type="dxa"/>
            <w:tcBorders>
              <w:top w:val="nil"/>
              <w:left w:val="nil"/>
              <w:bottom w:val="single" w:sz="4" w:space="0" w:color="auto"/>
              <w:right w:val="single" w:sz="4" w:space="0" w:color="auto"/>
            </w:tcBorders>
            <w:shd w:val="clear" w:color="auto" w:fill="auto"/>
            <w:vAlign w:val="center"/>
            <w:hideMark/>
          </w:tcPr>
          <w:p w14:paraId="20578AD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76D0E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E39AD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5C790D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40BA8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E3D935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47D6CE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61D3E7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R-426A</w:t>
            </w:r>
          </w:p>
        </w:tc>
        <w:tc>
          <w:tcPr>
            <w:tcW w:w="1170" w:type="dxa"/>
            <w:tcBorders>
              <w:top w:val="nil"/>
              <w:left w:val="nil"/>
              <w:bottom w:val="single" w:sz="4" w:space="0" w:color="auto"/>
              <w:right w:val="nil"/>
            </w:tcBorders>
            <w:shd w:val="clear" w:color="auto" w:fill="auto"/>
            <w:vAlign w:val="center"/>
            <w:hideMark/>
          </w:tcPr>
          <w:p w14:paraId="2AF240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A94321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1,30%</w:t>
            </w:r>
          </w:p>
        </w:tc>
        <w:tc>
          <w:tcPr>
            <w:tcW w:w="1166" w:type="dxa"/>
            <w:tcBorders>
              <w:top w:val="nil"/>
              <w:left w:val="nil"/>
              <w:bottom w:val="single" w:sz="4" w:space="0" w:color="auto"/>
              <w:right w:val="single" w:sz="4" w:space="0" w:color="auto"/>
            </w:tcBorders>
            <w:shd w:val="clear" w:color="auto" w:fill="auto"/>
            <w:vAlign w:val="center"/>
            <w:hideMark/>
          </w:tcPr>
          <w:p w14:paraId="1251B9D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HC-601a</w:t>
            </w:r>
          </w:p>
        </w:tc>
        <w:tc>
          <w:tcPr>
            <w:tcW w:w="820" w:type="dxa"/>
            <w:tcBorders>
              <w:top w:val="nil"/>
              <w:left w:val="nil"/>
              <w:bottom w:val="single" w:sz="4" w:space="0" w:color="auto"/>
              <w:right w:val="single" w:sz="4" w:space="0" w:color="auto"/>
            </w:tcBorders>
            <w:shd w:val="clear" w:color="auto" w:fill="auto"/>
            <w:vAlign w:val="center"/>
            <w:hideMark/>
          </w:tcPr>
          <w:p w14:paraId="6452B2F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965" w:type="dxa"/>
            <w:tcBorders>
              <w:top w:val="nil"/>
              <w:left w:val="nil"/>
              <w:bottom w:val="single" w:sz="4" w:space="0" w:color="auto"/>
              <w:right w:val="single" w:sz="4" w:space="0" w:color="auto"/>
            </w:tcBorders>
            <w:shd w:val="clear" w:color="auto" w:fill="auto"/>
            <w:vAlign w:val="center"/>
            <w:hideMark/>
          </w:tcPr>
          <w:p w14:paraId="53A8630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DEAFCD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5,10%</w:t>
            </w:r>
          </w:p>
        </w:tc>
        <w:tc>
          <w:tcPr>
            <w:tcW w:w="960" w:type="dxa"/>
            <w:tcBorders>
              <w:top w:val="nil"/>
              <w:left w:val="nil"/>
              <w:bottom w:val="single" w:sz="4" w:space="0" w:color="auto"/>
              <w:right w:val="single" w:sz="4" w:space="0" w:color="auto"/>
            </w:tcBorders>
            <w:shd w:val="clear" w:color="auto" w:fill="auto"/>
            <w:vAlign w:val="center"/>
            <w:hideMark/>
          </w:tcPr>
          <w:p w14:paraId="3AF1EDD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E3F0E9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93%</w:t>
            </w:r>
          </w:p>
        </w:tc>
        <w:tc>
          <w:tcPr>
            <w:tcW w:w="960" w:type="dxa"/>
            <w:tcBorders>
              <w:top w:val="nil"/>
              <w:left w:val="nil"/>
              <w:bottom w:val="single" w:sz="4" w:space="0" w:color="auto"/>
              <w:right w:val="single" w:sz="4" w:space="0" w:color="auto"/>
            </w:tcBorders>
            <w:shd w:val="clear" w:color="auto" w:fill="auto"/>
            <w:vAlign w:val="center"/>
            <w:hideMark/>
          </w:tcPr>
          <w:p w14:paraId="041F0EB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6838E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7006EA5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4588F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2C2078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AC70EF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R-427A</w:t>
            </w:r>
          </w:p>
        </w:tc>
        <w:tc>
          <w:tcPr>
            <w:tcW w:w="1170" w:type="dxa"/>
            <w:tcBorders>
              <w:top w:val="nil"/>
              <w:left w:val="nil"/>
              <w:bottom w:val="single" w:sz="4" w:space="0" w:color="auto"/>
              <w:right w:val="nil"/>
            </w:tcBorders>
            <w:shd w:val="clear" w:color="auto" w:fill="auto"/>
            <w:vAlign w:val="center"/>
            <w:hideMark/>
          </w:tcPr>
          <w:p w14:paraId="0196E7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3D54A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6CE460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10572D2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965" w:type="dxa"/>
            <w:tcBorders>
              <w:top w:val="nil"/>
              <w:left w:val="nil"/>
              <w:bottom w:val="single" w:sz="4" w:space="0" w:color="auto"/>
              <w:right w:val="single" w:sz="4" w:space="0" w:color="auto"/>
            </w:tcBorders>
            <w:shd w:val="clear" w:color="auto" w:fill="auto"/>
            <w:vAlign w:val="center"/>
            <w:hideMark/>
          </w:tcPr>
          <w:p w14:paraId="7B6C5C8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HFC-143a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2690B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6D89B4A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6E39EF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75573E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F0E583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45AE6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E3C84D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2402552"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8A869F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R-428A</w:t>
            </w:r>
          </w:p>
        </w:tc>
        <w:tc>
          <w:tcPr>
            <w:tcW w:w="1170" w:type="dxa"/>
            <w:tcBorders>
              <w:top w:val="nil"/>
              <w:left w:val="nil"/>
              <w:bottom w:val="single" w:sz="4" w:space="0" w:color="auto"/>
              <w:right w:val="nil"/>
            </w:tcBorders>
            <w:shd w:val="clear" w:color="auto" w:fill="auto"/>
            <w:vAlign w:val="center"/>
            <w:hideMark/>
          </w:tcPr>
          <w:p w14:paraId="4FF5F5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9EA827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1166" w:type="dxa"/>
            <w:tcBorders>
              <w:top w:val="nil"/>
              <w:left w:val="nil"/>
              <w:bottom w:val="single" w:sz="4" w:space="0" w:color="auto"/>
              <w:right w:val="single" w:sz="4" w:space="0" w:color="auto"/>
            </w:tcBorders>
            <w:shd w:val="clear" w:color="auto" w:fill="auto"/>
            <w:vAlign w:val="center"/>
            <w:hideMark/>
          </w:tcPr>
          <w:p w14:paraId="249ADDE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820" w:type="dxa"/>
            <w:tcBorders>
              <w:top w:val="nil"/>
              <w:left w:val="nil"/>
              <w:bottom w:val="single" w:sz="4" w:space="0" w:color="auto"/>
              <w:right w:val="single" w:sz="4" w:space="0" w:color="auto"/>
            </w:tcBorders>
            <w:shd w:val="clear" w:color="auto" w:fill="auto"/>
            <w:vAlign w:val="center"/>
            <w:hideMark/>
          </w:tcPr>
          <w:p w14:paraId="643EB66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1,90%</w:t>
            </w:r>
          </w:p>
        </w:tc>
        <w:tc>
          <w:tcPr>
            <w:tcW w:w="965" w:type="dxa"/>
            <w:tcBorders>
              <w:top w:val="nil"/>
              <w:left w:val="nil"/>
              <w:bottom w:val="single" w:sz="4" w:space="0" w:color="auto"/>
              <w:right w:val="single" w:sz="4" w:space="0" w:color="auto"/>
            </w:tcBorders>
            <w:shd w:val="clear" w:color="auto" w:fill="auto"/>
            <w:vAlign w:val="center"/>
            <w:hideMark/>
          </w:tcPr>
          <w:p w14:paraId="54E7CF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1FA5E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77,5%</w:t>
            </w:r>
          </w:p>
        </w:tc>
        <w:tc>
          <w:tcPr>
            <w:tcW w:w="960" w:type="dxa"/>
            <w:tcBorders>
              <w:top w:val="nil"/>
              <w:left w:val="nil"/>
              <w:bottom w:val="single" w:sz="4" w:space="0" w:color="auto"/>
              <w:right w:val="single" w:sz="4" w:space="0" w:color="auto"/>
            </w:tcBorders>
            <w:shd w:val="clear" w:color="auto" w:fill="auto"/>
            <w:vAlign w:val="center"/>
            <w:hideMark/>
          </w:tcPr>
          <w:p w14:paraId="452BCE8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9FF64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5FB8C43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E4C161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7F885B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42D8B2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5A1FC2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1E47F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R-429A</w:t>
            </w:r>
          </w:p>
        </w:tc>
        <w:tc>
          <w:tcPr>
            <w:tcW w:w="1170" w:type="dxa"/>
            <w:tcBorders>
              <w:top w:val="nil"/>
              <w:left w:val="nil"/>
              <w:bottom w:val="single" w:sz="4" w:space="0" w:color="auto"/>
              <w:right w:val="nil"/>
            </w:tcBorders>
            <w:shd w:val="clear" w:color="auto" w:fill="auto"/>
            <w:vAlign w:val="center"/>
            <w:hideMark/>
          </w:tcPr>
          <w:p w14:paraId="7601DA5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0234AE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30%</w:t>
            </w:r>
          </w:p>
        </w:tc>
        <w:tc>
          <w:tcPr>
            <w:tcW w:w="1166" w:type="dxa"/>
            <w:tcBorders>
              <w:top w:val="nil"/>
              <w:left w:val="nil"/>
              <w:bottom w:val="single" w:sz="4" w:space="0" w:color="auto"/>
              <w:right w:val="single" w:sz="4" w:space="0" w:color="auto"/>
            </w:tcBorders>
            <w:shd w:val="clear" w:color="auto" w:fill="auto"/>
            <w:vAlign w:val="center"/>
            <w:hideMark/>
          </w:tcPr>
          <w:p w14:paraId="24FD320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HCE-170</w:t>
            </w:r>
          </w:p>
        </w:tc>
        <w:tc>
          <w:tcPr>
            <w:tcW w:w="820" w:type="dxa"/>
            <w:tcBorders>
              <w:top w:val="nil"/>
              <w:left w:val="nil"/>
              <w:bottom w:val="single" w:sz="4" w:space="0" w:color="auto"/>
              <w:right w:val="single" w:sz="4" w:space="0" w:color="auto"/>
            </w:tcBorders>
            <w:shd w:val="clear" w:color="auto" w:fill="auto"/>
            <w:vAlign w:val="center"/>
            <w:hideMark/>
          </w:tcPr>
          <w:p w14:paraId="2075BDB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60%</w:t>
            </w:r>
          </w:p>
        </w:tc>
        <w:tc>
          <w:tcPr>
            <w:tcW w:w="965" w:type="dxa"/>
            <w:tcBorders>
              <w:top w:val="nil"/>
              <w:left w:val="nil"/>
              <w:bottom w:val="single" w:sz="4" w:space="0" w:color="auto"/>
              <w:right w:val="single" w:sz="4" w:space="0" w:color="auto"/>
            </w:tcBorders>
            <w:shd w:val="clear" w:color="auto" w:fill="auto"/>
            <w:vAlign w:val="center"/>
            <w:hideMark/>
          </w:tcPr>
          <w:p w14:paraId="5FFB062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C2780E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5289C28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9F801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A529A5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DF7671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73A269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CE704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B4B87B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53383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lastRenderedPageBreak/>
              <w:t>R-430A</w:t>
            </w:r>
          </w:p>
        </w:tc>
        <w:tc>
          <w:tcPr>
            <w:tcW w:w="1170" w:type="dxa"/>
            <w:tcBorders>
              <w:top w:val="nil"/>
              <w:left w:val="nil"/>
              <w:bottom w:val="single" w:sz="4" w:space="0" w:color="auto"/>
              <w:right w:val="nil"/>
            </w:tcBorders>
            <w:shd w:val="clear" w:color="auto" w:fill="auto"/>
            <w:vAlign w:val="center"/>
            <w:hideMark/>
          </w:tcPr>
          <w:p w14:paraId="0DA14E5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047DCD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24%</w:t>
            </w:r>
          </w:p>
        </w:tc>
        <w:tc>
          <w:tcPr>
            <w:tcW w:w="1166" w:type="dxa"/>
            <w:tcBorders>
              <w:top w:val="nil"/>
              <w:left w:val="nil"/>
              <w:bottom w:val="single" w:sz="4" w:space="0" w:color="auto"/>
              <w:right w:val="single" w:sz="4" w:space="0" w:color="auto"/>
            </w:tcBorders>
            <w:shd w:val="clear" w:color="auto" w:fill="auto"/>
            <w:vAlign w:val="center"/>
            <w:hideMark/>
          </w:tcPr>
          <w:p w14:paraId="5FF0E20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371BF4E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76%</w:t>
            </w:r>
          </w:p>
        </w:tc>
        <w:tc>
          <w:tcPr>
            <w:tcW w:w="965" w:type="dxa"/>
            <w:tcBorders>
              <w:top w:val="nil"/>
              <w:left w:val="nil"/>
              <w:bottom w:val="single" w:sz="4" w:space="0" w:color="auto"/>
              <w:right w:val="single" w:sz="4" w:space="0" w:color="auto"/>
            </w:tcBorders>
            <w:shd w:val="clear" w:color="auto" w:fill="auto"/>
            <w:vAlign w:val="center"/>
            <w:hideMark/>
          </w:tcPr>
          <w:p w14:paraId="468FC3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449D1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EFF497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2B37C2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AAFD2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619C7F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6190B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9E0ACA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05D27AC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BA228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R-431A</w:t>
            </w:r>
          </w:p>
        </w:tc>
        <w:tc>
          <w:tcPr>
            <w:tcW w:w="1170" w:type="dxa"/>
            <w:tcBorders>
              <w:top w:val="nil"/>
              <w:left w:val="nil"/>
              <w:bottom w:val="single" w:sz="4" w:space="0" w:color="auto"/>
              <w:right w:val="nil"/>
            </w:tcBorders>
            <w:shd w:val="clear" w:color="auto" w:fill="auto"/>
            <w:vAlign w:val="center"/>
            <w:hideMark/>
          </w:tcPr>
          <w:p w14:paraId="76EF4F5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C3442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71%</w:t>
            </w:r>
          </w:p>
        </w:tc>
        <w:tc>
          <w:tcPr>
            <w:tcW w:w="1166" w:type="dxa"/>
            <w:tcBorders>
              <w:top w:val="nil"/>
              <w:left w:val="nil"/>
              <w:bottom w:val="single" w:sz="4" w:space="0" w:color="auto"/>
              <w:right w:val="single" w:sz="4" w:space="0" w:color="auto"/>
            </w:tcBorders>
            <w:shd w:val="clear" w:color="auto" w:fill="auto"/>
            <w:vAlign w:val="center"/>
            <w:hideMark/>
          </w:tcPr>
          <w:p w14:paraId="3F1B33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11868A4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29%</w:t>
            </w:r>
          </w:p>
        </w:tc>
        <w:tc>
          <w:tcPr>
            <w:tcW w:w="965" w:type="dxa"/>
            <w:tcBorders>
              <w:top w:val="nil"/>
              <w:left w:val="nil"/>
              <w:bottom w:val="single" w:sz="4" w:space="0" w:color="auto"/>
              <w:right w:val="single" w:sz="4" w:space="0" w:color="auto"/>
            </w:tcBorders>
            <w:shd w:val="clear" w:color="auto" w:fill="auto"/>
            <w:vAlign w:val="center"/>
            <w:hideMark/>
          </w:tcPr>
          <w:p w14:paraId="7174A71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3A94D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96BD4C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8CF326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FCE99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3D5416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73C0CE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5C6C72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0DF4FA6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6BD282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R-434A</w:t>
            </w:r>
          </w:p>
        </w:tc>
        <w:tc>
          <w:tcPr>
            <w:tcW w:w="1170" w:type="dxa"/>
            <w:tcBorders>
              <w:top w:val="nil"/>
              <w:left w:val="nil"/>
              <w:bottom w:val="single" w:sz="4" w:space="0" w:color="auto"/>
              <w:right w:val="nil"/>
            </w:tcBorders>
            <w:shd w:val="clear" w:color="auto" w:fill="auto"/>
            <w:vAlign w:val="center"/>
            <w:hideMark/>
          </w:tcPr>
          <w:p w14:paraId="51BAC77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5833C4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2,80%</w:t>
            </w:r>
          </w:p>
        </w:tc>
        <w:tc>
          <w:tcPr>
            <w:tcW w:w="1166" w:type="dxa"/>
            <w:tcBorders>
              <w:top w:val="nil"/>
              <w:left w:val="nil"/>
              <w:bottom w:val="single" w:sz="4" w:space="0" w:color="auto"/>
              <w:right w:val="single" w:sz="4" w:space="0" w:color="auto"/>
            </w:tcBorders>
            <w:shd w:val="clear" w:color="auto" w:fill="auto"/>
            <w:vAlign w:val="center"/>
            <w:hideMark/>
          </w:tcPr>
          <w:p w14:paraId="16AD63E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14DDD65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63,20%</w:t>
            </w:r>
          </w:p>
        </w:tc>
        <w:tc>
          <w:tcPr>
            <w:tcW w:w="965" w:type="dxa"/>
            <w:tcBorders>
              <w:top w:val="nil"/>
              <w:left w:val="nil"/>
              <w:bottom w:val="single" w:sz="4" w:space="0" w:color="auto"/>
              <w:right w:val="single" w:sz="4" w:space="0" w:color="auto"/>
            </w:tcBorders>
            <w:shd w:val="clear" w:color="auto" w:fill="auto"/>
            <w:vAlign w:val="center"/>
            <w:hideMark/>
          </w:tcPr>
          <w:p w14:paraId="1D75213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187679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329DB8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HFC-143a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7CD9C8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55FB5EE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774BF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4D133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8BA4B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DFF25B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A37AFE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R-435A</w:t>
            </w:r>
          </w:p>
        </w:tc>
        <w:tc>
          <w:tcPr>
            <w:tcW w:w="1170" w:type="dxa"/>
            <w:tcBorders>
              <w:top w:val="nil"/>
              <w:left w:val="nil"/>
              <w:bottom w:val="single" w:sz="4" w:space="0" w:color="auto"/>
              <w:right w:val="nil"/>
            </w:tcBorders>
            <w:shd w:val="clear" w:color="auto" w:fill="auto"/>
            <w:vAlign w:val="center"/>
            <w:hideMark/>
          </w:tcPr>
          <w:p w14:paraId="1564841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HCE-170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2B54C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80%</w:t>
            </w:r>
          </w:p>
        </w:tc>
        <w:tc>
          <w:tcPr>
            <w:tcW w:w="1166" w:type="dxa"/>
            <w:tcBorders>
              <w:top w:val="nil"/>
              <w:left w:val="nil"/>
              <w:bottom w:val="single" w:sz="4" w:space="0" w:color="auto"/>
              <w:right w:val="single" w:sz="4" w:space="0" w:color="auto"/>
            </w:tcBorders>
            <w:shd w:val="clear" w:color="auto" w:fill="auto"/>
            <w:vAlign w:val="center"/>
            <w:hideMark/>
          </w:tcPr>
          <w:p w14:paraId="355FE62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3B0E39A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5" w:type="dxa"/>
            <w:tcBorders>
              <w:top w:val="nil"/>
              <w:left w:val="nil"/>
              <w:bottom w:val="single" w:sz="4" w:space="0" w:color="auto"/>
              <w:right w:val="single" w:sz="4" w:space="0" w:color="auto"/>
            </w:tcBorders>
            <w:shd w:val="clear" w:color="auto" w:fill="auto"/>
            <w:vAlign w:val="center"/>
            <w:hideMark/>
          </w:tcPr>
          <w:p w14:paraId="2BC72F7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375842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E5AEF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9987D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9FC83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73EEB1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3CDBF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732AC0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3258B8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056EA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R-437A</w:t>
            </w:r>
          </w:p>
        </w:tc>
        <w:tc>
          <w:tcPr>
            <w:tcW w:w="1170" w:type="dxa"/>
            <w:tcBorders>
              <w:top w:val="nil"/>
              <w:left w:val="nil"/>
              <w:bottom w:val="single" w:sz="4" w:space="0" w:color="auto"/>
              <w:right w:val="nil"/>
            </w:tcBorders>
            <w:shd w:val="clear" w:color="auto" w:fill="auto"/>
            <w:vAlign w:val="center"/>
            <w:hideMark/>
          </w:tcPr>
          <w:p w14:paraId="31607E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DEC782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1,40%</w:t>
            </w:r>
          </w:p>
        </w:tc>
        <w:tc>
          <w:tcPr>
            <w:tcW w:w="1166" w:type="dxa"/>
            <w:tcBorders>
              <w:top w:val="nil"/>
              <w:left w:val="nil"/>
              <w:bottom w:val="single" w:sz="4" w:space="0" w:color="auto"/>
              <w:right w:val="single" w:sz="4" w:space="0" w:color="auto"/>
            </w:tcBorders>
            <w:shd w:val="clear" w:color="auto" w:fill="auto"/>
            <w:vAlign w:val="center"/>
            <w:hideMark/>
          </w:tcPr>
          <w:p w14:paraId="53C949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HC-601</w:t>
            </w:r>
          </w:p>
        </w:tc>
        <w:tc>
          <w:tcPr>
            <w:tcW w:w="820" w:type="dxa"/>
            <w:tcBorders>
              <w:top w:val="nil"/>
              <w:left w:val="nil"/>
              <w:bottom w:val="single" w:sz="4" w:space="0" w:color="auto"/>
              <w:right w:val="single" w:sz="4" w:space="0" w:color="auto"/>
            </w:tcBorders>
            <w:shd w:val="clear" w:color="auto" w:fill="auto"/>
            <w:vAlign w:val="center"/>
            <w:hideMark/>
          </w:tcPr>
          <w:p w14:paraId="6C1C5AD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965" w:type="dxa"/>
            <w:tcBorders>
              <w:top w:val="nil"/>
              <w:left w:val="nil"/>
              <w:bottom w:val="single" w:sz="4" w:space="0" w:color="auto"/>
              <w:right w:val="single" w:sz="4" w:space="0" w:color="auto"/>
            </w:tcBorders>
            <w:shd w:val="clear" w:color="auto" w:fill="auto"/>
            <w:vAlign w:val="center"/>
            <w:hideMark/>
          </w:tcPr>
          <w:p w14:paraId="16D516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7CC77F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19,5%</w:t>
            </w:r>
          </w:p>
        </w:tc>
        <w:tc>
          <w:tcPr>
            <w:tcW w:w="960" w:type="dxa"/>
            <w:tcBorders>
              <w:top w:val="nil"/>
              <w:left w:val="nil"/>
              <w:bottom w:val="single" w:sz="4" w:space="0" w:color="auto"/>
              <w:right w:val="single" w:sz="4" w:space="0" w:color="auto"/>
            </w:tcBorders>
            <w:shd w:val="clear" w:color="auto" w:fill="auto"/>
            <w:vAlign w:val="center"/>
            <w:hideMark/>
          </w:tcPr>
          <w:p w14:paraId="4A237EF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ECBD9EC" w14:textId="77777777" w:rsidR="00232FF7" w:rsidRPr="00DF4BB7" w:rsidRDefault="006451A1" w:rsidP="006451A1">
            <w:pPr>
              <w:spacing w:after="0" w:line="240" w:lineRule="auto"/>
              <w:ind w:left="-216"/>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78,5%</w:t>
            </w:r>
          </w:p>
        </w:tc>
        <w:tc>
          <w:tcPr>
            <w:tcW w:w="960" w:type="dxa"/>
            <w:tcBorders>
              <w:top w:val="nil"/>
              <w:left w:val="nil"/>
              <w:bottom w:val="single" w:sz="4" w:space="0" w:color="auto"/>
              <w:right w:val="single" w:sz="4" w:space="0" w:color="auto"/>
            </w:tcBorders>
            <w:shd w:val="clear" w:color="auto" w:fill="auto"/>
            <w:vAlign w:val="center"/>
            <w:hideMark/>
          </w:tcPr>
          <w:p w14:paraId="7D74120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8E50BA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5FC256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533112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899BEA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66F17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R-438A</w:t>
            </w:r>
          </w:p>
        </w:tc>
        <w:tc>
          <w:tcPr>
            <w:tcW w:w="1170" w:type="dxa"/>
            <w:tcBorders>
              <w:top w:val="nil"/>
              <w:left w:val="nil"/>
              <w:bottom w:val="single" w:sz="4" w:space="0" w:color="auto"/>
              <w:right w:val="nil"/>
            </w:tcBorders>
            <w:shd w:val="clear" w:color="auto" w:fill="auto"/>
            <w:vAlign w:val="center"/>
            <w:hideMark/>
          </w:tcPr>
          <w:p w14:paraId="024A554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B524C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1,70%</w:t>
            </w:r>
          </w:p>
        </w:tc>
        <w:tc>
          <w:tcPr>
            <w:tcW w:w="1166" w:type="dxa"/>
            <w:tcBorders>
              <w:top w:val="nil"/>
              <w:left w:val="nil"/>
              <w:bottom w:val="single" w:sz="4" w:space="0" w:color="auto"/>
              <w:right w:val="single" w:sz="4" w:space="0" w:color="auto"/>
            </w:tcBorders>
            <w:shd w:val="clear" w:color="auto" w:fill="auto"/>
            <w:vAlign w:val="center"/>
            <w:hideMark/>
          </w:tcPr>
          <w:p w14:paraId="584FFC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HC-601a</w:t>
            </w:r>
          </w:p>
        </w:tc>
        <w:tc>
          <w:tcPr>
            <w:tcW w:w="820" w:type="dxa"/>
            <w:tcBorders>
              <w:top w:val="nil"/>
              <w:left w:val="nil"/>
              <w:bottom w:val="single" w:sz="4" w:space="0" w:color="auto"/>
              <w:right w:val="single" w:sz="4" w:space="0" w:color="auto"/>
            </w:tcBorders>
            <w:shd w:val="clear" w:color="auto" w:fill="auto"/>
            <w:vAlign w:val="center"/>
            <w:hideMark/>
          </w:tcPr>
          <w:p w14:paraId="0F8DD31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965" w:type="dxa"/>
            <w:tcBorders>
              <w:top w:val="nil"/>
              <w:left w:val="nil"/>
              <w:bottom w:val="single" w:sz="4" w:space="0" w:color="auto"/>
              <w:right w:val="single" w:sz="4" w:space="0" w:color="auto"/>
            </w:tcBorders>
            <w:shd w:val="clear" w:color="auto" w:fill="auto"/>
            <w:vAlign w:val="center"/>
            <w:hideMark/>
          </w:tcPr>
          <w:p w14:paraId="4EE7BB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B1796A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45%</w:t>
            </w:r>
          </w:p>
        </w:tc>
        <w:tc>
          <w:tcPr>
            <w:tcW w:w="960" w:type="dxa"/>
            <w:tcBorders>
              <w:top w:val="nil"/>
              <w:left w:val="nil"/>
              <w:bottom w:val="single" w:sz="4" w:space="0" w:color="auto"/>
              <w:right w:val="single" w:sz="4" w:space="0" w:color="auto"/>
            </w:tcBorders>
            <w:shd w:val="clear" w:color="auto" w:fill="auto"/>
            <w:vAlign w:val="center"/>
            <w:hideMark/>
          </w:tcPr>
          <w:p w14:paraId="42FBE82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05E553" w14:textId="77777777" w:rsidR="00232FF7" w:rsidRPr="00DF4BB7" w:rsidRDefault="00232FF7" w:rsidP="006451A1">
            <w:pPr>
              <w:spacing w:after="0" w:line="240" w:lineRule="auto"/>
              <w:ind w:left="-216"/>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44,20%</w:t>
            </w:r>
          </w:p>
        </w:tc>
        <w:tc>
          <w:tcPr>
            <w:tcW w:w="960" w:type="dxa"/>
            <w:tcBorders>
              <w:top w:val="nil"/>
              <w:left w:val="nil"/>
              <w:bottom w:val="single" w:sz="4" w:space="0" w:color="auto"/>
              <w:right w:val="single" w:sz="4" w:space="0" w:color="auto"/>
            </w:tcBorders>
            <w:shd w:val="clear" w:color="auto" w:fill="auto"/>
            <w:vAlign w:val="center"/>
            <w:hideMark/>
          </w:tcPr>
          <w:p w14:paraId="5E3B941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7" w:type="dxa"/>
            <w:tcBorders>
              <w:top w:val="nil"/>
              <w:left w:val="nil"/>
              <w:bottom w:val="single" w:sz="4" w:space="0" w:color="auto"/>
              <w:right w:val="single" w:sz="4" w:space="0" w:color="auto"/>
            </w:tcBorders>
            <w:shd w:val="clear" w:color="auto" w:fill="auto"/>
            <w:vAlign w:val="center"/>
            <w:hideMark/>
          </w:tcPr>
          <w:p w14:paraId="2EAD289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8,5%</w:t>
            </w:r>
          </w:p>
        </w:tc>
        <w:tc>
          <w:tcPr>
            <w:tcW w:w="706" w:type="dxa"/>
            <w:tcBorders>
              <w:top w:val="nil"/>
              <w:left w:val="nil"/>
              <w:bottom w:val="single" w:sz="4" w:space="0" w:color="auto"/>
              <w:right w:val="single" w:sz="4" w:space="0" w:color="auto"/>
            </w:tcBorders>
            <w:shd w:val="clear" w:color="auto" w:fill="auto"/>
            <w:vAlign w:val="center"/>
            <w:hideMark/>
          </w:tcPr>
          <w:p w14:paraId="43FC35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DA406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05B906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34E7D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R-439A</w:t>
            </w:r>
          </w:p>
        </w:tc>
        <w:tc>
          <w:tcPr>
            <w:tcW w:w="1170" w:type="dxa"/>
            <w:tcBorders>
              <w:top w:val="nil"/>
              <w:left w:val="nil"/>
              <w:bottom w:val="single" w:sz="4" w:space="0" w:color="auto"/>
              <w:right w:val="nil"/>
            </w:tcBorders>
            <w:shd w:val="clear" w:color="auto" w:fill="auto"/>
            <w:vAlign w:val="center"/>
            <w:hideMark/>
          </w:tcPr>
          <w:p w14:paraId="11ADDE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8EF7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1166" w:type="dxa"/>
            <w:tcBorders>
              <w:top w:val="nil"/>
              <w:left w:val="nil"/>
              <w:bottom w:val="single" w:sz="4" w:space="0" w:color="auto"/>
              <w:right w:val="single" w:sz="4" w:space="0" w:color="auto"/>
            </w:tcBorders>
            <w:shd w:val="clear" w:color="auto" w:fill="auto"/>
            <w:vAlign w:val="center"/>
            <w:hideMark/>
          </w:tcPr>
          <w:p w14:paraId="471824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820" w:type="dxa"/>
            <w:tcBorders>
              <w:top w:val="nil"/>
              <w:left w:val="nil"/>
              <w:bottom w:val="single" w:sz="4" w:space="0" w:color="auto"/>
              <w:right w:val="single" w:sz="4" w:space="0" w:color="auto"/>
            </w:tcBorders>
            <w:shd w:val="clear" w:color="auto" w:fill="auto"/>
            <w:vAlign w:val="center"/>
            <w:hideMark/>
          </w:tcPr>
          <w:p w14:paraId="043AC5F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47%</w:t>
            </w:r>
          </w:p>
        </w:tc>
        <w:tc>
          <w:tcPr>
            <w:tcW w:w="965" w:type="dxa"/>
            <w:tcBorders>
              <w:top w:val="nil"/>
              <w:left w:val="nil"/>
              <w:bottom w:val="single" w:sz="4" w:space="0" w:color="auto"/>
              <w:right w:val="single" w:sz="4" w:space="0" w:color="auto"/>
            </w:tcBorders>
            <w:shd w:val="clear" w:color="auto" w:fill="auto"/>
            <w:vAlign w:val="center"/>
            <w:hideMark/>
          </w:tcPr>
          <w:p w14:paraId="5DC9501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F11BD5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3699CE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80F1E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ECDEAB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CB22B3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A31F5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9AC418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4770875"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3C03C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R-440A</w:t>
            </w:r>
          </w:p>
        </w:tc>
        <w:tc>
          <w:tcPr>
            <w:tcW w:w="1170" w:type="dxa"/>
            <w:tcBorders>
              <w:top w:val="nil"/>
              <w:left w:val="nil"/>
              <w:bottom w:val="single" w:sz="4" w:space="0" w:color="auto"/>
              <w:right w:val="nil"/>
            </w:tcBorders>
            <w:shd w:val="clear" w:color="auto" w:fill="auto"/>
            <w:vAlign w:val="center"/>
            <w:hideMark/>
          </w:tcPr>
          <w:p w14:paraId="40E4909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HC-290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8BBF3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1166" w:type="dxa"/>
            <w:tcBorders>
              <w:top w:val="nil"/>
              <w:left w:val="nil"/>
              <w:bottom w:val="single" w:sz="4" w:space="0" w:color="auto"/>
              <w:right w:val="single" w:sz="4" w:space="0" w:color="auto"/>
            </w:tcBorders>
            <w:shd w:val="clear" w:color="auto" w:fill="auto"/>
            <w:vAlign w:val="center"/>
            <w:hideMark/>
          </w:tcPr>
          <w:p w14:paraId="5B3414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77F4D35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1,60%</w:t>
            </w:r>
          </w:p>
        </w:tc>
        <w:tc>
          <w:tcPr>
            <w:tcW w:w="965" w:type="dxa"/>
            <w:tcBorders>
              <w:top w:val="nil"/>
              <w:left w:val="nil"/>
              <w:bottom w:val="single" w:sz="4" w:space="0" w:color="auto"/>
              <w:right w:val="single" w:sz="4" w:space="0" w:color="auto"/>
            </w:tcBorders>
            <w:shd w:val="clear" w:color="auto" w:fill="auto"/>
            <w:vAlign w:val="center"/>
            <w:hideMark/>
          </w:tcPr>
          <w:p w14:paraId="065D520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521B0A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97,8%</w:t>
            </w:r>
          </w:p>
        </w:tc>
        <w:tc>
          <w:tcPr>
            <w:tcW w:w="960" w:type="dxa"/>
            <w:tcBorders>
              <w:top w:val="nil"/>
              <w:left w:val="nil"/>
              <w:bottom w:val="single" w:sz="4" w:space="0" w:color="auto"/>
              <w:right w:val="single" w:sz="4" w:space="0" w:color="auto"/>
            </w:tcBorders>
            <w:shd w:val="clear" w:color="auto" w:fill="auto"/>
            <w:vAlign w:val="center"/>
            <w:hideMark/>
          </w:tcPr>
          <w:p w14:paraId="388236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68405E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1E2B2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0F8EE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8E90B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F74F20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2D7E94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58C56A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R-442A</w:t>
            </w:r>
          </w:p>
        </w:tc>
        <w:tc>
          <w:tcPr>
            <w:tcW w:w="1170" w:type="dxa"/>
            <w:tcBorders>
              <w:top w:val="nil"/>
              <w:left w:val="nil"/>
              <w:bottom w:val="single" w:sz="4" w:space="0" w:color="auto"/>
              <w:right w:val="nil"/>
            </w:tcBorders>
            <w:shd w:val="clear" w:color="auto" w:fill="auto"/>
            <w:vAlign w:val="center"/>
            <w:hideMark/>
          </w:tcPr>
          <w:p w14:paraId="13E44E6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8A1BA0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31%</w:t>
            </w:r>
          </w:p>
        </w:tc>
        <w:tc>
          <w:tcPr>
            <w:tcW w:w="1166" w:type="dxa"/>
            <w:tcBorders>
              <w:top w:val="nil"/>
              <w:left w:val="nil"/>
              <w:bottom w:val="single" w:sz="4" w:space="0" w:color="auto"/>
              <w:right w:val="single" w:sz="4" w:space="0" w:color="auto"/>
            </w:tcBorders>
            <w:shd w:val="clear" w:color="auto" w:fill="auto"/>
            <w:vAlign w:val="center"/>
            <w:hideMark/>
          </w:tcPr>
          <w:p w14:paraId="2F6AD09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2FD0610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30%</w:t>
            </w:r>
          </w:p>
        </w:tc>
        <w:tc>
          <w:tcPr>
            <w:tcW w:w="965" w:type="dxa"/>
            <w:tcBorders>
              <w:top w:val="nil"/>
              <w:left w:val="nil"/>
              <w:bottom w:val="single" w:sz="4" w:space="0" w:color="auto"/>
              <w:right w:val="single" w:sz="4" w:space="0" w:color="auto"/>
            </w:tcBorders>
            <w:shd w:val="clear" w:color="auto" w:fill="auto"/>
            <w:vAlign w:val="center"/>
            <w:hideMark/>
          </w:tcPr>
          <w:p w14:paraId="682845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F0E42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136E360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61AFC9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459DF9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7" w:type="dxa"/>
            <w:tcBorders>
              <w:top w:val="nil"/>
              <w:left w:val="nil"/>
              <w:bottom w:val="single" w:sz="4" w:space="0" w:color="auto"/>
              <w:right w:val="single" w:sz="4" w:space="0" w:color="auto"/>
            </w:tcBorders>
            <w:shd w:val="clear" w:color="auto" w:fill="auto"/>
            <w:vAlign w:val="center"/>
            <w:hideMark/>
          </w:tcPr>
          <w:p w14:paraId="16E455F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31%</w:t>
            </w:r>
          </w:p>
        </w:tc>
        <w:tc>
          <w:tcPr>
            <w:tcW w:w="706" w:type="dxa"/>
            <w:tcBorders>
              <w:top w:val="nil"/>
              <w:left w:val="nil"/>
              <w:bottom w:val="single" w:sz="4" w:space="0" w:color="auto"/>
              <w:right w:val="single" w:sz="4" w:space="0" w:color="auto"/>
            </w:tcBorders>
            <w:shd w:val="clear" w:color="auto" w:fill="auto"/>
            <w:vAlign w:val="center"/>
            <w:hideMark/>
          </w:tcPr>
          <w:p w14:paraId="50C1B21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1DA681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45AFD6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01C7DF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R-444A</w:t>
            </w:r>
          </w:p>
        </w:tc>
        <w:tc>
          <w:tcPr>
            <w:tcW w:w="1170" w:type="dxa"/>
            <w:tcBorders>
              <w:top w:val="nil"/>
              <w:left w:val="nil"/>
              <w:bottom w:val="single" w:sz="4" w:space="0" w:color="auto"/>
              <w:right w:val="nil"/>
            </w:tcBorders>
            <w:shd w:val="clear" w:color="auto" w:fill="auto"/>
            <w:vAlign w:val="center"/>
            <w:hideMark/>
          </w:tcPr>
          <w:p w14:paraId="70184E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932C6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1166" w:type="dxa"/>
            <w:tcBorders>
              <w:top w:val="nil"/>
              <w:left w:val="nil"/>
              <w:bottom w:val="single" w:sz="4" w:space="0" w:color="auto"/>
              <w:right w:val="single" w:sz="4" w:space="0" w:color="auto"/>
            </w:tcBorders>
            <w:shd w:val="clear" w:color="auto" w:fill="auto"/>
            <w:vAlign w:val="center"/>
            <w:hideMark/>
          </w:tcPr>
          <w:p w14:paraId="7C1ADB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2D567DD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w:t>
            </w:r>
          </w:p>
        </w:tc>
        <w:tc>
          <w:tcPr>
            <w:tcW w:w="965" w:type="dxa"/>
            <w:tcBorders>
              <w:top w:val="nil"/>
              <w:left w:val="nil"/>
              <w:bottom w:val="single" w:sz="4" w:space="0" w:color="auto"/>
              <w:right w:val="single" w:sz="4" w:space="0" w:color="auto"/>
            </w:tcBorders>
            <w:shd w:val="clear" w:color="auto" w:fill="auto"/>
            <w:vAlign w:val="center"/>
            <w:hideMark/>
          </w:tcPr>
          <w:p w14:paraId="6A26D27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E64D08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14:paraId="2CA0DF2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29E9F3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A4F8B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8992BA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72CAE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82EBED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D3BD0E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1B7B84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R-444B</w:t>
            </w:r>
          </w:p>
        </w:tc>
        <w:tc>
          <w:tcPr>
            <w:tcW w:w="1170" w:type="dxa"/>
            <w:tcBorders>
              <w:top w:val="nil"/>
              <w:left w:val="nil"/>
              <w:bottom w:val="single" w:sz="4" w:space="0" w:color="auto"/>
              <w:right w:val="nil"/>
            </w:tcBorders>
            <w:shd w:val="clear" w:color="auto" w:fill="auto"/>
            <w:vAlign w:val="center"/>
            <w:hideMark/>
          </w:tcPr>
          <w:p w14:paraId="102532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0356B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w:t>
            </w:r>
          </w:p>
        </w:tc>
        <w:tc>
          <w:tcPr>
            <w:tcW w:w="1166" w:type="dxa"/>
            <w:tcBorders>
              <w:top w:val="nil"/>
              <w:left w:val="nil"/>
              <w:bottom w:val="single" w:sz="4" w:space="0" w:color="auto"/>
              <w:right w:val="single" w:sz="4" w:space="0" w:color="auto"/>
            </w:tcBorders>
            <w:shd w:val="clear" w:color="auto" w:fill="auto"/>
            <w:vAlign w:val="center"/>
            <w:hideMark/>
          </w:tcPr>
          <w:p w14:paraId="6121BCC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665447D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41,50%</w:t>
            </w:r>
          </w:p>
        </w:tc>
        <w:tc>
          <w:tcPr>
            <w:tcW w:w="965" w:type="dxa"/>
            <w:tcBorders>
              <w:top w:val="nil"/>
              <w:left w:val="nil"/>
              <w:bottom w:val="single" w:sz="4" w:space="0" w:color="auto"/>
              <w:right w:val="single" w:sz="4" w:space="0" w:color="auto"/>
            </w:tcBorders>
            <w:shd w:val="clear" w:color="auto" w:fill="auto"/>
            <w:vAlign w:val="center"/>
            <w:hideMark/>
          </w:tcPr>
          <w:p w14:paraId="4A55786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BF9953C"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48,50%</w:t>
            </w:r>
          </w:p>
        </w:tc>
        <w:tc>
          <w:tcPr>
            <w:tcW w:w="960" w:type="dxa"/>
            <w:tcBorders>
              <w:top w:val="nil"/>
              <w:left w:val="nil"/>
              <w:bottom w:val="single" w:sz="4" w:space="0" w:color="auto"/>
              <w:right w:val="single" w:sz="4" w:space="0" w:color="auto"/>
            </w:tcBorders>
            <w:shd w:val="clear" w:color="auto" w:fill="auto"/>
            <w:vAlign w:val="center"/>
            <w:hideMark/>
          </w:tcPr>
          <w:p w14:paraId="40DEFC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4576B11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573B8E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38A87E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48CBC7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6267AA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CB30F4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AC8FF6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R-445A</w:t>
            </w:r>
          </w:p>
        </w:tc>
        <w:tc>
          <w:tcPr>
            <w:tcW w:w="1170" w:type="dxa"/>
            <w:tcBorders>
              <w:top w:val="nil"/>
              <w:left w:val="nil"/>
              <w:bottom w:val="single" w:sz="4" w:space="0" w:color="auto"/>
              <w:right w:val="nil"/>
            </w:tcBorders>
            <w:shd w:val="clear" w:color="auto" w:fill="auto"/>
            <w:vAlign w:val="center"/>
            <w:hideMark/>
          </w:tcPr>
          <w:p w14:paraId="5BFB376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F898FE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w:t>
            </w:r>
          </w:p>
        </w:tc>
        <w:tc>
          <w:tcPr>
            <w:tcW w:w="1166" w:type="dxa"/>
            <w:tcBorders>
              <w:top w:val="nil"/>
              <w:left w:val="nil"/>
              <w:bottom w:val="single" w:sz="4" w:space="0" w:color="auto"/>
              <w:right w:val="single" w:sz="4" w:space="0" w:color="auto"/>
            </w:tcBorders>
            <w:shd w:val="clear" w:color="auto" w:fill="auto"/>
            <w:vAlign w:val="center"/>
            <w:hideMark/>
          </w:tcPr>
          <w:p w14:paraId="6B63A7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R-744</w:t>
            </w:r>
          </w:p>
        </w:tc>
        <w:tc>
          <w:tcPr>
            <w:tcW w:w="820" w:type="dxa"/>
            <w:tcBorders>
              <w:top w:val="nil"/>
              <w:left w:val="nil"/>
              <w:bottom w:val="single" w:sz="4" w:space="0" w:color="auto"/>
              <w:right w:val="single" w:sz="4" w:space="0" w:color="auto"/>
            </w:tcBorders>
            <w:shd w:val="clear" w:color="auto" w:fill="auto"/>
            <w:vAlign w:val="center"/>
            <w:hideMark/>
          </w:tcPr>
          <w:p w14:paraId="690BA44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w:t>
            </w:r>
          </w:p>
        </w:tc>
        <w:tc>
          <w:tcPr>
            <w:tcW w:w="965" w:type="dxa"/>
            <w:tcBorders>
              <w:top w:val="nil"/>
              <w:left w:val="nil"/>
              <w:bottom w:val="single" w:sz="4" w:space="0" w:color="auto"/>
              <w:right w:val="single" w:sz="4" w:space="0" w:color="auto"/>
            </w:tcBorders>
            <w:shd w:val="clear" w:color="auto" w:fill="auto"/>
            <w:vAlign w:val="center"/>
            <w:hideMark/>
          </w:tcPr>
          <w:p w14:paraId="7EA98DC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9B02923"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0626FFA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12A7EA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6490C4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B69E50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884FFF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15C4AE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E2A62E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5F1F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R-446A</w:t>
            </w:r>
          </w:p>
        </w:tc>
        <w:tc>
          <w:tcPr>
            <w:tcW w:w="1170" w:type="dxa"/>
            <w:tcBorders>
              <w:top w:val="nil"/>
              <w:left w:val="nil"/>
              <w:bottom w:val="single" w:sz="4" w:space="0" w:color="auto"/>
              <w:right w:val="nil"/>
            </w:tcBorders>
            <w:shd w:val="clear" w:color="auto" w:fill="auto"/>
            <w:vAlign w:val="center"/>
            <w:hideMark/>
          </w:tcPr>
          <w:p w14:paraId="385388B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B173E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1166" w:type="dxa"/>
            <w:tcBorders>
              <w:top w:val="nil"/>
              <w:left w:val="nil"/>
              <w:bottom w:val="single" w:sz="4" w:space="0" w:color="auto"/>
              <w:right w:val="single" w:sz="4" w:space="0" w:color="auto"/>
            </w:tcBorders>
            <w:shd w:val="clear" w:color="auto" w:fill="auto"/>
            <w:vAlign w:val="center"/>
            <w:hideMark/>
          </w:tcPr>
          <w:p w14:paraId="6DB85C6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54BEB70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68%</w:t>
            </w:r>
          </w:p>
        </w:tc>
        <w:tc>
          <w:tcPr>
            <w:tcW w:w="965" w:type="dxa"/>
            <w:tcBorders>
              <w:top w:val="nil"/>
              <w:left w:val="nil"/>
              <w:bottom w:val="single" w:sz="4" w:space="0" w:color="auto"/>
              <w:right w:val="single" w:sz="4" w:space="0" w:color="auto"/>
            </w:tcBorders>
            <w:shd w:val="clear" w:color="auto" w:fill="auto"/>
            <w:vAlign w:val="center"/>
            <w:hideMark/>
          </w:tcPr>
          <w:p w14:paraId="337FB9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6095F72"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14:paraId="709F794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0FD2D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BB920A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825B1E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927D19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7A0C8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26D1C9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B20BAF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R-447A</w:t>
            </w:r>
          </w:p>
        </w:tc>
        <w:tc>
          <w:tcPr>
            <w:tcW w:w="1170" w:type="dxa"/>
            <w:tcBorders>
              <w:top w:val="nil"/>
              <w:left w:val="nil"/>
              <w:bottom w:val="single" w:sz="4" w:space="0" w:color="auto"/>
              <w:right w:val="nil"/>
            </w:tcBorders>
            <w:shd w:val="clear" w:color="auto" w:fill="auto"/>
            <w:vAlign w:val="center"/>
            <w:hideMark/>
          </w:tcPr>
          <w:p w14:paraId="61B266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259AC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3,50%</w:t>
            </w:r>
          </w:p>
        </w:tc>
        <w:tc>
          <w:tcPr>
            <w:tcW w:w="1166" w:type="dxa"/>
            <w:tcBorders>
              <w:top w:val="nil"/>
              <w:left w:val="nil"/>
              <w:bottom w:val="single" w:sz="4" w:space="0" w:color="auto"/>
              <w:right w:val="single" w:sz="4" w:space="0" w:color="auto"/>
            </w:tcBorders>
            <w:shd w:val="clear" w:color="auto" w:fill="auto"/>
            <w:vAlign w:val="center"/>
            <w:hideMark/>
          </w:tcPr>
          <w:p w14:paraId="01AEA3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23BD60E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68%</w:t>
            </w:r>
          </w:p>
        </w:tc>
        <w:tc>
          <w:tcPr>
            <w:tcW w:w="965" w:type="dxa"/>
            <w:tcBorders>
              <w:top w:val="nil"/>
              <w:left w:val="nil"/>
              <w:bottom w:val="single" w:sz="4" w:space="0" w:color="auto"/>
              <w:right w:val="single" w:sz="4" w:space="0" w:color="auto"/>
            </w:tcBorders>
            <w:shd w:val="clear" w:color="auto" w:fill="auto"/>
            <w:vAlign w:val="center"/>
            <w:hideMark/>
          </w:tcPr>
          <w:p w14:paraId="333A5F8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16F629B"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28,50%</w:t>
            </w:r>
          </w:p>
        </w:tc>
        <w:tc>
          <w:tcPr>
            <w:tcW w:w="960" w:type="dxa"/>
            <w:tcBorders>
              <w:top w:val="nil"/>
              <w:left w:val="nil"/>
              <w:bottom w:val="single" w:sz="4" w:space="0" w:color="auto"/>
              <w:right w:val="single" w:sz="4" w:space="0" w:color="auto"/>
            </w:tcBorders>
            <w:shd w:val="clear" w:color="auto" w:fill="auto"/>
            <w:vAlign w:val="center"/>
            <w:hideMark/>
          </w:tcPr>
          <w:p w14:paraId="0926C6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FA28F0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A5702D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71514D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ECDB6C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4E8CF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6C991D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EEFBF4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R-447B</w:t>
            </w:r>
          </w:p>
        </w:tc>
        <w:tc>
          <w:tcPr>
            <w:tcW w:w="1170" w:type="dxa"/>
            <w:tcBorders>
              <w:top w:val="nil"/>
              <w:left w:val="nil"/>
              <w:bottom w:val="single" w:sz="4" w:space="0" w:color="auto"/>
              <w:right w:val="nil"/>
            </w:tcBorders>
            <w:shd w:val="clear" w:color="auto" w:fill="auto"/>
            <w:vAlign w:val="center"/>
            <w:hideMark/>
          </w:tcPr>
          <w:p w14:paraId="2E8AC80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D27E92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w:t>
            </w:r>
          </w:p>
        </w:tc>
        <w:tc>
          <w:tcPr>
            <w:tcW w:w="1166" w:type="dxa"/>
            <w:tcBorders>
              <w:top w:val="nil"/>
              <w:left w:val="nil"/>
              <w:bottom w:val="single" w:sz="4" w:space="0" w:color="auto"/>
              <w:right w:val="single" w:sz="4" w:space="0" w:color="auto"/>
            </w:tcBorders>
            <w:shd w:val="clear" w:color="auto" w:fill="auto"/>
            <w:vAlign w:val="center"/>
            <w:hideMark/>
          </w:tcPr>
          <w:p w14:paraId="1F28D4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7C6AA0E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68%</w:t>
            </w:r>
          </w:p>
        </w:tc>
        <w:tc>
          <w:tcPr>
            <w:tcW w:w="965" w:type="dxa"/>
            <w:tcBorders>
              <w:top w:val="nil"/>
              <w:left w:val="nil"/>
              <w:bottom w:val="single" w:sz="4" w:space="0" w:color="auto"/>
              <w:right w:val="single" w:sz="4" w:space="0" w:color="auto"/>
            </w:tcBorders>
            <w:shd w:val="clear" w:color="auto" w:fill="auto"/>
            <w:vAlign w:val="center"/>
            <w:hideMark/>
          </w:tcPr>
          <w:p w14:paraId="21ABC46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59AF225"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344854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5EDE5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27BFA3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93A873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56219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F6BD4A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DA1E25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ED8F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R-448A</w:t>
            </w:r>
          </w:p>
        </w:tc>
        <w:tc>
          <w:tcPr>
            <w:tcW w:w="1170" w:type="dxa"/>
            <w:tcBorders>
              <w:top w:val="nil"/>
              <w:left w:val="nil"/>
              <w:bottom w:val="single" w:sz="4" w:space="0" w:color="auto"/>
              <w:right w:val="nil"/>
            </w:tcBorders>
            <w:shd w:val="clear" w:color="auto" w:fill="auto"/>
            <w:vAlign w:val="center"/>
            <w:hideMark/>
          </w:tcPr>
          <w:p w14:paraId="3DA8B38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FCB27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26%</w:t>
            </w:r>
          </w:p>
        </w:tc>
        <w:tc>
          <w:tcPr>
            <w:tcW w:w="1166" w:type="dxa"/>
            <w:tcBorders>
              <w:top w:val="nil"/>
              <w:left w:val="nil"/>
              <w:bottom w:val="single" w:sz="4" w:space="0" w:color="auto"/>
              <w:right w:val="single" w:sz="4" w:space="0" w:color="auto"/>
            </w:tcBorders>
            <w:shd w:val="clear" w:color="auto" w:fill="auto"/>
            <w:vAlign w:val="center"/>
            <w:hideMark/>
          </w:tcPr>
          <w:p w14:paraId="78583AD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BD5B38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21%</w:t>
            </w:r>
          </w:p>
        </w:tc>
        <w:tc>
          <w:tcPr>
            <w:tcW w:w="965" w:type="dxa"/>
            <w:tcBorders>
              <w:top w:val="nil"/>
              <w:left w:val="nil"/>
              <w:bottom w:val="single" w:sz="4" w:space="0" w:color="auto"/>
              <w:right w:val="single" w:sz="4" w:space="0" w:color="auto"/>
            </w:tcBorders>
            <w:shd w:val="clear" w:color="auto" w:fill="auto"/>
            <w:vAlign w:val="center"/>
            <w:hideMark/>
          </w:tcPr>
          <w:p w14:paraId="00560EA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07CDBD6"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510A58F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502E03F" w14:textId="77777777" w:rsidR="00232FF7" w:rsidRPr="00DF4BB7" w:rsidRDefault="00232FF7" w:rsidP="006451A1">
            <w:pPr>
              <w:spacing w:after="0" w:line="240" w:lineRule="auto"/>
              <w:ind w:left="-74"/>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2A617C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7" w:type="dxa"/>
            <w:tcBorders>
              <w:top w:val="nil"/>
              <w:left w:val="nil"/>
              <w:bottom w:val="single" w:sz="4" w:space="0" w:color="auto"/>
              <w:right w:val="single" w:sz="4" w:space="0" w:color="auto"/>
            </w:tcBorders>
            <w:shd w:val="clear" w:color="auto" w:fill="auto"/>
            <w:vAlign w:val="center"/>
            <w:hideMark/>
          </w:tcPr>
          <w:p w14:paraId="78F7A2C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26%</w:t>
            </w:r>
          </w:p>
        </w:tc>
        <w:tc>
          <w:tcPr>
            <w:tcW w:w="706" w:type="dxa"/>
            <w:tcBorders>
              <w:top w:val="nil"/>
              <w:left w:val="nil"/>
              <w:bottom w:val="single" w:sz="4" w:space="0" w:color="auto"/>
              <w:right w:val="single" w:sz="4" w:space="0" w:color="auto"/>
            </w:tcBorders>
            <w:shd w:val="clear" w:color="auto" w:fill="auto"/>
            <w:vAlign w:val="center"/>
            <w:hideMark/>
          </w:tcPr>
          <w:p w14:paraId="4F2C88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A7034A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89EE3E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675B3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R-449A</w:t>
            </w:r>
          </w:p>
        </w:tc>
        <w:tc>
          <w:tcPr>
            <w:tcW w:w="1170" w:type="dxa"/>
            <w:tcBorders>
              <w:top w:val="nil"/>
              <w:left w:val="nil"/>
              <w:bottom w:val="single" w:sz="4" w:space="0" w:color="auto"/>
              <w:right w:val="nil"/>
            </w:tcBorders>
            <w:shd w:val="clear" w:color="auto" w:fill="auto"/>
            <w:vAlign w:val="center"/>
            <w:hideMark/>
          </w:tcPr>
          <w:p w14:paraId="6C7A95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C8AB7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24,70%</w:t>
            </w:r>
          </w:p>
        </w:tc>
        <w:tc>
          <w:tcPr>
            <w:tcW w:w="1166" w:type="dxa"/>
            <w:tcBorders>
              <w:top w:val="nil"/>
              <w:left w:val="nil"/>
              <w:bottom w:val="single" w:sz="4" w:space="0" w:color="auto"/>
              <w:right w:val="single" w:sz="4" w:space="0" w:color="auto"/>
            </w:tcBorders>
            <w:shd w:val="clear" w:color="auto" w:fill="auto"/>
            <w:vAlign w:val="center"/>
            <w:hideMark/>
          </w:tcPr>
          <w:p w14:paraId="6E672C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0710F80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25,70%</w:t>
            </w:r>
          </w:p>
        </w:tc>
        <w:tc>
          <w:tcPr>
            <w:tcW w:w="965" w:type="dxa"/>
            <w:tcBorders>
              <w:top w:val="nil"/>
              <w:left w:val="nil"/>
              <w:bottom w:val="single" w:sz="4" w:space="0" w:color="auto"/>
              <w:right w:val="single" w:sz="4" w:space="0" w:color="auto"/>
            </w:tcBorders>
            <w:shd w:val="clear" w:color="auto" w:fill="auto"/>
            <w:vAlign w:val="center"/>
            <w:hideMark/>
          </w:tcPr>
          <w:p w14:paraId="310855E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7D43039"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24,30%</w:t>
            </w:r>
          </w:p>
        </w:tc>
        <w:tc>
          <w:tcPr>
            <w:tcW w:w="960" w:type="dxa"/>
            <w:tcBorders>
              <w:top w:val="nil"/>
              <w:left w:val="nil"/>
              <w:bottom w:val="single" w:sz="4" w:space="0" w:color="auto"/>
              <w:right w:val="single" w:sz="4" w:space="0" w:color="auto"/>
            </w:tcBorders>
            <w:shd w:val="clear" w:color="auto" w:fill="auto"/>
            <w:vAlign w:val="center"/>
            <w:hideMark/>
          </w:tcPr>
          <w:p w14:paraId="124AC2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5B058" w14:textId="77777777" w:rsidR="00232FF7" w:rsidRPr="00DF4BB7" w:rsidRDefault="00232FF7" w:rsidP="006451A1">
            <w:pPr>
              <w:spacing w:after="0" w:line="240" w:lineRule="auto"/>
              <w:ind w:left="-216"/>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25,3%</w:t>
            </w:r>
          </w:p>
        </w:tc>
        <w:tc>
          <w:tcPr>
            <w:tcW w:w="960" w:type="dxa"/>
            <w:tcBorders>
              <w:top w:val="nil"/>
              <w:left w:val="nil"/>
              <w:bottom w:val="single" w:sz="4" w:space="0" w:color="auto"/>
              <w:right w:val="single" w:sz="4" w:space="0" w:color="auto"/>
            </w:tcBorders>
            <w:shd w:val="clear" w:color="auto" w:fill="auto"/>
            <w:vAlign w:val="center"/>
            <w:hideMark/>
          </w:tcPr>
          <w:p w14:paraId="4A4B09B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BBFB07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3E134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19D3FA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A137B9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29AA5D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R-449B</w:t>
            </w:r>
          </w:p>
        </w:tc>
        <w:tc>
          <w:tcPr>
            <w:tcW w:w="1170" w:type="dxa"/>
            <w:tcBorders>
              <w:top w:val="nil"/>
              <w:left w:val="nil"/>
              <w:bottom w:val="single" w:sz="4" w:space="0" w:color="auto"/>
              <w:right w:val="nil"/>
            </w:tcBorders>
            <w:shd w:val="clear" w:color="auto" w:fill="auto"/>
            <w:vAlign w:val="center"/>
            <w:hideMark/>
          </w:tcPr>
          <w:p w14:paraId="01D7BE5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AE7FD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24,30%</w:t>
            </w:r>
          </w:p>
        </w:tc>
        <w:tc>
          <w:tcPr>
            <w:tcW w:w="1166" w:type="dxa"/>
            <w:tcBorders>
              <w:top w:val="nil"/>
              <w:left w:val="nil"/>
              <w:bottom w:val="single" w:sz="4" w:space="0" w:color="auto"/>
              <w:right w:val="single" w:sz="4" w:space="0" w:color="auto"/>
            </w:tcBorders>
            <w:shd w:val="clear" w:color="auto" w:fill="auto"/>
            <w:vAlign w:val="center"/>
            <w:hideMark/>
          </w:tcPr>
          <w:p w14:paraId="5D6ABF8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342763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27,30%</w:t>
            </w:r>
          </w:p>
        </w:tc>
        <w:tc>
          <w:tcPr>
            <w:tcW w:w="965" w:type="dxa"/>
            <w:tcBorders>
              <w:top w:val="nil"/>
              <w:left w:val="nil"/>
              <w:bottom w:val="single" w:sz="4" w:space="0" w:color="auto"/>
              <w:right w:val="single" w:sz="4" w:space="0" w:color="auto"/>
            </w:tcBorders>
            <w:shd w:val="clear" w:color="auto" w:fill="auto"/>
            <w:vAlign w:val="center"/>
            <w:hideMark/>
          </w:tcPr>
          <w:p w14:paraId="07BEAD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9176DBA"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25,20%</w:t>
            </w:r>
          </w:p>
        </w:tc>
        <w:tc>
          <w:tcPr>
            <w:tcW w:w="960" w:type="dxa"/>
            <w:tcBorders>
              <w:top w:val="nil"/>
              <w:left w:val="nil"/>
              <w:bottom w:val="single" w:sz="4" w:space="0" w:color="auto"/>
              <w:right w:val="single" w:sz="4" w:space="0" w:color="auto"/>
            </w:tcBorders>
            <w:shd w:val="clear" w:color="auto" w:fill="auto"/>
            <w:vAlign w:val="center"/>
            <w:hideMark/>
          </w:tcPr>
          <w:p w14:paraId="52D93E8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3419A16" w14:textId="77777777" w:rsidR="00232FF7" w:rsidRPr="00DF4BB7" w:rsidRDefault="00232FF7" w:rsidP="006451A1">
            <w:pPr>
              <w:spacing w:after="0" w:line="240" w:lineRule="auto"/>
              <w:ind w:left="-216"/>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23,2%</w:t>
            </w:r>
          </w:p>
        </w:tc>
        <w:tc>
          <w:tcPr>
            <w:tcW w:w="960" w:type="dxa"/>
            <w:tcBorders>
              <w:top w:val="nil"/>
              <w:left w:val="nil"/>
              <w:bottom w:val="single" w:sz="4" w:space="0" w:color="auto"/>
              <w:right w:val="single" w:sz="4" w:space="0" w:color="auto"/>
            </w:tcBorders>
            <w:shd w:val="clear" w:color="auto" w:fill="auto"/>
            <w:vAlign w:val="center"/>
            <w:hideMark/>
          </w:tcPr>
          <w:p w14:paraId="36C1294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B59D9E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109E4A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63951A0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9D7AE3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878566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R-449C</w:t>
            </w:r>
          </w:p>
        </w:tc>
        <w:tc>
          <w:tcPr>
            <w:tcW w:w="1170" w:type="dxa"/>
            <w:tcBorders>
              <w:top w:val="nil"/>
              <w:left w:val="nil"/>
              <w:bottom w:val="single" w:sz="4" w:space="0" w:color="auto"/>
              <w:right w:val="nil"/>
            </w:tcBorders>
            <w:shd w:val="clear" w:color="auto" w:fill="auto"/>
            <w:vAlign w:val="center"/>
            <w:hideMark/>
          </w:tcPr>
          <w:p w14:paraId="0B97500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E63FF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1166" w:type="dxa"/>
            <w:tcBorders>
              <w:top w:val="nil"/>
              <w:left w:val="nil"/>
              <w:bottom w:val="single" w:sz="4" w:space="0" w:color="auto"/>
              <w:right w:val="single" w:sz="4" w:space="0" w:color="auto"/>
            </w:tcBorders>
            <w:shd w:val="clear" w:color="auto" w:fill="auto"/>
            <w:vAlign w:val="center"/>
            <w:hideMark/>
          </w:tcPr>
          <w:p w14:paraId="0A30A0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06818A7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29%</w:t>
            </w:r>
          </w:p>
        </w:tc>
        <w:tc>
          <w:tcPr>
            <w:tcW w:w="965" w:type="dxa"/>
            <w:tcBorders>
              <w:top w:val="nil"/>
              <w:left w:val="nil"/>
              <w:bottom w:val="single" w:sz="4" w:space="0" w:color="auto"/>
              <w:right w:val="single" w:sz="4" w:space="0" w:color="auto"/>
            </w:tcBorders>
            <w:shd w:val="clear" w:color="auto" w:fill="auto"/>
            <w:vAlign w:val="center"/>
            <w:hideMark/>
          </w:tcPr>
          <w:p w14:paraId="32A942A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26E0710"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7211ABD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FACF7F" w14:textId="77777777" w:rsidR="00232FF7" w:rsidRPr="00DF4BB7" w:rsidRDefault="00232FF7" w:rsidP="006451A1">
            <w:pPr>
              <w:spacing w:after="0" w:line="240" w:lineRule="auto"/>
              <w:ind w:left="-74"/>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14:paraId="72F6F40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6FBC56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3D0976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44DDB0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E420C7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2439A1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R-450A</w:t>
            </w:r>
          </w:p>
        </w:tc>
        <w:tc>
          <w:tcPr>
            <w:tcW w:w="1170" w:type="dxa"/>
            <w:tcBorders>
              <w:top w:val="nil"/>
              <w:left w:val="nil"/>
              <w:bottom w:val="single" w:sz="4" w:space="0" w:color="auto"/>
              <w:right w:val="nil"/>
            </w:tcBorders>
            <w:shd w:val="clear" w:color="auto" w:fill="auto"/>
            <w:vAlign w:val="center"/>
            <w:hideMark/>
          </w:tcPr>
          <w:p w14:paraId="467B7F4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CFC57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42%</w:t>
            </w:r>
          </w:p>
        </w:tc>
        <w:tc>
          <w:tcPr>
            <w:tcW w:w="1166" w:type="dxa"/>
            <w:tcBorders>
              <w:top w:val="nil"/>
              <w:left w:val="nil"/>
              <w:bottom w:val="single" w:sz="4" w:space="0" w:color="auto"/>
              <w:right w:val="single" w:sz="4" w:space="0" w:color="auto"/>
            </w:tcBorders>
            <w:shd w:val="clear" w:color="auto" w:fill="auto"/>
            <w:vAlign w:val="center"/>
            <w:hideMark/>
          </w:tcPr>
          <w:p w14:paraId="5FD6BF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820" w:type="dxa"/>
            <w:tcBorders>
              <w:top w:val="nil"/>
              <w:left w:val="nil"/>
              <w:bottom w:val="single" w:sz="4" w:space="0" w:color="auto"/>
              <w:right w:val="single" w:sz="4" w:space="0" w:color="auto"/>
            </w:tcBorders>
            <w:shd w:val="clear" w:color="auto" w:fill="auto"/>
            <w:vAlign w:val="center"/>
            <w:hideMark/>
          </w:tcPr>
          <w:p w14:paraId="4C6EC2C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58%</w:t>
            </w:r>
          </w:p>
        </w:tc>
        <w:tc>
          <w:tcPr>
            <w:tcW w:w="965" w:type="dxa"/>
            <w:tcBorders>
              <w:top w:val="nil"/>
              <w:left w:val="nil"/>
              <w:bottom w:val="single" w:sz="4" w:space="0" w:color="auto"/>
              <w:right w:val="single" w:sz="4" w:space="0" w:color="auto"/>
            </w:tcBorders>
            <w:shd w:val="clear" w:color="auto" w:fill="auto"/>
            <w:vAlign w:val="center"/>
            <w:hideMark/>
          </w:tcPr>
          <w:p w14:paraId="5033472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3E5EF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5CF01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173B3B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EC1202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1FC7C3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7E3665A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7E7AF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71BF73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6E5149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R-451A</w:t>
            </w:r>
          </w:p>
        </w:tc>
        <w:tc>
          <w:tcPr>
            <w:tcW w:w="1170" w:type="dxa"/>
            <w:tcBorders>
              <w:top w:val="nil"/>
              <w:left w:val="nil"/>
              <w:bottom w:val="single" w:sz="4" w:space="0" w:color="auto"/>
              <w:right w:val="nil"/>
            </w:tcBorders>
            <w:shd w:val="clear" w:color="auto" w:fill="auto"/>
            <w:vAlign w:val="center"/>
            <w:hideMark/>
          </w:tcPr>
          <w:p w14:paraId="3D5392C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33101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10,20%</w:t>
            </w:r>
          </w:p>
        </w:tc>
        <w:tc>
          <w:tcPr>
            <w:tcW w:w="1166" w:type="dxa"/>
            <w:tcBorders>
              <w:top w:val="nil"/>
              <w:left w:val="nil"/>
              <w:bottom w:val="single" w:sz="4" w:space="0" w:color="auto"/>
              <w:right w:val="single" w:sz="4" w:space="0" w:color="auto"/>
            </w:tcBorders>
            <w:shd w:val="clear" w:color="auto" w:fill="auto"/>
            <w:vAlign w:val="center"/>
            <w:hideMark/>
          </w:tcPr>
          <w:p w14:paraId="23FE4CB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6DD16E4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89,80%</w:t>
            </w:r>
          </w:p>
        </w:tc>
        <w:tc>
          <w:tcPr>
            <w:tcW w:w="965" w:type="dxa"/>
            <w:tcBorders>
              <w:top w:val="nil"/>
              <w:left w:val="nil"/>
              <w:bottom w:val="single" w:sz="4" w:space="0" w:color="auto"/>
              <w:right w:val="single" w:sz="4" w:space="0" w:color="auto"/>
            </w:tcBorders>
            <w:shd w:val="clear" w:color="auto" w:fill="auto"/>
            <w:vAlign w:val="center"/>
            <w:hideMark/>
          </w:tcPr>
          <w:p w14:paraId="167F9DC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8D510B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0EE4CF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10C54F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1242D0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3E0EA5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68BFD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37B955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2C6391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6E84B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R-451B</w:t>
            </w:r>
          </w:p>
        </w:tc>
        <w:tc>
          <w:tcPr>
            <w:tcW w:w="1170" w:type="dxa"/>
            <w:tcBorders>
              <w:top w:val="nil"/>
              <w:left w:val="nil"/>
              <w:bottom w:val="single" w:sz="4" w:space="0" w:color="auto"/>
              <w:right w:val="nil"/>
            </w:tcBorders>
            <w:shd w:val="clear" w:color="auto" w:fill="auto"/>
            <w:vAlign w:val="center"/>
            <w:hideMark/>
          </w:tcPr>
          <w:p w14:paraId="18AF034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1E992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11,20%</w:t>
            </w:r>
          </w:p>
        </w:tc>
        <w:tc>
          <w:tcPr>
            <w:tcW w:w="1166" w:type="dxa"/>
            <w:tcBorders>
              <w:top w:val="nil"/>
              <w:left w:val="nil"/>
              <w:bottom w:val="single" w:sz="4" w:space="0" w:color="auto"/>
              <w:right w:val="single" w:sz="4" w:space="0" w:color="auto"/>
            </w:tcBorders>
            <w:shd w:val="clear" w:color="auto" w:fill="auto"/>
            <w:vAlign w:val="center"/>
            <w:hideMark/>
          </w:tcPr>
          <w:p w14:paraId="69E67AD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4A040FE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88,80%</w:t>
            </w:r>
          </w:p>
        </w:tc>
        <w:tc>
          <w:tcPr>
            <w:tcW w:w="965" w:type="dxa"/>
            <w:tcBorders>
              <w:top w:val="nil"/>
              <w:left w:val="nil"/>
              <w:bottom w:val="single" w:sz="4" w:space="0" w:color="auto"/>
              <w:right w:val="single" w:sz="4" w:space="0" w:color="auto"/>
            </w:tcBorders>
            <w:shd w:val="clear" w:color="auto" w:fill="auto"/>
            <w:vAlign w:val="center"/>
            <w:hideMark/>
          </w:tcPr>
          <w:p w14:paraId="18E303C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814FAF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EC40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D7A051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D23025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31D0D6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C9928A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AB9538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28D564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989C38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R-452A</w:t>
            </w:r>
          </w:p>
        </w:tc>
        <w:tc>
          <w:tcPr>
            <w:tcW w:w="1170" w:type="dxa"/>
            <w:tcBorders>
              <w:top w:val="nil"/>
              <w:left w:val="nil"/>
              <w:bottom w:val="single" w:sz="4" w:space="0" w:color="auto"/>
              <w:right w:val="nil"/>
            </w:tcBorders>
            <w:shd w:val="clear" w:color="auto" w:fill="auto"/>
            <w:vAlign w:val="center"/>
            <w:hideMark/>
          </w:tcPr>
          <w:p w14:paraId="75201D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163F6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59%</w:t>
            </w:r>
          </w:p>
        </w:tc>
        <w:tc>
          <w:tcPr>
            <w:tcW w:w="1166" w:type="dxa"/>
            <w:tcBorders>
              <w:top w:val="nil"/>
              <w:left w:val="nil"/>
              <w:bottom w:val="single" w:sz="4" w:space="0" w:color="auto"/>
              <w:right w:val="single" w:sz="4" w:space="0" w:color="auto"/>
            </w:tcBorders>
            <w:shd w:val="clear" w:color="auto" w:fill="auto"/>
            <w:vAlign w:val="center"/>
            <w:hideMark/>
          </w:tcPr>
          <w:p w14:paraId="2C8A69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54FC01F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11%</w:t>
            </w:r>
          </w:p>
        </w:tc>
        <w:tc>
          <w:tcPr>
            <w:tcW w:w="965" w:type="dxa"/>
            <w:tcBorders>
              <w:top w:val="nil"/>
              <w:left w:val="nil"/>
              <w:bottom w:val="single" w:sz="4" w:space="0" w:color="auto"/>
              <w:right w:val="single" w:sz="4" w:space="0" w:color="auto"/>
            </w:tcBorders>
            <w:shd w:val="clear" w:color="auto" w:fill="auto"/>
            <w:vAlign w:val="center"/>
            <w:hideMark/>
          </w:tcPr>
          <w:p w14:paraId="62E472D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116839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07C2F76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D99B8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D50AC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4AE3ACE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B6D149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2BB32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77FF3E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334C7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R-452B</w:t>
            </w:r>
          </w:p>
        </w:tc>
        <w:tc>
          <w:tcPr>
            <w:tcW w:w="1170" w:type="dxa"/>
            <w:tcBorders>
              <w:top w:val="nil"/>
              <w:left w:val="nil"/>
              <w:bottom w:val="single" w:sz="4" w:space="0" w:color="auto"/>
              <w:right w:val="nil"/>
            </w:tcBorders>
            <w:shd w:val="clear" w:color="auto" w:fill="auto"/>
            <w:vAlign w:val="center"/>
            <w:hideMark/>
          </w:tcPr>
          <w:p w14:paraId="3ACAD9B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0E90A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w:t>
            </w:r>
          </w:p>
        </w:tc>
        <w:tc>
          <w:tcPr>
            <w:tcW w:w="1166" w:type="dxa"/>
            <w:tcBorders>
              <w:top w:val="nil"/>
              <w:left w:val="nil"/>
              <w:bottom w:val="single" w:sz="4" w:space="0" w:color="auto"/>
              <w:right w:val="single" w:sz="4" w:space="0" w:color="auto"/>
            </w:tcBorders>
            <w:shd w:val="clear" w:color="auto" w:fill="auto"/>
            <w:vAlign w:val="center"/>
            <w:hideMark/>
          </w:tcPr>
          <w:p w14:paraId="30CF39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18EAE6A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67%</w:t>
            </w:r>
          </w:p>
        </w:tc>
        <w:tc>
          <w:tcPr>
            <w:tcW w:w="965" w:type="dxa"/>
            <w:tcBorders>
              <w:top w:val="nil"/>
              <w:left w:val="nil"/>
              <w:bottom w:val="single" w:sz="4" w:space="0" w:color="auto"/>
              <w:right w:val="single" w:sz="4" w:space="0" w:color="auto"/>
            </w:tcBorders>
            <w:shd w:val="clear" w:color="auto" w:fill="auto"/>
            <w:vAlign w:val="center"/>
            <w:hideMark/>
          </w:tcPr>
          <w:p w14:paraId="069EECE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9F262A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14:paraId="02BEB41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0FF5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444687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F68AE3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1DF0600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9A0C3B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03913F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2BDC5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R-452C</w:t>
            </w:r>
          </w:p>
        </w:tc>
        <w:tc>
          <w:tcPr>
            <w:tcW w:w="1170" w:type="dxa"/>
            <w:tcBorders>
              <w:top w:val="nil"/>
              <w:left w:val="nil"/>
              <w:bottom w:val="single" w:sz="4" w:space="0" w:color="auto"/>
              <w:right w:val="nil"/>
            </w:tcBorders>
            <w:shd w:val="clear" w:color="auto" w:fill="auto"/>
            <w:vAlign w:val="center"/>
            <w:hideMark/>
          </w:tcPr>
          <w:p w14:paraId="6558643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9696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61%</w:t>
            </w:r>
          </w:p>
        </w:tc>
        <w:tc>
          <w:tcPr>
            <w:tcW w:w="1166" w:type="dxa"/>
            <w:tcBorders>
              <w:top w:val="nil"/>
              <w:left w:val="nil"/>
              <w:bottom w:val="single" w:sz="4" w:space="0" w:color="auto"/>
              <w:right w:val="single" w:sz="4" w:space="0" w:color="auto"/>
            </w:tcBorders>
            <w:shd w:val="clear" w:color="auto" w:fill="auto"/>
            <w:vAlign w:val="center"/>
            <w:hideMark/>
          </w:tcPr>
          <w:p w14:paraId="031E2D1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37B5024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12,50%</w:t>
            </w:r>
          </w:p>
        </w:tc>
        <w:tc>
          <w:tcPr>
            <w:tcW w:w="965" w:type="dxa"/>
            <w:tcBorders>
              <w:top w:val="nil"/>
              <w:left w:val="nil"/>
              <w:bottom w:val="single" w:sz="4" w:space="0" w:color="auto"/>
              <w:right w:val="single" w:sz="4" w:space="0" w:color="auto"/>
            </w:tcBorders>
            <w:shd w:val="clear" w:color="auto" w:fill="auto"/>
            <w:vAlign w:val="center"/>
            <w:hideMark/>
          </w:tcPr>
          <w:p w14:paraId="3624603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C8BFE57"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26,5%</w:t>
            </w:r>
          </w:p>
        </w:tc>
        <w:tc>
          <w:tcPr>
            <w:tcW w:w="960" w:type="dxa"/>
            <w:tcBorders>
              <w:top w:val="nil"/>
              <w:left w:val="nil"/>
              <w:bottom w:val="single" w:sz="4" w:space="0" w:color="auto"/>
              <w:right w:val="single" w:sz="4" w:space="0" w:color="auto"/>
            </w:tcBorders>
            <w:shd w:val="clear" w:color="auto" w:fill="auto"/>
            <w:vAlign w:val="center"/>
            <w:hideMark/>
          </w:tcPr>
          <w:p w14:paraId="11A919B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1F4C273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78A645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2338503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426B57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B00293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4BC476B"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8BEE7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R-453A</w:t>
            </w:r>
          </w:p>
        </w:tc>
        <w:tc>
          <w:tcPr>
            <w:tcW w:w="1170" w:type="dxa"/>
            <w:tcBorders>
              <w:top w:val="nil"/>
              <w:left w:val="nil"/>
              <w:bottom w:val="single" w:sz="4" w:space="0" w:color="auto"/>
              <w:right w:val="nil"/>
            </w:tcBorders>
            <w:shd w:val="clear" w:color="auto" w:fill="auto"/>
            <w:vAlign w:val="center"/>
            <w:hideMark/>
          </w:tcPr>
          <w:p w14:paraId="7ED3839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6B858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1166" w:type="dxa"/>
            <w:tcBorders>
              <w:top w:val="nil"/>
              <w:left w:val="nil"/>
              <w:bottom w:val="single" w:sz="4" w:space="0" w:color="auto"/>
              <w:right w:val="single" w:sz="4" w:space="0" w:color="auto"/>
            </w:tcBorders>
            <w:shd w:val="clear" w:color="auto" w:fill="auto"/>
            <w:vAlign w:val="center"/>
            <w:hideMark/>
          </w:tcPr>
          <w:p w14:paraId="1EED7D4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HC-601a</w:t>
            </w:r>
          </w:p>
        </w:tc>
        <w:tc>
          <w:tcPr>
            <w:tcW w:w="820" w:type="dxa"/>
            <w:tcBorders>
              <w:top w:val="nil"/>
              <w:left w:val="nil"/>
              <w:bottom w:val="single" w:sz="4" w:space="0" w:color="auto"/>
              <w:right w:val="single" w:sz="4" w:space="0" w:color="auto"/>
            </w:tcBorders>
            <w:shd w:val="clear" w:color="auto" w:fill="auto"/>
            <w:vAlign w:val="center"/>
            <w:hideMark/>
          </w:tcPr>
          <w:p w14:paraId="17ECF23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965" w:type="dxa"/>
            <w:tcBorders>
              <w:top w:val="nil"/>
              <w:left w:val="nil"/>
              <w:bottom w:val="single" w:sz="4" w:space="0" w:color="auto"/>
              <w:right w:val="single" w:sz="4" w:space="0" w:color="auto"/>
            </w:tcBorders>
            <w:shd w:val="clear" w:color="auto" w:fill="auto"/>
            <w:vAlign w:val="center"/>
            <w:hideMark/>
          </w:tcPr>
          <w:p w14:paraId="781478B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46753A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4B0010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9301A3" w14:textId="77777777" w:rsidR="00232FF7" w:rsidRPr="00DF4BB7" w:rsidRDefault="00232FF7" w:rsidP="006451A1">
            <w:pPr>
              <w:spacing w:after="0" w:line="240" w:lineRule="auto"/>
              <w:ind w:left="-216"/>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53,80%</w:t>
            </w:r>
          </w:p>
        </w:tc>
        <w:tc>
          <w:tcPr>
            <w:tcW w:w="960" w:type="dxa"/>
            <w:tcBorders>
              <w:top w:val="nil"/>
              <w:left w:val="nil"/>
              <w:bottom w:val="single" w:sz="4" w:space="0" w:color="auto"/>
              <w:right w:val="single" w:sz="4" w:space="0" w:color="auto"/>
            </w:tcBorders>
            <w:shd w:val="clear" w:color="auto" w:fill="auto"/>
            <w:vAlign w:val="center"/>
            <w:hideMark/>
          </w:tcPr>
          <w:p w14:paraId="0EB2BBE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597" w:type="dxa"/>
            <w:tcBorders>
              <w:top w:val="nil"/>
              <w:left w:val="nil"/>
              <w:bottom w:val="single" w:sz="4" w:space="0" w:color="auto"/>
              <w:right w:val="single" w:sz="4" w:space="0" w:color="auto"/>
            </w:tcBorders>
            <w:shd w:val="clear" w:color="auto" w:fill="auto"/>
            <w:vAlign w:val="center"/>
            <w:hideMark/>
          </w:tcPr>
          <w:p w14:paraId="79DE95A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706" w:type="dxa"/>
            <w:tcBorders>
              <w:top w:val="nil"/>
              <w:left w:val="nil"/>
              <w:bottom w:val="single" w:sz="4" w:space="0" w:color="auto"/>
              <w:right w:val="single" w:sz="4" w:space="0" w:color="auto"/>
            </w:tcBorders>
            <w:shd w:val="clear" w:color="auto" w:fill="auto"/>
            <w:vAlign w:val="center"/>
            <w:hideMark/>
          </w:tcPr>
          <w:p w14:paraId="6B1F3B18" w14:textId="77777777" w:rsidR="00232FF7" w:rsidRPr="00DF4BB7" w:rsidRDefault="00232FF7" w:rsidP="006451A1">
            <w:pPr>
              <w:spacing w:after="0" w:line="240" w:lineRule="auto"/>
              <w:ind w:right="-111"/>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70" w:type="dxa"/>
            <w:tcBorders>
              <w:top w:val="nil"/>
              <w:left w:val="nil"/>
              <w:bottom w:val="single" w:sz="4" w:space="0" w:color="auto"/>
              <w:right w:val="single" w:sz="4" w:space="0" w:color="auto"/>
            </w:tcBorders>
            <w:shd w:val="clear" w:color="auto" w:fill="auto"/>
            <w:vAlign w:val="center"/>
            <w:hideMark/>
          </w:tcPr>
          <w:p w14:paraId="282B006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r>
      <w:tr w:rsidR="00232FF7" w:rsidRPr="00DF4BB7" w14:paraId="2B09149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0C83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R-454A</w:t>
            </w:r>
          </w:p>
        </w:tc>
        <w:tc>
          <w:tcPr>
            <w:tcW w:w="1170" w:type="dxa"/>
            <w:tcBorders>
              <w:top w:val="nil"/>
              <w:left w:val="nil"/>
              <w:bottom w:val="single" w:sz="4" w:space="0" w:color="auto"/>
              <w:right w:val="nil"/>
            </w:tcBorders>
            <w:shd w:val="clear" w:color="auto" w:fill="auto"/>
            <w:vAlign w:val="center"/>
            <w:hideMark/>
          </w:tcPr>
          <w:p w14:paraId="792FD8D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9DE9A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35%</w:t>
            </w:r>
          </w:p>
        </w:tc>
        <w:tc>
          <w:tcPr>
            <w:tcW w:w="1166" w:type="dxa"/>
            <w:tcBorders>
              <w:top w:val="nil"/>
              <w:left w:val="nil"/>
              <w:bottom w:val="single" w:sz="4" w:space="0" w:color="auto"/>
              <w:right w:val="single" w:sz="4" w:space="0" w:color="auto"/>
            </w:tcBorders>
            <w:shd w:val="clear" w:color="auto" w:fill="auto"/>
            <w:vAlign w:val="center"/>
            <w:hideMark/>
          </w:tcPr>
          <w:p w14:paraId="341A4F3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705DC1C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65%</w:t>
            </w:r>
          </w:p>
        </w:tc>
        <w:tc>
          <w:tcPr>
            <w:tcW w:w="965" w:type="dxa"/>
            <w:tcBorders>
              <w:top w:val="nil"/>
              <w:left w:val="nil"/>
              <w:bottom w:val="single" w:sz="4" w:space="0" w:color="auto"/>
              <w:right w:val="single" w:sz="4" w:space="0" w:color="auto"/>
            </w:tcBorders>
            <w:shd w:val="clear" w:color="auto" w:fill="auto"/>
            <w:vAlign w:val="center"/>
            <w:hideMark/>
          </w:tcPr>
          <w:p w14:paraId="57DEDB9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B9BC91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27D390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902006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CD5A1F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AB27B6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C3625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456A51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F2C5DB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668A5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R-454B</w:t>
            </w:r>
          </w:p>
        </w:tc>
        <w:tc>
          <w:tcPr>
            <w:tcW w:w="1170" w:type="dxa"/>
            <w:tcBorders>
              <w:top w:val="nil"/>
              <w:left w:val="nil"/>
              <w:bottom w:val="single" w:sz="4" w:space="0" w:color="auto"/>
              <w:right w:val="nil"/>
            </w:tcBorders>
            <w:shd w:val="clear" w:color="auto" w:fill="auto"/>
            <w:vAlign w:val="center"/>
            <w:hideMark/>
          </w:tcPr>
          <w:p w14:paraId="478FB6C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F64348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68,90%</w:t>
            </w:r>
          </w:p>
        </w:tc>
        <w:tc>
          <w:tcPr>
            <w:tcW w:w="1166" w:type="dxa"/>
            <w:tcBorders>
              <w:top w:val="nil"/>
              <w:left w:val="nil"/>
              <w:bottom w:val="single" w:sz="4" w:space="0" w:color="auto"/>
              <w:right w:val="single" w:sz="4" w:space="0" w:color="auto"/>
            </w:tcBorders>
            <w:shd w:val="clear" w:color="auto" w:fill="auto"/>
            <w:vAlign w:val="center"/>
            <w:hideMark/>
          </w:tcPr>
          <w:p w14:paraId="7240146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1F5AB87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31,10%</w:t>
            </w:r>
          </w:p>
        </w:tc>
        <w:tc>
          <w:tcPr>
            <w:tcW w:w="965" w:type="dxa"/>
            <w:tcBorders>
              <w:top w:val="nil"/>
              <w:left w:val="nil"/>
              <w:bottom w:val="single" w:sz="4" w:space="0" w:color="auto"/>
              <w:right w:val="single" w:sz="4" w:space="0" w:color="auto"/>
            </w:tcBorders>
            <w:shd w:val="clear" w:color="auto" w:fill="auto"/>
            <w:vAlign w:val="center"/>
            <w:hideMark/>
          </w:tcPr>
          <w:p w14:paraId="76635E0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1A561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665381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424FF9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A6D9F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A9EA05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27A331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5072BE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8AC484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41407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R-454C</w:t>
            </w:r>
          </w:p>
        </w:tc>
        <w:tc>
          <w:tcPr>
            <w:tcW w:w="1170" w:type="dxa"/>
            <w:tcBorders>
              <w:top w:val="nil"/>
              <w:left w:val="nil"/>
              <w:bottom w:val="single" w:sz="4" w:space="0" w:color="auto"/>
              <w:right w:val="nil"/>
            </w:tcBorders>
            <w:shd w:val="clear" w:color="auto" w:fill="auto"/>
            <w:vAlign w:val="center"/>
            <w:hideMark/>
          </w:tcPr>
          <w:p w14:paraId="3F775BA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103ED6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21,50%</w:t>
            </w:r>
          </w:p>
        </w:tc>
        <w:tc>
          <w:tcPr>
            <w:tcW w:w="1166" w:type="dxa"/>
            <w:tcBorders>
              <w:top w:val="nil"/>
              <w:left w:val="nil"/>
              <w:bottom w:val="single" w:sz="4" w:space="0" w:color="auto"/>
              <w:right w:val="single" w:sz="4" w:space="0" w:color="auto"/>
            </w:tcBorders>
            <w:shd w:val="clear" w:color="auto" w:fill="auto"/>
            <w:vAlign w:val="center"/>
            <w:hideMark/>
          </w:tcPr>
          <w:p w14:paraId="6EB7A38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1608FF0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78,50%</w:t>
            </w:r>
          </w:p>
        </w:tc>
        <w:tc>
          <w:tcPr>
            <w:tcW w:w="965" w:type="dxa"/>
            <w:tcBorders>
              <w:top w:val="nil"/>
              <w:left w:val="nil"/>
              <w:bottom w:val="single" w:sz="4" w:space="0" w:color="auto"/>
              <w:right w:val="single" w:sz="4" w:space="0" w:color="auto"/>
            </w:tcBorders>
            <w:shd w:val="clear" w:color="auto" w:fill="auto"/>
            <w:vAlign w:val="center"/>
            <w:hideMark/>
          </w:tcPr>
          <w:p w14:paraId="722BB38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1193775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15740D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B6057D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A15DE9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40935D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062B9D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768147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CD74E2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45CDC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R-455A</w:t>
            </w:r>
          </w:p>
        </w:tc>
        <w:tc>
          <w:tcPr>
            <w:tcW w:w="1170" w:type="dxa"/>
            <w:tcBorders>
              <w:top w:val="nil"/>
              <w:left w:val="nil"/>
              <w:bottom w:val="single" w:sz="4" w:space="0" w:color="auto"/>
              <w:right w:val="nil"/>
            </w:tcBorders>
            <w:shd w:val="clear" w:color="auto" w:fill="auto"/>
            <w:vAlign w:val="center"/>
            <w:hideMark/>
          </w:tcPr>
          <w:p w14:paraId="5979652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2A58F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21,50%</w:t>
            </w:r>
          </w:p>
        </w:tc>
        <w:tc>
          <w:tcPr>
            <w:tcW w:w="1166" w:type="dxa"/>
            <w:tcBorders>
              <w:top w:val="nil"/>
              <w:left w:val="nil"/>
              <w:bottom w:val="single" w:sz="4" w:space="0" w:color="auto"/>
              <w:right w:val="single" w:sz="4" w:space="0" w:color="auto"/>
            </w:tcBorders>
            <w:shd w:val="clear" w:color="auto" w:fill="auto"/>
            <w:vAlign w:val="center"/>
            <w:hideMark/>
          </w:tcPr>
          <w:p w14:paraId="70A3E6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5AD7561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75,50%</w:t>
            </w:r>
          </w:p>
        </w:tc>
        <w:tc>
          <w:tcPr>
            <w:tcW w:w="965" w:type="dxa"/>
            <w:tcBorders>
              <w:top w:val="nil"/>
              <w:left w:val="nil"/>
              <w:bottom w:val="single" w:sz="4" w:space="0" w:color="auto"/>
              <w:right w:val="single" w:sz="4" w:space="0" w:color="auto"/>
            </w:tcBorders>
            <w:shd w:val="clear" w:color="auto" w:fill="auto"/>
            <w:vAlign w:val="center"/>
            <w:hideMark/>
          </w:tcPr>
          <w:p w14:paraId="120EBF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R-744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AD715C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086A7A4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E20EF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6643E3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EB4B2C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353A74F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EA64CA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4CC347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ADD08F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R-456A</w:t>
            </w:r>
          </w:p>
        </w:tc>
        <w:tc>
          <w:tcPr>
            <w:tcW w:w="1170" w:type="dxa"/>
            <w:tcBorders>
              <w:top w:val="nil"/>
              <w:left w:val="nil"/>
              <w:bottom w:val="single" w:sz="4" w:space="0" w:color="auto"/>
              <w:right w:val="nil"/>
            </w:tcBorders>
            <w:shd w:val="clear" w:color="auto" w:fill="auto"/>
            <w:vAlign w:val="center"/>
            <w:hideMark/>
          </w:tcPr>
          <w:p w14:paraId="2CAD3EB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4B2C8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45%</w:t>
            </w:r>
          </w:p>
        </w:tc>
        <w:tc>
          <w:tcPr>
            <w:tcW w:w="1166" w:type="dxa"/>
            <w:tcBorders>
              <w:top w:val="nil"/>
              <w:left w:val="nil"/>
              <w:bottom w:val="single" w:sz="4" w:space="0" w:color="auto"/>
              <w:right w:val="single" w:sz="4" w:space="0" w:color="auto"/>
            </w:tcBorders>
            <w:shd w:val="clear" w:color="auto" w:fill="auto"/>
            <w:vAlign w:val="center"/>
            <w:hideMark/>
          </w:tcPr>
          <w:p w14:paraId="17F6EB5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76AE3A7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w:t>
            </w:r>
          </w:p>
        </w:tc>
        <w:tc>
          <w:tcPr>
            <w:tcW w:w="965" w:type="dxa"/>
            <w:tcBorders>
              <w:top w:val="nil"/>
              <w:left w:val="nil"/>
              <w:bottom w:val="single" w:sz="4" w:space="0" w:color="auto"/>
              <w:right w:val="single" w:sz="4" w:space="0" w:color="auto"/>
            </w:tcBorders>
            <w:shd w:val="clear" w:color="auto" w:fill="auto"/>
            <w:vAlign w:val="center"/>
            <w:hideMark/>
          </w:tcPr>
          <w:p w14:paraId="150608B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388A5A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14:paraId="4C47BD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737FC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9E5C1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3E379C9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767F599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E9C148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C0EB72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905A6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R-457A</w:t>
            </w:r>
          </w:p>
        </w:tc>
        <w:tc>
          <w:tcPr>
            <w:tcW w:w="1170" w:type="dxa"/>
            <w:tcBorders>
              <w:top w:val="nil"/>
              <w:left w:val="nil"/>
              <w:bottom w:val="single" w:sz="4" w:space="0" w:color="auto"/>
              <w:right w:val="nil"/>
            </w:tcBorders>
            <w:shd w:val="clear" w:color="auto" w:fill="auto"/>
            <w:vAlign w:val="center"/>
            <w:hideMark/>
          </w:tcPr>
          <w:p w14:paraId="68D6297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01458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w:t>
            </w:r>
          </w:p>
        </w:tc>
        <w:tc>
          <w:tcPr>
            <w:tcW w:w="1166" w:type="dxa"/>
            <w:tcBorders>
              <w:top w:val="nil"/>
              <w:left w:val="nil"/>
              <w:bottom w:val="single" w:sz="4" w:space="0" w:color="auto"/>
              <w:right w:val="single" w:sz="4" w:space="0" w:color="auto"/>
            </w:tcBorders>
            <w:shd w:val="clear" w:color="auto" w:fill="auto"/>
            <w:vAlign w:val="center"/>
            <w:hideMark/>
          </w:tcPr>
          <w:p w14:paraId="7AD5CFB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778F9BB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18%</w:t>
            </w:r>
          </w:p>
        </w:tc>
        <w:tc>
          <w:tcPr>
            <w:tcW w:w="965" w:type="dxa"/>
            <w:tcBorders>
              <w:top w:val="nil"/>
              <w:left w:val="nil"/>
              <w:bottom w:val="single" w:sz="4" w:space="0" w:color="auto"/>
              <w:right w:val="single" w:sz="4" w:space="0" w:color="auto"/>
            </w:tcBorders>
            <w:shd w:val="clear" w:color="auto" w:fill="auto"/>
            <w:vAlign w:val="center"/>
            <w:hideMark/>
          </w:tcPr>
          <w:p w14:paraId="5B569B4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48F786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2F0B45E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E84E4F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B50A6D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01DF23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27E19C2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52FF67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1C8B7B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B94318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R-458A</w:t>
            </w:r>
          </w:p>
        </w:tc>
        <w:tc>
          <w:tcPr>
            <w:tcW w:w="1170" w:type="dxa"/>
            <w:tcBorders>
              <w:top w:val="nil"/>
              <w:left w:val="nil"/>
              <w:bottom w:val="single" w:sz="4" w:space="0" w:color="auto"/>
              <w:right w:val="nil"/>
            </w:tcBorders>
            <w:shd w:val="clear" w:color="auto" w:fill="auto"/>
            <w:vAlign w:val="center"/>
            <w:hideMark/>
          </w:tcPr>
          <w:p w14:paraId="4F3DA97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9C144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1166" w:type="dxa"/>
            <w:tcBorders>
              <w:top w:val="nil"/>
              <w:left w:val="nil"/>
              <w:bottom w:val="single" w:sz="4" w:space="0" w:color="auto"/>
              <w:right w:val="single" w:sz="4" w:space="0" w:color="auto"/>
            </w:tcBorders>
            <w:shd w:val="clear" w:color="auto" w:fill="auto"/>
            <w:vAlign w:val="center"/>
            <w:hideMark/>
          </w:tcPr>
          <w:p w14:paraId="7DC1AE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0A3ED13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61,40%</w:t>
            </w:r>
          </w:p>
        </w:tc>
        <w:tc>
          <w:tcPr>
            <w:tcW w:w="965" w:type="dxa"/>
            <w:tcBorders>
              <w:top w:val="nil"/>
              <w:left w:val="nil"/>
              <w:bottom w:val="single" w:sz="4" w:space="0" w:color="auto"/>
              <w:right w:val="single" w:sz="4" w:space="0" w:color="auto"/>
            </w:tcBorders>
            <w:shd w:val="clear" w:color="auto" w:fill="auto"/>
            <w:vAlign w:val="center"/>
            <w:hideMark/>
          </w:tcPr>
          <w:p w14:paraId="26EBD53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05F49FD" w14:textId="77777777" w:rsidR="00232FF7" w:rsidRPr="00DF4BB7" w:rsidRDefault="00232FF7" w:rsidP="006451A1">
            <w:pPr>
              <w:spacing w:after="0" w:line="240" w:lineRule="auto"/>
              <w:ind w:left="-145"/>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13,5%</w:t>
            </w:r>
          </w:p>
        </w:tc>
        <w:tc>
          <w:tcPr>
            <w:tcW w:w="960" w:type="dxa"/>
            <w:tcBorders>
              <w:top w:val="nil"/>
              <w:left w:val="nil"/>
              <w:bottom w:val="single" w:sz="4" w:space="0" w:color="auto"/>
              <w:right w:val="single" w:sz="4" w:space="0" w:color="auto"/>
            </w:tcBorders>
            <w:shd w:val="clear" w:color="auto" w:fill="auto"/>
            <w:vAlign w:val="center"/>
            <w:hideMark/>
          </w:tcPr>
          <w:p w14:paraId="22A652C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HFC-236fa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1C2EE17" w14:textId="77777777" w:rsidR="00232FF7" w:rsidRPr="00DF4BB7" w:rsidRDefault="00232FF7" w:rsidP="006451A1">
            <w:pPr>
              <w:spacing w:after="0" w:line="240" w:lineRule="auto"/>
              <w:ind w:left="-216"/>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0,60%</w:t>
            </w:r>
          </w:p>
        </w:tc>
        <w:tc>
          <w:tcPr>
            <w:tcW w:w="960" w:type="dxa"/>
            <w:tcBorders>
              <w:top w:val="nil"/>
              <w:left w:val="nil"/>
              <w:bottom w:val="single" w:sz="4" w:space="0" w:color="auto"/>
              <w:right w:val="single" w:sz="4" w:space="0" w:color="auto"/>
            </w:tcBorders>
            <w:shd w:val="clear" w:color="auto" w:fill="auto"/>
            <w:vAlign w:val="center"/>
            <w:hideMark/>
          </w:tcPr>
          <w:p w14:paraId="0E34D8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7" w:type="dxa"/>
            <w:tcBorders>
              <w:top w:val="nil"/>
              <w:left w:val="nil"/>
              <w:bottom w:val="single" w:sz="4" w:space="0" w:color="auto"/>
              <w:right w:val="single" w:sz="4" w:space="0" w:color="auto"/>
            </w:tcBorders>
            <w:shd w:val="clear" w:color="auto" w:fill="auto"/>
            <w:vAlign w:val="center"/>
            <w:hideMark/>
          </w:tcPr>
          <w:p w14:paraId="1C74A286" w14:textId="77777777" w:rsidR="00232FF7" w:rsidRPr="00DF4BB7" w:rsidRDefault="00232FF7" w:rsidP="006451A1">
            <w:pPr>
              <w:spacing w:after="0" w:line="240" w:lineRule="auto"/>
              <w:ind w:left="-358" w:right="-112"/>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20,50%</w:t>
            </w:r>
          </w:p>
        </w:tc>
        <w:tc>
          <w:tcPr>
            <w:tcW w:w="706" w:type="dxa"/>
            <w:tcBorders>
              <w:top w:val="nil"/>
              <w:left w:val="nil"/>
              <w:bottom w:val="single" w:sz="4" w:space="0" w:color="auto"/>
              <w:right w:val="single" w:sz="4" w:space="0" w:color="auto"/>
            </w:tcBorders>
            <w:shd w:val="clear" w:color="auto" w:fill="auto"/>
            <w:vAlign w:val="center"/>
            <w:hideMark/>
          </w:tcPr>
          <w:p w14:paraId="418BAEE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26C1543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95FBD3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6C3BE8D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R-459A</w:t>
            </w:r>
          </w:p>
        </w:tc>
        <w:tc>
          <w:tcPr>
            <w:tcW w:w="1170" w:type="dxa"/>
            <w:tcBorders>
              <w:top w:val="nil"/>
              <w:left w:val="nil"/>
              <w:bottom w:val="single" w:sz="4" w:space="0" w:color="auto"/>
              <w:right w:val="nil"/>
            </w:tcBorders>
            <w:shd w:val="clear" w:color="auto" w:fill="auto"/>
            <w:vAlign w:val="center"/>
            <w:hideMark/>
          </w:tcPr>
          <w:p w14:paraId="5160CE1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CEE23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68%</w:t>
            </w:r>
          </w:p>
        </w:tc>
        <w:tc>
          <w:tcPr>
            <w:tcW w:w="1166" w:type="dxa"/>
            <w:tcBorders>
              <w:top w:val="nil"/>
              <w:left w:val="nil"/>
              <w:bottom w:val="single" w:sz="4" w:space="0" w:color="auto"/>
              <w:right w:val="single" w:sz="4" w:space="0" w:color="auto"/>
            </w:tcBorders>
            <w:shd w:val="clear" w:color="auto" w:fill="auto"/>
            <w:vAlign w:val="center"/>
            <w:hideMark/>
          </w:tcPr>
          <w:p w14:paraId="60C8D8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141E118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26%</w:t>
            </w:r>
          </w:p>
        </w:tc>
        <w:tc>
          <w:tcPr>
            <w:tcW w:w="965" w:type="dxa"/>
            <w:tcBorders>
              <w:top w:val="nil"/>
              <w:left w:val="nil"/>
              <w:bottom w:val="single" w:sz="4" w:space="0" w:color="auto"/>
              <w:right w:val="single" w:sz="4" w:space="0" w:color="auto"/>
            </w:tcBorders>
            <w:shd w:val="clear" w:color="auto" w:fill="auto"/>
            <w:vAlign w:val="center"/>
            <w:hideMark/>
          </w:tcPr>
          <w:p w14:paraId="6092696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BE2E265"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7A14233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7196FB3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8308D4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9A7BE7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0342E2D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3805963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1FBA713"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8EA57D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R-459B</w:t>
            </w:r>
          </w:p>
        </w:tc>
        <w:tc>
          <w:tcPr>
            <w:tcW w:w="1170" w:type="dxa"/>
            <w:tcBorders>
              <w:top w:val="nil"/>
              <w:left w:val="nil"/>
              <w:bottom w:val="single" w:sz="4" w:space="0" w:color="auto"/>
              <w:right w:val="nil"/>
            </w:tcBorders>
            <w:shd w:val="clear" w:color="auto" w:fill="auto"/>
            <w:vAlign w:val="center"/>
            <w:hideMark/>
          </w:tcPr>
          <w:p w14:paraId="5138DF2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DD57B0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21%</w:t>
            </w:r>
          </w:p>
        </w:tc>
        <w:tc>
          <w:tcPr>
            <w:tcW w:w="1166" w:type="dxa"/>
            <w:tcBorders>
              <w:top w:val="nil"/>
              <w:left w:val="nil"/>
              <w:bottom w:val="single" w:sz="4" w:space="0" w:color="auto"/>
              <w:right w:val="single" w:sz="4" w:space="0" w:color="auto"/>
            </w:tcBorders>
            <w:shd w:val="clear" w:color="auto" w:fill="auto"/>
            <w:vAlign w:val="center"/>
            <w:hideMark/>
          </w:tcPr>
          <w:p w14:paraId="51DD037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26DBFE1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69%</w:t>
            </w:r>
          </w:p>
        </w:tc>
        <w:tc>
          <w:tcPr>
            <w:tcW w:w="965" w:type="dxa"/>
            <w:tcBorders>
              <w:top w:val="nil"/>
              <w:left w:val="nil"/>
              <w:bottom w:val="single" w:sz="4" w:space="0" w:color="auto"/>
              <w:right w:val="single" w:sz="4" w:space="0" w:color="auto"/>
            </w:tcBorders>
            <w:shd w:val="clear" w:color="auto" w:fill="auto"/>
            <w:vAlign w:val="center"/>
            <w:hideMark/>
          </w:tcPr>
          <w:p w14:paraId="60AED7B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E95BBB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414FB6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A105DE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0EED21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74FE83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62FAAE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460C53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11D2C8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E455B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R-460A</w:t>
            </w:r>
          </w:p>
        </w:tc>
        <w:tc>
          <w:tcPr>
            <w:tcW w:w="1170" w:type="dxa"/>
            <w:tcBorders>
              <w:top w:val="nil"/>
              <w:left w:val="nil"/>
              <w:bottom w:val="single" w:sz="4" w:space="0" w:color="auto"/>
              <w:right w:val="nil"/>
            </w:tcBorders>
            <w:shd w:val="clear" w:color="auto" w:fill="auto"/>
            <w:vAlign w:val="center"/>
            <w:hideMark/>
          </w:tcPr>
          <w:p w14:paraId="15DF571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1BABE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52%</w:t>
            </w:r>
          </w:p>
        </w:tc>
        <w:tc>
          <w:tcPr>
            <w:tcW w:w="1166" w:type="dxa"/>
            <w:tcBorders>
              <w:top w:val="nil"/>
              <w:left w:val="nil"/>
              <w:bottom w:val="single" w:sz="4" w:space="0" w:color="auto"/>
              <w:right w:val="single" w:sz="4" w:space="0" w:color="auto"/>
            </w:tcBorders>
            <w:shd w:val="clear" w:color="auto" w:fill="auto"/>
            <w:vAlign w:val="center"/>
            <w:hideMark/>
          </w:tcPr>
          <w:p w14:paraId="249E5B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6A17693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14%</w:t>
            </w:r>
          </w:p>
        </w:tc>
        <w:tc>
          <w:tcPr>
            <w:tcW w:w="965" w:type="dxa"/>
            <w:tcBorders>
              <w:top w:val="nil"/>
              <w:left w:val="nil"/>
              <w:bottom w:val="single" w:sz="4" w:space="0" w:color="auto"/>
              <w:right w:val="single" w:sz="4" w:space="0" w:color="auto"/>
            </w:tcBorders>
            <w:shd w:val="clear" w:color="auto" w:fill="auto"/>
            <w:vAlign w:val="center"/>
            <w:hideMark/>
          </w:tcPr>
          <w:p w14:paraId="1F2C7A5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85E0BC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1AF6EFF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0E61B22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54FD261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0EAB0D9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5335D7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539B8A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62E43A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741798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R-460B</w:t>
            </w:r>
          </w:p>
        </w:tc>
        <w:tc>
          <w:tcPr>
            <w:tcW w:w="1170" w:type="dxa"/>
            <w:tcBorders>
              <w:top w:val="nil"/>
              <w:left w:val="nil"/>
              <w:bottom w:val="single" w:sz="4" w:space="0" w:color="auto"/>
              <w:right w:val="nil"/>
            </w:tcBorders>
            <w:shd w:val="clear" w:color="auto" w:fill="auto"/>
            <w:vAlign w:val="center"/>
            <w:hideMark/>
          </w:tcPr>
          <w:p w14:paraId="15E0050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2D1D2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33C5466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322B9FD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20%</w:t>
            </w:r>
          </w:p>
        </w:tc>
        <w:tc>
          <w:tcPr>
            <w:tcW w:w="965" w:type="dxa"/>
            <w:tcBorders>
              <w:top w:val="nil"/>
              <w:left w:val="nil"/>
              <w:bottom w:val="single" w:sz="4" w:space="0" w:color="auto"/>
              <w:right w:val="single" w:sz="4" w:space="0" w:color="auto"/>
            </w:tcBorders>
            <w:shd w:val="clear" w:color="auto" w:fill="auto"/>
            <w:vAlign w:val="center"/>
            <w:hideMark/>
          </w:tcPr>
          <w:p w14:paraId="4E9F9F3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CAC165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14:paraId="50E0D5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C62D2F1"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564352B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6FC86D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14:paraId="770F45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1FDC016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4797894" w14:textId="77777777" w:rsidTr="006451A1">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47E62DD7" w14:textId="77777777" w:rsidR="00232FF7" w:rsidRPr="00DF4BB7" w:rsidRDefault="00232FF7" w:rsidP="00B76E47">
            <w:pPr>
              <w:keepNext/>
              <w:spacing w:after="0" w:line="240" w:lineRule="auto"/>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lastRenderedPageBreak/>
              <w:t>Mezclas azeotrópicas</w:t>
            </w:r>
          </w:p>
        </w:tc>
      </w:tr>
      <w:tr w:rsidR="00232FF7" w:rsidRPr="00DF4BB7" w14:paraId="5A3555A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313C00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R-500</w:t>
            </w:r>
          </w:p>
        </w:tc>
        <w:tc>
          <w:tcPr>
            <w:tcW w:w="1170" w:type="dxa"/>
            <w:tcBorders>
              <w:top w:val="nil"/>
              <w:left w:val="nil"/>
              <w:bottom w:val="single" w:sz="4" w:space="0" w:color="auto"/>
              <w:right w:val="single" w:sz="4" w:space="0" w:color="auto"/>
            </w:tcBorders>
            <w:shd w:val="clear" w:color="auto" w:fill="auto"/>
            <w:vAlign w:val="center"/>
            <w:hideMark/>
          </w:tcPr>
          <w:p w14:paraId="47BB76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CFC-12</w:t>
            </w:r>
          </w:p>
        </w:tc>
        <w:tc>
          <w:tcPr>
            <w:tcW w:w="709" w:type="dxa"/>
            <w:tcBorders>
              <w:top w:val="nil"/>
              <w:left w:val="nil"/>
              <w:bottom w:val="single" w:sz="4" w:space="0" w:color="auto"/>
              <w:right w:val="single" w:sz="4" w:space="0" w:color="auto"/>
            </w:tcBorders>
            <w:shd w:val="clear" w:color="auto" w:fill="auto"/>
            <w:vAlign w:val="center"/>
            <w:hideMark/>
          </w:tcPr>
          <w:p w14:paraId="7DD0673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73,80%</w:t>
            </w:r>
          </w:p>
        </w:tc>
        <w:tc>
          <w:tcPr>
            <w:tcW w:w="1166" w:type="dxa"/>
            <w:tcBorders>
              <w:top w:val="nil"/>
              <w:left w:val="nil"/>
              <w:bottom w:val="single" w:sz="4" w:space="0" w:color="auto"/>
              <w:right w:val="single" w:sz="4" w:space="0" w:color="auto"/>
            </w:tcBorders>
            <w:shd w:val="clear" w:color="auto" w:fill="auto"/>
            <w:vAlign w:val="center"/>
            <w:hideMark/>
          </w:tcPr>
          <w:p w14:paraId="3F15196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277D401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26,2%</w:t>
            </w:r>
          </w:p>
        </w:tc>
        <w:tc>
          <w:tcPr>
            <w:tcW w:w="965" w:type="dxa"/>
            <w:tcBorders>
              <w:top w:val="nil"/>
              <w:left w:val="nil"/>
              <w:bottom w:val="single" w:sz="4" w:space="0" w:color="auto"/>
              <w:right w:val="single" w:sz="4" w:space="0" w:color="auto"/>
            </w:tcBorders>
            <w:shd w:val="clear" w:color="auto" w:fill="auto"/>
            <w:noWrap/>
            <w:vAlign w:val="bottom"/>
            <w:hideMark/>
          </w:tcPr>
          <w:p w14:paraId="0B1095D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651FB2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21CE6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9B172B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B681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3A262E3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65C82D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B781E7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B16171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B24D29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R-501</w:t>
            </w:r>
          </w:p>
        </w:tc>
        <w:tc>
          <w:tcPr>
            <w:tcW w:w="1170" w:type="dxa"/>
            <w:tcBorders>
              <w:top w:val="nil"/>
              <w:left w:val="nil"/>
              <w:bottom w:val="single" w:sz="4" w:space="0" w:color="auto"/>
              <w:right w:val="single" w:sz="4" w:space="0" w:color="auto"/>
            </w:tcBorders>
            <w:shd w:val="clear" w:color="auto" w:fill="auto"/>
            <w:vAlign w:val="center"/>
            <w:hideMark/>
          </w:tcPr>
          <w:p w14:paraId="5EB0F2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CFC-12</w:t>
            </w:r>
          </w:p>
        </w:tc>
        <w:tc>
          <w:tcPr>
            <w:tcW w:w="709" w:type="dxa"/>
            <w:tcBorders>
              <w:top w:val="nil"/>
              <w:left w:val="nil"/>
              <w:bottom w:val="single" w:sz="4" w:space="0" w:color="auto"/>
              <w:right w:val="single" w:sz="4" w:space="0" w:color="auto"/>
            </w:tcBorders>
            <w:shd w:val="clear" w:color="auto" w:fill="auto"/>
            <w:vAlign w:val="center"/>
            <w:hideMark/>
          </w:tcPr>
          <w:p w14:paraId="4554296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25%</w:t>
            </w:r>
          </w:p>
        </w:tc>
        <w:tc>
          <w:tcPr>
            <w:tcW w:w="1166" w:type="dxa"/>
            <w:tcBorders>
              <w:top w:val="nil"/>
              <w:left w:val="nil"/>
              <w:bottom w:val="single" w:sz="4" w:space="0" w:color="auto"/>
              <w:right w:val="single" w:sz="4" w:space="0" w:color="auto"/>
            </w:tcBorders>
            <w:shd w:val="clear" w:color="auto" w:fill="auto"/>
            <w:vAlign w:val="center"/>
            <w:hideMark/>
          </w:tcPr>
          <w:p w14:paraId="48C5863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5CBB13D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75%</w:t>
            </w:r>
          </w:p>
        </w:tc>
        <w:tc>
          <w:tcPr>
            <w:tcW w:w="965" w:type="dxa"/>
            <w:tcBorders>
              <w:top w:val="nil"/>
              <w:left w:val="nil"/>
              <w:bottom w:val="single" w:sz="4" w:space="0" w:color="auto"/>
              <w:right w:val="single" w:sz="4" w:space="0" w:color="auto"/>
            </w:tcBorders>
            <w:shd w:val="clear" w:color="auto" w:fill="auto"/>
            <w:noWrap/>
            <w:vAlign w:val="bottom"/>
            <w:hideMark/>
          </w:tcPr>
          <w:p w14:paraId="0FF4345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68880F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74BC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B314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E1D62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18465A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5E0C629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1C2ED10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54172D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981B35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R-502</w:t>
            </w:r>
          </w:p>
        </w:tc>
        <w:tc>
          <w:tcPr>
            <w:tcW w:w="1170" w:type="dxa"/>
            <w:tcBorders>
              <w:top w:val="nil"/>
              <w:left w:val="nil"/>
              <w:bottom w:val="single" w:sz="4" w:space="0" w:color="auto"/>
              <w:right w:val="single" w:sz="4" w:space="0" w:color="auto"/>
            </w:tcBorders>
            <w:shd w:val="clear" w:color="auto" w:fill="auto"/>
            <w:vAlign w:val="center"/>
            <w:hideMark/>
          </w:tcPr>
          <w:p w14:paraId="6FCACB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CFC-115</w:t>
            </w:r>
          </w:p>
        </w:tc>
        <w:tc>
          <w:tcPr>
            <w:tcW w:w="709" w:type="dxa"/>
            <w:tcBorders>
              <w:top w:val="nil"/>
              <w:left w:val="nil"/>
              <w:bottom w:val="single" w:sz="4" w:space="0" w:color="auto"/>
              <w:right w:val="single" w:sz="4" w:space="0" w:color="auto"/>
            </w:tcBorders>
            <w:shd w:val="clear" w:color="auto" w:fill="auto"/>
            <w:vAlign w:val="center"/>
            <w:hideMark/>
          </w:tcPr>
          <w:p w14:paraId="520023D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51,20%</w:t>
            </w:r>
          </w:p>
        </w:tc>
        <w:tc>
          <w:tcPr>
            <w:tcW w:w="1166" w:type="dxa"/>
            <w:tcBorders>
              <w:top w:val="nil"/>
              <w:left w:val="nil"/>
              <w:bottom w:val="single" w:sz="4" w:space="0" w:color="auto"/>
              <w:right w:val="single" w:sz="4" w:space="0" w:color="auto"/>
            </w:tcBorders>
            <w:shd w:val="clear" w:color="auto" w:fill="auto"/>
            <w:vAlign w:val="center"/>
            <w:hideMark/>
          </w:tcPr>
          <w:p w14:paraId="6A6AD54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1F84E228" w14:textId="77777777" w:rsidR="00232FF7" w:rsidRPr="00DF4BB7" w:rsidRDefault="006451A1"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48,8%</w:t>
            </w:r>
          </w:p>
        </w:tc>
        <w:tc>
          <w:tcPr>
            <w:tcW w:w="965" w:type="dxa"/>
            <w:tcBorders>
              <w:top w:val="nil"/>
              <w:left w:val="nil"/>
              <w:bottom w:val="single" w:sz="4" w:space="0" w:color="auto"/>
              <w:right w:val="single" w:sz="4" w:space="0" w:color="auto"/>
            </w:tcBorders>
            <w:shd w:val="clear" w:color="auto" w:fill="auto"/>
            <w:noWrap/>
            <w:vAlign w:val="bottom"/>
            <w:hideMark/>
          </w:tcPr>
          <w:p w14:paraId="47E4D87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15064E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43CDE4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E28C94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F51B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0FAF6D1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57F801D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606C493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0A27C4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AE03E6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R-503</w:t>
            </w:r>
          </w:p>
        </w:tc>
        <w:tc>
          <w:tcPr>
            <w:tcW w:w="1170" w:type="dxa"/>
            <w:tcBorders>
              <w:top w:val="nil"/>
              <w:left w:val="nil"/>
              <w:bottom w:val="single" w:sz="4" w:space="0" w:color="auto"/>
              <w:right w:val="single" w:sz="4" w:space="0" w:color="auto"/>
            </w:tcBorders>
            <w:shd w:val="clear" w:color="auto" w:fill="auto"/>
            <w:vAlign w:val="center"/>
            <w:hideMark/>
          </w:tcPr>
          <w:p w14:paraId="77C614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CFC-13</w:t>
            </w:r>
          </w:p>
        </w:tc>
        <w:tc>
          <w:tcPr>
            <w:tcW w:w="709" w:type="dxa"/>
            <w:tcBorders>
              <w:top w:val="nil"/>
              <w:left w:val="nil"/>
              <w:bottom w:val="single" w:sz="4" w:space="0" w:color="auto"/>
              <w:right w:val="single" w:sz="4" w:space="0" w:color="auto"/>
            </w:tcBorders>
            <w:shd w:val="clear" w:color="auto" w:fill="auto"/>
            <w:vAlign w:val="center"/>
            <w:hideMark/>
          </w:tcPr>
          <w:p w14:paraId="051FEA2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59,90%</w:t>
            </w:r>
          </w:p>
        </w:tc>
        <w:tc>
          <w:tcPr>
            <w:tcW w:w="1166" w:type="dxa"/>
            <w:tcBorders>
              <w:top w:val="nil"/>
              <w:left w:val="nil"/>
              <w:bottom w:val="single" w:sz="4" w:space="0" w:color="auto"/>
              <w:right w:val="single" w:sz="4" w:space="0" w:color="auto"/>
            </w:tcBorders>
            <w:shd w:val="clear" w:color="auto" w:fill="auto"/>
            <w:vAlign w:val="center"/>
            <w:hideMark/>
          </w:tcPr>
          <w:p w14:paraId="3466B58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HFC-23</w:t>
            </w:r>
          </w:p>
        </w:tc>
        <w:tc>
          <w:tcPr>
            <w:tcW w:w="820" w:type="dxa"/>
            <w:tcBorders>
              <w:top w:val="nil"/>
              <w:left w:val="nil"/>
              <w:bottom w:val="single" w:sz="4" w:space="0" w:color="auto"/>
              <w:right w:val="single" w:sz="4" w:space="0" w:color="auto"/>
            </w:tcBorders>
            <w:shd w:val="clear" w:color="auto" w:fill="auto"/>
            <w:vAlign w:val="center"/>
            <w:hideMark/>
          </w:tcPr>
          <w:p w14:paraId="634DFFC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40,10%</w:t>
            </w:r>
          </w:p>
        </w:tc>
        <w:tc>
          <w:tcPr>
            <w:tcW w:w="965" w:type="dxa"/>
            <w:tcBorders>
              <w:top w:val="nil"/>
              <w:left w:val="nil"/>
              <w:bottom w:val="single" w:sz="4" w:space="0" w:color="auto"/>
              <w:right w:val="single" w:sz="4" w:space="0" w:color="auto"/>
            </w:tcBorders>
            <w:shd w:val="clear" w:color="auto" w:fill="auto"/>
            <w:noWrap/>
            <w:vAlign w:val="bottom"/>
            <w:hideMark/>
          </w:tcPr>
          <w:p w14:paraId="425BA2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6C93B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AE5B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FB4CF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53FA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0828D1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2104719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5C34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924B5B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4875E3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R-504</w:t>
            </w:r>
          </w:p>
        </w:tc>
        <w:tc>
          <w:tcPr>
            <w:tcW w:w="1170" w:type="dxa"/>
            <w:tcBorders>
              <w:top w:val="nil"/>
              <w:left w:val="nil"/>
              <w:bottom w:val="single" w:sz="4" w:space="0" w:color="auto"/>
              <w:right w:val="single" w:sz="4" w:space="0" w:color="auto"/>
            </w:tcBorders>
            <w:shd w:val="clear" w:color="auto" w:fill="auto"/>
            <w:vAlign w:val="center"/>
            <w:hideMark/>
          </w:tcPr>
          <w:p w14:paraId="2835CEA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CFC-115</w:t>
            </w:r>
          </w:p>
        </w:tc>
        <w:tc>
          <w:tcPr>
            <w:tcW w:w="709" w:type="dxa"/>
            <w:tcBorders>
              <w:top w:val="nil"/>
              <w:left w:val="nil"/>
              <w:bottom w:val="single" w:sz="4" w:space="0" w:color="auto"/>
              <w:right w:val="single" w:sz="4" w:space="0" w:color="auto"/>
            </w:tcBorders>
            <w:shd w:val="clear" w:color="auto" w:fill="auto"/>
            <w:vAlign w:val="center"/>
            <w:hideMark/>
          </w:tcPr>
          <w:p w14:paraId="3344B2E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51,80%</w:t>
            </w:r>
          </w:p>
        </w:tc>
        <w:tc>
          <w:tcPr>
            <w:tcW w:w="1166" w:type="dxa"/>
            <w:tcBorders>
              <w:top w:val="nil"/>
              <w:left w:val="nil"/>
              <w:bottom w:val="single" w:sz="4" w:space="0" w:color="auto"/>
              <w:right w:val="single" w:sz="4" w:space="0" w:color="auto"/>
            </w:tcBorders>
            <w:shd w:val="clear" w:color="auto" w:fill="auto"/>
            <w:vAlign w:val="center"/>
            <w:hideMark/>
          </w:tcPr>
          <w:p w14:paraId="6D8F4B0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2D3D93C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48,20%</w:t>
            </w:r>
          </w:p>
        </w:tc>
        <w:tc>
          <w:tcPr>
            <w:tcW w:w="965" w:type="dxa"/>
            <w:tcBorders>
              <w:top w:val="nil"/>
              <w:left w:val="nil"/>
              <w:bottom w:val="single" w:sz="4" w:space="0" w:color="auto"/>
              <w:right w:val="single" w:sz="4" w:space="0" w:color="auto"/>
            </w:tcBorders>
            <w:shd w:val="clear" w:color="auto" w:fill="auto"/>
            <w:noWrap/>
            <w:vAlign w:val="bottom"/>
            <w:hideMark/>
          </w:tcPr>
          <w:p w14:paraId="2E5BCD8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2E98F4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9CC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F98A3B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EB98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6EAFE2B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6C9906D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5A8D5F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19F0631"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05D64D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R-505</w:t>
            </w:r>
          </w:p>
        </w:tc>
        <w:tc>
          <w:tcPr>
            <w:tcW w:w="1170" w:type="dxa"/>
            <w:tcBorders>
              <w:top w:val="nil"/>
              <w:left w:val="nil"/>
              <w:bottom w:val="single" w:sz="4" w:space="0" w:color="auto"/>
              <w:right w:val="single" w:sz="4" w:space="0" w:color="auto"/>
            </w:tcBorders>
            <w:shd w:val="clear" w:color="auto" w:fill="auto"/>
            <w:vAlign w:val="center"/>
            <w:hideMark/>
          </w:tcPr>
          <w:p w14:paraId="69F32B2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CFC-12</w:t>
            </w:r>
          </w:p>
        </w:tc>
        <w:tc>
          <w:tcPr>
            <w:tcW w:w="709" w:type="dxa"/>
            <w:tcBorders>
              <w:top w:val="nil"/>
              <w:left w:val="nil"/>
              <w:bottom w:val="single" w:sz="4" w:space="0" w:color="auto"/>
              <w:right w:val="single" w:sz="4" w:space="0" w:color="auto"/>
            </w:tcBorders>
            <w:shd w:val="clear" w:color="auto" w:fill="auto"/>
            <w:vAlign w:val="center"/>
            <w:hideMark/>
          </w:tcPr>
          <w:p w14:paraId="30CB723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78%</w:t>
            </w:r>
          </w:p>
        </w:tc>
        <w:tc>
          <w:tcPr>
            <w:tcW w:w="1166" w:type="dxa"/>
            <w:tcBorders>
              <w:top w:val="nil"/>
              <w:left w:val="nil"/>
              <w:bottom w:val="single" w:sz="4" w:space="0" w:color="auto"/>
              <w:right w:val="single" w:sz="4" w:space="0" w:color="auto"/>
            </w:tcBorders>
            <w:shd w:val="clear" w:color="auto" w:fill="auto"/>
            <w:vAlign w:val="center"/>
            <w:hideMark/>
          </w:tcPr>
          <w:p w14:paraId="07E8F21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HCFC-31</w:t>
            </w:r>
          </w:p>
        </w:tc>
        <w:tc>
          <w:tcPr>
            <w:tcW w:w="820" w:type="dxa"/>
            <w:tcBorders>
              <w:top w:val="nil"/>
              <w:left w:val="nil"/>
              <w:bottom w:val="single" w:sz="4" w:space="0" w:color="auto"/>
              <w:right w:val="single" w:sz="4" w:space="0" w:color="auto"/>
            </w:tcBorders>
            <w:shd w:val="clear" w:color="auto" w:fill="auto"/>
            <w:vAlign w:val="center"/>
            <w:hideMark/>
          </w:tcPr>
          <w:p w14:paraId="0E9CDF0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22%</w:t>
            </w:r>
          </w:p>
        </w:tc>
        <w:tc>
          <w:tcPr>
            <w:tcW w:w="965" w:type="dxa"/>
            <w:tcBorders>
              <w:top w:val="nil"/>
              <w:left w:val="nil"/>
              <w:bottom w:val="single" w:sz="4" w:space="0" w:color="auto"/>
              <w:right w:val="single" w:sz="4" w:space="0" w:color="auto"/>
            </w:tcBorders>
            <w:shd w:val="clear" w:color="auto" w:fill="auto"/>
            <w:noWrap/>
            <w:vAlign w:val="bottom"/>
            <w:hideMark/>
          </w:tcPr>
          <w:p w14:paraId="33242A7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D7DEFC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365336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C7215D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DAD8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3AB60F1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756EE94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AF7706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AA7E58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CBD4E2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R-506</w:t>
            </w:r>
          </w:p>
        </w:tc>
        <w:tc>
          <w:tcPr>
            <w:tcW w:w="1170" w:type="dxa"/>
            <w:tcBorders>
              <w:top w:val="nil"/>
              <w:left w:val="nil"/>
              <w:bottom w:val="single" w:sz="4" w:space="0" w:color="auto"/>
              <w:right w:val="single" w:sz="4" w:space="0" w:color="auto"/>
            </w:tcBorders>
            <w:shd w:val="clear" w:color="auto" w:fill="auto"/>
            <w:vAlign w:val="center"/>
            <w:hideMark/>
          </w:tcPr>
          <w:p w14:paraId="556D266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CFC-114</w:t>
            </w:r>
          </w:p>
        </w:tc>
        <w:tc>
          <w:tcPr>
            <w:tcW w:w="709" w:type="dxa"/>
            <w:tcBorders>
              <w:top w:val="nil"/>
              <w:left w:val="nil"/>
              <w:bottom w:val="single" w:sz="4" w:space="0" w:color="auto"/>
              <w:right w:val="single" w:sz="4" w:space="0" w:color="auto"/>
            </w:tcBorders>
            <w:shd w:val="clear" w:color="auto" w:fill="auto"/>
            <w:vAlign w:val="center"/>
            <w:hideMark/>
          </w:tcPr>
          <w:p w14:paraId="5766581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45%</w:t>
            </w:r>
          </w:p>
        </w:tc>
        <w:tc>
          <w:tcPr>
            <w:tcW w:w="1166" w:type="dxa"/>
            <w:tcBorders>
              <w:top w:val="nil"/>
              <w:left w:val="nil"/>
              <w:bottom w:val="single" w:sz="4" w:space="0" w:color="auto"/>
              <w:right w:val="single" w:sz="4" w:space="0" w:color="auto"/>
            </w:tcBorders>
            <w:shd w:val="clear" w:color="auto" w:fill="auto"/>
            <w:vAlign w:val="center"/>
            <w:hideMark/>
          </w:tcPr>
          <w:p w14:paraId="0C4F3A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HCFC-31</w:t>
            </w:r>
          </w:p>
        </w:tc>
        <w:tc>
          <w:tcPr>
            <w:tcW w:w="820" w:type="dxa"/>
            <w:tcBorders>
              <w:top w:val="nil"/>
              <w:left w:val="nil"/>
              <w:bottom w:val="single" w:sz="4" w:space="0" w:color="auto"/>
              <w:right w:val="single" w:sz="4" w:space="0" w:color="auto"/>
            </w:tcBorders>
            <w:shd w:val="clear" w:color="auto" w:fill="auto"/>
            <w:vAlign w:val="center"/>
            <w:hideMark/>
          </w:tcPr>
          <w:p w14:paraId="56865A9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55%</w:t>
            </w:r>
          </w:p>
        </w:tc>
        <w:tc>
          <w:tcPr>
            <w:tcW w:w="965" w:type="dxa"/>
            <w:tcBorders>
              <w:top w:val="nil"/>
              <w:left w:val="nil"/>
              <w:bottom w:val="single" w:sz="4" w:space="0" w:color="auto"/>
              <w:right w:val="single" w:sz="4" w:space="0" w:color="auto"/>
            </w:tcBorders>
            <w:shd w:val="clear" w:color="auto" w:fill="auto"/>
            <w:noWrap/>
            <w:vAlign w:val="bottom"/>
            <w:hideMark/>
          </w:tcPr>
          <w:p w14:paraId="7B4F0AA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257BB4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83E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94D23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E4CF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2FBC2EA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61574F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6D838C3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23827F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61DAFD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R-507A (AZ-50)</w:t>
            </w:r>
          </w:p>
        </w:tc>
        <w:tc>
          <w:tcPr>
            <w:tcW w:w="1170" w:type="dxa"/>
            <w:tcBorders>
              <w:top w:val="nil"/>
              <w:left w:val="nil"/>
              <w:bottom w:val="single" w:sz="4" w:space="0" w:color="auto"/>
              <w:right w:val="single" w:sz="4" w:space="0" w:color="auto"/>
            </w:tcBorders>
            <w:shd w:val="clear" w:color="auto" w:fill="auto"/>
            <w:vAlign w:val="center"/>
            <w:hideMark/>
          </w:tcPr>
          <w:p w14:paraId="7BEF49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nil"/>
              <w:bottom w:val="single" w:sz="4" w:space="0" w:color="auto"/>
              <w:right w:val="single" w:sz="4" w:space="0" w:color="auto"/>
            </w:tcBorders>
            <w:shd w:val="clear" w:color="auto" w:fill="auto"/>
            <w:vAlign w:val="center"/>
            <w:hideMark/>
          </w:tcPr>
          <w:p w14:paraId="25F326B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1166" w:type="dxa"/>
            <w:tcBorders>
              <w:top w:val="nil"/>
              <w:left w:val="nil"/>
              <w:bottom w:val="single" w:sz="4" w:space="0" w:color="auto"/>
              <w:right w:val="single" w:sz="4" w:space="0" w:color="auto"/>
            </w:tcBorders>
            <w:shd w:val="clear" w:color="auto" w:fill="auto"/>
            <w:vAlign w:val="center"/>
            <w:hideMark/>
          </w:tcPr>
          <w:p w14:paraId="7C2127C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HFC-143a</w:t>
            </w:r>
          </w:p>
        </w:tc>
        <w:tc>
          <w:tcPr>
            <w:tcW w:w="820" w:type="dxa"/>
            <w:tcBorders>
              <w:top w:val="nil"/>
              <w:left w:val="nil"/>
              <w:bottom w:val="single" w:sz="4" w:space="0" w:color="auto"/>
              <w:right w:val="single" w:sz="4" w:space="0" w:color="auto"/>
            </w:tcBorders>
            <w:shd w:val="clear" w:color="auto" w:fill="auto"/>
            <w:vAlign w:val="center"/>
            <w:hideMark/>
          </w:tcPr>
          <w:p w14:paraId="1F00BDD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965" w:type="dxa"/>
            <w:tcBorders>
              <w:top w:val="nil"/>
              <w:left w:val="nil"/>
              <w:bottom w:val="single" w:sz="4" w:space="0" w:color="auto"/>
              <w:right w:val="single" w:sz="4" w:space="0" w:color="auto"/>
            </w:tcBorders>
            <w:shd w:val="clear" w:color="auto" w:fill="auto"/>
            <w:noWrap/>
            <w:vAlign w:val="bottom"/>
            <w:hideMark/>
          </w:tcPr>
          <w:p w14:paraId="7A7F96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BCFE5A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1AA738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31E50B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C4EE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5C3CEC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28444E7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F837B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59EEDA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F62427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R-508A</w:t>
            </w:r>
          </w:p>
        </w:tc>
        <w:tc>
          <w:tcPr>
            <w:tcW w:w="1170" w:type="dxa"/>
            <w:tcBorders>
              <w:top w:val="nil"/>
              <w:left w:val="nil"/>
              <w:bottom w:val="single" w:sz="4" w:space="0" w:color="auto"/>
              <w:right w:val="single" w:sz="4" w:space="0" w:color="auto"/>
            </w:tcBorders>
            <w:shd w:val="clear" w:color="auto" w:fill="auto"/>
            <w:vAlign w:val="center"/>
            <w:hideMark/>
          </w:tcPr>
          <w:p w14:paraId="079D96B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HFC-23</w:t>
            </w:r>
          </w:p>
        </w:tc>
        <w:tc>
          <w:tcPr>
            <w:tcW w:w="709" w:type="dxa"/>
            <w:tcBorders>
              <w:top w:val="nil"/>
              <w:left w:val="nil"/>
              <w:bottom w:val="single" w:sz="4" w:space="0" w:color="auto"/>
              <w:right w:val="single" w:sz="4" w:space="0" w:color="auto"/>
            </w:tcBorders>
            <w:shd w:val="clear" w:color="auto" w:fill="auto"/>
            <w:vAlign w:val="center"/>
            <w:hideMark/>
          </w:tcPr>
          <w:p w14:paraId="43ACCEF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39%</w:t>
            </w:r>
          </w:p>
        </w:tc>
        <w:tc>
          <w:tcPr>
            <w:tcW w:w="1166" w:type="dxa"/>
            <w:tcBorders>
              <w:top w:val="nil"/>
              <w:left w:val="nil"/>
              <w:bottom w:val="single" w:sz="4" w:space="0" w:color="auto"/>
              <w:right w:val="single" w:sz="4" w:space="0" w:color="auto"/>
            </w:tcBorders>
            <w:shd w:val="clear" w:color="auto" w:fill="auto"/>
            <w:vAlign w:val="center"/>
            <w:hideMark/>
          </w:tcPr>
          <w:p w14:paraId="578DA33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PFC-116</w:t>
            </w:r>
          </w:p>
        </w:tc>
        <w:tc>
          <w:tcPr>
            <w:tcW w:w="820" w:type="dxa"/>
            <w:tcBorders>
              <w:top w:val="nil"/>
              <w:left w:val="nil"/>
              <w:bottom w:val="single" w:sz="4" w:space="0" w:color="auto"/>
              <w:right w:val="single" w:sz="4" w:space="0" w:color="auto"/>
            </w:tcBorders>
            <w:shd w:val="clear" w:color="auto" w:fill="auto"/>
            <w:vAlign w:val="center"/>
            <w:hideMark/>
          </w:tcPr>
          <w:p w14:paraId="6FBA5C2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61%</w:t>
            </w:r>
          </w:p>
        </w:tc>
        <w:tc>
          <w:tcPr>
            <w:tcW w:w="965" w:type="dxa"/>
            <w:tcBorders>
              <w:top w:val="nil"/>
              <w:left w:val="nil"/>
              <w:bottom w:val="single" w:sz="4" w:space="0" w:color="auto"/>
              <w:right w:val="single" w:sz="4" w:space="0" w:color="auto"/>
            </w:tcBorders>
            <w:shd w:val="clear" w:color="auto" w:fill="auto"/>
            <w:noWrap/>
            <w:vAlign w:val="bottom"/>
            <w:hideMark/>
          </w:tcPr>
          <w:p w14:paraId="5B6D22D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4DEB5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7F4C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3977A3D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DD5EFB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535ADDB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5FF83D7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15C1BA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08E67EF"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D0FFAC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R-508B</w:t>
            </w:r>
          </w:p>
        </w:tc>
        <w:tc>
          <w:tcPr>
            <w:tcW w:w="1170" w:type="dxa"/>
            <w:tcBorders>
              <w:top w:val="nil"/>
              <w:left w:val="nil"/>
              <w:bottom w:val="single" w:sz="4" w:space="0" w:color="auto"/>
              <w:right w:val="single" w:sz="4" w:space="0" w:color="auto"/>
            </w:tcBorders>
            <w:shd w:val="clear" w:color="auto" w:fill="auto"/>
            <w:vAlign w:val="center"/>
            <w:hideMark/>
          </w:tcPr>
          <w:p w14:paraId="79149FB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HFC-23</w:t>
            </w:r>
          </w:p>
        </w:tc>
        <w:tc>
          <w:tcPr>
            <w:tcW w:w="709" w:type="dxa"/>
            <w:tcBorders>
              <w:top w:val="nil"/>
              <w:left w:val="nil"/>
              <w:bottom w:val="single" w:sz="4" w:space="0" w:color="auto"/>
              <w:right w:val="single" w:sz="4" w:space="0" w:color="auto"/>
            </w:tcBorders>
            <w:shd w:val="clear" w:color="auto" w:fill="auto"/>
            <w:vAlign w:val="center"/>
            <w:hideMark/>
          </w:tcPr>
          <w:p w14:paraId="273F761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46%</w:t>
            </w:r>
          </w:p>
        </w:tc>
        <w:tc>
          <w:tcPr>
            <w:tcW w:w="1166" w:type="dxa"/>
            <w:tcBorders>
              <w:top w:val="nil"/>
              <w:left w:val="nil"/>
              <w:bottom w:val="single" w:sz="4" w:space="0" w:color="auto"/>
              <w:right w:val="single" w:sz="4" w:space="0" w:color="auto"/>
            </w:tcBorders>
            <w:shd w:val="clear" w:color="auto" w:fill="auto"/>
            <w:vAlign w:val="center"/>
            <w:hideMark/>
          </w:tcPr>
          <w:p w14:paraId="48A1FEB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PFC-116</w:t>
            </w:r>
          </w:p>
        </w:tc>
        <w:tc>
          <w:tcPr>
            <w:tcW w:w="820" w:type="dxa"/>
            <w:tcBorders>
              <w:top w:val="nil"/>
              <w:left w:val="nil"/>
              <w:bottom w:val="single" w:sz="4" w:space="0" w:color="auto"/>
              <w:right w:val="single" w:sz="4" w:space="0" w:color="auto"/>
            </w:tcBorders>
            <w:shd w:val="clear" w:color="auto" w:fill="auto"/>
            <w:vAlign w:val="center"/>
            <w:hideMark/>
          </w:tcPr>
          <w:p w14:paraId="09B65CD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54%</w:t>
            </w:r>
          </w:p>
        </w:tc>
        <w:tc>
          <w:tcPr>
            <w:tcW w:w="965" w:type="dxa"/>
            <w:tcBorders>
              <w:top w:val="nil"/>
              <w:left w:val="nil"/>
              <w:bottom w:val="single" w:sz="4" w:space="0" w:color="auto"/>
              <w:right w:val="single" w:sz="4" w:space="0" w:color="auto"/>
            </w:tcBorders>
            <w:shd w:val="clear" w:color="auto" w:fill="auto"/>
            <w:noWrap/>
            <w:vAlign w:val="bottom"/>
            <w:hideMark/>
          </w:tcPr>
          <w:p w14:paraId="3414AF8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189F68F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AED8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AC6279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EE86D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65BF4A1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768ADB2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8055B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25FE813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236064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R-509 (TP5R2)</w:t>
            </w:r>
          </w:p>
        </w:tc>
        <w:tc>
          <w:tcPr>
            <w:tcW w:w="1170" w:type="dxa"/>
            <w:tcBorders>
              <w:top w:val="nil"/>
              <w:left w:val="nil"/>
              <w:bottom w:val="single" w:sz="4" w:space="0" w:color="auto"/>
              <w:right w:val="single" w:sz="4" w:space="0" w:color="auto"/>
            </w:tcBorders>
            <w:shd w:val="clear" w:color="auto" w:fill="auto"/>
            <w:vAlign w:val="center"/>
            <w:hideMark/>
          </w:tcPr>
          <w:p w14:paraId="2D9CA6F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6DBD45C3"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46%</w:t>
            </w:r>
          </w:p>
        </w:tc>
        <w:tc>
          <w:tcPr>
            <w:tcW w:w="1166" w:type="dxa"/>
            <w:tcBorders>
              <w:top w:val="nil"/>
              <w:left w:val="nil"/>
              <w:bottom w:val="single" w:sz="4" w:space="0" w:color="auto"/>
              <w:right w:val="single" w:sz="4" w:space="0" w:color="auto"/>
            </w:tcBorders>
            <w:shd w:val="clear" w:color="auto" w:fill="auto"/>
            <w:vAlign w:val="center"/>
            <w:hideMark/>
          </w:tcPr>
          <w:p w14:paraId="112A3E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PFC-218</w:t>
            </w:r>
          </w:p>
        </w:tc>
        <w:tc>
          <w:tcPr>
            <w:tcW w:w="820" w:type="dxa"/>
            <w:tcBorders>
              <w:top w:val="nil"/>
              <w:left w:val="nil"/>
              <w:bottom w:val="single" w:sz="4" w:space="0" w:color="auto"/>
              <w:right w:val="single" w:sz="4" w:space="0" w:color="auto"/>
            </w:tcBorders>
            <w:shd w:val="clear" w:color="auto" w:fill="auto"/>
            <w:vAlign w:val="center"/>
            <w:hideMark/>
          </w:tcPr>
          <w:p w14:paraId="1CA6EDE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54%</w:t>
            </w:r>
          </w:p>
        </w:tc>
        <w:tc>
          <w:tcPr>
            <w:tcW w:w="965" w:type="dxa"/>
            <w:tcBorders>
              <w:top w:val="nil"/>
              <w:left w:val="nil"/>
              <w:bottom w:val="single" w:sz="4" w:space="0" w:color="auto"/>
              <w:right w:val="single" w:sz="4" w:space="0" w:color="auto"/>
            </w:tcBorders>
            <w:shd w:val="clear" w:color="auto" w:fill="auto"/>
            <w:noWrap/>
            <w:vAlign w:val="bottom"/>
            <w:hideMark/>
          </w:tcPr>
          <w:p w14:paraId="4B0227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2CAFD01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E415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56ACA72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55E3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554BE55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5BA9ABB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172C9FE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DECB64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FB0B65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R-509A</w:t>
            </w:r>
          </w:p>
        </w:tc>
        <w:tc>
          <w:tcPr>
            <w:tcW w:w="1170" w:type="dxa"/>
            <w:tcBorders>
              <w:top w:val="nil"/>
              <w:left w:val="nil"/>
              <w:bottom w:val="single" w:sz="4" w:space="0" w:color="auto"/>
              <w:right w:val="single" w:sz="4" w:space="0" w:color="auto"/>
            </w:tcBorders>
            <w:shd w:val="clear" w:color="auto" w:fill="auto"/>
            <w:vAlign w:val="center"/>
            <w:hideMark/>
          </w:tcPr>
          <w:p w14:paraId="2950BFE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19DF3B5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44%</w:t>
            </w:r>
          </w:p>
        </w:tc>
        <w:tc>
          <w:tcPr>
            <w:tcW w:w="1166" w:type="dxa"/>
            <w:tcBorders>
              <w:top w:val="nil"/>
              <w:left w:val="nil"/>
              <w:bottom w:val="single" w:sz="4" w:space="0" w:color="auto"/>
              <w:right w:val="single" w:sz="4" w:space="0" w:color="auto"/>
            </w:tcBorders>
            <w:shd w:val="clear" w:color="auto" w:fill="auto"/>
            <w:vAlign w:val="center"/>
            <w:hideMark/>
          </w:tcPr>
          <w:p w14:paraId="23F44F7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PFC-218</w:t>
            </w:r>
          </w:p>
        </w:tc>
        <w:tc>
          <w:tcPr>
            <w:tcW w:w="820" w:type="dxa"/>
            <w:tcBorders>
              <w:top w:val="nil"/>
              <w:left w:val="nil"/>
              <w:bottom w:val="single" w:sz="4" w:space="0" w:color="auto"/>
              <w:right w:val="single" w:sz="4" w:space="0" w:color="auto"/>
            </w:tcBorders>
            <w:shd w:val="clear" w:color="auto" w:fill="auto"/>
            <w:vAlign w:val="center"/>
            <w:hideMark/>
          </w:tcPr>
          <w:p w14:paraId="6E98B64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56%</w:t>
            </w:r>
          </w:p>
        </w:tc>
        <w:tc>
          <w:tcPr>
            <w:tcW w:w="965" w:type="dxa"/>
            <w:tcBorders>
              <w:top w:val="nil"/>
              <w:left w:val="nil"/>
              <w:bottom w:val="single" w:sz="4" w:space="0" w:color="auto"/>
              <w:right w:val="single" w:sz="4" w:space="0" w:color="auto"/>
            </w:tcBorders>
            <w:shd w:val="clear" w:color="auto" w:fill="auto"/>
            <w:noWrap/>
            <w:vAlign w:val="bottom"/>
            <w:hideMark/>
          </w:tcPr>
          <w:p w14:paraId="7394E6C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32655FC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8B4F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2CE2D60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153A694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7CE6416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2868007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8E7567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16FB520"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D1A5BC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R-512A</w:t>
            </w:r>
          </w:p>
        </w:tc>
        <w:tc>
          <w:tcPr>
            <w:tcW w:w="1170" w:type="dxa"/>
            <w:tcBorders>
              <w:top w:val="nil"/>
              <w:left w:val="nil"/>
              <w:bottom w:val="single" w:sz="4" w:space="0" w:color="auto"/>
              <w:right w:val="single" w:sz="4" w:space="0" w:color="auto"/>
            </w:tcBorders>
            <w:shd w:val="clear" w:color="auto" w:fill="auto"/>
            <w:vAlign w:val="center"/>
            <w:hideMark/>
          </w:tcPr>
          <w:p w14:paraId="173E9BE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nil"/>
              <w:bottom w:val="single" w:sz="4" w:space="0" w:color="auto"/>
              <w:right w:val="single" w:sz="4" w:space="0" w:color="auto"/>
            </w:tcBorders>
            <w:shd w:val="clear" w:color="auto" w:fill="auto"/>
            <w:vAlign w:val="center"/>
            <w:hideMark/>
          </w:tcPr>
          <w:p w14:paraId="57F0E8B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1166" w:type="dxa"/>
            <w:tcBorders>
              <w:top w:val="nil"/>
              <w:left w:val="nil"/>
              <w:bottom w:val="single" w:sz="4" w:space="0" w:color="auto"/>
              <w:right w:val="single" w:sz="4" w:space="0" w:color="auto"/>
            </w:tcBorders>
            <w:shd w:val="clear" w:color="auto" w:fill="auto"/>
            <w:vAlign w:val="center"/>
            <w:hideMark/>
          </w:tcPr>
          <w:p w14:paraId="501D1DA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08079A1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95%</w:t>
            </w:r>
          </w:p>
        </w:tc>
        <w:tc>
          <w:tcPr>
            <w:tcW w:w="965" w:type="dxa"/>
            <w:tcBorders>
              <w:top w:val="nil"/>
              <w:left w:val="nil"/>
              <w:bottom w:val="single" w:sz="4" w:space="0" w:color="auto"/>
              <w:right w:val="single" w:sz="4" w:space="0" w:color="auto"/>
            </w:tcBorders>
            <w:shd w:val="clear" w:color="auto" w:fill="auto"/>
            <w:noWrap/>
            <w:vAlign w:val="bottom"/>
            <w:hideMark/>
          </w:tcPr>
          <w:p w14:paraId="26AE1E1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00C5671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0DE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1235E6F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8E981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710F962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7E01277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D55036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93911E8"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5843D0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R-513A (XP10/DR-11)</w:t>
            </w:r>
          </w:p>
        </w:tc>
        <w:tc>
          <w:tcPr>
            <w:tcW w:w="1170" w:type="dxa"/>
            <w:tcBorders>
              <w:top w:val="nil"/>
              <w:left w:val="nil"/>
              <w:bottom w:val="single" w:sz="4" w:space="0" w:color="auto"/>
              <w:right w:val="single" w:sz="4" w:space="0" w:color="auto"/>
            </w:tcBorders>
            <w:shd w:val="clear" w:color="auto" w:fill="auto"/>
            <w:vAlign w:val="center"/>
            <w:hideMark/>
          </w:tcPr>
          <w:p w14:paraId="3D261C6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nil"/>
              <w:bottom w:val="single" w:sz="4" w:space="0" w:color="auto"/>
              <w:right w:val="single" w:sz="4" w:space="0" w:color="auto"/>
            </w:tcBorders>
            <w:shd w:val="clear" w:color="auto" w:fill="auto"/>
            <w:vAlign w:val="center"/>
            <w:hideMark/>
          </w:tcPr>
          <w:p w14:paraId="7A1D1DC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44%</w:t>
            </w:r>
          </w:p>
        </w:tc>
        <w:tc>
          <w:tcPr>
            <w:tcW w:w="1166" w:type="dxa"/>
            <w:tcBorders>
              <w:top w:val="nil"/>
              <w:left w:val="nil"/>
              <w:bottom w:val="single" w:sz="4" w:space="0" w:color="auto"/>
              <w:right w:val="single" w:sz="4" w:space="0" w:color="auto"/>
            </w:tcBorders>
            <w:shd w:val="clear" w:color="auto" w:fill="auto"/>
            <w:vAlign w:val="center"/>
            <w:hideMark/>
          </w:tcPr>
          <w:p w14:paraId="4A0BF3C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47949BD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56%</w:t>
            </w:r>
          </w:p>
        </w:tc>
        <w:tc>
          <w:tcPr>
            <w:tcW w:w="965" w:type="dxa"/>
            <w:tcBorders>
              <w:top w:val="nil"/>
              <w:left w:val="nil"/>
              <w:bottom w:val="single" w:sz="4" w:space="0" w:color="auto"/>
              <w:right w:val="single" w:sz="4" w:space="0" w:color="auto"/>
            </w:tcBorders>
            <w:shd w:val="clear" w:color="auto" w:fill="auto"/>
            <w:noWrap/>
            <w:vAlign w:val="bottom"/>
            <w:hideMark/>
          </w:tcPr>
          <w:p w14:paraId="2B2C8DC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67480E5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B13E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0B170E7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194C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0205C26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31FFCC0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D42DD8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A9E2BC6"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D70BBE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R-513B</w:t>
            </w:r>
          </w:p>
        </w:tc>
        <w:tc>
          <w:tcPr>
            <w:tcW w:w="1170" w:type="dxa"/>
            <w:tcBorders>
              <w:top w:val="nil"/>
              <w:left w:val="nil"/>
              <w:bottom w:val="single" w:sz="4" w:space="0" w:color="auto"/>
              <w:right w:val="single" w:sz="4" w:space="0" w:color="auto"/>
            </w:tcBorders>
            <w:shd w:val="clear" w:color="auto" w:fill="auto"/>
            <w:vAlign w:val="center"/>
            <w:hideMark/>
          </w:tcPr>
          <w:p w14:paraId="58E5B02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709" w:type="dxa"/>
            <w:tcBorders>
              <w:top w:val="nil"/>
              <w:left w:val="nil"/>
              <w:bottom w:val="single" w:sz="4" w:space="0" w:color="auto"/>
              <w:right w:val="single" w:sz="4" w:space="0" w:color="auto"/>
            </w:tcBorders>
            <w:shd w:val="clear" w:color="auto" w:fill="auto"/>
            <w:vAlign w:val="center"/>
            <w:hideMark/>
          </w:tcPr>
          <w:p w14:paraId="7EA4F36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41,50%</w:t>
            </w:r>
          </w:p>
        </w:tc>
        <w:tc>
          <w:tcPr>
            <w:tcW w:w="1166" w:type="dxa"/>
            <w:tcBorders>
              <w:top w:val="nil"/>
              <w:left w:val="nil"/>
              <w:bottom w:val="single" w:sz="4" w:space="0" w:color="auto"/>
              <w:right w:val="single" w:sz="4" w:space="0" w:color="auto"/>
            </w:tcBorders>
            <w:shd w:val="clear" w:color="auto" w:fill="auto"/>
            <w:vAlign w:val="center"/>
            <w:hideMark/>
          </w:tcPr>
          <w:p w14:paraId="191AD20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HFO-1234yf</w:t>
            </w:r>
          </w:p>
        </w:tc>
        <w:tc>
          <w:tcPr>
            <w:tcW w:w="820" w:type="dxa"/>
            <w:tcBorders>
              <w:top w:val="nil"/>
              <w:left w:val="nil"/>
              <w:bottom w:val="single" w:sz="4" w:space="0" w:color="auto"/>
              <w:right w:val="single" w:sz="4" w:space="0" w:color="auto"/>
            </w:tcBorders>
            <w:shd w:val="clear" w:color="auto" w:fill="auto"/>
            <w:vAlign w:val="center"/>
            <w:hideMark/>
          </w:tcPr>
          <w:p w14:paraId="34F8D42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58,50%</w:t>
            </w:r>
          </w:p>
        </w:tc>
        <w:tc>
          <w:tcPr>
            <w:tcW w:w="965" w:type="dxa"/>
            <w:tcBorders>
              <w:top w:val="nil"/>
              <w:left w:val="nil"/>
              <w:bottom w:val="single" w:sz="4" w:space="0" w:color="auto"/>
              <w:right w:val="single" w:sz="4" w:space="0" w:color="auto"/>
            </w:tcBorders>
            <w:shd w:val="clear" w:color="auto" w:fill="auto"/>
            <w:noWrap/>
            <w:vAlign w:val="bottom"/>
            <w:hideMark/>
          </w:tcPr>
          <w:p w14:paraId="48F0969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50CD18C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D98C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411A495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87C093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397A337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2014FD5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6048241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0A46F7E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102307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R-515A</w:t>
            </w:r>
          </w:p>
        </w:tc>
        <w:tc>
          <w:tcPr>
            <w:tcW w:w="1170" w:type="dxa"/>
            <w:tcBorders>
              <w:top w:val="nil"/>
              <w:left w:val="nil"/>
              <w:bottom w:val="single" w:sz="4" w:space="0" w:color="auto"/>
              <w:right w:val="single" w:sz="4" w:space="0" w:color="auto"/>
            </w:tcBorders>
            <w:shd w:val="clear" w:color="auto" w:fill="auto"/>
            <w:vAlign w:val="center"/>
            <w:hideMark/>
          </w:tcPr>
          <w:p w14:paraId="3C09D71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709" w:type="dxa"/>
            <w:tcBorders>
              <w:top w:val="nil"/>
              <w:left w:val="nil"/>
              <w:bottom w:val="single" w:sz="4" w:space="0" w:color="auto"/>
              <w:right w:val="single" w:sz="4" w:space="0" w:color="auto"/>
            </w:tcBorders>
            <w:shd w:val="clear" w:color="auto" w:fill="auto"/>
            <w:vAlign w:val="center"/>
            <w:hideMark/>
          </w:tcPr>
          <w:p w14:paraId="608C637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12%</w:t>
            </w:r>
          </w:p>
        </w:tc>
        <w:tc>
          <w:tcPr>
            <w:tcW w:w="1166" w:type="dxa"/>
            <w:tcBorders>
              <w:top w:val="nil"/>
              <w:left w:val="nil"/>
              <w:bottom w:val="single" w:sz="4" w:space="0" w:color="auto"/>
              <w:right w:val="single" w:sz="4" w:space="0" w:color="auto"/>
            </w:tcBorders>
            <w:shd w:val="clear" w:color="auto" w:fill="auto"/>
            <w:vAlign w:val="center"/>
            <w:hideMark/>
          </w:tcPr>
          <w:p w14:paraId="04D1BB1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HFO-1234ze (E)</w:t>
            </w:r>
          </w:p>
        </w:tc>
        <w:tc>
          <w:tcPr>
            <w:tcW w:w="820" w:type="dxa"/>
            <w:tcBorders>
              <w:top w:val="nil"/>
              <w:left w:val="nil"/>
              <w:bottom w:val="single" w:sz="4" w:space="0" w:color="auto"/>
              <w:right w:val="single" w:sz="4" w:space="0" w:color="auto"/>
            </w:tcBorders>
            <w:shd w:val="clear" w:color="auto" w:fill="auto"/>
            <w:vAlign w:val="center"/>
            <w:hideMark/>
          </w:tcPr>
          <w:p w14:paraId="7D02D41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88%</w:t>
            </w:r>
          </w:p>
        </w:tc>
        <w:tc>
          <w:tcPr>
            <w:tcW w:w="965" w:type="dxa"/>
            <w:tcBorders>
              <w:top w:val="nil"/>
              <w:left w:val="nil"/>
              <w:bottom w:val="single" w:sz="4" w:space="0" w:color="auto"/>
              <w:right w:val="single" w:sz="4" w:space="0" w:color="auto"/>
            </w:tcBorders>
            <w:shd w:val="clear" w:color="auto" w:fill="auto"/>
            <w:noWrap/>
            <w:vAlign w:val="bottom"/>
            <w:hideMark/>
          </w:tcPr>
          <w:p w14:paraId="708F70C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tcMar>
              <w:left w:w="0" w:type="dxa"/>
              <w:right w:w="43" w:type="dxa"/>
            </w:tcMar>
            <w:vAlign w:val="bottom"/>
            <w:hideMark/>
          </w:tcPr>
          <w:p w14:paraId="49E6C7B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91C6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noWrap/>
            <w:tcMar>
              <w:right w:w="43" w:type="dxa"/>
            </w:tcMar>
            <w:vAlign w:val="bottom"/>
            <w:hideMark/>
          </w:tcPr>
          <w:p w14:paraId="6812D86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5E55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1B3B9A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58A45D7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4A3C84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88F61C3" w14:textId="77777777" w:rsidTr="006451A1">
        <w:tc>
          <w:tcPr>
            <w:tcW w:w="11057" w:type="dxa"/>
            <w:gridSpan w:val="13"/>
            <w:tcBorders>
              <w:top w:val="single" w:sz="4" w:space="0" w:color="auto"/>
              <w:left w:val="single" w:sz="4" w:space="0" w:color="auto"/>
              <w:bottom w:val="single" w:sz="4" w:space="0" w:color="auto"/>
              <w:right w:val="single" w:sz="4" w:space="0" w:color="000000"/>
            </w:tcBorders>
            <w:shd w:val="clear" w:color="auto" w:fill="auto"/>
            <w:tcMar>
              <w:left w:w="0" w:type="dxa"/>
              <w:right w:w="43" w:type="dxa"/>
            </w:tcMar>
            <w:vAlign w:val="center"/>
            <w:hideMark/>
          </w:tcPr>
          <w:p w14:paraId="5FA21869" w14:textId="77777777" w:rsidR="00232FF7" w:rsidRPr="00DF4BB7" w:rsidRDefault="00232FF7" w:rsidP="006451A1">
            <w:pPr>
              <w:spacing w:after="0" w:line="240" w:lineRule="auto"/>
              <w:rPr>
                <w:rFonts w:ascii="Times New Roman" w:eastAsia="Times New Roman" w:hAnsi="Times New Roman" w:cs="Times New Roman"/>
                <w:b/>
                <w:bCs/>
                <w:color w:val="000000"/>
                <w:sz w:val="16"/>
                <w:szCs w:val="16"/>
              </w:rPr>
            </w:pPr>
            <w:r w:rsidRPr="00DF4BB7">
              <w:rPr>
                <w:rFonts w:ascii="Times New Roman" w:hAnsi="Times New Roman"/>
                <w:b/>
                <w:bCs/>
                <w:color w:val="000000"/>
                <w:sz w:val="16"/>
                <w:szCs w:val="16"/>
              </w:rPr>
              <w:t>Otras mezclas</w:t>
            </w:r>
          </w:p>
        </w:tc>
      </w:tr>
      <w:tr w:rsidR="00232FF7" w:rsidRPr="00DF4BB7" w14:paraId="147F624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5FA66C1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FX 20</w:t>
            </w:r>
          </w:p>
        </w:tc>
        <w:tc>
          <w:tcPr>
            <w:tcW w:w="1170" w:type="dxa"/>
            <w:tcBorders>
              <w:top w:val="nil"/>
              <w:left w:val="nil"/>
              <w:bottom w:val="single" w:sz="4" w:space="0" w:color="auto"/>
              <w:right w:val="single" w:sz="4" w:space="0" w:color="auto"/>
            </w:tcBorders>
            <w:shd w:val="clear" w:color="auto" w:fill="auto"/>
            <w:vAlign w:val="center"/>
            <w:hideMark/>
          </w:tcPr>
          <w:p w14:paraId="0E8D06D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HFC-125</w:t>
            </w:r>
          </w:p>
        </w:tc>
        <w:tc>
          <w:tcPr>
            <w:tcW w:w="709" w:type="dxa"/>
            <w:tcBorders>
              <w:top w:val="nil"/>
              <w:left w:val="nil"/>
              <w:bottom w:val="single" w:sz="4" w:space="0" w:color="auto"/>
              <w:right w:val="single" w:sz="4" w:space="0" w:color="auto"/>
            </w:tcBorders>
            <w:shd w:val="clear" w:color="auto" w:fill="auto"/>
            <w:vAlign w:val="center"/>
            <w:hideMark/>
          </w:tcPr>
          <w:p w14:paraId="534D570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45%</w:t>
            </w:r>
          </w:p>
        </w:tc>
        <w:tc>
          <w:tcPr>
            <w:tcW w:w="1166" w:type="dxa"/>
            <w:tcBorders>
              <w:top w:val="nil"/>
              <w:left w:val="nil"/>
              <w:bottom w:val="single" w:sz="4" w:space="0" w:color="auto"/>
              <w:right w:val="single" w:sz="4" w:space="0" w:color="auto"/>
            </w:tcBorders>
            <w:shd w:val="clear" w:color="auto" w:fill="auto"/>
            <w:vAlign w:val="center"/>
            <w:hideMark/>
          </w:tcPr>
          <w:p w14:paraId="591176D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820" w:type="dxa"/>
            <w:tcBorders>
              <w:top w:val="nil"/>
              <w:left w:val="nil"/>
              <w:bottom w:val="single" w:sz="4" w:space="0" w:color="auto"/>
              <w:right w:val="single" w:sz="4" w:space="0" w:color="auto"/>
            </w:tcBorders>
            <w:shd w:val="clear" w:color="auto" w:fill="auto"/>
            <w:vAlign w:val="center"/>
            <w:hideMark/>
          </w:tcPr>
          <w:p w14:paraId="0E09369B"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55%</w:t>
            </w:r>
          </w:p>
        </w:tc>
        <w:tc>
          <w:tcPr>
            <w:tcW w:w="965" w:type="dxa"/>
            <w:tcBorders>
              <w:top w:val="nil"/>
              <w:left w:val="nil"/>
              <w:bottom w:val="single" w:sz="4" w:space="0" w:color="auto"/>
              <w:right w:val="single" w:sz="4" w:space="0" w:color="auto"/>
            </w:tcBorders>
            <w:shd w:val="clear" w:color="auto" w:fill="auto"/>
            <w:vAlign w:val="center"/>
            <w:hideMark/>
          </w:tcPr>
          <w:p w14:paraId="12808EA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8ECAAC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A606A8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E3E6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444D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2FD0E8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7C7584B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37256F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669CCD2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75EB07A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FX 55</w:t>
            </w:r>
          </w:p>
        </w:tc>
        <w:tc>
          <w:tcPr>
            <w:tcW w:w="1170" w:type="dxa"/>
            <w:tcBorders>
              <w:top w:val="nil"/>
              <w:left w:val="nil"/>
              <w:bottom w:val="single" w:sz="4" w:space="0" w:color="auto"/>
              <w:right w:val="single" w:sz="4" w:space="0" w:color="auto"/>
            </w:tcBorders>
            <w:shd w:val="clear" w:color="auto" w:fill="auto"/>
            <w:vAlign w:val="center"/>
            <w:hideMark/>
          </w:tcPr>
          <w:p w14:paraId="5490754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44F094F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60%</w:t>
            </w:r>
          </w:p>
        </w:tc>
        <w:tc>
          <w:tcPr>
            <w:tcW w:w="1166" w:type="dxa"/>
            <w:tcBorders>
              <w:top w:val="nil"/>
              <w:left w:val="nil"/>
              <w:bottom w:val="single" w:sz="4" w:space="0" w:color="auto"/>
              <w:right w:val="single" w:sz="4" w:space="0" w:color="auto"/>
            </w:tcBorders>
            <w:shd w:val="clear" w:color="auto" w:fill="auto"/>
            <w:vAlign w:val="center"/>
            <w:hideMark/>
          </w:tcPr>
          <w:p w14:paraId="5C8E9B1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820" w:type="dxa"/>
            <w:tcBorders>
              <w:top w:val="nil"/>
              <w:left w:val="nil"/>
              <w:bottom w:val="single" w:sz="4" w:space="0" w:color="auto"/>
              <w:right w:val="single" w:sz="4" w:space="0" w:color="auto"/>
            </w:tcBorders>
            <w:shd w:val="clear" w:color="auto" w:fill="auto"/>
            <w:vAlign w:val="center"/>
            <w:hideMark/>
          </w:tcPr>
          <w:p w14:paraId="65E0D4B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40%</w:t>
            </w:r>
          </w:p>
        </w:tc>
        <w:tc>
          <w:tcPr>
            <w:tcW w:w="965" w:type="dxa"/>
            <w:tcBorders>
              <w:top w:val="nil"/>
              <w:left w:val="nil"/>
              <w:bottom w:val="single" w:sz="4" w:space="0" w:color="auto"/>
              <w:right w:val="single" w:sz="4" w:space="0" w:color="auto"/>
            </w:tcBorders>
            <w:shd w:val="clear" w:color="auto" w:fill="auto"/>
            <w:vAlign w:val="center"/>
            <w:hideMark/>
          </w:tcPr>
          <w:p w14:paraId="7D4E3B8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3D4DFD2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3F5EF6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CED1BC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F4F7C5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576196F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55E8F2F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64BDF63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3D1DD3BA"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2876BA6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D 136</w:t>
            </w:r>
          </w:p>
        </w:tc>
        <w:tc>
          <w:tcPr>
            <w:tcW w:w="1170" w:type="dxa"/>
            <w:tcBorders>
              <w:top w:val="nil"/>
              <w:left w:val="nil"/>
              <w:bottom w:val="single" w:sz="4" w:space="0" w:color="auto"/>
              <w:right w:val="single" w:sz="4" w:space="0" w:color="auto"/>
            </w:tcBorders>
            <w:shd w:val="clear" w:color="auto" w:fill="auto"/>
            <w:vAlign w:val="center"/>
            <w:hideMark/>
          </w:tcPr>
          <w:p w14:paraId="6DD95FC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473C19C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50%</w:t>
            </w:r>
          </w:p>
        </w:tc>
        <w:tc>
          <w:tcPr>
            <w:tcW w:w="1166" w:type="dxa"/>
            <w:tcBorders>
              <w:top w:val="nil"/>
              <w:left w:val="nil"/>
              <w:bottom w:val="single" w:sz="4" w:space="0" w:color="auto"/>
              <w:right w:val="single" w:sz="4" w:space="0" w:color="auto"/>
            </w:tcBorders>
            <w:shd w:val="clear" w:color="auto" w:fill="auto"/>
            <w:vAlign w:val="center"/>
            <w:hideMark/>
          </w:tcPr>
          <w:p w14:paraId="67B5C2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820" w:type="dxa"/>
            <w:tcBorders>
              <w:top w:val="nil"/>
              <w:left w:val="nil"/>
              <w:bottom w:val="single" w:sz="4" w:space="0" w:color="auto"/>
              <w:right w:val="single" w:sz="4" w:space="0" w:color="auto"/>
            </w:tcBorders>
            <w:shd w:val="clear" w:color="auto" w:fill="auto"/>
            <w:vAlign w:val="center"/>
            <w:hideMark/>
          </w:tcPr>
          <w:p w14:paraId="42E1857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47%</w:t>
            </w:r>
          </w:p>
        </w:tc>
        <w:tc>
          <w:tcPr>
            <w:tcW w:w="965" w:type="dxa"/>
            <w:tcBorders>
              <w:top w:val="nil"/>
              <w:left w:val="nil"/>
              <w:bottom w:val="single" w:sz="4" w:space="0" w:color="auto"/>
              <w:right w:val="single" w:sz="4" w:space="0" w:color="auto"/>
            </w:tcBorders>
            <w:shd w:val="clear" w:color="auto" w:fill="auto"/>
            <w:vAlign w:val="center"/>
            <w:hideMark/>
          </w:tcPr>
          <w:p w14:paraId="60CA414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4A3653B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2135C1E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65BDC5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1866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7A2E9E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697AB06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22CD680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22B7F79"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C505CF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xml:space="preserve">Daikin </w:t>
            </w:r>
            <w:proofErr w:type="spellStart"/>
            <w:r w:rsidRPr="00DF4BB7">
              <w:rPr>
                <w:rFonts w:ascii="Times New Roman" w:hAnsi="Times New Roman"/>
                <w:color w:val="000000"/>
                <w:sz w:val="16"/>
                <w:szCs w:val="16"/>
              </w:rPr>
              <w:t>Blend</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0B33C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HFC-23</w:t>
            </w:r>
          </w:p>
        </w:tc>
        <w:tc>
          <w:tcPr>
            <w:tcW w:w="709" w:type="dxa"/>
            <w:tcBorders>
              <w:top w:val="nil"/>
              <w:left w:val="nil"/>
              <w:bottom w:val="single" w:sz="4" w:space="0" w:color="auto"/>
              <w:right w:val="single" w:sz="4" w:space="0" w:color="auto"/>
            </w:tcBorders>
            <w:shd w:val="clear" w:color="auto" w:fill="auto"/>
            <w:vAlign w:val="center"/>
            <w:hideMark/>
          </w:tcPr>
          <w:p w14:paraId="32CDBD5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w:t>
            </w:r>
          </w:p>
        </w:tc>
        <w:tc>
          <w:tcPr>
            <w:tcW w:w="1166" w:type="dxa"/>
            <w:tcBorders>
              <w:top w:val="nil"/>
              <w:left w:val="nil"/>
              <w:bottom w:val="single" w:sz="4" w:space="0" w:color="auto"/>
              <w:right w:val="single" w:sz="4" w:space="0" w:color="auto"/>
            </w:tcBorders>
            <w:shd w:val="clear" w:color="auto" w:fill="auto"/>
            <w:vAlign w:val="center"/>
            <w:hideMark/>
          </w:tcPr>
          <w:p w14:paraId="19E5BC6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HFC-32</w:t>
            </w:r>
          </w:p>
        </w:tc>
        <w:tc>
          <w:tcPr>
            <w:tcW w:w="820" w:type="dxa"/>
            <w:tcBorders>
              <w:top w:val="nil"/>
              <w:left w:val="nil"/>
              <w:bottom w:val="single" w:sz="4" w:space="0" w:color="auto"/>
              <w:right w:val="single" w:sz="4" w:space="0" w:color="auto"/>
            </w:tcBorders>
            <w:shd w:val="clear" w:color="auto" w:fill="auto"/>
            <w:vAlign w:val="center"/>
            <w:hideMark/>
          </w:tcPr>
          <w:p w14:paraId="1D79705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28%</w:t>
            </w:r>
          </w:p>
        </w:tc>
        <w:tc>
          <w:tcPr>
            <w:tcW w:w="965" w:type="dxa"/>
            <w:tcBorders>
              <w:top w:val="nil"/>
              <w:left w:val="nil"/>
              <w:bottom w:val="single" w:sz="4" w:space="0" w:color="auto"/>
              <w:right w:val="single" w:sz="4" w:space="0" w:color="auto"/>
            </w:tcBorders>
            <w:shd w:val="clear" w:color="auto" w:fill="auto"/>
            <w:vAlign w:val="center"/>
            <w:hideMark/>
          </w:tcPr>
          <w:p w14:paraId="56D6B66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6208B9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299841E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5125F6A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4C23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724C2F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6FC8C6B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47CC8A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A6E13B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19C60AA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FRIGC</w:t>
            </w:r>
          </w:p>
        </w:tc>
        <w:tc>
          <w:tcPr>
            <w:tcW w:w="1170" w:type="dxa"/>
            <w:tcBorders>
              <w:top w:val="nil"/>
              <w:left w:val="nil"/>
              <w:bottom w:val="single" w:sz="4" w:space="0" w:color="auto"/>
              <w:right w:val="single" w:sz="4" w:space="0" w:color="auto"/>
            </w:tcBorders>
            <w:shd w:val="clear" w:color="auto" w:fill="auto"/>
            <w:vAlign w:val="center"/>
            <w:hideMark/>
          </w:tcPr>
          <w:p w14:paraId="5D930C9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09" w:type="dxa"/>
            <w:tcBorders>
              <w:top w:val="nil"/>
              <w:left w:val="nil"/>
              <w:bottom w:val="single" w:sz="4" w:space="0" w:color="auto"/>
              <w:right w:val="single" w:sz="4" w:space="0" w:color="auto"/>
            </w:tcBorders>
            <w:shd w:val="clear" w:color="auto" w:fill="auto"/>
            <w:vAlign w:val="center"/>
            <w:hideMark/>
          </w:tcPr>
          <w:p w14:paraId="6D561274"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39%</w:t>
            </w:r>
          </w:p>
        </w:tc>
        <w:tc>
          <w:tcPr>
            <w:tcW w:w="1166" w:type="dxa"/>
            <w:tcBorders>
              <w:top w:val="nil"/>
              <w:left w:val="nil"/>
              <w:bottom w:val="single" w:sz="4" w:space="0" w:color="auto"/>
              <w:right w:val="single" w:sz="4" w:space="0" w:color="auto"/>
            </w:tcBorders>
            <w:shd w:val="clear" w:color="auto" w:fill="auto"/>
            <w:vAlign w:val="center"/>
            <w:hideMark/>
          </w:tcPr>
          <w:p w14:paraId="1A0EEF0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HCFC-134a</w:t>
            </w:r>
          </w:p>
        </w:tc>
        <w:tc>
          <w:tcPr>
            <w:tcW w:w="820" w:type="dxa"/>
            <w:tcBorders>
              <w:top w:val="nil"/>
              <w:left w:val="nil"/>
              <w:bottom w:val="single" w:sz="4" w:space="0" w:color="auto"/>
              <w:right w:val="single" w:sz="4" w:space="0" w:color="auto"/>
            </w:tcBorders>
            <w:shd w:val="clear" w:color="auto" w:fill="auto"/>
            <w:vAlign w:val="center"/>
            <w:hideMark/>
          </w:tcPr>
          <w:p w14:paraId="49F5390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59%</w:t>
            </w:r>
          </w:p>
        </w:tc>
        <w:tc>
          <w:tcPr>
            <w:tcW w:w="965" w:type="dxa"/>
            <w:tcBorders>
              <w:top w:val="nil"/>
              <w:left w:val="nil"/>
              <w:bottom w:val="single" w:sz="4" w:space="0" w:color="auto"/>
              <w:right w:val="single" w:sz="4" w:space="0" w:color="auto"/>
            </w:tcBorders>
            <w:shd w:val="clear" w:color="auto" w:fill="auto"/>
            <w:vAlign w:val="center"/>
            <w:hideMark/>
          </w:tcPr>
          <w:p w14:paraId="5F9AD9E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2A64A82"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085440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38FA27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8E54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6561CA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738FA56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68C9A28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51CB5D6E"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BF6AC5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xml:space="preserve">Free </w:t>
            </w:r>
            <w:proofErr w:type="spellStart"/>
            <w:r w:rsidRPr="00DF4BB7">
              <w:rPr>
                <w:rFonts w:ascii="Times New Roman" w:hAnsi="Times New Roman"/>
                <w:color w:val="000000"/>
                <w:sz w:val="16"/>
                <w:szCs w:val="16"/>
              </w:rPr>
              <w:t>Zone</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13F730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709" w:type="dxa"/>
            <w:tcBorders>
              <w:top w:val="nil"/>
              <w:left w:val="nil"/>
              <w:bottom w:val="single" w:sz="4" w:space="0" w:color="auto"/>
              <w:right w:val="single" w:sz="4" w:space="0" w:color="auto"/>
            </w:tcBorders>
            <w:shd w:val="clear" w:color="auto" w:fill="auto"/>
            <w:vAlign w:val="center"/>
            <w:hideMark/>
          </w:tcPr>
          <w:p w14:paraId="4A2CCE6D"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19%</w:t>
            </w:r>
          </w:p>
        </w:tc>
        <w:tc>
          <w:tcPr>
            <w:tcW w:w="1166" w:type="dxa"/>
            <w:tcBorders>
              <w:top w:val="nil"/>
              <w:left w:val="nil"/>
              <w:bottom w:val="single" w:sz="4" w:space="0" w:color="auto"/>
              <w:right w:val="single" w:sz="4" w:space="0" w:color="auto"/>
            </w:tcBorders>
            <w:shd w:val="clear" w:color="auto" w:fill="auto"/>
            <w:vAlign w:val="center"/>
            <w:hideMark/>
          </w:tcPr>
          <w:p w14:paraId="33F8013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HFC-134a</w:t>
            </w:r>
          </w:p>
        </w:tc>
        <w:tc>
          <w:tcPr>
            <w:tcW w:w="820" w:type="dxa"/>
            <w:tcBorders>
              <w:top w:val="nil"/>
              <w:left w:val="nil"/>
              <w:bottom w:val="single" w:sz="4" w:space="0" w:color="auto"/>
              <w:right w:val="single" w:sz="4" w:space="0" w:color="auto"/>
            </w:tcBorders>
            <w:shd w:val="clear" w:color="auto" w:fill="auto"/>
            <w:vAlign w:val="center"/>
            <w:hideMark/>
          </w:tcPr>
          <w:p w14:paraId="4C54729A"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79%</w:t>
            </w:r>
          </w:p>
        </w:tc>
        <w:tc>
          <w:tcPr>
            <w:tcW w:w="965" w:type="dxa"/>
            <w:tcBorders>
              <w:top w:val="nil"/>
              <w:left w:val="nil"/>
              <w:bottom w:val="single" w:sz="4" w:space="0" w:color="auto"/>
              <w:right w:val="single" w:sz="4" w:space="0" w:color="auto"/>
            </w:tcBorders>
            <w:shd w:val="clear" w:color="auto" w:fill="auto"/>
            <w:vAlign w:val="center"/>
            <w:hideMark/>
          </w:tcPr>
          <w:p w14:paraId="5EBD57E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Lubricante</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20E34B6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4AD1B27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9B89AE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C878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63885BE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013A6B3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92EC1BE"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683D2B7"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01CC2E3D"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GHG-HP</w:t>
            </w:r>
          </w:p>
        </w:tc>
        <w:tc>
          <w:tcPr>
            <w:tcW w:w="1170" w:type="dxa"/>
            <w:tcBorders>
              <w:top w:val="nil"/>
              <w:left w:val="nil"/>
              <w:bottom w:val="single" w:sz="4" w:space="0" w:color="auto"/>
              <w:right w:val="single" w:sz="4" w:space="0" w:color="auto"/>
            </w:tcBorders>
            <w:shd w:val="clear" w:color="auto" w:fill="auto"/>
            <w:vAlign w:val="center"/>
            <w:hideMark/>
          </w:tcPr>
          <w:p w14:paraId="1116958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2A724A5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65%</w:t>
            </w:r>
          </w:p>
        </w:tc>
        <w:tc>
          <w:tcPr>
            <w:tcW w:w="1166" w:type="dxa"/>
            <w:tcBorders>
              <w:top w:val="nil"/>
              <w:left w:val="nil"/>
              <w:bottom w:val="single" w:sz="4" w:space="0" w:color="auto"/>
              <w:right w:val="single" w:sz="4" w:space="0" w:color="auto"/>
            </w:tcBorders>
            <w:shd w:val="clear" w:color="auto" w:fill="auto"/>
            <w:vAlign w:val="center"/>
            <w:hideMark/>
          </w:tcPr>
          <w:p w14:paraId="7D999E6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820" w:type="dxa"/>
            <w:tcBorders>
              <w:top w:val="nil"/>
              <w:left w:val="nil"/>
              <w:bottom w:val="single" w:sz="4" w:space="0" w:color="auto"/>
              <w:right w:val="single" w:sz="4" w:space="0" w:color="auto"/>
            </w:tcBorders>
            <w:shd w:val="clear" w:color="auto" w:fill="auto"/>
            <w:vAlign w:val="center"/>
            <w:hideMark/>
          </w:tcPr>
          <w:p w14:paraId="095DB560"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31%</w:t>
            </w:r>
          </w:p>
        </w:tc>
        <w:tc>
          <w:tcPr>
            <w:tcW w:w="965" w:type="dxa"/>
            <w:tcBorders>
              <w:top w:val="nil"/>
              <w:left w:val="nil"/>
              <w:bottom w:val="single" w:sz="4" w:space="0" w:color="auto"/>
              <w:right w:val="single" w:sz="4" w:space="0" w:color="auto"/>
            </w:tcBorders>
            <w:shd w:val="clear" w:color="auto" w:fill="auto"/>
            <w:vAlign w:val="center"/>
            <w:hideMark/>
          </w:tcPr>
          <w:p w14:paraId="6B03D7F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0D80685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22F63D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F1501B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3EFE3E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450722F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3DD5E002"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0FF8AF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7FE63A04"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A37A94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GHG-X5</w:t>
            </w:r>
          </w:p>
        </w:tc>
        <w:tc>
          <w:tcPr>
            <w:tcW w:w="1170" w:type="dxa"/>
            <w:tcBorders>
              <w:top w:val="nil"/>
              <w:left w:val="nil"/>
              <w:bottom w:val="single" w:sz="4" w:space="0" w:color="auto"/>
              <w:right w:val="single" w:sz="4" w:space="0" w:color="auto"/>
            </w:tcBorders>
            <w:shd w:val="clear" w:color="auto" w:fill="auto"/>
            <w:vAlign w:val="center"/>
            <w:hideMark/>
          </w:tcPr>
          <w:p w14:paraId="0465A06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49C724D9"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41%</w:t>
            </w:r>
          </w:p>
        </w:tc>
        <w:tc>
          <w:tcPr>
            <w:tcW w:w="1166" w:type="dxa"/>
            <w:tcBorders>
              <w:top w:val="nil"/>
              <w:left w:val="nil"/>
              <w:bottom w:val="single" w:sz="4" w:space="0" w:color="auto"/>
              <w:right w:val="single" w:sz="4" w:space="0" w:color="auto"/>
            </w:tcBorders>
            <w:shd w:val="clear" w:color="auto" w:fill="auto"/>
            <w:vAlign w:val="center"/>
            <w:hideMark/>
          </w:tcPr>
          <w:p w14:paraId="77DD70B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HCFC-142b</w:t>
            </w:r>
          </w:p>
        </w:tc>
        <w:tc>
          <w:tcPr>
            <w:tcW w:w="820" w:type="dxa"/>
            <w:tcBorders>
              <w:top w:val="nil"/>
              <w:left w:val="nil"/>
              <w:bottom w:val="single" w:sz="4" w:space="0" w:color="auto"/>
              <w:right w:val="single" w:sz="4" w:space="0" w:color="auto"/>
            </w:tcBorders>
            <w:shd w:val="clear" w:color="auto" w:fill="auto"/>
            <w:vAlign w:val="center"/>
            <w:hideMark/>
          </w:tcPr>
          <w:p w14:paraId="053A458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15%</w:t>
            </w:r>
          </w:p>
        </w:tc>
        <w:tc>
          <w:tcPr>
            <w:tcW w:w="965" w:type="dxa"/>
            <w:tcBorders>
              <w:top w:val="nil"/>
              <w:left w:val="nil"/>
              <w:bottom w:val="single" w:sz="4" w:space="0" w:color="auto"/>
              <w:right w:val="single" w:sz="4" w:space="0" w:color="auto"/>
            </w:tcBorders>
            <w:shd w:val="clear" w:color="auto" w:fill="auto"/>
            <w:vAlign w:val="center"/>
            <w:hideMark/>
          </w:tcPr>
          <w:p w14:paraId="2789D0C4"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HFC-227ea</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6D1AB3A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346C4187"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381AA2BF"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14:paraId="70E256E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362C836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64B9FC21"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E0A658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10F97A1C"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3E4CB852" w14:textId="1E91F1DF"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NARM-502</w:t>
            </w:r>
          </w:p>
        </w:tc>
        <w:tc>
          <w:tcPr>
            <w:tcW w:w="1170" w:type="dxa"/>
            <w:tcBorders>
              <w:top w:val="nil"/>
              <w:left w:val="nil"/>
              <w:bottom w:val="single" w:sz="4" w:space="0" w:color="auto"/>
              <w:right w:val="single" w:sz="4" w:space="0" w:color="auto"/>
            </w:tcBorders>
            <w:shd w:val="clear" w:color="auto" w:fill="auto"/>
            <w:vAlign w:val="center"/>
            <w:hideMark/>
          </w:tcPr>
          <w:p w14:paraId="2047E7D9"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0196434E"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90%</w:t>
            </w:r>
          </w:p>
        </w:tc>
        <w:tc>
          <w:tcPr>
            <w:tcW w:w="1166" w:type="dxa"/>
            <w:tcBorders>
              <w:top w:val="nil"/>
              <w:left w:val="nil"/>
              <w:bottom w:val="single" w:sz="4" w:space="0" w:color="auto"/>
              <w:right w:val="single" w:sz="4" w:space="0" w:color="auto"/>
            </w:tcBorders>
            <w:shd w:val="clear" w:color="auto" w:fill="auto"/>
            <w:vAlign w:val="center"/>
            <w:hideMark/>
          </w:tcPr>
          <w:p w14:paraId="7CA0C825"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HFC-152a</w:t>
            </w:r>
          </w:p>
        </w:tc>
        <w:tc>
          <w:tcPr>
            <w:tcW w:w="820" w:type="dxa"/>
            <w:tcBorders>
              <w:top w:val="nil"/>
              <w:left w:val="nil"/>
              <w:bottom w:val="single" w:sz="4" w:space="0" w:color="auto"/>
              <w:right w:val="single" w:sz="4" w:space="0" w:color="auto"/>
            </w:tcBorders>
            <w:shd w:val="clear" w:color="auto" w:fill="auto"/>
            <w:vAlign w:val="center"/>
            <w:hideMark/>
          </w:tcPr>
          <w:p w14:paraId="3F2B3837"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965" w:type="dxa"/>
            <w:tcBorders>
              <w:top w:val="nil"/>
              <w:left w:val="nil"/>
              <w:bottom w:val="single" w:sz="4" w:space="0" w:color="auto"/>
              <w:right w:val="single" w:sz="4" w:space="0" w:color="auto"/>
            </w:tcBorders>
            <w:shd w:val="clear" w:color="auto" w:fill="auto"/>
            <w:vAlign w:val="center"/>
            <w:hideMark/>
          </w:tcPr>
          <w:p w14:paraId="7818764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HFC-23</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5D7DD1D6"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3EE7F55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63BC6C23"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D70E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23302C6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0A23210A"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0B73F06"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r w:rsidR="00232FF7" w:rsidRPr="00DF4BB7" w14:paraId="42FE2EFD" w14:textId="77777777" w:rsidTr="00276163">
        <w:tc>
          <w:tcPr>
            <w:tcW w:w="1099" w:type="dxa"/>
            <w:tcBorders>
              <w:top w:val="nil"/>
              <w:left w:val="single" w:sz="4" w:space="0" w:color="auto"/>
              <w:bottom w:val="single" w:sz="4" w:space="0" w:color="auto"/>
              <w:right w:val="single" w:sz="4" w:space="0" w:color="auto"/>
            </w:tcBorders>
            <w:shd w:val="clear" w:color="auto" w:fill="auto"/>
            <w:vAlign w:val="center"/>
            <w:hideMark/>
          </w:tcPr>
          <w:p w14:paraId="4DCE4F1A" w14:textId="7B01D6EC" w:rsidR="00232FF7" w:rsidRPr="00DF4BB7" w:rsidRDefault="003F2168" w:rsidP="003F2168">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NASF-S-III</w:t>
            </w:r>
            <w:r w:rsidRPr="00DF4BB7">
              <w:rPr>
                <w:rStyle w:val="FootnoteReference"/>
                <w:rFonts w:ascii="Times New Roman" w:eastAsia="Times New Roman" w:hAnsi="Times New Roman" w:cs="Times New Roman"/>
                <w:color w:val="000000"/>
                <w:spacing w:val="-2"/>
                <w:sz w:val="16"/>
                <w:szCs w:val="16"/>
                <w:lang w:eastAsia="en-CA"/>
              </w:rPr>
              <w:footnoteReference w:id="3"/>
            </w:r>
          </w:p>
        </w:tc>
        <w:tc>
          <w:tcPr>
            <w:tcW w:w="1170" w:type="dxa"/>
            <w:tcBorders>
              <w:top w:val="nil"/>
              <w:left w:val="nil"/>
              <w:bottom w:val="single" w:sz="4" w:space="0" w:color="auto"/>
              <w:right w:val="single" w:sz="4" w:space="0" w:color="auto"/>
            </w:tcBorders>
            <w:shd w:val="clear" w:color="auto" w:fill="auto"/>
            <w:vAlign w:val="center"/>
            <w:hideMark/>
          </w:tcPr>
          <w:p w14:paraId="7EBD6FFF"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HCFC-22</w:t>
            </w:r>
          </w:p>
        </w:tc>
        <w:tc>
          <w:tcPr>
            <w:tcW w:w="709" w:type="dxa"/>
            <w:tcBorders>
              <w:top w:val="nil"/>
              <w:left w:val="nil"/>
              <w:bottom w:val="single" w:sz="4" w:space="0" w:color="auto"/>
              <w:right w:val="single" w:sz="4" w:space="0" w:color="auto"/>
            </w:tcBorders>
            <w:shd w:val="clear" w:color="auto" w:fill="auto"/>
            <w:vAlign w:val="center"/>
            <w:hideMark/>
          </w:tcPr>
          <w:p w14:paraId="447E802C"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82%</w:t>
            </w:r>
          </w:p>
        </w:tc>
        <w:tc>
          <w:tcPr>
            <w:tcW w:w="1166" w:type="dxa"/>
            <w:tcBorders>
              <w:top w:val="nil"/>
              <w:left w:val="nil"/>
              <w:bottom w:val="single" w:sz="4" w:space="0" w:color="auto"/>
              <w:right w:val="single" w:sz="4" w:space="0" w:color="auto"/>
            </w:tcBorders>
            <w:shd w:val="clear" w:color="auto" w:fill="auto"/>
            <w:vAlign w:val="center"/>
            <w:hideMark/>
          </w:tcPr>
          <w:p w14:paraId="4407FF9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HCFC-123</w:t>
            </w:r>
          </w:p>
        </w:tc>
        <w:tc>
          <w:tcPr>
            <w:tcW w:w="820" w:type="dxa"/>
            <w:tcBorders>
              <w:top w:val="nil"/>
              <w:left w:val="nil"/>
              <w:bottom w:val="single" w:sz="4" w:space="0" w:color="auto"/>
              <w:right w:val="single" w:sz="4" w:space="0" w:color="auto"/>
            </w:tcBorders>
            <w:shd w:val="clear" w:color="auto" w:fill="auto"/>
            <w:vAlign w:val="center"/>
            <w:hideMark/>
          </w:tcPr>
          <w:p w14:paraId="01E5E58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4,75%</w:t>
            </w:r>
          </w:p>
        </w:tc>
        <w:tc>
          <w:tcPr>
            <w:tcW w:w="965" w:type="dxa"/>
            <w:tcBorders>
              <w:top w:val="nil"/>
              <w:left w:val="nil"/>
              <w:bottom w:val="single" w:sz="4" w:space="0" w:color="auto"/>
              <w:right w:val="single" w:sz="4" w:space="0" w:color="auto"/>
            </w:tcBorders>
            <w:shd w:val="clear" w:color="auto" w:fill="auto"/>
            <w:vAlign w:val="center"/>
            <w:hideMark/>
          </w:tcPr>
          <w:p w14:paraId="6BA34E6C"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HCFC-124</w:t>
            </w:r>
          </w:p>
        </w:tc>
        <w:tc>
          <w:tcPr>
            <w:tcW w:w="736" w:type="dxa"/>
            <w:tcBorders>
              <w:top w:val="nil"/>
              <w:left w:val="nil"/>
              <w:bottom w:val="single" w:sz="4" w:space="0" w:color="auto"/>
              <w:right w:val="single" w:sz="4" w:space="0" w:color="auto"/>
            </w:tcBorders>
            <w:shd w:val="clear" w:color="auto" w:fill="auto"/>
            <w:tcMar>
              <w:left w:w="0" w:type="dxa"/>
              <w:right w:w="43" w:type="dxa"/>
            </w:tcMar>
            <w:vAlign w:val="center"/>
            <w:hideMark/>
          </w:tcPr>
          <w:p w14:paraId="73047208" w14:textId="77777777" w:rsidR="00232FF7" w:rsidRPr="00DF4BB7" w:rsidRDefault="00232FF7" w:rsidP="006451A1">
            <w:pPr>
              <w:spacing w:after="0" w:line="240" w:lineRule="auto"/>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9,50%</w:t>
            </w:r>
          </w:p>
        </w:tc>
        <w:tc>
          <w:tcPr>
            <w:tcW w:w="960" w:type="dxa"/>
            <w:tcBorders>
              <w:top w:val="nil"/>
              <w:left w:val="nil"/>
              <w:bottom w:val="single" w:sz="4" w:space="0" w:color="auto"/>
              <w:right w:val="single" w:sz="4" w:space="0" w:color="auto"/>
            </w:tcBorders>
            <w:shd w:val="clear" w:color="auto" w:fill="auto"/>
            <w:vAlign w:val="center"/>
            <w:hideMark/>
          </w:tcPr>
          <w:p w14:paraId="0C9783F0"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HC-600a</w:t>
            </w:r>
          </w:p>
        </w:tc>
        <w:tc>
          <w:tcPr>
            <w:tcW w:w="599" w:type="dxa"/>
            <w:tcBorders>
              <w:top w:val="nil"/>
              <w:left w:val="nil"/>
              <w:bottom w:val="single" w:sz="4" w:space="0" w:color="auto"/>
              <w:right w:val="single" w:sz="4" w:space="0" w:color="auto"/>
            </w:tcBorders>
            <w:shd w:val="clear" w:color="auto" w:fill="auto"/>
            <w:tcMar>
              <w:right w:w="43" w:type="dxa"/>
            </w:tcMar>
            <w:vAlign w:val="center"/>
            <w:hideMark/>
          </w:tcPr>
          <w:p w14:paraId="2BAD3860" w14:textId="77777777" w:rsidR="00232FF7" w:rsidRPr="00DF4BB7" w:rsidRDefault="00232FF7" w:rsidP="006451A1">
            <w:pPr>
              <w:spacing w:after="0" w:line="240" w:lineRule="auto"/>
              <w:ind w:left="-74"/>
              <w:jc w:val="right"/>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3,75%</w:t>
            </w:r>
          </w:p>
        </w:tc>
        <w:tc>
          <w:tcPr>
            <w:tcW w:w="960" w:type="dxa"/>
            <w:tcBorders>
              <w:top w:val="nil"/>
              <w:left w:val="nil"/>
              <w:bottom w:val="single" w:sz="4" w:space="0" w:color="auto"/>
              <w:right w:val="single" w:sz="4" w:space="0" w:color="auto"/>
            </w:tcBorders>
            <w:shd w:val="clear" w:color="auto" w:fill="auto"/>
            <w:noWrap/>
            <w:vAlign w:val="bottom"/>
            <w:hideMark/>
          </w:tcPr>
          <w:p w14:paraId="2F58787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97" w:type="dxa"/>
            <w:tcBorders>
              <w:top w:val="nil"/>
              <w:left w:val="nil"/>
              <w:bottom w:val="single" w:sz="4" w:space="0" w:color="auto"/>
              <w:right w:val="single" w:sz="4" w:space="0" w:color="auto"/>
            </w:tcBorders>
            <w:shd w:val="clear" w:color="auto" w:fill="auto"/>
            <w:noWrap/>
            <w:vAlign w:val="bottom"/>
            <w:hideMark/>
          </w:tcPr>
          <w:p w14:paraId="701252E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14:paraId="0A037AC8"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4289FEBB" w14:textId="77777777" w:rsidR="00232FF7" w:rsidRPr="00DF4BB7" w:rsidRDefault="00232FF7" w:rsidP="006451A1">
            <w:pPr>
              <w:spacing w:after="0" w:line="240" w:lineRule="auto"/>
              <w:rPr>
                <w:rFonts w:ascii="Times New Roman" w:eastAsia="Times New Roman" w:hAnsi="Times New Roman" w:cs="Times New Roman"/>
                <w:color w:val="000000"/>
                <w:sz w:val="16"/>
                <w:szCs w:val="16"/>
              </w:rPr>
            </w:pPr>
            <w:r w:rsidRPr="00DF4BB7">
              <w:rPr>
                <w:rFonts w:ascii="Times New Roman" w:hAnsi="Times New Roman"/>
                <w:color w:val="000000"/>
                <w:sz w:val="16"/>
                <w:szCs w:val="16"/>
              </w:rPr>
              <w:t> </w:t>
            </w:r>
          </w:p>
        </w:tc>
      </w:tr>
    </w:tbl>
    <w:p w14:paraId="2C5D7EB2" w14:textId="77777777" w:rsidR="00232FF7" w:rsidRPr="00DF4BB7" w:rsidRDefault="00232FF7" w:rsidP="00493C77">
      <w:pPr>
        <w:pStyle w:val="ListParagraph"/>
        <w:spacing w:after="240" w:line="240" w:lineRule="auto"/>
        <w:ind w:left="0"/>
        <w:contextualSpacing w:val="0"/>
        <w:jc w:val="center"/>
        <w:rPr>
          <w:rFonts w:ascii="Times New Roman" w:hAnsi="Times New Roman" w:cs="Times New Roman"/>
          <w:b/>
        </w:rPr>
      </w:pPr>
    </w:p>
    <w:sectPr w:rsidR="00232FF7" w:rsidRPr="00DF4BB7" w:rsidSect="00A82A95">
      <w:headerReference w:type="even" r:id="rId13"/>
      <w:headerReference w:type="default" r:id="rId1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9541" w14:textId="77777777" w:rsidR="00B33CC0" w:rsidRDefault="00B33CC0" w:rsidP="00232FF7">
      <w:pPr>
        <w:spacing w:after="0" w:line="240" w:lineRule="auto"/>
      </w:pPr>
      <w:r>
        <w:separator/>
      </w:r>
    </w:p>
  </w:endnote>
  <w:endnote w:type="continuationSeparator" w:id="0">
    <w:p w14:paraId="5326FD28" w14:textId="77777777" w:rsidR="00B33CC0" w:rsidRDefault="00B33CC0" w:rsidP="0023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05800336"/>
      <w:docPartObj>
        <w:docPartGallery w:val="Page Numbers (Bottom of Page)"/>
        <w:docPartUnique/>
      </w:docPartObj>
    </w:sdtPr>
    <w:sdtEndPr>
      <w:rPr>
        <w:noProof/>
      </w:rPr>
    </w:sdtEndPr>
    <w:sdtContent>
      <w:p w14:paraId="40FB4D0C" w14:textId="4815356C" w:rsidR="00863A15" w:rsidRPr="007552C2" w:rsidRDefault="00863A15">
        <w:pPr>
          <w:pStyle w:val="Footer"/>
          <w:jc w:val="center"/>
          <w:rPr>
            <w:rFonts w:ascii="Times New Roman" w:hAnsi="Times New Roman" w:cs="Times New Roman"/>
          </w:rPr>
        </w:pPr>
        <w:r w:rsidRPr="007552C2">
          <w:rPr>
            <w:rFonts w:ascii="Times New Roman" w:hAnsi="Times New Roman" w:cs="Times New Roman"/>
          </w:rPr>
          <w:fldChar w:fldCharType="begin"/>
        </w:r>
        <w:r w:rsidRPr="007552C2">
          <w:rPr>
            <w:rFonts w:ascii="Times New Roman" w:hAnsi="Times New Roman" w:cs="Times New Roman"/>
          </w:rPr>
          <w:instrText xml:space="preserve"> PAGE   \* MERGEFORMAT </w:instrText>
        </w:r>
        <w:r w:rsidRPr="007552C2">
          <w:rPr>
            <w:rFonts w:ascii="Times New Roman" w:hAnsi="Times New Roman" w:cs="Times New Roman"/>
          </w:rPr>
          <w:fldChar w:fldCharType="separate"/>
        </w:r>
        <w:r w:rsidR="00A47D48">
          <w:rPr>
            <w:rFonts w:ascii="Times New Roman" w:hAnsi="Times New Roman" w:cs="Times New Roman"/>
            <w:noProof/>
          </w:rPr>
          <w:t>12</w:t>
        </w:r>
        <w:r w:rsidRPr="007552C2">
          <w:rPr>
            <w:rFonts w:ascii="Times New Roman" w:hAnsi="Times New Roman" w:cs="Times New Roman"/>
          </w:rPr>
          <w:fldChar w:fldCharType="end"/>
        </w:r>
      </w:p>
    </w:sdtContent>
  </w:sdt>
  <w:p w14:paraId="5AD472FB" w14:textId="77777777" w:rsidR="00863A15" w:rsidRPr="007552C2" w:rsidRDefault="00863A15">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95304"/>
      <w:docPartObj>
        <w:docPartGallery w:val="Page Numbers (Bottom of Page)"/>
        <w:docPartUnique/>
      </w:docPartObj>
    </w:sdtPr>
    <w:sdtEndPr>
      <w:rPr>
        <w:rFonts w:ascii="Times New Roman" w:hAnsi="Times New Roman" w:cs="Times New Roman"/>
        <w:noProof/>
      </w:rPr>
    </w:sdtEndPr>
    <w:sdtContent>
      <w:p w14:paraId="243F005D" w14:textId="6035E521" w:rsidR="00863A15" w:rsidRPr="00373BBF" w:rsidRDefault="00863A15">
        <w:pPr>
          <w:pStyle w:val="Footer"/>
          <w:jc w:val="center"/>
          <w:rPr>
            <w:rFonts w:ascii="Times New Roman" w:hAnsi="Times New Roman" w:cs="Times New Roman"/>
          </w:rPr>
        </w:pPr>
        <w:r w:rsidRPr="00373BBF">
          <w:rPr>
            <w:rFonts w:ascii="Times New Roman" w:hAnsi="Times New Roman" w:cs="Times New Roman"/>
          </w:rPr>
          <w:fldChar w:fldCharType="begin"/>
        </w:r>
        <w:r w:rsidRPr="00373BBF">
          <w:rPr>
            <w:rFonts w:ascii="Times New Roman" w:hAnsi="Times New Roman" w:cs="Times New Roman"/>
          </w:rPr>
          <w:instrText xml:space="preserve"> PAGE   \* MERGEFORMAT </w:instrText>
        </w:r>
        <w:r w:rsidRPr="00373BBF">
          <w:rPr>
            <w:rFonts w:ascii="Times New Roman" w:hAnsi="Times New Roman" w:cs="Times New Roman"/>
          </w:rPr>
          <w:fldChar w:fldCharType="separate"/>
        </w:r>
        <w:r w:rsidR="00A47D48">
          <w:rPr>
            <w:rFonts w:ascii="Times New Roman" w:hAnsi="Times New Roman" w:cs="Times New Roman"/>
            <w:noProof/>
          </w:rPr>
          <w:t>11</w:t>
        </w:r>
        <w:r w:rsidRPr="00373BBF">
          <w:rPr>
            <w:rFonts w:ascii="Times New Roman" w:hAnsi="Times New Roman" w:cs="Times New Roman"/>
          </w:rPr>
          <w:fldChar w:fldCharType="end"/>
        </w:r>
      </w:p>
    </w:sdtContent>
  </w:sdt>
  <w:p w14:paraId="1FFDA8BC" w14:textId="77777777" w:rsidR="00863A15" w:rsidRPr="00373BBF" w:rsidRDefault="00863A1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6DE3" w14:textId="77777777" w:rsidR="00B33CC0" w:rsidRDefault="00B33CC0" w:rsidP="00232FF7">
      <w:pPr>
        <w:spacing w:after="0" w:line="240" w:lineRule="auto"/>
      </w:pPr>
      <w:r>
        <w:separator/>
      </w:r>
    </w:p>
  </w:footnote>
  <w:footnote w:type="continuationSeparator" w:id="0">
    <w:p w14:paraId="74A983FD" w14:textId="77777777" w:rsidR="00B33CC0" w:rsidRDefault="00B33CC0" w:rsidP="00232FF7">
      <w:pPr>
        <w:spacing w:after="0" w:line="240" w:lineRule="auto"/>
      </w:pPr>
      <w:r>
        <w:continuationSeparator/>
      </w:r>
    </w:p>
  </w:footnote>
  <w:footnote w:id="1">
    <w:p w14:paraId="51128096" w14:textId="77777777" w:rsidR="00863A15" w:rsidRPr="00752D88" w:rsidRDefault="00863A15" w:rsidP="005A66EB">
      <w:pPr>
        <w:pStyle w:val="FootnoteText"/>
      </w:pPr>
      <w:r>
        <w:rPr>
          <w:rStyle w:val="FootnoteReference"/>
        </w:rPr>
        <w:footnoteRef/>
      </w:r>
      <w:r>
        <w:t xml:space="preserve"> En la quinta reunión, el Comité Ejecutivo observó que los Gobiernos deberían seguir de cerca los progresos que se logren en la reducción del consumo de substancias controladas de conformidad con los planes establecidos en el PP y revisar periódicamente la eficacia de las medidas que se adoptan, y solicitó a las Partes que operan al amparo del artículo 5 que presenten anualmente información sobre los progresos realizados en la ejecución de sus PP. (UNEP/</w:t>
      </w:r>
      <w:proofErr w:type="spellStart"/>
      <w:r>
        <w:t>OzL.Pro</w:t>
      </w:r>
      <w:proofErr w:type="spellEnd"/>
      <w:r>
        <w:t>/</w:t>
      </w:r>
      <w:proofErr w:type="spellStart"/>
      <w:r>
        <w:t>ExCom</w:t>
      </w:r>
      <w:proofErr w:type="spellEnd"/>
      <w:r>
        <w:t>/5/16, párrafos 22 y 23).</w:t>
      </w:r>
    </w:p>
  </w:footnote>
  <w:footnote w:id="2">
    <w:p w14:paraId="7DA35938" w14:textId="32849C83" w:rsidR="00863A15" w:rsidRPr="00752D88" w:rsidRDefault="00863A15">
      <w:pPr>
        <w:pStyle w:val="FootnoteText"/>
      </w:pPr>
      <w:r>
        <w:rPr>
          <w:rStyle w:val="FootnoteReference"/>
        </w:rPr>
        <w:footnoteRef/>
      </w:r>
      <w:r>
        <w:t xml:space="preserve"> UNEP/OzL.Pro.30/11, Anexo III, Apéndice I, Sección 11.</w:t>
      </w:r>
    </w:p>
  </w:footnote>
  <w:footnote w:id="3">
    <w:p w14:paraId="109F22E9" w14:textId="11ED31E8" w:rsidR="00863A15" w:rsidRDefault="00863A15">
      <w:pPr>
        <w:pStyle w:val="FootnoteText"/>
      </w:pPr>
      <w:r>
        <w:rPr>
          <w:rStyle w:val="FootnoteReference"/>
        </w:rPr>
        <w:footnoteRef/>
      </w:r>
      <w:r>
        <w:t xml:space="preserve"> Una alternativa a los halones.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D9D3" w14:textId="5FFC01EC" w:rsidR="00863A15" w:rsidRPr="003B21A8" w:rsidRDefault="00863A15" w:rsidP="007552C2">
    <w:pPr>
      <w:spacing w:after="0" w:line="240" w:lineRule="auto"/>
      <w:rPr>
        <w:rFonts w:ascii="Times New Roman" w:hAnsi="Times New Roman" w:cs="Times New Roman"/>
        <w:lang w:val="en-CA"/>
      </w:rPr>
    </w:pPr>
    <w:r w:rsidRPr="00DF4BB7">
      <w:rPr>
        <w:rFonts w:ascii="Times New Roman" w:hAnsi="Times New Roman" w:cs="Times New Roman"/>
      </w:rPr>
      <w:fldChar w:fldCharType="begin"/>
    </w:r>
    <w:r w:rsidRPr="003B21A8">
      <w:rPr>
        <w:rFonts w:ascii="Times New Roman" w:hAnsi="Times New Roman" w:cs="Times New Roman"/>
        <w:lang w:val="en-CA"/>
      </w:rPr>
      <w:instrText xml:space="preserve"> DOCPROPERTY "Document number"  \* MERGEFORMAT </w:instrText>
    </w:r>
    <w:r w:rsidRPr="00DF4BB7">
      <w:rPr>
        <w:rFonts w:ascii="Times New Roman" w:hAnsi="Times New Roman" w:cs="Times New Roman"/>
      </w:rPr>
      <w:fldChar w:fldCharType="separate"/>
    </w:r>
    <w:r w:rsidR="00586B08" w:rsidRPr="003B21A8">
      <w:rPr>
        <w:rFonts w:ascii="Times New Roman" w:hAnsi="Times New Roman" w:cs="Times New Roman"/>
        <w:bCs/>
        <w:lang w:val="en-CA"/>
      </w:rPr>
      <w:t>UNEP/</w:t>
    </w:r>
    <w:proofErr w:type="spellStart"/>
    <w:r w:rsidR="00586B08" w:rsidRPr="003B21A8">
      <w:rPr>
        <w:rFonts w:ascii="Times New Roman" w:hAnsi="Times New Roman" w:cs="Times New Roman"/>
        <w:bCs/>
        <w:lang w:val="en-CA"/>
      </w:rPr>
      <w:t>OzL.Pro</w:t>
    </w:r>
    <w:proofErr w:type="spellEnd"/>
    <w:r w:rsidR="00586B08" w:rsidRPr="003B21A8">
      <w:rPr>
        <w:rFonts w:ascii="Times New Roman" w:hAnsi="Times New Roman" w:cs="Times New Roman"/>
        <w:bCs/>
        <w:lang w:val="en-CA"/>
      </w:rPr>
      <w:t>/ExCom/84/75</w:t>
    </w:r>
    <w:r w:rsidRPr="00DF4BB7">
      <w:rPr>
        <w:rFonts w:ascii="Times New Roman" w:hAnsi="Times New Roman" w:cs="Times New Roman"/>
      </w:rPr>
      <w:fldChar w:fldCharType="end"/>
    </w:r>
  </w:p>
  <w:p w14:paraId="4F0842B3" w14:textId="1781D396" w:rsidR="00863A15" w:rsidRPr="003B21A8" w:rsidRDefault="00863A15" w:rsidP="007552C2">
    <w:pPr>
      <w:pStyle w:val="Header"/>
      <w:rPr>
        <w:rFonts w:ascii="Times New Roman" w:hAnsi="Times New Roman" w:cs="Times New Roman"/>
        <w:lang w:val="en-CA"/>
      </w:rPr>
    </w:pPr>
    <w:r w:rsidRPr="003B21A8">
      <w:rPr>
        <w:rFonts w:ascii="Times New Roman" w:hAnsi="Times New Roman"/>
        <w:lang w:val="en-CA"/>
      </w:rPr>
      <w:t>Anexo IV</w:t>
    </w:r>
  </w:p>
  <w:p w14:paraId="0AF3BF12" w14:textId="77777777" w:rsidR="00863A15" w:rsidRPr="003B21A8" w:rsidRDefault="00863A15" w:rsidP="007552C2">
    <w:pPr>
      <w:pStyle w:val="Header"/>
      <w:rPr>
        <w:rFonts w:ascii="Times New Roman" w:hAnsi="Times New Roman" w:cs="Times New Roman"/>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AA4D" w14:textId="260A894A" w:rsidR="00863A15" w:rsidRPr="003B21A8" w:rsidRDefault="00863A15" w:rsidP="00A82A95">
    <w:pPr>
      <w:spacing w:after="0" w:line="240" w:lineRule="auto"/>
      <w:jc w:val="right"/>
      <w:rPr>
        <w:rFonts w:ascii="Times New Roman" w:hAnsi="Times New Roman" w:cs="Times New Roman"/>
        <w:lang w:val="en-CA"/>
      </w:rPr>
    </w:pPr>
    <w:r w:rsidRPr="00DF4BB7">
      <w:rPr>
        <w:rFonts w:ascii="Times New Roman" w:hAnsi="Times New Roman" w:cs="Times New Roman"/>
      </w:rPr>
      <w:fldChar w:fldCharType="begin"/>
    </w:r>
    <w:r w:rsidRPr="003B21A8">
      <w:rPr>
        <w:rFonts w:ascii="Times New Roman" w:hAnsi="Times New Roman" w:cs="Times New Roman"/>
        <w:lang w:val="en-CA"/>
      </w:rPr>
      <w:instrText xml:space="preserve"> DOCPROPERTY "Document number"  \* MERGEFORMAT </w:instrText>
    </w:r>
    <w:r w:rsidRPr="00DF4BB7">
      <w:rPr>
        <w:rFonts w:ascii="Times New Roman" w:hAnsi="Times New Roman" w:cs="Times New Roman"/>
      </w:rPr>
      <w:fldChar w:fldCharType="separate"/>
    </w:r>
    <w:r w:rsidR="00DF4BB7" w:rsidRPr="003B21A8">
      <w:rPr>
        <w:rFonts w:ascii="Times New Roman" w:hAnsi="Times New Roman" w:cs="Times New Roman"/>
        <w:lang w:val="en-CA"/>
      </w:rPr>
      <w:t>UNEP/</w:t>
    </w:r>
    <w:proofErr w:type="spellStart"/>
    <w:r w:rsidR="00DF4BB7" w:rsidRPr="003B21A8">
      <w:rPr>
        <w:rFonts w:ascii="Times New Roman" w:hAnsi="Times New Roman" w:cs="Times New Roman"/>
        <w:lang w:val="en-CA"/>
      </w:rPr>
      <w:t>OzL.Pro</w:t>
    </w:r>
    <w:proofErr w:type="spellEnd"/>
    <w:r w:rsidR="00DF4BB7" w:rsidRPr="003B21A8">
      <w:rPr>
        <w:rFonts w:ascii="Times New Roman" w:hAnsi="Times New Roman" w:cs="Times New Roman"/>
        <w:lang w:val="en-CA"/>
      </w:rPr>
      <w:t>/ExCom/84/75</w:t>
    </w:r>
    <w:r w:rsidRPr="00DF4BB7">
      <w:rPr>
        <w:rFonts w:ascii="Times New Roman" w:hAnsi="Times New Roman" w:cs="Times New Roman"/>
      </w:rPr>
      <w:fldChar w:fldCharType="end"/>
    </w:r>
  </w:p>
  <w:p w14:paraId="4A37F46F" w14:textId="14C8295F" w:rsidR="00863A15" w:rsidRPr="003B21A8" w:rsidRDefault="00863A15" w:rsidP="00A82A95">
    <w:pPr>
      <w:pStyle w:val="Header"/>
      <w:jc w:val="right"/>
      <w:rPr>
        <w:rFonts w:ascii="Times New Roman" w:hAnsi="Times New Roman" w:cs="Times New Roman"/>
        <w:lang w:val="en-CA"/>
      </w:rPr>
    </w:pPr>
    <w:r w:rsidRPr="003B21A8">
      <w:rPr>
        <w:rFonts w:ascii="Times New Roman" w:hAnsi="Times New Roman"/>
        <w:lang w:val="en-CA"/>
      </w:rPr>
      <w:t>Anexo IV</w:t>
    </w:r>
  </w:p>
  <w:p w14:paraId="5FA92375" w14:textId="77777777" w:rsidR="00863A15" w:rsidRPr="003B21A8" w:rsidRDefault="00863A15" w:rsidP="00A82A95">
    <w:pPr>
      <w:pStyle w:val="Header"/>
      <w:jc w:val="right"/>
      <w:rPr>
        <w:rFonts w:ascii="Times New Roman" w:hAnsi="Times New Roman" w:cs="Times New Roman"/>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1" w15:restartNumberingAfterBreak="0">
    <w:nsid w:val="FFFFFFFB"/>
    <w:multiLevelType w:val="multilevel"/>
    <w:tmpl w:val="CF94D6E8"/>
    <w:lvl w:ilvl="0">
      <w:start w:val="1"/>
      <w:numFmt w:val="decimal"/>
      <w:lvlText w:val="%1."/>
      <w:lvlJc w:val="left"/>
      <w:pPr>
        <w:tabs>
          <w:tab w:val="num" w:pos="0"/>
        </w:tabs>
        <w:ind w:left="0" w:firstLine="0"/>
      </w:pPr>
      <w:rPr>
        <w:strike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 w15:restartNumberingAfterBreak="0">
    <w:nsid w:val="046A76CD"/>
    <w:multiLevelType w:val="hybridMultilevel"/>
    <w:tmpl w:val="DED05BF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C357EB"/>
    <w:multiLevelType w:val="multilevel"/>
    <w:tmpl w:val="718A3008"/>
    <w:lvl w:ilvl="0">
      <w:start w:val="1"/>
      <w:numFmt w:val="decimal"/>
      <w:lvlText w:val="%1."/>
      <w:lvlJc w:val="left"/>
      <w:pPr>
        <w:tabs>
          <w:tab w:val="num" w:pos="0"/>
        </w:tabs>
        <w:ind w:left="0" w:firstLine="0"/>
      </w:pPr>
      <w:rPr>
        <w:rFonts w:hint="default"/>
      </w:rPr>
    </w:lvl>
    <w:lvl w:ilvl="1">
      <w:start w:val="1"/>
      <w:numFmt w:val="decimal"/>
      <w:lvlText w:val="%2"/>
      <w:lvlJc w:val="right"/>
      <w:pPr>
        <w:tabs>
          <w:tab w:val="num" w:pos="1080"/>
        </w:tabs>
        <w:ind w:left="1080" w:hanging="360"/>
      </w:pPr>
      <w:rPr>
        <w:rFonts w:hint="default"/>
      </w:rPr>
    </w:lvl>
    <w:lvl w:ilvl="2">
      <w:numFmt w:val="lowerRoman"/>
      <w:lvlText w:val="(%3)"/>
      <w:lvlJc w:val="left"/>
      <w:pPr>
        <w:tabs>
          <w:tab w:val="num" w:pos="180"/>
        </w:tabs>
        <w:ind w:left="234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4C61929"/>
    <w:multiLevelType w:val="hybridMultilevel"/>
    <w:tmpl w:val="C6A8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57706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A143812"/>
    <w:multiLevelType w:val="hybridMultilevel"/>
    <w:tmpl w:val="9320D1E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5B59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62F0F37"/>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CC2FC7"/>
    <w:multiLevelType w:val="multilevel"/>
    <w:tmpl w:val="513243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1440" w:hanging="720"/>
      </w:pPr>
    </w:lvl>
    <w:lvl w:ilvl="2">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3CEA2E8F"/>
    <w:multiLevelType w:val="hybridMultilevel"/>
    <w:tmpl w:val="A3F219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11222"/>
    <w:multiLevelType w:val="hybridMultilevel"/>
    <w:tmpl w:val="BAE678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8A11F4"/>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EA5983"/>
    <w:multiLevelType w:val="hybridMultilevel"/>
    <w:tmpl w:val="7966D0E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3185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05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2312577">
    <w:abstractNumId w:val="2"/>
  </w:num>
  <w:num w:numId="4" w16cid:durableId="767777653">
    <w:abstractNumId w:val="4"/>
  </w:num>
  <w:num w:numId="5" w16cid:durableId="353187972">
    <w:abstractNumId w:val="10"/>
  </w:num>
  <w:num w:numId="6" w16cid:durableId="1074009328">
    <w:abstractNumId w:val="13"/>
  </w:num>
  <w:num w:numId="7" w16cid:durableId="1258294707">
    <w:abstractNumId w:val="8"/>
  </w:num>
  <w:num w:numId="8" w16cid:durableId="1164203407">
    <w:abstractNumId w:val="7"/>
  </w:num>
  <w:num w:numId="9" w16cid:durableId="1967467286">
    <w:abstractNumId w:val="3"/>
  </w:num>
  <w:num w:numId="10" w16cid:durableId="1185946319">
    <w:abstractNumId w:val="5"/>
  </w:num>
  <w:num w:numId="11" w16cid:durableId="225603509">
    <w:abstractNumId w:val="9"/>
  </w:num>
  <w:num w:numId="12" w16cid:durableId="504789997">
    <w:abstractNumId w:val="6"/>
  </w:num>
  <w:num w:numId="13" w16cid:durableId="994457947">
    <w:abstractNumId w:val="12"/>
  </w:num>
  <w:num w:numId="14" w16cid:durableId="1574971762">
    <w:abstractNumId w:val="1"/>
  </w:num>
  <w:num w:numId="15" w16cid:durableId="2056192337">
    <w:abstractNumId w:val="0"/>
  </w:num>
  <w:num w:numId="16" w16cid:durableId="159468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191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624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562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06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606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0974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7044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6637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21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8558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9209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137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608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4211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4510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2722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8681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8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0131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78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0366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0807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1627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4182380">
    <w:abstractNumId w:val="1"/>
  </w:num>
  <w:num w:numId="41" w16cid:durableId="17826464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38"/>
    <w:rsid w:val="000040A7"/>
    <w:rsid w:val="00010F3C"/>
    <w:rsid w:val="0001403F"/>
    <w:rsid w:val="0001655D"/>
    <w:rsid w:val="00025EDE"/>
    <w:rsid w:val="00027FBF"/>
    <w:rsid w:val="00037102"/>
    <w:rsid w:val="0007311D"/>
    <w:rsid w:val="00073B1E"/>
    <w:rsid w:val="00073C1C"/>
    <w:rsid w:val="0009081A"/>
    <w:rsid w:val="00097086"/>
    <w:rsid w:val="000B608A"/>
    <w:rsid w:val="000D080F"/>
    <w:rsid w:val="000E29D3"/>
    <w:rsid w:val="000F3F4C"/>
    <w:rsid w:val="000F6E12"/>
    <w:rsid w:val="00100E1D"/>
    <w:rsid w:val="001378DF"/>
    <w:rsid w:val="001415F1"/>
    <w:rsid w:val="00143C3D"/>
    <w:rsid w:val="00146C74"/>
    <w:rsid w:val="00151BC6"/>
    <w:rsid w:val="00157135"/>
    <w:rsid w:val="00157CD9"/>
    <w:rsid w:val="00162C0C"/>
    <w:rsid w:val="0016309B"/>
    <w:rsid w:val="00170E90"/>
    <w:rsid w:val="0017517D"/>
    <w:rsid w:val="00175BEB"/>
    <w:rsid w:val="00181475"/>
    <w:rsid w:val="00194F97"/>
    <w:rsid w:val="001A7B2A"/>
    <w:rsid w:val="001B14CB"/>
    <w:rsid w:val="001B6B6C"/>
    <w:rsid w:val="001C5DDD"/>
    <w:rsid w:val="001D5CE4"/>
    <w:rsid w:val="001F376F"/>
    <w:rsid w:val="00201C1A"/>
    <w:rsid w:val="002103DA"/>
    <w:rsid w:val="00214854"/>
    <w:rsid w:val="00223F4B"/>
    <w:rsid w:val="00226D5B"/>
    <w:rsid w:val="00230256"/>
    <w:rsid w:val="00232FF7"/>
    <w:rsid w:val="00243323"/>
    <w:rsid w:val="00245235"/>
    <w:rsid w:val="002518C5"/>
    <w:rsid w:val="00266B25"/>
    <w:rsid w:val="0027068E"/>
    <w:rsid w:val="002733A9"/>
    <w:rsid w:val="00273DD3"/>
    <w:rsid w:val="00276163"/>
    <w:rsid w:val="0029519C"/>
    <w:rsid w:val="002E487D"/>
    <w:rsid w:val="002E5FAA"/>
    <w:rsid w:val="002E602E"/>
    <w:rsid w:val="002F2645"/>
    <w:rsid w:val="00303121"/>
    <w:rsid w:val="00312075"/>
    <w:rsid w:val="003153FD"/>
    <w:rsid w:val="00323090"/>
    <w:rsid w:val="00326DC5"/>
    <w:rsid w:val="003373BB"/>
    <w:rsid w:val="00344B06"/>
    <w:rsid w:val="003474BB"/>
    <w:rsid w:val="003511E1"/>
    <w:rsid w:val="00355CAE"/>
    <w:rsid w:val="00361552"/>
    <w:rsid w:val="00373BBF"/>
    <w:rsid w:val="00381EA3"/>
    <w:rsid w:val="00390C4D"/>
    <w:rsid w:val="003944F5"/>
    <w:rsid w:val="00394849"/>
    <w:rsid w:val="003A6642"/>
    <w:rsid w:val="003B1F8C"/>
    <w:rsid w:val="003B21A8"/>
    <w:rsid w:val="003C5AEE"/>
    <w:rsid w:val="003D030C"/>
    <w:rsid w:val="003E4E49"/>
    <w:rsid w:val="003F132E"/>
    <w:rsid w:val="003F2168"/>
    <w:rsid w:val="00402A3A"/>
    <w:rsid w:val="00415A69"/>
    <w:rsid w:val="004323BA"/>
    <w:rsid w:val="004418E1"/>
    <w:rsid w:val="0044366F"/>
    <w:rsid w:val="004467DA"/>
    <w:rsid w:val="00471E8E"/>
    <w:rsid w:val="00477796"/>
    <w:rsid w:val="00485A16"/>
    <w:rsid w:val="00487C28"/>
    <w:rsid w:val="00493C77"/>
    <w:rsid w:val="004A36A0"/>
    <w:rsid w:val="004B005E"/>
    <w:rsid w:val="004B3178"/>
    <w:rsid w:val="004D2D9E"/>
    <w:rsid w:val="004D62BC"/>
    <w:rsid w:val="004E615B"/>
    <w:rsid w:val="004F0402"/>
    <w:rsid w:val="004F15E3"/>
    <w:rsid w:val="005024DF"/>
    <w:rsid w:val="00505592"/>
    <w:rsid w:val="00506B61"/>
    <w:rsid w:val="0051336F"/>
    <w:rsid w:val="0052530C"/>
    <w:rsid w:val="00531250"/>
    <w:rsid w:val="00533731"/>
    <w:rsid w:val="00533F24"/>
    <w:rsid w:val="0055089E"/>
    <w:rsid w:val="005555C1"/>
    <w:rsid w:val="00556477"/>
    <w:rsid w:val="0056186A"/>
    <w:rsid w:val="005659B2"/>
    <w:rsid w:val="00565BAF"/>
    <w:rsid w:val="00570A67"/>
    <w:rsid w:val="0058235C"/>
    <w:rsid w:val="00584FCB"/>
    <w:rsid w:val="00586B08"/>
    <w:rsid w:val="005A01C7"/>
    <w:rsid w:val="005A25AD"/>
    <w:rsid w:val="005A3999"/>
    <w:rsid w:val="005A39A8"/>
    <w:rsid w:val="005A5438"/>
    <w:rsid w:val="005A66EB"/>
    <w:rsid w:val="005B66C6"/>
    <w:rsid w:val="005C1F9A"/>
    <w:rsid w:val="005D3C2B"/>
    <w:rsid w:val="005D4AE3"/>
    <w:rsid w:val="005D71E1"/>
    <w:rsid w:val="005E0F28"/>
    <w:rsid w:val="005E4B5C"/>
    <w:rsid w:val="0060053B"/>
    <w:rsid w:val="006264B1"/>
    <w:rsid w:val="006318B2"/>
    <w:rsid w:val="00642798"/>
    <w:rsid w:val="006451A1"/>
    <w:rsid w:val="00670D0E"/>
    <w:rsid w:val="006902A7"/>
    <w:rsid w:val="00692230"/>
    <w:rsid w:val="006A1993"/>
    <w:rsid w:val="006C2A81"/>
    <w:rsid w:val="006C37FA"/>
    <w:rsid w:val="006C5966"/>
    <w:rsid w:val="006F7680"/>
    <w:rsid w:val="0070657E"/>
    <w:rsid w:val="00723DBC"/>
    <w:rsid w:val="00733433"/>
    <w:rsid w:val="00733864"/>
    <w:rsid w:val="00735465"/>
    <w:rsid w:val="007447C2"/>
    <w:rsid w:val="00752D88"/>
    <w:rsid w:val="007552C2"/>
    <w:rsid w:val="0075749F"/>
    <w:rsid w:val="00757519"/>
    <w:rsid w:val="00765FDD"/>
    <w:rsid w:val="00771C37"/>
    <w:rsid w:val="00772872"/>
    <w:rsid w:val="007846F1"/>
    <w:rsid w:val="0078777D"/>
    <w:rsid w:val="0079651F"/>
    <w:rsid w:val="007A7CF6"/>
    <w:rsid w:val="007B1EBC"/>
    <w:rsid w:val="007C28D6"/>
    <w:rsid w:val="007D7638"/>
    <w:rsid w:val="007E1A56"/>
    <w:rsid w:val="007F1C84"/>
    <w:rsid w:val="007F5D5A"/>
    <w:rsid w:val="00820CCD"/>
    <w:rsid w:val="00836AAC"/>
    <w:rsid w:val="00841998"/>
    <w:rsid w:val="00843F03"/>
    <w:rsid w:val="00847F23"/>
    <w:rsid w:val="00853F4E"/>
    <w:rsid w:val="0085733C"/>
    <w:rsid w:val="00863A15"/>
    <w:rsid w:val="00876949"/>
    <w:rsid w:val="00882CE1"/>
    <w:rsid w:val="00885BC3"/>
    <w:rsid w:val="008A103A"/>
    <w:rsid w:val="008A3899"/>
    <w:rsid w:val="008B181A"/>
    <w:rsid w:val="008B5DE0"/>
    <w:rsid w:val="008C60C6"/>
    <w:rsid w:val="008E2B20"/>
    <w:rsid w:val="008E5328"/>
    <w:rsid w:val="00907C8E"/>
    <w:rsid w:val="00911EE1"/>
    <w:rsid w:val="00914C47"/>
    <w:rsid w:val="00925DFC"/>
    <w:rsid w:val="009471BF"/>
    <w:rsid w:val="00957ECF"/>
    <w:rsid w:val="00977CBB"/>
    <w:rsid w:val="00981FB0"/>
    <w:rsid w:val="00982DE8"/>
    <w:rsid w:val="009854AA"/>
    <w:rsid w:val="00986C97"/>
    <w:rsid w:val="00992FC8"/>
    <w:rsid w:val="009A4F30"/>
    <w:rsid w:val="009D09BF"/>
    <w:rsid w:val="009E0108"/>
    <w:rsid w:val="009E1177"/>
    <w:rsid w:val="009F2416"/>
    <w:rsid w:val="00A10A73"/>
    <w:rsid w:val="00A24F2F"/>
    <w:rsid w:val="00A3045D"/>
    <w:rsid w:val="00A446CD"/>
    <w:rsid w:val="00A44B05"/>
    <w:rsid w:val="00A47A8D"/>
    <w:rsid w:val="00A47D48"/>
    <w:rsid w:val="00A60B4E"/>
    <w:rsid w:val="00A7162E"/>
    <w:rsid w:val="00A71F06"/>
    <w:rsid w:val="00A82A95"/>
    <w:rsid w:val="00A86707"/>
    <w:rsid w:val="00A92FC1"/>
    <w:rsid w:val="00AA347D"/>
    <w:rsid w:val="00AB1D29"/>
    <w:rsid w:val="00AB3A6E"/>
    <w:rsid w:val="00AB5E31"/>
    <w:rsid w:val="00AB72D0"/>
    <w:rsid w:val="00AC1E0B"/>
    <w:rsid w:val="00AE3C24"/>
    <w:rsid w:val="00AF2399"/>
    <w:rsid w:val="00B07977"/>
    <w:rsid w:val="00B1440D"/>
    <w:rsid w:val="00B2487A"/>
    <w:rsid w:val="00B24ECC"/>
    <w:rsid w:val="00B24F9D"/>
    <w:rsid w:val="00B33CC0"/>
    <w:rsid w:val="00B35FFF"/>
    <w:rsid w:val="00B405A1"/>
    <w:rsid w:val="00B51E44"/>
    <w:rsid w:val="00B56E9B"/>
    <w:rsid w:val="00B5710D"/>
    <w:rsid w:val="00B746DE"/>
    <w:rsid w:val="00B76E47"/>
    <w:rsid w:val="00BA1818"/>
    <w:rsid w:val="00BA5ED6"/>
    <w:rsid w:val="00BA5EF0"/>
    <w:rsid w:val="00BB7130"/>
    <w:rsid w:val="00BC0BE1"/>
    <w:rsid w:val="00BC297C"/>
    <w:rsid w:val="00BE0C1B"/>
    <w:rsid w:val="00BE72CE"/>
    <w:rsid w:val="00C159E6"/>
    <w:rsid w:val="00C4120D"/>
    <w:rsid w:val="00C414DE"/>
    <w:rsid w:val="00C44FFC"/>
    <w:rsid w:val="00C45AC9"/>
    <w:rsid w:val="00C54919"/>
    <w:rsid w:val="00C62479"/>
    <w:rsid w:val="00C62AD9"/>
    <w:rsid w:val="00C62F56"/>
    <w:rsid w:val="00C71AF0"/>
    <w:rsid w:val="00C87748"/>
    <w:rsid w:val="00C878E6"/>
    <w:rsid w:val="00C95F5E"/>
    <w:rsid w:val="00CD23E8"/>
    <w:rsid w:val="00CE62E0"/>
    <w:rsid w:val="00D00DDB"/>
    <w:rsid w:val="00D023BA"/>
    <w:rsid w:val="00D03CDD"/>
    <w:rsid w:val="00D14A2F"/>
    <w:rsid w:val="00D442DD"/>
    <w:rsid w:val="00D44BE0"/>
    <w:rsid w:val="00D4612D"/>
    <w:rsid w:val="00D4756B"/>
    <w:rsid w:val="00D56731"/>
    <w:rsid w:val="00D57CB7"/>
    <w:rsid w:val="00D610B4"/>
    <w:rsid w:val="00D91BA1"/>
    <w:rsid w:val="00DB5882"/>
    <w:rsid w:val="00DC1C6B"/>
    <w:rsid w:val="00DD6E1E"/>
    <w:rsid w:val="00DE6B58"/>
    <w:rsid w:val="00DF06F8"/>
    <w:rsid w:val="00DF4BB7"/>
    <w:rsid w:val="00E0127E"/>
    <w:rsid w:val="00E155E9"/>
    <w:rsid w:val="00E20807"/>
    <w:rsid w:val="00E434D8"/>
    <w:rsid w:val="00E43F46"/>
    <w:rsid w:val="00E44B44"/>
    <w:rsid w:val="00E57687"/>
    <w:rsid w:val="00E67CE1"/>
    <w:rsid w:val="00E9676A"/>
    <w:rsid w:val="00EA4C01"/>
    <w:rsid w:val="00EC0AA3"/>
    <w:rsid w:val="00EC137C"/>
    <w:rsid w:val="00ED2DFF"/>
    <w:rsid w:val="00ED49F0"/>
    <w:rsid w:val="00EE1107"/>
    <w:rsid w:val="00EF78FC"/>
    <w:rsid w:val="00F1327D"/>
    <w:rsid w:val="00F25024"/>
    <w:rsid w:val="00F26D20"/>
    <w:rsid w:val="00F43675"/>
    <w:rsid w:val="00F437C4"/>
    <w:rsid w:val="00F43E3F"/>
    <w:rsid w:val="00F44178"/>
    <w:rsid w:val="00F46EF4"/>
    <w:rsid w:val="00F47E93"/>
    <w:rsid w:val="00F51CF1"/>
    <w:rsid w:val="00F63281"/>
    <w:rsid w:val="00F67EA0"/>
    <w:rsid w:val="00F845E8"/>
    <w:rsid w:val="00FA1BA1"/>
    <w:rsid w:val="00FB3E21"/>
    <w:rsid w:val="00FC41C8"/>
    <w:rsid w:val="00FD4FB1"/>
    <w:rsid w:val="00FD72AF"/>
    <w:rsid w:val="00FD738A"/>
    <w:rsid w:val="00FF74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899C2"/>
  <w15:chartTrackingRefBased/>
  <w15:docId w15:val="{514799AE-37D4-46FC-9886-072058C3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5A5438"/>
    <w:pPr>
      <w:spacing w:after="240" w:line="240" w:lineRule="auto"/>
      <w:jc w:val="both"/>
      <w:outlineLvl w:val="0"/>
    </w:pPr>
    <w:rPr>
      <w:rFonts w:ascii="Times New Roman" w:eastAsia="Times New Roman" w:hAnsi="Times New Roman" w:cs="Times New Roman"/>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nhideWhenUsed/>
    <w:qFormat/>
    <w:rsid w:val="005A5438"/>
    <w:pPr>
      <w:widowControl w:val="0"/>
      <w:spacing w:after="240" w:line="240" w:lineRule="auto"/>
      <w:jc w:val="both"/>
      <w:outlineLvl w:val="1"/>
    </w:pPr>
    <w:rPr>
      <w:rFonts w:ascii="Times New Roman" w:eastAsia="Times New Roman" w:hAnsi="Times New Roman" w:cs="Times New Roman"/>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nhideWhenUsed/>
    <w:qFormat/>
    <w:rsid w:val="005A5438"/>
    <w:pPr>
      <w:widowControl w:val="0"/>
      <w:spacing w:after="240" w:line="240" w:lineRule="auto"/>
      <w:jc w:val="both"/>
      <w:outlineLvl w:val="2"/>
    </w:pPr>
    <w:rPr>
      <w:rFonts w:ascii="Times New Roman" w:eastAsia="Times New Roman" w:hAnsi="Times New Roman" w:cs="Times New Roman"/>
    </w:rPr>
  </w:style>
  <w:style w:type="paragraph" w:styleId="Heading4">
    <w:name w:val="heading 4"/>
    <w:aliases w:val="Heading 11,para 4,Título 41,heading 4,Heading 41,标题 41"/>
    <w:basedOn w:val="Normal"/>
    <w:next w:val="Heading9"/>
    <w:link w:val="Heading4Char"/>
    <w:unhideWhenUsed/>
    <w:qFormat/>
    <w:rsid w:val="005A5438"/>
    <w:pPr>
      <w:keepNext/>
      <w:spacing w:before="240" w:after="60" w:line="240" w:lineRule="auto"/>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76949"/>
    <w:pPr>
      <w:tabs>
        <w:tab w:val="num" w:pos="0"/>
      </w:tabs>
      <w:autoSpaceDE w:val="0"/>
      <w:autoSpaceDN w:val="0"/>
      <w:spacing w:before="240" w:after="60" w:line="240" w:lineRule="auto"/>
      <w:ind w:left="3600" w:hanging="720"/>
      <w:outlineLvl w:val="4"/>
    </w:pPr>
    <w:rPr>
      <w:rFonts w:ascii="Times New Roman" w:eastAsia="MS Mincho" w:hAnsi="Times New Roman" w:cs="Times New Roman"/>
      <w:lang w:eastAsia="ja-JP"/>
    </w:rPr>
  </w:style>
  <w:style w:type="paragraph" w:styleId="Heading6">
    <w:name w:val="heading 6"/>
    <w:basedOn w:val="Normal"/>
    <w:next w:val="Normal"/>
    <w:link w:val="Heading6Char"/>
    <w:unhideWhenUsed/>
    <w:qFormat/>
    <w:rsid w:val="005A5438"/>
    <w:pPr>
      <w:spacing w:before="240" w:after="60" w:line="240" w:lineRule="auto"/>
      <w:jc w:val="both"/>
      <w:outlineLvl w:val="5"/>
    </w:pPr>
    <w:rPr>
      <w:rFonts w:ascii="Arial" w:eastAsia="Times New Roman" w:hAnsi="Arial" w:cs="Times New Roman"/>
      <w:i/>
    </w:rPr>
  </w:style>
  <w:style w:type="paragraph" w:styleId="Heading7">
    <w:name w:val="heading 7"/>
    <w:basedOn w:val="Normal"/>
    <w:next w:val="Normal"/>
    <w:link w:val="Heading7Char"/>
    <w:unhideWhenUsed/>
    <w:qFormat/>
    <w:rsid w:val="005A5438"/>
    <w:pPr>
      <w:spacing w:before="240" w:after="60" w:line="240" w:lineRule="auto"/>
      <w:jc w:val="both"/>
      <w:outlineLvl w:val="6"/>
    </w:pPr>
    <w:rPr>
      <w:rFonts w:ascii="Arial" w:eastAsia="Times New Roman" w:hAnsi="Arial" w:cs="Times New Roman"/>
    </w:rPr>
  </w:style>
  <w:style w:type="paragraph" w:styleId="Heading8">
    <w:name w:val="heading 8"/>
    <w:basedOn w:val="Normal"/>
    <w:next w:val="Normal"/>
    <w:link w:val="Heading8Char"/>
    <w:qFormat/>
    <w:rsid w:val="00876949"/>
    <w:pPr>
      <w:tabs>
        <w:tab w:val="num" w:pos="0"/>
      </w:tabs>
      <w:autoSpaceDE w:val="0"/>
      <w:autoSpaceDN w:val="0"/>
      <w:spacing w:before="240" w:after="60" w:line="240" w:lineRule="auto"/>
      <w:ind w:left="5760" w:hanging="720"/>
      <w:outlineLvl w:val="7"/>
    </w:pPr>
    <w:rPr>
      <w:rFonts w:ascii="Arial" w:eastAsia="MS Mincho" w:hAnsi="Arial" w:cs="Arial"/>
      <w:i/>
      <w:iCs/>
      <w:sz w:val="20"/>
      <w:szCs w:val="20"/>
      <w:lang w:eastAsia="ja-JP"/>
    </w:rPr>
  </w:style>
  <w:style w:type="paragraph" w:styleId="Heading9">
    <w:name w:val="heading 9"/>
    <w:basedOn w:val="Normal"/>
    <w:next w:val="Normal"/>
    <w:link w:val="Heading9Char"/>
    <w:unhideWhenUsed/>
    <w:qFormat/>
    <w:rsid w:val="005A5438"/>
    <w:pPr>
      <w:spacing w:before="240" w:after="60" w:line="240" w:lineRule="auto"/>
      <w:jc w:val="both"/>
      <w:outlineLvl w:val="8"/>
    </w:pPr>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locked/>
    <w:rsid w:val="005A5438"/>
    <w:rPr>
      <w:rFonts w:ascii="Times New Roman" w:eastAsia="Times New Roman" w:hAnsi="Times New Roman" w:cs="Times New Roman"/>
      <w:lang w:val="es-E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semiHidden/>
    <w:rsid w:val="005A5438"/>
    <w:rPr>
      <w:rFonts w:ascii="Times New Roman" w:eastAsia="Times New Roman" w:hAnsi="Times New Roman" w:cs="Times New Roman"/>
      <w:lang w:val="es-ES"/>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semiHidden/>
    <w:rsid w:val="005A5438"/>
    <w:rPr>
      <w:rFonts w:ascii="Times New Roman" w:eastAsia="Times New Roman" w:hAnsi="Times New Roman" w:cs="Times New Roman"/>
      <w:lang w:val="es-ES"/>
    </w:rPr>
  </w:style>
  <w:style w:type="character" w:customStyle="1" w:styleId="Heading9Char">
    <w:name w:val="Heading 9 Char"/>
    <w:basedOn w:val="DefaultParagraphFont"/>
    <w:link w:val="Heading9"/>
    <w:semiHidden/>
    <w:rsid w:val="005A5438"/>
    <w:rPr>
      <w:rFonts w:ascii="Arial" w:eastAsia="Times New Roman" w:hAnsi="Arial" w:cs="Times New Roman"/>
      <w:i/>
      <w:sz w:val="18"/>
      <w:lang w:val="es-ES"/>
    </w:rPr>
  </w:style>
  <w:style w:type="character" w:customStyle="1" w:styleId="Heading4Char">
    <w:name w:val="Heading 4 Char"/>
    <w:aliases w:val="Heading 11 Char,para 4 Char,Título 41 Char,heading 4 Char,Heading 41 Char,标题 41 Char"/>
    <w:basedOn w:val="DefaultParagraphFont"/>
    <w:link w:val="Heading4"/>
    <w:semiHidden/>
    <w:rsid w:val="005A5438"/>
    <w:rPr>
      <w:rFonts w:ascii="Times New Roman" w:eastAsia="Times New Roman" w:hAnsi="Times New Roman" w:cs="Times New Roman"/>
      <w:lang w:val="es-ES"/>
    </w:rPr>
  </w:style>
  <w:style w:type="character" w:customStyle="1" w:styleId="Heading5Char">
    <w:name w:val="Heading 5 Char"/>
    <w:basedOn w:val="DefaultParagraphFont"/>
    <w:link w:val="Heading5"/>
    <w:rsid w:val="00876949"/>
    <w:rPr>
      <w:rFonts w:ascii="Times New Roman" w:eastAsia="MS Mincho" w:hAnsi="Times New Roman" w:cs="Times New Roman"/>
      <w:lang w:val="es-ES" w:eastAsia="ja-JP"/>
    </w:rPr>
  </w:style>
  <w:style w:type="character" w:customStyle="1" w:styleId="Heading6Char">
    <w:name w:val="Heading 6 Char"/>
    <w:basedOn w:val="DefaultParagraphFont"/>
    <w:link w:val="Heading6"/>
    <w:semiHidden/>
    <w:rsid w:val="005A5438"/>
    <w:rPr>
      <w:rFonts w:ascii="Arial" w:eastAsia="Times New Roman" w:hAnsi="Arial" w:cs="Times New Roman"/>
      <w:i/>
      <w:lang w:val="es-ES"/>
    </w:rPr>
  </w:style>
  <w:style w:type="character" w:customStyle="1" w:styleId="Heading7Char">
    <w:name w:val="Heading 7 Char"/>
    <w:basedOn w:val="DefaultParagraphFont"/>
    <w:link w:val="Heading7"/>
    <w:semiHidden/>
    <w:rsid w:val="005A5438"/>
    <w:rPr>
      <w:rFonts w:ascii="Arial" w:eastAsia="Times New Roman" w:hAnsi="Arial" w:cs="Times New Roman"/>
      <w:lang w:val="es-ES"/>
    </w:rPr>
  </w:style>
  <w:style w:type="character" w:customStyle="1" w:styleId="Heading8Char">
    <w:name w:val="Heading 8 Char"/>
    <w:basedOn w:val="DefaultParagraphFont"/>
    <w:link w:val="Heading8"/>
    <w:rsid w:val="00876949"/>
    <w:rPr>
      <w:rFonts w:ascii="Arial" w:eastAsia="MS Mincho" w:hAnsi="Arial" w:cs="Arial"/>
      <w:i/>
      <w:iCs/>
      <w:sz w:val="20"/>
      <w:szCs w:val="20"/>
      <w:lang w:val="es-ES" w:eastAsia="ja-JP"/>
    </w:rPr>
  </w:style>
  <w:style w:type="character" w:customStyle="1" w:styleId="Heading1Char">
    <w:name w:val="Heading 1 Char"/>
    <w:basedOn w:val="DefaultParagraphFont"/>
    <w:uiPriority w:val="9"/>
    <w:rsid w:val="005A5438"/>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5A5438"/>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438"/>
    <w:pPr>
      <w:ind w:left="720"/>
      <w:contextualSpacing/>
    </w:pPr>
  </w:style>
  <w:style w:type="paragraph" w:styleId="BodyTextIndent">
    <w:name w:val="Body Text Indent"/>
    <w:basedOn w:val="Normal"/>
    <w:link w:val="BodyTextIndentChar"/>
    <w:unhideWhenUsed/>
    <w:rsid w:val="00506B61"/>
    <w:pPr>
      <w:autoSpaceDE w:val="0"/>
      <w:autoSpaceDN w:val="0"/>
      <w:spacing w:after="0" w:line="240" w:lineRule="auto"/>
      <w:ind w:left="720"/>
    </w:pPr>
    <w:rPr>
      <w:rFonts w:ascii="Times New Roman" w:eastAsia="MS Mincho" w:hAnsi="Times New Roman" w:cs="Times New Roman"/>
      <w:sz w:val="24"/>
      <w:szCs w:val="24"/>
      <w:lang w:eastAsia="ja-JP"/>
    </w:rPr>
  </w:style>
  <w:style w:type="character" w:customStyle="1" w:styleId="BodyTextIndentChar">
    <w:name w:val="Body Text Indent Char"/>
    <w:basedOn w:val="DefaultParagraphFont"/>
    <w:link w:val="BodyTextIndent"/>
    <w:semiHidden/>
    <w:rsid w:val="00506B61"/>
    <w:rPr>
      <w:rFonts w:ascii="Times New Roman" w:eastAsia="MS Mincho" w:hAnsi="Times New Roman" w:cs="Times New Roman"/>
      <w:sz w:val="24"/>
      <w:szCs w:val="24"/>
      <w:lang w:val="es-ES" w:eastAsia="ja-JP"/>
    </w:rPr>
  </w:style>
  <w:style w:type="paragraph" w:customStyle="1" w:styleId="t0heading6">
    <w:name w:val="t0 heading 6"/>
    <w:basedOn w:val="Normal"/>
    <w:rsid w:val="00876949"/>
    <w:pPr>
      <w:tabs>
        <w:tab w:val="num" w:pos="0"/>
      </w:tabs>
      <w:autoSpaceDE w:val="0"/>
      <w:autoSpaceDN w:val="0"/>
      <w:spacing w:before="240" w:after="60" w:line="240" w:lineRule="auto"/>
      <w:ind w:left="4320" w:hanging="720"/>
    </w:pPr>
    <w:rPr>
      <w:rFonts w:ascii="Times New Roman" w:eastAsia="MS Mincho" w:hAnsi="Times New Roman" w:cs="Times New Roman"/>
      <w:i/>
      <w:iCs/>
      <w:lang w:eastAsia="ja-JP"/>
    </w:rPr>
  </w:style>
  <w:style w:type="paragraph" w:styleId="FootnoteText">
    <w:name w:val="footnote text"/>
    <w:aliases w:val="Char1,Char1 Char Char, Char1, Char1 Char Char,Fußnotentextf"/>
    <w:basedOn w:val="Normal"/>
    <w:link w:val="FootnoteTextChar"/>
    <w:uiPriority w:val="99"/>
    <w:qFormat/>
    <w:rsid w:val="000F3F4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0F3F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CD"/>
    <w:rPr>
      <w:rFonts w:ascii="Segoe UI" w:hAnsi="Segoe UI" w:cs="Segoe UI"/>
      <w:sz w:val="18"/>
      <w:szCs w:val="18"/>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link w:val="CharCharCharCharCarChar"/>
    <w:qFormat/>
    <w:rsid w:val="00A446CD"/>
    <w:rPr>
      <w:vertAlign w:val="superscript"/>
    </w:rPr>
  </w:style>
  <w:style w:type="paragraph" w:styleId="Header">
    <w:name w:val="header"/>
    <w:basedOn w:val="Normal"/>
    <w:link w:val="HeaderChar"/>
    <w:unhideWhenUsed/>
    <w:rsid w:val="006451A1"/>
    <w:pPr>
      <w:tabs>
        <w:tab w:val="center" w:pos="4680"/>
        <w:tab w:val="right" w:pos="9360"/>
      </w:tabs>
      <w:spacing w:after="0" w:line="240" w:lineRule="auto"/>
    </w:pPr>
  </w:style>
  <w:style w:type="character" w:customStyle="1" w:styleId="HeaderChar">
    <w:name w:val="Header Char"/>
    <w:basedOn w:val="DefaultParagraphFont"/>
    <w:link w:val="Header"/>
    <w:rsid w:val="006451A1"/>
  </w:style>
  <w:style w:type="paragraph" w:styleId="Footer">
    <w:name w:val="footer"/>
    <w:basedOn w:val="Normal"/>
    <w:link w:val="FooterChar"/>
    <w:uiPriority w:val="99"/>
    <w:unhideWhenUsed/>
    <w:rsid w:val="0064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A1"/>
  </w:style>
  <w:style w:type="character" w:styleId="CommentReference">
    <w:name w:val="annotation reference"/>
    <w:basedOn w:val="DefaultParagraphFont"/>
    <w:uiPriority w:val="99"/>
    <w:semiHidden/>
    <w:unhideWhenUsed/>
    <w:rsid w:val="00273DD3"/>
    <w:rPr>
      <w:sz w:val="16"/>
      <w:szCs w:val="16"/>
    </w:rPr>
  </w:style>
  <w:style w:type="paragraph" w:styleId="CommentText">
    <w:name w:val="annotation text"/>
    <w:basedOn w:val="Normal"/>
    <w:link w:val="CommentTextChar"/>
    <w:uiPriority w:val="99"/>
    <w:semiHidden/>
    <w:unhideWhenUsed/>
    <w:rsid w:val="00273DD3"/>
    <w:pPr>
      <w:spacing w:line="240" w:lineRule="auto"/>
    </w:pPr>
    <w:rPr>
      <w:sz w:val="20"/>
      <w:szCs w:val="20"/>
    </w:rPr>
  </w:style>
  <w:style w:type="character" w:customStyle="1" w:styleId="CommentTextChar">
    <w:name w:val="Comment Text Char"/>
    <w:basedOn w:val="DefaultParagraphFont"/>
    <w:link w:val="CommentText"/>
    <w:uiPriority w:val="99"/>
    <w:semiHidden/>
    <w:rsid w:val="00273DD3"/>
    <w:rPr>
      <w:sz w:val="20"/>
      <w:szCs w:val="20"/>
    </w:rPr>
  </w:style>
  <w:style w:type="paragraph" w:styleId="CommentSubject">
    <w:name w:val="annotation subject"/>
    <w:basedOn w:val="CommentText"/>
    <w:next w:val="CommentText"/>
    <w:link w:val="CommentSubjectChar"/>
    <w:uiPriority w:val="99"/>
    <w:semiHidden/>
    <w:unhideWhenUsed/>
    <w:rsid w:val="00273DD3"/>
    <w:rPr>
      <w:b/>
      <w:bCs/>
    </w:rPr>
  </w:style>
  <w:style w:type="character" w:customStyle="1" w:styleId="CommentSubjectChar">
    <w:name w:val="Comment Subject Char"/>
    <w:basedOn w:val="CommentTextChar"/>
    <w:link w:val="CommentSubject"/>
    <w:uiPriority w:val="99"/>
    <w:semiHidden/>
    <w:rsid w:val="00273DD3"/>
    <w:rPr>
      <w:b/>
      <w:bCs/>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5A66EB"/>
    <w:pPr>
      <w:spacing w:line="240" w:lineRule="exact"/>
      <w:jc w:val="both"/>
    </w:pPr>
    <w:rPr>
      <w:vertAlign w:val="superscript"/>
    </w:rPr>
  </w:style>
  <w:style w:type="paragraph" w:styleId="EndnoteText">
    <w:name w:val="endnote text"/>
    <w:basedOn w:val="Normal"/>
    <w:link w:val="EndnoteTextChar"/>
    <w:uiPriority w:val="99"/>
    <w:semiHidden/>
    <w:unhideWhenUsed/>
    <w:rsid w:val="003F21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68"/>
    <w:rPr>
      <w:sz w:val="20"/>
      <w:szCs w:val="20"/>
    </w:rPr>
  </w:style>
  <w:style w:type="character" w:styleId="EndnoteReference">
    <w:name w:val="endnote reference"/>
    <w:basedOn w:val="DefaultParagraphFont"/>
    <w:uiPriority w:val="99"/>
    <w:semiHidden/>
    <w:unhideWhenUsed/>
    <w:rsid w:val="003F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997">
      <w:bodyDiv w:val="1"/>
      <w:marLeft w:val="0"/>
      <w:marRight w:val="0"/>
      <w:marTop w:val="0"/>
      <w:marBottom w:val="0"/>
      <w:divBdr>
        <w:top w:val="none" w:sz="0" w:space="0" w:color="auto"/>
        <w:left w:val="none" w:sz="0" w:space="0" w:color="auto"/>
        <w:bottom w:val="none" w:sz="0" w:space="0" w:color="auto"/>
        <w:right w:val="none" w:sz="0" w:space="0" w:color="auto"/>
      </w:divBdr>
    </w:div>
    <w:div w:id="124353335">
      <w:bodyDiv w:val="1"/>
      <w:marLeft w:val="0"/>
      <w:marRight w:val="0"/>
      <w:marTop w:val="0"/>
      <w:marBottom w:val="0"/>
      <w:divBdr>
        <w:top w:val="none" w:sz="0" w:space="0" w:color="auto"/>
        <w:left w:val="none" w:sz="0" w:space="0" w:color="auto"/>
        <w:bottom w:val="none" w:sz="0" w:space="0" w:color="auto"/>
        <w:right w:val="none" w:sz="0" w:space="0" w:color="auto"/>
      </w:divBdr>
    </w:div>
    <w:div w:id="178811825">
      <w:bodyDiv w:val="1"/>
      <w:marLeft w:val="0"/>
      <w:marRight w:val="0"/>
      <w:marTop w:val="0"/>
      <w:marBottom w:val="0"/>
      <w:divBdr>
        <w:top w:val="none" w:sz="0" w:space="0" w:color="auto"/>
        <w:left w:val="none" w:sz="0" w:space="0" w:color="auto"/>
        <w:bottom w:val="none" w:sz="0" w:space="0" w:color="auto"/>
        <w:right w:val="none" w:sz="0" w:space="0" w:color="auto"/>
      </w:divBdr>
    </w:div>
    <w:div w:id="275333073">
      <w:bodyDiv w:val="1"/>
      <w:marLeft w:val="0"/>
      <w:marRight w:val="0"/>
      <w:marTop w:val="0"/>
      <w:marBottom w:val="0"/>
      <w:divBdr>
        <w:top w:val="none" w:sz="0" w:space="0" w:color="auto"/>
        <w:left w:val="none" w:sz="0" w:space="0" w:color="auto"/>
        <w:bottom w:val="none" w:sz="0" w:space="0" w:color="auto"/>
        <w:right w:val="none" w:sz="0" w:space="0" w:color="auto"/>
      </w:divBdr>
    </w:div>
    <w:div w:id="405032818">
      <w:bodyDiv w:val="1"/>
      <w:marLeft w:val="0"/>
      <w:marRight w:val="0"/>
      <w:marTop w:val="0"/>
      <w:marBottom w:val="0"/>
      <w:divBdr>
        <w:top w:val="none" w:sz="0" w:space="0" w:color="auto"/>
        <w:left w:val="none" w:sz="0" w:space="0" w:color="auto"/>
        <w:bottom w:val="none" w:sz="0" w:space="0" w:color="auto"/>
        <w:right w:val="none" w:sz="0" w:space="0" w:color="auto"/>
      </w:divBdr>
    </w:div>
    <w:div w:id="566644804">
      <w:bodyDiv w:val="1"/>
      <w:marLeft w:val="0"/>
      <w:marRight w:val="0"/>
      <w:marTop w:val="0"/>
      <w:marBottom w:val="0"/>
      <w:divBdr>
        <w:top w:val="none" w:sz="0" w:space="0" w:color="auto"/>
        <w:left w:val="none" w:sz="0" w:space="0" w:color="auto"/>
        <w:bottom w:val="none" w:sz="0" w:space="0" w:color="auto"/>
        <w:right w:val="none" w:sz="0" w:space="0" w:color="auto"/>
      </w:divBdr>
    </w:div>
    <w:div w:id="623384635">
      <w:bodyDiv w:val="1"/>
      <w:marLeft w:val="0"/>
      <w:marRight w:val="0"/>
      <w:marTop w:val="0"/>
      <w:marBottom w:val="0"/>
      <w:divBdr>
        <w:top w:val="none" w:sz="0" w:space="0" w:color="auto"/>
        <w:left w:val="none" w:sz="0" w:space="0" w:color="auto"/>
        <w:bottom w:val="none" w:sz="0" w:space="0" w:color="auto"/>
        <w:right w:val="none" w:sz="0" w:space="0" w:color="auto"/>
      </w:divBdr>
    </w:div>
    <w:div w:id="645746683">
      <w:bodyDiv w:val="1"/>
      <w:marLeft w:val="0"/>
      <w:marRight w:val="0"/>
      <w:marTop w:val="0"/>
      <w:marBottom w:val="0"/>
      <w:divBdr>
        <w:top w:val="none" w:sz="0" w:space="0" w:color="auto"/>
        <w:left w:val="none" w:sz="0" w:space="0" w:color="auto"/>
        <w:bottom w:val="none" w:sz="0" w:space="0" w:color="auto"/>
        <w:right w:val="none" w:sz="0" w:space="0" w:color="auto"/>
      </w:divBdr>
    </w:div>
    <w:div w:id="757946067">
      <w:bodyDiv w:val="1"/>
      <w:marLeft w:val="0"/>
      <w:marRight w:val="0"/>
      <w:marTop w:val="0"/>
      <w:marBottom w:val="0"/>
      <w:divBdr>
        <w:top w:val="none" w:sz="0" w:space="0" w:color="auto"/>
        <w:left w:val="none" w:sz="0" w:space="0" w:color="auto"/>
        <w:bottom w:val="none" w:sz="0" w:space="0" w:color="auto"/>
        <w:right w:val="none" w:sz="0" w:space="0" w:color="auto"/>
      </w:divBdr>
    </w:div>
    <w:div w:id="845637078">
      <w:bodyDiv w:val="1"/>
      <w:marLeft w:val="0"/>
      <w:marRight w:val="0"/>
      <w:marTop w:val="0"/>
      <w:marBottom w:val="0"/>
      <w:divBdr>
        <w:top w:val="none" w:sz="0" w:space="0" w:color="auto"/>
        <w:left w:val="none" w:sz="0" w:space="0" w:color="auto"/>
        <w:bottom w:val="none" w:sz="0" w:space="0" w:color="auto"/>
        <w:right w:val="none" w:sz="0" w:space="0" w:color="auto"/>
      </w:divBdr>
    </w:div>
    <w:div w:id="1067533027">
      <w:bodyDiv w:val="1"/>
      <w:marLeft w:val="0"/>
      <w:marRight w:val="0"/>
      <w:marTop w:val="0"/>
      <w:marBottom w:val="0"/>
      <w:divBdr>
        <w:top w:val="none" w:sz="0" w:space="0" w:color="auto"/>
        <w:left w:val="none" w:sz="0" w:space="0" w:color="auto"/>
        <w:bottom w:val="none" w:sz="0" w:space="0" w:color="auto"/>
        <w:right w:val="none" w:sz="0" w:space="0" w:color="auto"/>
      </w:divBdr>
    </w:div>
    <w:div w:id="1072393613">
      <w:bodyDiv w:val="1"/>
      <w:marLeft w:val="0"/>
      <w:marRight w:val="0"/>
      <w:marTop w:val="0"/>
      <w:marBottom w:val="0"/>
      <w:divBdr>
        <w:top w:val="none" w:sz="0" w:space="0" w:color="auto"/>
        <w:left w:val="none" w:sz="0" w:space="0" w:color="auto"/>
        <w:bottom w:val="none" w:sz="0" w:space="0" w:color="auto"/>
        <w:right w:val="none" w:sz="0" w:space="0" w:color="auto"/>
      </w:divBdr>
    </w:div>
    <w:div w:id="1141968092">
      <w:bodyDiv w:val="1"/>
      <w:marLeft w:val="0"/>
      <w:marRight w:val="0"/>
      <w:marTop w:val="0"/>
      <w:marBottom w:val="0"/>
      <w:divBdr>
        <w:top w:val="none" w:sz="0" w:space="0" w:color="auto"/>
        <w:left w:val="none" w:sz="0" w:space="0" w:color="auto"/>
        <w:bottom w:val="none" w:sz="0" w:space="0" w:color="auto"/>
        <w:right w:val="none" w:sz="0" w:space="0" w:color="auto"/>
      </w:divBdr>
    </w:div>
    <w:div w:id="1250231616">
      <w:bodyDiv w:val="1"/>
      <w:marLeft w:val="0"/>
      <w:marRight w:val="0"/>
      <w:marTop w:val="0"/>
      <w:marBottom w:val="0"/>
      <w:divBdr>
        <w:top w:val="none" w:sz="0" w:space="0" w:color="auto"/>
        <w:left w:val="none" w:sz="0" w:space="0" w:color="auto"/>
        <w:bottom w:val="none" w:sz="0" w:space="0" w:color="auto"/>
        <w:right w:val="none" w:sz="0" w:space="0" w:color="auto"/>
      </w:divBdr>
    </w:div>
    <w:div w:id="1255163216">
      <w:bodyDiv w:val="1"/>
      <w:marLeft w:val="0"/>
      <w:marRight w:val="0"/>
      <w:marTop w:val="0"/>
      <w:marBottom w:val="0"/>
      <w:divBdr>
        <w:top w:val="none" w:sz="0" w:space="0" w:color="auto"/>
        <w:left w:val="none" w:sz="0" w:space="0" w:color="auto"/>
        <w:bottom w:val="none" w:sz="0" w:space="0" w:color="auto"/>
        <w:right w:val="none" w:sz="0" w:space="0" w:color="auto"/>
      </w:divBdr>
    </w:div>
    <w:div w:id="1331370610">
      <w:bodyDiv w:val="1"/>
      <w:marLeft w:val="0"/>
      <w:marRight w:val="0"/>
      <w:marTop w:val="0"/>
      <w:marBottom w:val="0"/>
      <w:divBdr>
        <w:top w:val="none" w:sz="0" w:space="0" w:color="auto"/>
        <w:left w:val="none" w:sz="0" w:space="0" w:color="auto"/>
        <w:bottom w:val="none" w:sz="0" w:space="0" w:color="auto"/>
        <w:right w:val="none" w:sz="0" w:space="0" w:color="auto"/>
      </w:divBdr>
    </w:div>
    <w:div w:id="1380201265">
      <w:bodyDiv w:val="1"/>
      <w:marLeft w:val="0"/>
      <w:marRight w:val="0"/>
      <w:marTop w:val="0"/>
      <w:marBottom w:val="0"/>
      <w:divBdr>
        <w:top w:val="none" w:sz="0" w:space="0" w:color="auto"/>
        <w:left w:val="none" w:sz="0" w:space="0" w:color="auto"/>
        <w:bottom w:val="none" w:sz="0" w:space="0" w:color="auto"/>
        <w:right w:val="none" w:sz="0" w:space="0" w:color="auto"/>
      </w:divBdr>
    </w:div>
    <w:div w:id="1478492277">
      <w:bodyDiv w:val="1"/>
      <w:marLeft w:val="0"/>
      <w:marRight w:val="0"/>
      <w:marTop w:val="0"/>
      <w:marBottom w:val="0"/>
      <w:divBdr>
        <w:top w:val="none" w:sz="0" w:space="0" w:color="auto"/>
        <w:left w:val="none" w:sz="0" w:space="0" w:color="auto"/>
        <w:bottom w:val="none" w:sz="0" w:space="0" w:color="auto"/>
        <w:right w:val="none" w:sz="0" w:space="0" w:color="auto"/>
      </w:divBdr>
    </w:div>
    <w:div w:id="1526401236">
      <w:bodyDiv w:val="1"/>
      <w:marLeft w:val="0"/>
      <w:marRight w:val="0"/>
      <w:marTop w:val="0"/>
      <w:marBottom w:val="0"/>
      <w:divBdr>
        <w:top w:val="none" w:sz="0" w:space="0" w:color="auto"/>
        <w:left w:val="none" w:sz="0" w:space="0" w:color="auto"/>
        <w:bottom w:val="none" w:sz="0" w:space="0" w:color="auto"/>
        <w:right w:val="none" w:sz="0" w:space="0" w:color="auto"/>
      </w:divBdr>
    </w:div>
    <w:div w:id="1870802970">
      <w:bodyDiv w:val="1"/>
      <w:marLeft w:val="0"/>
      <w:marRight w:val="0"/>
      <w:marTop w:val="0"/>
      <w:marBottom w:val="0"/>
      <w:divBdr>
        <w:top w:val="none" w:sz="0" w:space="0" w:color="auto"/>
        <w:left w:val="none" w:sz="0" w:space="0" w:color="auto"/>
        <w:bottom w:val="none" w:sz="0" w:space="0" w:color="auto"/>
        <w:right w:val="none" w:sz="0" w:space="0" w:color="auto"/>
      </w:divBdr>
    </w:div>
    <w:div w:id="1958831807">
      <w:bodyDiv w:val="1"/>
      <w:marLeft w:val="0"/>
      <w:marRight w:val="0"/>
      <w:marTop w:val="0"/>
      <w:marBottom w:val="0"/>
      <w:divBdr>
        <w:top w:val="none" w:sz="0" w:space="0" w:color="auto"/>
        <w:left w:val="none" w:sz="0" w:space="0" w:color="auto"/>
        <w:bottom w:val="none" w:sz="0" w:space="0" w:color="auto"/>
        <w:right w:val="none" w:sz="0" w:space="0" w:color="auto"/>
      </w:divBdr>
    </w:div>
    <w:div w:id="20807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B77AFE16D349419517D33F98E10EEB" ma:contentTypeVersion="1" ma:contentTypeDescription="Create a new document." ma:contentTypeScope="" ma:versionID="756213ba7653f8c58388880a5239d17d">
  <xsd:schema xmlns:xsd="http://www.w3.org/2001/XMLSchema" xmlns:p="http://schemas.microsoft.com/office/2006/metadata/properties" xmlns:ns2="c0de293a-6bd5-4e35-987e-3ca24a398ac7" targetNamespace="http://schemas.microsoft.com/office/2006/metadata/properties" ma:root="true" ma:fieldsID="c76e5d68af81ba7eab8767bb67f291fb" ns2:_="">
    <xsd:import namespace="c0de293a-6bd5-4e35-987e-3ca24a398ac7"/>
    <xsd:element name="properties">
      <xsd:complexType>
        <xsd:sequence>
          <xsd:element name="documentManagement">
            <xsd:complexType>
              <xsd:all>
                <xsd:element ref="ns2:Sort_x0020_number" minOccurs="0"/>
              </xsd:all>
            </xsd:complexType>
          </xsd:element>
        </xsd:sequence>
      </xsd:complexType>
    </xsd:element>
  </xsd:schema>
  <xsd:schema xmlns:xsd="http://www.w3.org/2001/XMLSchema" xmlns:dms="http://schemas.microsoft.com/office/2006/documentManagement/types" targetNamespace="c0de293a-6bd5-4e35-987e-3ca24a398ac7" elementFormDefault="qualified">
    <xsd:import namespace="http://schemas.microsoft.com/office/2006/documentManagement/types"/>
    <xsd:element name="Sort_x0020_number" ma:index="8" nillable="true" ma:displayName="Sort number" ma:internalName="Sort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_x0020_number xmlns="c0de293a-6bd5-4e35-987e-3ca24a398ac7">23</Sort_x0020_number>
  </documentManagement>
</p:properties>
</file>

<file path=customXml/itemProps1.xml><?xml version="1.0" encoding="utf-8"?>
<ds:datastoreItem xmlns:ds="http://schemas.openxmlformats.org/officeDocument/2006/customXml" ds:itemID="{E5F514BD-E50C-4D7C-8A07-6D04EF59D701}"/>
</file>

<file path=customXml/itemProps2.xml><?xml version="1.0" encoding="utf-8"?>
<ds:datastoreItem xmlns:ds="http://schemas.openxmlformats.org/officeDocument/2006/customXml" ds:itemID="{DB9E1F49-F66D-4ECB-8C03-59F7E6901C9E}"/>
</file>

<file path=customXml/itemProps3.xml><?xml version="1.0" encoding="utf-8"?>
<ds:datastoreItem xmlns:ds="http://schemas.openxmlformats.org/officeDocument/2006/customXml" ds:itemID="{162A4F10-5190-4C0F-80C5-7AAF9BFDC02B}"/>
</file>

<file path=customXml/itemProps4.xml><?xml version="1.0" encoding="utf-8"?>
<ds:datastoreItem xmlns:ds="http://schemas.openxmlformats.org/officeDocument/2006/customXml" ds:itemID="{1B5BCCE4-B77E-4226-9276-B2F4BF0012B5}"/>
</file>

<file path=docProps/app.xml><?xml version="1.0" encoding="utf-8"?>
<Properties xmlns="http://schemas.openxmlformats.org/officeDocument/2006/extended-properties" xmlns:vt="http://schemas.openxmlformats.org/officeDocument/2006/docPropsVTypes">
  <Template>Normal</Template>
  <TotalTime>136</TotalTime>
  <Pages>12</Pages>
  <Words>3768</Words>
  <Characters>21482</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CP data reporting Guide for the years 2019 to 2022</dc:title>
  <dc:subject/>
  <dc:creator>Laura Duong</dc:creator>
  <cp:keywords/>
  <dc:description/>
  <cp:lastModifiedBy>Muriel Aguiar</cp:lastModifiedBy>
  <cp:revision>27</cp:revision>
  <cp:lastPrinted>2019-11-21T17:05:00Z</cp:lastPrinted>
  <dcterms:created xsi:type="dcterms:W3CDTF">2020-01-18T12:49:00Z</dcterms:created>
  <dcterms:modified xsi:type="dcterms:W3CDTF">2022-09-19T22:18:00Z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UNEP/OzL.Pro/ExCom/84/75</vt:lpwstr>
  </property>
  <property fmtid="{D5CDD505-2E9C-101B-9397-08002B2CF9AE}" pid="3" name="ContentTypeId">
    <vt:lpwstr>0x0101002EB77AFE16D349419517D33F98E10EEB</vt:lpwstr>
  </property>
</Properties>
</file>