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E4574B" w:rsidRPr="00B64779" w:rsidRDefault="00E4574B">
            <w:pPr>
              <w:bidi w:val="0"/>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9FFAD33" w14:textId="77777777" w:rsidR="00E4574B" w:rsidRDefault="00E4574B">
            <w:pPr>
              <w:pStyle w:val="Heading3"/>
              <w:numPr>
                <w:ilvl w:val="0"/>
                <w:numId w:val="0"/>
              </w:numPr>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E4574B" w:rsidRPr="009E4D1E" w:rsidRDefault="00E4574B" w:rsidP="0084173D">
            <w:pPr>
              <w:bidi w:val="0"/>
              <w:jc w:val="left"/>
              <w:rPr>
                <w:lang w:val="en-US"/>
              </w:rPr>
            </w:pPr>
            <w:r w:rsidRPr="009E4D1E">
              <w:rPr>
                <w:sz w:val="24"/>
                <w:szCs w:val="24"/>
                <w:lang w:val="en-US"/>
              </w:rPr>
              <w:t>Distr.</w:t>
            </w:r>
          </w:p>
          <w:p w14:paraId="643F22F5" w14:textId="6BF4E5B7" w:rsidR="00E4574B" w:rsidRPr="009E4D1E" w:rsidRDefault="00E4574B" w:rsidP="0084173D">
            <w:pPr>
              <w:bidi w:val="0"/>
              <w:jc w:val="left"/>
              <w:rPr>
                <w:lang w:val="en-US"/>
              </w:rPr>
            </w:pPr>
            <w:r w:rsidRPr="009E4D1E">
              <w:rPr>
                <w:sz w:val="24"/>
                <w:szCs w:val="24"/>
                <w:lang w:val="en-US"/>
              </w:rPr>
              <w:t>GENERAL</w:t>
            </w:r>
          </w:p>
          <w:p w14:paraId="652CFA5A" w14:textId="77777777" w:rsidR="00E4574B" w:rsidRPr="009E4D1E" w:rsidRDefault="00E4574B" w:rsidP="0084173D">
            <w:pPr>
              <w:bidi w:val="0"/>
              <w:jc w:val="left"/>
              <w:rPr>
                <w:lang w:val="en-US"/>
              </w:rPr>
            </w:pPr>
          </w:p>
          <w:p w14:paraId="749C9AA5" w14:textId="1C1F6D74" w:rsidR="00E4574B" w:rsidRPr="009E4D1E" w:rsidRDefault="00E4574B" w:rsidP="00393115">
            <w:pPr>
              <w:bidi w:val="0"/>
              <w:rPr>
                <w:szCs w:val="24"/>
                <w:rtl/>
              </w:rPr>
            </w:pPr>
            <w:r w:rsidRPr="009E4D1E">
              <w:rPr>
                <w:sz w:val="24"/>
                <w:szCs w:val="24"/>
              </w:rPr>
              <w:fldChar w:fldCharType="begin"/>
            </w:r>
            <w:r w:rsidRPr="009E4D1E">
              <w:rPr>
                <w:sz w:val="24"/>
                <w:szCs w:val="24"/>
              </w:rPr>
              <w:instrText xml:space="preserve"> DOCPROPERTY "Document number"  \* MERGEFORMAT </w:instrText>
            </w:r>
            <w:r w:rsidRPr="009E4D1E">
              <w:rPr>
                <w:sz w:val="24"/>
                <w:szCs w:val="24"/>
              </w:rPr>
              <w:fldChar w:fldCharType="separate"/>
            </w:r>
            <w:r w:rsidRPr="009E4D1E">
              <w:rPr>
                <w:sz w:val="24"/>
                <w:szCs w:val="24"/>
              </w:rPr>
              <w:t>UNEP/OzL.Pro/ExCom/99/69</w:t>
            </w:r>
            <w:r w:rsidRPr="009E4D1E">
              <w:rPr>
                <w:sz w:val="24"/>
                <w:szCs w:val="24"/>
              </w:rPr>
              <w:fldChar w:fldCharType="end"/>
            </w:r>
          </w:p>
          <w:p w14:paraId="0515BE62" w14:textId="42034328" w:rsidR="00E4574B" w:rsidRPr="009E4D1E" w:rsidRDefault="00E4574B" w:rsidP="008B7BCA">
            <w:pPr>
              <w:bidi w:val="0"/>
              <w:rPr>
                <w:szCs w:val="24"/>
              </w:rPr>
            </w:pPr>
            <w:r w:rsidRPr="009E4D1E">
              <w:rPr>
                <w:sz w:val="24"/>
                <w:szCs w:val="24"/>
              </w:rPr>
              <w:fldChar w:fldCharType="begin"/>
            </w:r>
            <w:r w:rsidRPr="009E4D1E">
              <w:rPr>
                <w:sz w:val="24"/>
                <w:szCs w:val="24"/>
              </w:rPr>
              <w:instrText xml:space="preserve"> DOCPROPERTY "Revision date" \@ "d MMMM YYYY"  \* MERGEFORMAT </w:instrText>
            </w:r>
            <w:r w:rsidRPr="009E4D1E">
              <w:rPr>
                <w:sz w:val="24"/>
                <w:szCs w:val="24"/>
              </w:rPr>
              <w:fldChar w:fldCharType="separate"/>
            </w:r>
            <w:r w:rsidRPr="009E4D1E">
              <w:rPr>
                <w:sz w:val="24"/>
                <w:szCs w:val="24"/>
              </w:rPr>
              <w:t>27 October 2026</w:t>
            </w:r>
            <w:r w:rsidRPr="009E4D1E">
              <w:rPr>
                <w:sz w:val="24"/>
                <w:szCs w:val="24"/>
              </w:rPr>
              <w:fldChar w:fldCharType="end"/>
            </w:r>
          </w:p>
          <w:p w14:paraId="00927200" w14:textId="77777777" w:rsidR="00E4574B" w:rsidRPr="009E4D1E" w:rsidRDefault="00E4574B" w:rsidP="0084173D">
            <w:pPr>
              <w:bidi w:val="0"/>
              <w:jc w:val="left"/>
              <w:rPr>
                <w:rtl/>
                <w:lang w:val="en-US"/>
              </w:rPr>
            </w:pPr>
          </w:p>
          <w:p w14:paraId="2F8B166D" w14:textId="77777777" w:rsidR="00E4574B" w:rsidRPr="009E4D1E" w:rsidRDefault="00E4574B" w:rsidP="0084173D">
            <w:pPr>
              <w:bidi w:val="0"/>
              <w:jc w:val="left"/>
              <w:rPr>
                <w:lang w:val="en-US"/>
              </w:rPr>
            </w:pPr>
            <w:r w:rsidRPr="009E4D1E">
              <w:rPr>
                <w:sz w:val="24"/>
                <w:szCs w:val="24"/>
                <w:lang w:val="en-US"/>
              </w:rPr>
              <w:t>ARABIC</w:t>
            </w:r>
          </w:p>
          <w:p w14:paraId="05E8189C" w14:textId="77777777" w:rsidR="00E4574B" w:rsidRDefault="00E4574B" w:rsidP="0084173D">
            <w:pPr>
              <w:bidi w:val="0"/>
              <w:jc w:val="left"/>
              <w:rPr>
                <w:lang w:val="en-US"/>
              </w:rPr>
            </w:pPr>
            <w:r w:rsidRPr="009E4D1E">
              <w:rPr>
                <w:sz w:val="24"/>
                <w:szCs w:val="24"/>
                <w:lang w:val="en-US"/>
              </w:rPr>
              <w:t>ORIGINAL: ENGLISH</w:t>
            </w:r>
          </w:p>
        </w:tc>
        <w:tc>
          <w:tcPr>
            <w:tcW w:w="3402" w:type="dxa"/>
            <w:gridSpan w:val="2"/>
            <w:tcBorders>
              <w:top w:val="nil"/>
              <w:left w:val="nil"/>
              <w:bottom w:val="single" w:sz="36" w:space="0" w:color="auto"/>
              <w:right w:val="nil"/>
            </w:tcBorders>
          </w:tcPr>
          <w:p w14:paraId="3404D750" w14:textId="77777777" w:rsidR="00E4574B" w:rsidRDefault="00E4574B">
            <w:pPr>
              <w:pStyle w:val="Heading4"/>
              <w:numPr>
                <w:ilvl w:val="0"/>
                <w:numId w:val="0"/>
              </w:numPr>
              <w:bidi w:val="0"/>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E4574B" w:rsidRDefault="00E4574B">
            <w:pPr>
              <w:pStyle w:val="Heading4"/>
              <w:numPr>
                <w:ilvl w:val="0"/>
                <w:numId w:val="0"/>
              </w:numPr>
              <w:bidi w:val="0"/>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E4574B" w:rsidRDefault="00E4574B" w:rsidP="009A5140">
            <w:pPr>
              <w:pStyle w:val="Heading4"/>
              <w:numPr>
                <w:ilvl w:val="0"/>
                <w:numId w:val="0"/>
              </w:numPr>
              <w:bidi w:val="0"/>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E4574B" w:rsidRDefault="00E4574B">
            <w:pPr>
              <w:bidi w:val="0"/>
              <w:rPr>
                <w:caps/>
                <w:lang w:val="en-US"/>
              </w:rPr>
            </w:pPr>
            <w:r>
              <w:rPr>
                <w:noProof/>
                <w:sz w:val="24"/>
                <w:szCs w:val="24"/>
                <w:lang w:eastAsia="en-C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E4574B" w:rsidRDefault="00E4574B">
            <w:pPr>
              <w:bidi w:val="0"/>
              <w:rPr>
                <w:lang w:val="en-US"/>
              </w:rPr>
            </w:pPr>
            <w:r>
              <w:rPr>
                <w:noProof/>
                <w:sz w:val="24"/>
                <w:szCs w:val="24"/>
                <w:lang w:eastAsia="en-C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900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E4574B" w:rsidRDefault="00E4574B">
      <w:pPr>
        <w:spacing w:line="200" w:lineRule="exact"/>
        <w:ind w:left="187" w:right="180" w:hanging="187"/>
        <w:rPr>
          <w:rFonts w:cs="Akhbar MT"/>
          <w:b/>
          <w:bCs/>
          <w:sz w:val="28"/>
          <w:szCs w:val="28"/>
          <w:rtl/>
        </w:rPr>
      </w:pPr>
    </w:p>
    <w:p w14:paraId="4BE3A646" w14:textId="77777777" w:rsidR="00E4574B" w:rsidRPr="009E4D1E" w:rsidRDefault="00E4574B" w:rsidP="007B7442">
      <w:pPr>
        <w:ind w:right="180"/>
        <w:rPr>
          <w:b/>
          <w:sz w:val="28"/>
          <w:szCs w:val="28"/>
          <w:rtl/>
        </w:rPr>
      </w:pPr>
      <w:r w:rsidRPr="009E4D1E">
        <w:rPr>
          <w:b/>
          <w:sz w:val="28"/>
          <w:szCs w:val="28"/>
          <w:rtl/>
        </w:rPr>
        <w:t>اللجنــة التنفيـذيــــة للصنــدوق المــتعــدد الأطـــراف</w:t>
      </w:r>
    </w:p>
    <w:p w14:paraId="58B71615" w14:textId="504227D6" w:rsidR="00E4574B" w:rsidRPr="009E4D1E" w:rsidRDefault="00E4574B" w:rsidP="008508F1">
      <w:pPr>
        <w:ind w:left="180" w:hanging="180"/>
        <w:rPr>
          <w:b/>
          <w:sz w:val="28"/>
          <w:szCs w:val="28"/>
          <w:lang w:val="en-US"/>
        </w:rPr>
      </w:pPr>
      <w:r w:rsidRPr="009E4D1E">
        <w:rPr>
          <w:b/>
          <w:sz w:val="28"/>
          <w:szCs w:val="28"/>
          <w:rtl/>
        </w:rPr>
        <w:t xml:space="preserve">لتنفيـــذ بروتوكـول مونتريــال </w:t>
      </w:r>
    </w:p>
    <w:p w14:paraId="0D676F9A" w14:textId="77777777" w:rsidR="00E4574B" w:rsidRPr="009E4D1E" w:rsidRDefault="00E4574B" w:rsidP="002E262A">
      <w:pPr>
        <w:ind w:left="180" w:hanging="180"/>
        <w:rPr>
          <w:sz w:val="28"/>
          <w:szCs w:val="28"/>
        </w:rPr>
      </w:pPr>
      <w:r w:rsidRPr="009E4D1E">
        <w:rPr>
          <w:sz w:val="28"/>
          <w:szCs w:val="28"/>
          <w:rtl/>
        </w:rPr>
        <w:t xml:space="preserve">الاجتماع التاسع والتسعون </w:t>
      </w:r>
    </w:p>
    <w:p w14:paraId="52D7F5D1" w14:textId="77777777" w:rsidR="00E4574B" w:rsidRPr="009E4D1E" w:rsidRDefault="00E4574B" w:rsidP="007B7442">
      <w:pPr>
        <w:bidi w:val="0"/>
        <w:jc w:val="right"/>
        <w:rPr>
          <w:sz w:val="28"/>
          <w:szCs w:val="28"/>
        </w:rPr>
      </w:pPr>
      <w:r w:rsidRPr="009E4D1E">
        <w:rPr>
          <w:sz w:val="28"/>
          <w:szCs w:val="28"/>
          <w:rtl/>
        </w:rPr>
        <w:t>مونتريال، 7-11 كانون الأول/ديسمبر 2026</w:t>
      </w:r>
    </w:p>
    <w:p w14:paraId="1A0FF5D7" w14:textId="6EFF4A72" w:rsidR="00E4574B" w:rsidRPr="009E4D1E" w:rsidRDefault="00E4574B" w:rsidP="007B7442">
      <w:pPr>
        <w:bidi w:val="0"/>
        <w:jc w:val="right"/>
        <w:rPr>
          <w:sz w:val="28"/>
          <w:szCs w:val="28"/>
          <w:lang w:val="en-US"/>
        </w:rPr>
      </w:pPr>
      <w:r w:rsidRPr="009E4D1E">
        <w:rPr>
          <w:sz w:val="28"/>
          <w:szCs w:val="28"/>
        </w:rPr>
        <w:t>البند 9(د) من جدول الأعمال المؤقت</w:t>
      </w:r>
      <w:r w:rsidRPr="000F7E30">
        <w:rPr>
          <w:rStyle w:val="FootnoteReference"/>
          <w:sz w:val="24"/>
          <w:szCs w:val="24"/>
          <w:lang w:val="fr-FR"/>
        </w:rPr>
        <w:footnoteReference w:id="1"/>
      </w:r>
      <w:r w:rsidRPr="009E4D1E">
        <w:rPr>
          <w:rStyle w:val="FootnoteReference"/>
          <w:sz w:val="28"/>
          <w:szCs w:val="28"/>
        </w:rPr>
        <w:t xml:space="preserve"> </w:t>
      </w:r>
    </w:p>
    <w:p w14:paraId="5FFEA9E2" w14:textId="77777777" w:rsidR="00CB0432" w:rsidRPr="00BE38DF" w:rsidRDefault="00CB0432" w:rsidP="00CB0432">
      <w:pPr>
        <w:rPr>
          <w:sz w:val="26"/>
          <w:szCs w:val="26"/>
        </w:rPr>
      </w:pPr>
    </w:p>
    <w:p w14:paraId="47C824F5" w14:textId="77777777" w:rsidR="00CB0432" w:rsidRPr="00CF679D" w:rsidRDefault="00CB0432" w:rsidP="00CB0432">
      <w:pPr>
        <w:pStyle w:val="Heading1"/>
        <w:numPr>
          <w:ilvl w:val="0"/>
          <w:numId w:val="0"/>
        </w:numPr>
        <w:spacing w:after="0"/>
        <w:rPr>
          <w:b/>
          <w:bCs/>
          <w:sz w:val="26"/>
          <w:szCs w:val="26"/>
        </w:rPr>
      </w:pPr>
    </w:p>
    <w:p w14:paraId="45DC27EB" w14:textId="77777777" w:rsidR="009A7AA9" w:rsidRDefault="009A7AA9" w:rsidP="00246CC4">
      <w:pPr>
        <w:rPr>
          <w:b/>
          <w:sz w:val="26"/>
          <w:szCs w:val="26"/>
        </w:rPr>
      </w:pPr>
    </w:p>
    <w:p w14:paraId="666BB31B" w14:textId="10E0B630" w:rsidR="00CB0432" w:rsidRPr="00BE38DF" w:rsidRDefault="00A92292" w:rsidP="00CB0432">
      <w:pPr>
        <w:jc w:val="center"/>
        <w:rPr>
          <w:b/>
          <w:bCs/>
          <w:sz w:val="28"/>
          <w:szCs w:val="28"/>
        </w:rPr>
      </w:pPr>
      <w:r>
        <w:rPr>
          <w:b/>
          <w:bCs/>
          <w:sz w:val="28"/>
          <w:szCs w:val="28"/>
          <w:rtl/>
        </w:rPr>
        <w:t>مقترحات المشاريع: سان تومي وبرينسيبي</w:t>
      </w:r>
    </w:p>
    <w:p w14:paraId="4CC2FC4F" w14:textId="77777777" w:rsidR="00CB0432" w:rsidRPr="00BE38DF" w:rsidRDefault="00CB0432" w:rsidP="00CB0432">
      <w:pPr>
        <w:rPr>
          <w:sz w:val="26"/>
          <w:szCs w:val="26"/>
        </w:rPr>
      </w:pPr>
    </w:p>
    <w:p w14:paraId="6F5632F2" w14:textId="77777777" w:rsidR="00CB0432" w:rsidRPr="00BE38DF" w:rsidRDefault="00CB0432" w:rsidP="00CB0432">
      <w:pPr>
        <w:rPr>
          <w:sz w:val="26"/>
          <w:szCs w:val="26"/>
        </w:rPr>
      </w:pPr>
    </w:p>
    <w:p w14:paraId="58ED5C5B" w14:textId="77777777" w:rsidR="00CB0432" w:rsidRPr="00BE38DF" w:rsidRDefault="00CB0432" w:rsidP="00CB0432">
      <w:pPr>
        <w:ind w:firstLine="720"/>
        <w:rPr>
          <w:sz w:val="26"/>
          <w:szCs w:val="26"/>
        </w:rPr>
      </w:pPr>
      <w:r>
        <w:rPr>
          <w:sz w:val="26"/>
          <w:szCs w:val="26"/>
          <w:rtl/>
        </w:rPr>
        <w:t>تتضمن هذه الوثيقة تعليقات الأمانة وتوصيتها بشأن مقترحات المشاريع التالية:</w:t>
      </w:r>
    </w:p>
    <w:p w14:paraId="19C3E016" w14:textId="77777777" w:rsidR="00CB0432" w:rsidRPr="00BE38DF" w:rsidRDefault="00CB0432" w:rsidP="00CB0432">
      <w:pPr>
        <w:spacing w:before="240" w:after="240"/>
        <w:rPr>
          <w:b/>
          <w:sz w:val="26"/>
          <w:szCs w:val="26"/>
        </w:rPr>
      </w:pPr>
      <w:r>
        <w:rPr>
          <w:sz w:val="26"/>
          <w:szCs w:val="26"/>
          <w:u w:val="single"/>
          <w:rtl/>
        </w:rPr>
        <w:t>الإزالة</w:t>
      </w:r>
    </w:p>
    <w:tbl>
      <w:tblPr>
        <w:tblStyle w:val="TableGrid"/>
        <w:bidiVisual/>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16"/>
        <w:gridCol w:w="1170"/>
        <w:gridCol w:w="2164"/>
      </w:tblGrid>
      <w:tr w:rsidR="00CB0432" w:rsidRPr="00BE38DF" w14:paraId="00A7CA63" w14:textId="77777777" w:rsidTr="00617F2B">
        <w:trPr>
          <w:cantSplit/>
          <w:jc w:val="center"/>
        </w:trPr>
        <w:tc>
          <w:tcPr>
            <w:tcW w:w="6116" w:type="dxa"/>
          </w:tcPr>
          <w:p w14:paraId="0A7865EA" w14:textId="040EEF8A" w:rsidR="00CB0432" w:rsidRPr="00BE38DF" w:rsidRDefault="00CB0432">
            <w:pPr>
              <w:pStyle w:val="ListParagraph"/>
              <w:numPr>
                <w:ilvl w:val="0"/>
                <w:numId w:val="6"/>
              </w:numPr>
              <w:ind w:left="604" w:hanging="714"/>
              <w:rPr>
                <w:sz w:val="24"/>
                <w:szCs w:val="24"/>
                <w:lang w:val="en-CA"/>
              </w:rPr>
            </w:pPr>
            <w:r>
              <w:rPr>
                <w:sz w:val="24"/>
                <w:szCs w:val="24"/>
                <w:rtl/>
                <w:lang w:val="en-CA"/>
              </w:rPr>
              <w:t>خطة إدارة إزالة المواد الهيدروكلوروفلوروكربونية (المرحلة الثانية، الشريحة الأولى)</w:t>
            </w:r>
          </w:p>
        </w:tc>
        <w:tc>
          <w:tcPr>
            <w:tcW w:w="1170" w:type="dxa"/>
          </w:tcPr>
          <w:p w14:paraId="47EA8525" w14:textId="403E553F" w:rsidR="00CB0432" w:rsidRPr="00BE38DF" w:rsidRDefault="00617F2B">
            <w:pPr>
              <w:rPr>
                <w:sz w:val="24"/>
                <w:szCs w:val="24"/>
              </w:rPr>
            </w:pPr>
            <w:r>
              <w:rPr>
                <w:sz w:val="24"/>
                <w:szCs w:val="24"/>
              </w:rPr>
              <w:t xml:space="preserve">  </w:t>
            </w:r>
            <w:r w:rsidR="003E313D">
              <w:rPr>
                <w:sz w:val="24"/>
                <w:szCs w:val="24"/>
                <w:rtl/>
              </w:rPr>
              <w:t>اليونيب</w:t>
            </w:r>
          </w:p>
        </w:tc>
        <w:tc>
          <w:tcPr>
            <w:tcW w:w="2164" w:type="dxa"/>
          </w:tcPr>
          <w:p w14:paraId="0B02ACB1" w14:textId="2AF4A0C0" w:rsidR="00CB0432" w:rsidRPr="00BE38DF" w:rsidRDefault="00CB0432">
            <w:pPr>
              <w:rPr>
                <w:sz w:val="24"/>
                <w:szCs w:val="24"/>
              </w:rPr>
            </w:pPr>
            <w:r>
              <w:rPr>
                <w:sz w:val="24"/>
                <w:szCs w:val="24"/>
                <w:rtl/>
              </w:rPr>
              <w:t>النظر بشكل فردي</w:t>
            </w:r>
          </w:p>
        </w:tc>
      </w:tr>
    </w:tbl>
    <w:p w14:paraId="400BE167" w14:textId="77777777" w:rsidR="00CB0432" w:rsidRPr="00BE38DF" w:rsidRDefault="00CB0432" w:rsidP="00CB0432">
      <w:pPr>
        <w:spacing w:before="240" w:after="240"/>
        <w:rPr>
          <w:sz w:val="26"/>
          <w:szCs w:val="26"/>
          <w:u w:val="single"/>
        </w:rPr>
      </w:pPr>
      <w:r>
        <w:rPr>
          <w:sz w:val="26"/>
          <w:szCs w:val="26"/>
          <w:u w:val="single"/>
          <w:rtl/>
        </w:rPr>
        <w:t>التخفيض التدريجي</w:t>
      </w:r>
    </w:p>
    <w:tbl>
      <w:tblPr>
        <w:tblStyle w:val="TableGrid"/>
        <w:bidiVisual/>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16"/>
        <w:gridCol w:w="1170"/>
        <w:gridCol w:w="2164"/>
      </w:tblGrid>
      <w:tr w:rsidR="00CB0432" w:rsidRPr="00BE38DF" w14:paraId="644E8AC7" w14:textId="77777777" w:rsidTr="00617F2B">
        <w:trPr>
          <w:cantSplit/>
          <w:trHeight w:val="601"/>
          <w:jc w:val="center"/>
        </w:trPr>
        <w:tc>
          <w:tcPr>
            <w:tcW w:w="6116" w:type="dxa"/>
          </w:tcPr>
          <w:p w14:paraId="22D2F10E" w14:textId="77777777" w:rsidR="00CB0432" w:rsidRPr="00BE38DF" w:rsidRDefault="00CB0432">
            <w:pPr>
              <w:pStyle w:val="ListParagraph"/>
              <w:numPr>
                <w:ilvl w:val="0"/>
                <w:numId w:val="6"/>
              </w:numPr>
              <w:ind w:left="604" w:hanging="714"/>
              <w:rPr>
                <w:sz w:val="24"/>
                <w:szCs w:val="24"/>
                <w:lang w:val="en-CA"/>
              </w:rPr>
            </w:pPr>
            <w:r>
              <w:rPr>
                <w:sz w:val="24"/>
                <w:szCs w:val="24"/>
                <w:rtl/>
                <w:lang w:val="en-CA"/>
              </w:rPr>
              <w:t>خطة التنفيذ المتعلقة بالمواد الهيدروفلوروكربونية بموجب تعديل كيغالي (المرحلة الأولى، الشريحة الأولى)</w:t>
            </w:r>
          </w:p>
        </w:tc>
        <w:tc>
          <w:tcPr>
            <w:tcW w:w="1170" w:type="dxa"/>
          </w:tcPr>
          <w:p w14:paraId="117673B7" w14:textId="325922A9" w:rsidR="00CB0432" w:rsidRPr="00BE38DF" w:rsidRDefault="00617F2B">
            <w:pPr>
              <w:rPr>
                <w:sz w:val="24"/>
                <w:szCs w:val="24"/>
              </w:rPr>
            </w:pPr>
            <w:r>
              <w:rPr>
                <w:sz w:val="24"/>
                <w:szCs w:val="24"/>
              </w:rPr>
              <w:t xml:space="preserve"> </w:t>
            </w:r>
            <w:r w:rsidR="003E313D">
              <w:rPr>
                <w:sz w:val="24"/>
                <w:szCs w:val="24"/>
                <w:rtl/>
              </w:rPr>
              <w:t>اليونيب</w:t>
            </w:r>
          </w:p>
        </w:tc>
        <w:tc>
          <w:tcPr>
            <w:tcW w:w="2164" w:type="dxa"/>
          </w:tcPr>
          <w:p w14:paraId="0841EDDA" w14:textId="77777777" w:rsidR="00CB0432" w:rsidRPr="00BE38DF" w:rsidRDefault="00CB0432">
            <w:pPr>
              <w:rPr>
                <w:sz w:val="24"/>
                <w:szCs w:val="24"/>
              </w:rPr>
            </w:pPr>
            <w:r>
              <w:rPr>
                <w:sz w:val="24"/>
                <w:szCs w:val="24"/>
                <w:rtl/>
              </w:rPr>
              <w:t>النظر بشكل فردي</w:t>
            </w:r>
          </w:p>
        </w:tc>
      </w:tr>
    </w:tbl>
    <w:p w14:paraId="342ED22E" w14:textId="77777777" w:rsidR="00CB0432" w:rsidRPr="00BE38DF" w:rsidRDefault="00CB0432" w:rsidP="00CB0432">
      <w:pPr>
        <w:tabs>
          <w:tab w:val="left" w:pos="3892"/>
        </w:tabs>
        <w:rPr>
          <w:sz w:val="26"/>
          <w:szCs w:val="26"/>
        </w:rPr>
      </w:pPr>
    </w:p>
    <w:p w14:paraId="0341F90B" w14:textId="77777777" w:rsidR="00CB0432" w:rsidRPr="00BE38DF" w:rsidRDefault="00CB0432" w:rsidP="00CB0432">
      <w:pPr>
        <w:rPr>
          <w:sz w:val="26"/>
          <w:szCs w:val="26"/>
        </w:rPr>
      </w:pPr>
    </w:p>
    <w:p w14:paraId="14FBD5AB" w14:textId="77777777" w:rsidR="00CB0432" w:rsidRPr="00BE38DF" w:rsidRDefault="00CB0432" w:rsidP="00CB0432">
      <w:pPr>
        <w:rPr>
          <w:sz w:val="26"/>
          <w:szCs w:val="26"/>
        </w:rPr>
      </w:pPr>
    </w:p>
    <w:p w14:paraId="1C40BD38" w14:textId="77777777" w:rsidR="00CB0432" w:rsidRPr="00BE38DF" w:rsidRDefault="00CB0432" w:rsidP="00CB0432">
      <w:pPr>
        <w:rPr>
          <w:sz w:val="26"/>
          <w:szCs w:val="26"/>
        </w:rPr>
      </w:pPr>
    </w:p>
    <w:p w14:paraId="7AA7CB62" w14:textId="77777777" w:rsidR="00CB0432" w:rsidRPr="00BE38DF" w:rsidRDefault="00CB0432" w:rsidP="00CB0432">
      <w:pPr>
        <w:pStyle w:val="StyleHeader4Para4Left0Firstline0"/>
        <w:widowControl/>
        <w:numPr>
          <w:ilvl w:val="0"/>
          <w:numId w:val="0"/>
        </w:numPr>
        <w:tabs>
          <w:tab w:val="clear" w:pos="2880"/>
          <w:tab w:val="clear" w:pos="5760"/>
        </w:tabs>
        <w:rPr>
          <w:b/>
          <w:sz w:val="26"/>
          <w:szCs w:val="26"/>
        </w:rPr>
      </w:pPr>
      <w:r>
        <w:rPr>
          <w:b/>
          <w:sz w:val="26"/>
          <w:szCs w:val="26"/>
          <w:rtl/>
        </w:rPr>
        <w:br w:type="page"/>
      </w:r>
    </w:p>
    <w:p w14:paraId="1F87A11E" w14:textId="4A994C7F" w:rsidR="00037539" w:rsidRPr="00996241" w:rsidRDefault="00037539" w:rsidP="00037539">
      <w:pPr>
        <w:spacing w:before="120" w:after="120"/>
        <w:ind w:left="-425" w:right="-420"/>
        <w:jc w:val="center"/>
        <w:rPr>
          <w:b/>
          <w:sz w:val="26"/>
          <w:szCs w:val="26"/>
        </w:rPr>
      </w:pPr>
      <w:r>
        <w:rPr>
          <w:b/>
          <w:bCs/>
          <w:sz w:val="26"/>
          <w:szCs w:val="26"/>
          <w:rtl/>
        </w:rPr>
        <w:lastRenderedPageBreak/>
        <w:t xml:space="preserve">ورقة تقييم المشروع – </w:t>
      </w:r>
      <w:r w:rsidR="001B1FFC" w:rsidRPr="001B1FFC">
        <w:rPr>
          <w:b/>
          <w:bCs/>
          <w:sz w:val="26"/>
          <w:szCs w:val="26"/>
          <w:rtl/>
        </w:rPr>
        <w:t>مشاريع</w:t>
      </w:r>
      <w:r>
        <w:rPr>
          <w:b/>
          <w:bCs/>
          <w:sz w:val="26"/>
          <w:szCs w:val="26"/>
          <w:rtl/>
        </w:rPr>
        <w:t xml:space="preserve"> متعددة السنوات</w:t>
      </w:r>
    </w:p>
    <w:p w14:paraId="313CAC01" w14:textId="022B2377" w:rsidR="00037539" w:rsidRDefault="00037539" w:rsidP="00037539">
      <w:pPr>
        <w:spacing w:before="200" w:after="200"/>
        <w:ind w:left="-425" w:right="-420"/>
        <w:jc w:val="center"/>
        <w:rPr>
          <w:b/>
          <w:bCs/>
          <w:sz w:val="26"/>
          <w:szCs w:val="26"/>
        </w:rPr>
      </w:pPr>
      <w:r>
        <w:rPr>
          <w:b/>
          <w:bCs/>
          <w:sz w:val="26"/>
          <w:szCs w:val="26"/>
          <w:rtl/>
        </w:rPr>
        <w:t>سان تومي وبرينسيبي</w:t>
      </w:r>
    </w:p>
    <w:tbl>
      <w:tblPr>
        <w:tblStyle w:val="TableGrid"/>
        <w:bidiVisual/>
        <w:tblW w:w="10127" w:type="dxa"/>
        <w:jc w:val="center"/>
        <w:tblLayout w:type="fixed"/>
        <w:tblLook w:val="04A0" w:firstRow="1" w:lastRow="0" w:firstColumn="1" w:lastColumn="0" w:noHBand="0" w:noVBand="1"/>
      </w:tblPr>
      <w:tblGrid>
        <w:gridCol w:w="5147"/>
        <w:gridCol w:w="4980"/>
      </w:tblGrid>
      <w:tr w:rsidR="00037539" w:rsidRPr="00EB31E3" w14:paraId="2D158F5A" w14:textId="77777777">
        <w:trPr>
          <w:cantSplit/>
          <w:trHeight w:val="139"/>
          <w:jc w:val="center"/>
        </w:trPr>
        <w:tc>
          <w:tcPr>
            <w:tcW w:w="5147" w:type="dxa"/>
            <w:vAlign w:val="center"/>
          </w:tcPr>
          <w:p w14:paraId="7F9F6D5D" w14:textId="77777777" w:rsidR="00037539" w:rsidRPr="00996241" w:rsidRDefault="00037539" w:rsidP="002A5172">
            <w:pPr>
              <w:keepNext/>
              <w:spacing w:before="20" w:after="20"/>
              <w:jc w:val="center"/>
              <w:rPr>
                <w:b/>
                <w:sz w:val="20"/>
                <w:szCs w:val="20"/>
              </w:rPr>
            </w:pPr>
            <w:r>
              <w:rPr>
                <w:b/>
                <w:bCs/>
                <w:sz w:val="20"/>
                <w:szCs w:val="20"/>
                <w:rtl/>
              </w:rPr>
              <w:t>عنوان المشروع</w:t>
            </w:r>
          </w:p>
        </w:tc>
        <w:tc>
          <w:tcPr>
            <w:tcW w:w="4980" w:type="dxa"/>
            <w:vAlign w:val="center"/>
          </w:tcPr>
          <w:p w14:paraId="2233822C" w14:textId="77777777" w:rsidR="00037539" w:rsidRPr="00996241" w:rsidRDefault="00037539" w:rsidP="002A5172">
            <w:pPr>
              <w:keepNext/>
              <w:spacing w:before="20" w:after="20"/>
              <w:jc w:val="center"/>
              <w:rPr>
                <w:b/>
                <w:sz w:val="20"/>
                <w:szCs w:val="20"/>
              </w:rPr>
            </w:pPr>
            <w:r>
              <w:rPr>
                <w:b/>
                <w:bCs/>
                <w:sz w:val="20"/>
                <w:szCs w:val="20"/>
                <w:rtl/>
              </w:rPr>
              <w:t>الوكالة</w:t>
            </w:r>
          </w:p>
        </w:tc>
      </w:tr>
      <w:tr w:rsidR="00037539" w:rsidRPr="00EB31E3" w14:paraId="437861AC" w14:textId="77777777">
        <w:trPr>
          <w:cantSplit/>
          <w:trHeight w:val="326"/>
          <w:jc w:val="center"/>
        </w:trPr>
        <w:tc>
          <w:tcPr>
            <w:tcW w:w="5147" w:type="dxa"/>
            <w:vAlign w:val="center"/>
          </w:tcPr>
          <w:p w14:paraId="2F294078" w14:textId="77777777" w:rsidR="00037539" w:rsidRPr="00BC18B8" w:rsidRDefault="00037539" w:rsidP="002A5172">
            <w:pPr>
              <w:spacing w:before="20" w:after="20"/>
              <w:jc w:val="center"/>
              <w:rPr>
                <w:color w:val="000000" w:themeColor="text1"/>
                <w:kern w:val="2"/>
                <w:sz w:val="20"/>
                <w:szCs w:val="20"/>
                <w:lang w:eastAsia="en-CA"/>
                <w14:ligatures w14:val="standardContextual"/>
              </w:rPr>
            </w:pPr>
            <w:r>
              <w:rPr>
                <w:color w:val="000000"/>
                <w:sz w:val="20"/>
                <w:szCs w:val="20"/>
                <w:rtl/>
              </w:rPr>
              <w:t>خطة إدارة إزالة المواد الهيدروكلوروفلوروكربونية (المرحلة الثانية)</w:t>
            </w:r>
          </w:p>
        </w:tc>
        <w:tc>
          <w:tcPr>
            <w:tcW w:w="4980" w:type="dxa"/>
            <w:vAlign w:val="center"/>
          </w:tcPr>
          <w:p w14:paraId="5C9B0E17" w14:textId="77777777" w:rsidR="00037539" w:rsidRPr="00BC18B8" w:rsidRDefault="00037539" w:rsidP="002A5172">
            <w:pPr>
              <w:spacing w:before="20" w:after="20"/>
              <w:jc w:val="center"/>
              <w:rPr>
                <w:color w:val="000000" w:themeColor="text1"/>
                <w:kern w:val="2"/>
                <w:sz w:val="20"/>
                <w:szCs w:val="20"/>
                <w:lang w:eastAsia="en-CA"/>
                <w14:ligatures w14:val="standardContextual"/>
              </w:rPr>
            </w:pPr>
            <w:r>
              <w:rPr>
                <w:color w:val="000000"/>
                <w:sz w:val="20"/>
                <w:szCs w:val="20"/>
                <w:rtl/>
              </w:rPr>
              <w:t>اليونيب (الوكالة الرئيسية)</w:t>
            </w:r>
          </w:p>
        </w:tc>
      </w:tr>
    </w:tbl>
    <w:p w14:paraId="7C47CABD" w14:textId="77777777" w:rsidR="00037539" w:rsidRPr="00BE2DAA" w:rsidRDefault="00037539" w:rsidP="00037539">
      <w:pPr>
        <w:jc w:val="center"/>
        <w:rPr>
          <w:sz w:val="26"/>
          <w:szCs w:val="26"/>
        </w:rPr>
      </w:pPr>
    </w:p>
    <w:tbl>
      <w:tblPr>
        <w:tblStyle w:val="TableGrid"/>
        <w:bidiVisual/>
        <w:tblW w:w="10127" w:type="dxa"/>
        <w:jc w:val="center"/>
        <w:tblLayout w:type="fixed"/>
        <w:tblLook w:val="04A0" w:firstRow="1" w:lastRow="0" w:firstColumn="1" w:lastColumn="0" w:noHBand="0" w:noVBand="1"/>
      </w:tblPr>
      <w:tblGrid>
        <w:gridCol w:w="5146"/>
        <w:gridCol w:w="2147"/>
        <w:gridCol w:w="2834"/>
      </w:tblGrid>
      <w:tr w:rsidR="00037539" w:rsidRPr="00BC18B8" w14:paraId="0DA894BC" w14:textId="77777777">
        <w:trPr>
          <w:cantSplit/>
          <w:trHeight w:val="334"/>
          <w:jc w:val="center"/>
        </w:trPr>
        <w:tc>
          <w:tcPr>
            <w:tcW w:w="5146" w:type="dxa"/>
            <w:vAlign w:val="center"/>
          </w:tcPr>
          <w:p w14:paraId="6939AAE5" w14:textId="77777777" w:rsidR="00037539" w:rsidRPr="00996241" w:rsidRDefault="00037539">
            <w:pPr>
              <w:spacing w:before="20" w:after="20"/>
              <w:rPr>
                <w:b/>
                <w:sz w:val="20"/>
                <w:szCs w:val="20"/>
              </w:rPr>
            </w:pPr>
            <w:r>
              <w:rPr>
                <w:b/>
                <w:bCs/>
                <w:sz w:val="20"/>
                <w:szCs w:val="20"/>
                <w:rtl/>
              </w:rPr>
              <w:t>بيانات المادة 7 (المرفق جيم، المجموعة الأولى)</w:t>
            </w:r>
          </w:p>
        </w:tc>
        <w:tc>
          <w:tcPr>
            <w:tcW w:w="2147" w:type="dxa"/>
            <w:vAlign w:val="center"/>
          </w:tcPr>
          <w:p w14:paraId="645E054E" w14:textId="77777777" w:rsidR="00037539" w:rsidRPr="00996241" w:rsidRDefault="00037539" w:rsidP="002A5172">
            <w:pPr>
              <w:spacing w:before="20" w:after="20"/>
              <w:jc w:val="center"/>
              <w:rPr>
                <w:sz w:val="20"/>
                <w:szCs w:val="20"/>
              </w:rPr>
            </w:pPr>
            <w:r>
              <w:rPr>
                <w:b/>
                <w:bCs/>
                <w:sz w:val="20"/>
                <w:szCs w:val="20"/>
                <w:rtl/>
              </w:rPr>
              <w:t>السنة:</w:t>
            </w:r>
            <w:r>
              <w:rPr>
                <w:b/>
                <w:bCs/>
                <w:color w:val="000000" w:themeColor="text1"/>
                <w:sz w:val="20"/>
                <w:szCs w:val="20"/>
              </w:rPr>
              <w:t xml:space="preserve"> 2025</w:t>
            </w:r>
          </w:p>
        </w:tc>
        <w:tc>
          <w:tcPr>
            <w:tcW w:w="2834" w:type="dxa"/>
            <w:vAlign w:val="center"/>
          </w:tcPr>
          <w:p w14:paraId="05FE73AE" w14:textId="2AF8B887" w:rsidR="00037539" w:rsidRPr="00BC18B8" w:rsidRDefault="00037539">
            <w:pPr>
              <w:spacing w:before="20" w:after="20"/>
              <w:rPr>
                <w:kern w:val="2"/>
                <w:sz w:val="20"/>
                <w:szCs w:val="20"/>
                <w:lang w:eastAsia="en-CA"/>
                <w14:ligatures w14:val="standardContextual"/>
              </w:rPr>
            </w:pPr>
            <w:r>
              <w:rPr>
                <w:color w:val="000000"/>
                <w:sz w:val="20"/>
                <w:szCs w:val="20"/>
              </w:rPr>
              <w:t>0.04</w:t>
            </w:r>
            <w:r>
              <w:rPr>
                <w:sz w:val="20"/>
                <w:szCs w:val="20"/>
                <w:rtl/>
              </w:rPr>
              <w:t>طن من قدرات استنفاد الأوزون</w:t>
            </w:r>
            <w:r w:rsidR="00482E61">
              <w:rPr>
                <w:sz w:val="20"/>
                <w:szCs w:val="20"/>
              </w:rPr>
              <w:t xml:space="preserve"> </w:t>
            </w:r>
          </w:p>
        </w:tc>
      </w:tr>
    </w:tbl>
    <w:p w14:paraId="175E9E75" w14:textId="77777777" w:rsidR="00037539" w:rsidRPr="00DC561D" w:rsidRDefault="00037539" w:rsidP="00037539">
      <w:pPr>
        <w:jc w:val="center"/>
        <w:rPr>
          <w:sz w:val="26"/>
          <w:szCs w:val="26"/>
        </w:rPr>
      </w:pPr>
    </w:p>
    <w:tbl>
      <w:tblPr>
        <w:tblStyle w:val="TableGrid"/>
        <w:bidiVisual/>
        <w:tblW w:w="10127" w:type="dxa"/>
        <w:jc w:val="center"/>
        <w:tblLayout w:type="fixed"/>
        <w:tblLook w:val="04A0" w:firstRow="1" w:lastRow="0" w:firstColumn="1" w:lastColumn="0" w:noHBand="0" w:noVBand="1"/>
      </w:tblPr>
      <w:tblGrid>
        <w:gridCol w:w="2752"/>
        <w:gridCol w:w="1080"/>
        <w:gridCol w:w="900"/>
        <w:gridCol w:w="1350"/>
        <w:gridCol w:w="810"/>
        <w:gridCol w:w="900"/>
        <w:gridCol w:w="797"/>
        <w:gridCol w:w="716"/>
        <w:gridCol w:w="822"/>
      </w:tblGrid>
      <w:tr w:rsidR="00037539" w:rsidRPr="008533A5" w14:paraId="5DA0F225" w14:textId="77777777">
        <w:trPr>
          <w:cantSplit/>
          <w:trHeight w:val="128"/>
          <w:jc w:val="center"/>
        </w:trPr>
        <w:tc>
          <w:tcPr>
            <w:tcW w:w="8589" w:type="dxa"/>
            <w:gridSpan w:val="7"/>
            <w:tcBorders>
              <w:right w:val="single" w:sz="4" w:space="0" w:color="auto"/>
            </w:tcBorders>
            <w:vAlign w:val="center"/>
          </w:tcPr>
          <w:p w14:paraId="23F19DC9" w14:textId="77777777" w:rsidR="00037539" w:rsidRPr="00996241" w:rsidRDefault="00037539">
            <w:pPr>
              <w:keepNext/>
              <w:spacing w:before="20" w:after="20"/>
              <w:rPr>
                <w:b/>
                <w:sz w:val="20"/>
                <w:szCs w:val="20"/>
              </w:rPr>
            </w:pPr>
            <w:r>
              <w:rPr>
                <w:b/>
                <w:bCs/>
                <w:sz w:val="20"/>
                <w:szCs w:val="20"/>
                <w:rtl/>
              </w:rPr>
              <w:t>البيانات القطاعية للبرنامج القطري (طن من قدرات استنفاد الأوزون)</w:t>
            </w:r>
          </w:p>
        </w:tc>
        <w:tc>
          <w:tcPr>
            <w:tcW w:w="716" w:type="dxa"/>
            <w:tcBorders>
              <w:top w:val="single" w:sz="4" w:space="0" w:color="auto"/>
              <w:left w:val="single" w:sz="4" w:space="0" w:color="auto"/>
              <w:bottom w:val="single" w:sz="4" w:space="0" w:color="auto"/>
              <w:right w:val="nil"/>
            </w:tcBorders>
            <w:vAlign w:val="center"/>
          </w:tcPr>
          <w:p w14:paraId="073EF31A" w14:textId="77777777" w:rsidR="00037539" w:rsidRPr="008533A5" w:rsidRDefault="00037539">
            <w:pPr>
              <w:keepNext/>
              <w:spacing w:before="20" w:after="20"/>
              <w:rPr>
                <w:b/>
                <w:sz w:val="20"/>
                <w:szCs w:val="20"/>
                <w:highlight w:val="cyan"/>
              </w:rPr>
            </w:pPr>
            <w:r>
              <w:rPr>
                <w:b/>
                <w:bCs/>
                <w:sz w:val="20"/>
                <w:szCs w:val="20"/>
                <w:rtl/>
              </w:rPr>
              <w:t>السنة:</w:t>
            </w:r>
          </w:p>
        </w:tc>
        <w:tc>
          <w:tcPr>
            <w:tcW w:w="822" w:type="dxa"/>
            <w:tcBorders>
              <w:top w:val="single" w:sz="4" w:space="0" w:color="auto"/>
              <w:left w:val="nil"/>
              <w:bottom w:val="single" w:sz="4" w:space="0" w:color="auto"/>
              <w:right w:val="single" w:sz="4" w:space="0" w:color="auto"/>
            </w:tcBorders>
            <w:vAlign w:val="center"/>
          </w:tcPr>
          <w:p w14:paraId="1500E013" w14:textId="77777777" w:rsidR="00037539" w:rsidRPr="008533A5" w:rsidRDefault="00037539">
            <w:pPr>
              <w:keepNext/>
              <w:spacing w:before="20" w:after="20"/>
              <w:rPr>
                <w:b/>
                <w:sz w:val="20"/>
                <w:szCs w:val="20"/>
                <w:highlight w:val="cyan"/>
              </w:rPr>
            </w:pPr>
            <w:r>
              <w:rPr>
                <w:b/>
                <w:bCs/>
                <w:color w:val="000000" w:themeColor="text1"/>
                <w:sz w:val="20"/>
                <w:szCs w:val="20"/>
              </w:rPr>
              <w:t>2025</w:t>
            </w:r>
          </w:p>
        </w:tc>
      </w:tr>
      <w:tr w:rsidR="00037539" w:rsidRPr="00EB31E3" w14:paraId="4B3DAA24" w14:textId="77777777" w:rsidTr="00063F8A">
        <w:trPr>
          <w:cantSplit/>
          <w:trHeight w:val="63"/>
          <w:jc w:val="center"/>
        </w:trPr>
        <w:tc>
          <w:tcPr>
            <w:tcW w:w="2752" w:type="dxa"/>
            <w:vMerge w:val="restart"/>
            <w:vAlign w:val="center"/>
          </w:tcPr>
          <w:p w14:paraId="02766CF5" w14:textId="77777777" w:rsidR="00037539" w:rsidRPr="009931F4" w:rsidRDefault="00037539" w:rsidP="002A5172">
            <w:pPr>
              <w:keepNext/>
              <w:spacing w:before="20" w:after="20"/>
              <w:jc w:val="center"/>
              <w:rPr>
                <w:sz w:val="20"/>
                <w:szCs w:val="20"/>
              </w:rPr>
            </w:pPr>
            <w:r>
              <w:rPr>
                <w:sz w:val="20"/>
                <w:szCs w:val="20"/>
                <w:rtl/>
              </w:rPr>
              <w:t>المادة</w:t>
            </w:r>
          </w:p>
        </w:tc>
        <w:tc>
          <w:tcPr>
            <w:tcW w:w="1080" w:type="dxa"/>
            <w:vMerge w:val="restart"/>
            <w:vAlign w:val="center"/>
          </w:tcPr>
          <w:p w14:paraId="143E9B9E" w14:textId="5C8DB45B" w:rsidR="00037539" w:rsidRPr="00996241" w:rsidRDefault="00037539">
            <w:pPr>
              <w:keepNext/>
              <w:spacing w:before="20" w:after="20"/>
              <w:ind w:left="-106" w:right="-97"/>
              <w:rPr>
                <w:sz w:val="20"/>
                <w:szCs w:val="20"/>
              </w:rPr>
            </w:pPr>
            <w:r>
              <w:rPr>
                <w:sz w:val="20"/>
                <w:szCs w:val="20"/>
                <w:rtl/>
              </w:rPr>
              <w:t>الأيروسول</w:t>
            </w:r>
          </w:p>
        </w:tc>
        <w:tc>
          <w:tcPr>
            <w:tcW w:w="900" w:type="dxa"/>
            <w:vMerge w:val="restart"/>
            <w:vAlign w:val="center"/>
          </w:tcPr>
          <w:p w14:paraId="40E4C11C" w14:textId="77777777" w:rsidR="00037539" w:rsidRPr="00996241" w:rsidRDefault="00037539">
            <w:pPr>
              <w:keepNext/>
              <w:spacing w:before="20" w:after="20"/>
              <w:rPr>
                <w:sz w:val="20"/>
                <w:szCs w:val="20"/>
              </w:rPr>
            </w:pPr>
            <w:r>
              <w:rPr>
                <w:sz w:val="20"/>
                <w:szCs w:val="20"/>
                <w:rtl/>
              </w:rPr>
              <w:t>الرغاوى</w:t>
            </w:r>
          </w:p>
        </w:tc>
        <w:tc>
          <w:tcPr>
            <w:tcW w:w="1350" w:type="dxa"/>
            <w:vMerge w:val="restart"/>
            <w:vAlign w:val="center"/>
          </w:tcPr>
          <w:p w14:paraId="22D12F4F" w14:textId="77777777" w:rsidR="00037539" w:rsidRPr="00996241" w:rsidRDefault="00037539">
            <w:pPr>
              <w:keepNext/>
              <w:spacing w:before="20" w:after="20"/>
              <w:ind w:left="-106" w:right="-112"/>
              <w:rPr>
                <w:sz w:val="20"/>
                <w:szCs w:val="20"/>
              </w:rPr>
            </w:pPr>
            <w:r>
              <w:rPr>
                <w:sz w:val="20"/>
                <w:szCs w:val="20"/>
                <w:rtl/>
              </w:rPr>
              <w:t>مكافحة الحرائق</w:t>
            </w:r>
          </w:p>
        </w:tc>
        <w:tc>
          <w:tcPr>
            <w:tcW w:w="1710" w:type="dxa"/>
            <w:gridSpan w:val="2"/>
            <w:vAlign w:val="center"/>
          </w:tcPr>
          <w:p w14:paraId="4E109EE6" w14:textId="77777777" w:rsidR="00037539" w:rsidRPr="00996241" w:rsidRDefault="00037539" w:rsidP="002A5172">
            <w:pPr>
              <w:keepNext/>
              <w:spacing w:before="20" w:after="20"/>
              <w:jc w:val="center"/>
              <w:rPr>
                <w:sz w:val="20"/>
                <w:szCs w:val="20"/>
              </w:rPr>
            </w:pPr>
            <w:r>
              <w:rPr>
                <w:sz w:val="20"/>
                <w:szCs w:val="20"/>
                <w:rtl/>
              </w:rPr>
              <w:t>التبريد</w:t>
            </w:r>
          </w:p>
        </w:tc>
        <w:tc>
          <w:tcPr>
            <w:tcW w:w="797" w:type="dxa"/>
            <w:vMerge w:val="restart"/>
            <w:vAlign w:val="center"/>
          </w:tcPr>
          <w:p w14:paraId="6EACB60B" w14:textId="77777777" w:rsidR="00037539" w:rsidRPr="00996241" w:rsidRDefault="00037539" w:rsidP="002A5172">
            <w:pPr>
              <w:keepNext/>
              <w:spacing w:before="20" w:after="20"/>
              <w:ind w:left="-106" w:right="-105"/>
              <w:jc w:val="center"/>
              <w:rPr>
                <w:sz w:val="20"/>
                <w:szCs w:val="20"/>
              </w:rPr>
            </w:pPr>
            <w:r>
              <w:rPr>
                <w:sz w:val="20"/>
                <w:szCs w:val="20"/>
                <w:rtl/>
              </w:rPr>
              <w:t>المذيبات</w:t>
            </w:r>
          </w:p>
        </w:tc>
        <w:tc>
          <w:tcPr>
            <w:tcW w:w="1538" w:type="dxa"/>
            <w:gridSpan w:val="2"/>
            <w:vMerge w:val="restart"/>
            <w:tcBorders>
              <w:top w:val="single" w:sz="4" w:space="0" w:color="auto"/>
            </w:tcBorders>
            <w:vAlign w:val="center"/>
          </w:tcPr>
          <w:p w14:paraId="72D0B1B0" w14:textId="77777777" w:rsidR="00037539" w:rsidRPr="00996241" w:rsidRDefault="00037539" w:rsidP="002A5172">
            <w:pPr>
              <w:keepNext/>
              <w:spacing w:before="20" w:after="20"/>
              <w:jc w:val="center"/>
              <w:rPr>
                <w:sz w:val="20"/>
                <w:szCs w:val="20"/>
              </w:rPr>
            </w:pPr>
            <w:r>
              <w:rPr>
                <w:sz w:val="20"/>
                <w:szCs w:val="20"/>
                <w:rtl/>
              </w:rPr>
              <w:t>مجموع الاستهلاك القطاعي</w:t>
            </w:r>
          </w:p>
        </w:tc>
      </w:tr>
      <w:tr w:rsidR="00037539" w:rsidRPr="00EB31E3" w14:paraId="5AE6823D" w14:textId="77777777" w:rsidTr="00063F8A">
        <w:trPr>
          <w:cantSplit/>
          <w:trHeight w:val="46"/>
          <w:jc w:val="center"/>
        </w:trPr>
        <w:tc>
          <w:tcPr>
            <w:tcW w:w="2752" w:type="dxa"/>
            <w:vMerge/>
            <w:vAlign w:val="center"/>
          </w:tcPr>
          <w:p w14:paraId="17B51500" w14:textId="77777777" w:rsidR="00037539" w:rsidRPr="009931F4" w:rsidRDefault="00037539">
            <w:pPr>
              <w:keepNext/>
              <w:spacing w:before="20" w:after="20"/>
              <w:rPr>
                <w:sz w:val="20"/>
                <w:szCs w:val="20"/>
              </w:rPr>
            </w:pPr>
          </w:p>
        </w:tc>
        <w:tc>
          <w:tcPr>
            <w:tcW w:w="1080" w:type="dxa"/>
            <w:vMerge/>
            <w:vAlign w:val="center"/>
          </w:tcPr>
          <w:p w14:paraId="18F36663" w14:textId="77777777" w:rsidR="00037539" w:rsidRPr="00996241" w:rsidRDefault="00037539">
            <w:pPr>
              <w:keepNext/>
              <w:spacing w:before="20" w:after="20"/>
              <w:ind w:left="-106" w:right="-97"/>
              <w:rPr>
                <w:sz w:val="20"/>
                <w:szCs w:val="20"/>
              </w:rPr>
            </w:pPr>
          </w:p>
        </w:tc>
        <w:tc>
          <w:tcPr>
            <w:tcW w:w="900" w:type="dxa"/>
            <w:vMerge/>
            <w:vAlign w:val="center"/>
          </w:tcPr>
          <w:p w14:paraId="4CAB9F15" w14:textId="77777777" w:rsidR="00037539" w:rsidRPr="00996241" w:rsidRDefault="00037539">
            <w:pPr>
              <w:keepNext/>
              <w:spacing w:before="20" w:after="20"/>
              <w:rPr>
                <w:sz w:val="20"/>
                <w:szCs w:val="20"/>
              </w:rPr>
            </w:pPr>
          </w:p>
        </w:tc>
        <w:tc>
          <w:tcPr>
            <w:tcW w:w="1350" w:type="dxa"/>
            <w:vMerge/>
            <w:vAlign w:val="center"/>
          </w:tcPr>
          <w:p w14:paraId="6F02CE87" w14:textId="77777777" w:rsidR="00037539" w:rsidRPr="00996241" w:rsidRDefault="00037539">
            <w:pPr>
              <w:keepNext/>
              <w:spacing w:before="20" w:after="20"/>
              <w:ind w:left="-106" w:right="-112"/>
              <w:rPr>
                <w:sz w:val="20"/>
                <w:szCs w:val="20"/>
              </w:rPr>
            </w:pPr>
          </w:p>
        </w:tc>
        <w:tc>
          <w:tcPr>
            <w:tcW w:w="810" w:type="dxa"/>
            <w:vAlign w:val="center"/>
          </w:tcPr>
          <w:p w14:paraId="59BA1271" w14:textId="77777777" w:rsidR="00037539" w:rsidRPr="00996241" w:rsidRDefault="00037539">
            <w:pPr>
              <w:keepNext/>
              <w:spacing w:before="20" w:after="20"/>
              <w:rPr>
                <w:sz w:val="20"/>
                <w:szCs w:val="20"/>
              </w:rPr>
            </w:pPr>
            <w:r>
              <w:rPr>
                <w:sz w:val="20"/>
                <w:szCs w:val="20"/>
                <w:rtl/>
              </w:rPr>
              <w:t>التصنيع</w:t>
            </w:r>
          </w:p>
        </w:tc>
        <w:tc>
          <w:tcPr>
            <w:tcW w:w="900" w:type="dxa"/>
            <w:vAlign w:val="center"/>
          </w:tcPr>
          <w:p w14:paraId="52626D90" w14:textId="77777777" w:rsidR="00037539" w:rsidRPr="00996241" w:rsidRDefault="00037539">
            <w:pPr>
              <w:keepNext/>
              <w:spacing w:before="20" w:after="20"/>
              <w:rPr>
                <w:sz w:val="20"/>
                <w:szCs w:val="20"/>
              </w:rPr>
            </w:pPr>
            <w:r>
              <w:rPr>
                <w:sz w:val="20"/>
                <w:szCs w:val="20"/>
                <w:rtl/>
              </w:rPr>
              <w:t>الخدمة</w:t>
            </w:r>
          </w:p>
        </w:tc>
        <w:tc>
          <w:tcPr>
            <w:tcW w:w="797" w:type="dxa"/>
            <w:vMerge/>
            <w:vAlign w:val="center"/>
          </w:tcPr>
          <w:p w14:paraId="25121876" w14:textId="77777777" w:rsidR="00037539" w:rsidRPr="00996241" w:rsidRDefault="00037539">
            <w:pPr>
              <w:keepNext/>
              <w:spacing w:before="20" w:after="20"/>
              <w:ind w:left="-106" w:right="-105"/>
              <w:rPr>
                <w:sz w:val="20"/>
                <w:szCs w:val="20"/>
              </w:rPr>
            </w:pPr>
          </w:p>
        </w:tc>
        <w:tc>
          <w:tcPr>
            <w:tcW w:w="1538" w:type="dxa"/>
            <w:gridSpan w:val="2"/>
            <w:vMerge/>
            <w:vAlign w:val="center"/>
          </w:tcPr>
          <w:p w14:paraId="424136F7" w14:textId="77777777" w:rsidR="00037539" w:rsidRPr="00996241" w:rsidRDefault="00037539">
            <w:pPr>
              <w:keepNext/>
              <w:spacing w:before="20" w:after="20"/>
              <w:rPr>
                <w:sz w:val="20"/>
                <w:szCs w:val="20"/>
              </w:rPr>
            </w:pPr>
          </w:p>
        </w:tc>
      </w:tr>
      <w:tr w:rsidR="00037539" w:rsidRPr="00EB31E3" w14:paraId="63A9E992" w14:textId="77777777" w:rsidTr="00063F8A">
        <w:trPr>
          <w:cantSplit/>
          <w:trHeight w:val="250"/>
          <w:jc w:val="center"/>
        </w:trPr>
        <w:tc>
          <w:tcPr>
            <w:tcW w:w="2752" w:type="dxa"/>
            <w:vAlign w:val="center"/>
          </w:tcPr>
          <w:p w14:paraId="581F3633" w14:textId="77777777" w:rsidR="00037539" w:rsidRPr="005C66B3" w:rsidRDefault="00037539">
            <w:pPr>
              <w:spacing w:before="20" w:after="20"/>
              <w:rPr>
                <w:sz w:val="20"/>
                <w:szCs w:val="20"/>
              </w:rPr>
            </w:pPr>
            <w:r>
              <w:rPr>
                <w:color w:val="000000" w:themeColor="text1"/>
                <w:sz w:val="20"/>
                <w:szCs w:val="20"/>
                <w:rtl/>
              </w:rPr>
              <w:t>الهيدروكلوروفلوروكربون</w:t>
            </w:r>
            <w:r>
              <w:rPr>
                <w:color w:val="000000" w:themeColor="text1"/>
                <w:sz w:val="20"/>
                <w:szCs w:val="20"/>
                <w:rtl/>
              </w:rPr>
              <w:noBreakHyphen/>
              <w:t>22</w:t>
            </w:r>
          </w:p>
        </w:tc>
        <w:tc>
          <w:tcPr>
            <w:tcW w:w="1080" w:type="dxa"/>
            <w:vAlign w:val="center"/>
          </w:tcPr>
          <w:p w14:paraId="406F2CC7" w14:textId="77777777" w:rsidR="00037539" w:rsidRPr="005C66B3" w:rsidRDefault="00037539">
            <w:pPr>
              <w:spacing w:before="20" w:after="20"/>
              <w:rPr>
                <w:sz w:val="20"/>
                <w:szCs w:val="20"/>
              </w:rPr>
            </w:pPr>
          </w:p>
        </w:tc>
        <w:tc>
          <w:tcPr>
            <w:tcW w:w="900" w:type="dxa"/>
            <w:vAlign w:val="center"/>
          </w:tcPr>
          <w:p w14:paraId="04159780" w14:textId="77777777" w:rsidR="00037539" w:rsidRPr="005C66B3" w:rsidRDefault="00037539">
            <w:pPr>
              <w:spacing w:before="20" w:after="20"/>
              <w:rPr>
                <w:sz w:val="20"/>
                <w:szCs w:val="20"/>
              </w:rPr>
            </w:pPr>
          </w:p>
        </w:tc>
        <w:tc>
          <w:tcPr>
            <w:tcW w:w="1350" w:type="dxa"/>
            <w:vAlign w:val="center"/>
          </w:tcPr>
          <w:p w14:paraId="4B61CEBC" w14:textId="77777777" w:rsidR="00037539" w:rsidRPr="005C66B3" w:rsidRDefault="00037539">
            <w:pPr>
              <w:spacing w:before="20" w:after="20"/>
              <w:rPr>
                <w:sz w:val="20"/>
                <w:szCs w:val="20"/>
              </w:rPr>
            </w:pPr>
          </w:p>
        </w:tc>
        <w:tc>
          <w:tcPr>
            <w:tcW w:w="810" w:type="dxa"/>
            <w:vAlign w:val="center"/>
          </w:tcPr>
          <w:p w14:paraId="0244D5D9" w14:textId="77777777" w:rsidR="00037539" w:rsidRPr="005C66B3" w:rsidRDefault="00037539">
            <w:pPr>
              <w:spacing w:before="20" w:after="20"/>
              <w:rPr>
                <w:sz w:val="20"/>
                <w:szCs w:val="20"/>
              </w:rPr>
            </w:pPr>
          </w:p>
        </w:tc>
        <w:tc>
          <w:tcPr>
            <w:tcW w:w="900" w:type="dxa"/>
            <w:vAlign w:val="center"/>
          </w:tcPr>
          <w:p w14:paraId="25CC8741" w14:textId="77777777" w:rsidR="00037539" w:rsidRPr="005C66B3" w:rsidRDefault="00037539" w:rsidP="00874A2B">
            <w:pPr>
              <w:spacing w:before="20" w:after="20"/>
              <w:jc w:val="left"/>
              <w:rPr>
                <w:kern w:val="2"/>
                <w:sz w:val="20"/>
                <w:szCs w:val="20"/>
                <w:lang w:eastAsia="en-CA"/>
                <w14:ligatures w14:val="standardContextual"/>
              </w:rPr>
            </w:pPr>
            <w:r>
              <w:rPr>
                <w:color w:val="000000"/>
                <w:sz w:val="20"/>
                <w:szCs w:val="20"/>
              </w:rPr>
              <w:t>0.04</w:t>
            </w:r>
          </w:p>
        </w:tc>
        <w:tc>
          <w:tcPr>
            <w:tcW w:w="797" w:type="dxa"/>
            <w:vAlign w:val="center"/>
          </w:tcPr>
          <w:p w14:paraId="326D7C8B" w14:textId="77777777" w:rsidR="00037539" w:rsidRPr="005C66B3" w:rsidRDefault="00037539" w:rsidP="00874A2B">
            <w:pPr>
              <w:spacing w:before="20" w:after="20"/>
              <w:jc w:val="left"/>
              <w:rPr>
                <w:sz w:val="20"/>
                <w:szCs w:val="20"/>
              </w:rPr>
            </w:pPr>
          </w:p>
        </w:tc>
        <w:tc>
          <w:tcPr>
            <w:tcW w:w="1538" w:type="dxa"/>
            <w:gridSpan w:val="2"/>
            <w:vAlign w:val="center"/>
          </w:tcPr>
          <w:p w14:paraId="2D4FA641" w14:textId="77777777" w:rsidR="00037539" w:rsidRPr="005C66B3" w:rsidRDefault="00037539" w:rsidP="00874A2B">
            <w:pPr>
              <w:spacing w:before="20" w:after="20"/>
              <w:jc w:val="left"/>
              <w:rPr>
                <w:kern w:val="2"/>
                <w:sz w:val="20"/>
                <w:szCs w:val="20"/>
                <w:lang w:eastAsia="en-CA"/>
                <w14:ligatures w14:val="standardContextual"/>
              </w:rPr>
            </w:pPr>
            <w:r>
              <w:rPr>
                <w:color w:val="000000"/>
                <w:sz w:val="20"/>
                <w:szCs w:val="20"/>
              </w:rPr>
              <w:t>0.04</w:t>
            </w:r>
          </w:p>
        </w:tc>
      </w:tr>
    </w:tbl>
    <w:p w14:paraId="08727DB4" w14:textId="77777777" w:rsidR="00037539" w:rsidRPr="00BE2DAA" w:rsidRDefault="00037539" w:rsidP="00037539">
      <w:pPr>
        <w:jc w:val="center"/>
        <w:rPr>
          <w:sz w:val="26"/>
          <w:szCs w:val="26"/>
        </w:rPr>
      </w:pPr>
    </w:p>
    <w:tbl>
      <w:tblPr>
        <w:tblStyle w:val="TableGrid"/>
        <w:bidiVisual/>
        <w:tblW w:w="10127" w:type="dxa"/>
        <w:jc w:val="center"/>
        <w:tblLayout w:type="fixed"/>
        <w:tblLook w:val="04A0" w:firstRow="1" w:lastRow="0" w:firstColumn="1" w:lastColumn="0" w:noHBand="0" w:noVBand="1"/>
      </w:tblPr>
      <w:tblGrid>
        <w:gridCol w:w="2757"/>
        <w:gridCol w:w="2070"/>
        <w:gridCol w:w="3755"/>
        <w:gridCol w:w="1545"/>
      </w:tblGrid>
      <w:tr w:rsidR="00037539" w:rsidRPr="00EB31E3" w14:paraId="47C29205" w14:textId="77777777">
        <w:trPr>
          <w:cantSplit/>
          <w:trHeight w:val="272"/>
          <w:jc w:val="center"/>
        </w:trPr>
        <w:tc>
          <w:tcPr>
            <w:tcW w:w="10127" w:type="dxa"/>
            <w:gridSpan w:val="4"/>
            <w:vAlign w:val="center"/>
          </w:tcPr>
          <w:p w14:paraId="2B4D18F1" w14:textId="77777777" w:rsidR="00037539" w:rsidRPr="00996241" w:rsidRDefault="00037539">
            <w:pPr>
              <w:keepNext/>
              <w:spacing w:before="20" w:after="20"/>
              <w:rPr>
                <w:b/>
                <w:sz w:val="20"/>
                <w:szCs w:val="20"/>
              </w:rPr>
            </w:pPr>
            <w:r>
              <w:rPr>
                <w:b/>
                <w:bCs/>
                <w:sz w:val="20"/>
                <w:szCs w:val="20"/>
                <w:rtl/>
              </w:rPr>
              <w:t>بيانات الاستهلاك (طن من قدرات استنفاد الأوزون)</w:t>
            </w:r>
          </w:p>
        </w:tc>
      </w:tr>
      <w:tr w:rsidR="00037539" w:rsidRPr="00EB31E3" w14:paraId="02C75143" w14:textId="77777777" w:rsidTr="00874A2B">
        <w:trPr>
          <w:cantSplit/>
          <w:trHeight w:val="272"/>
          <w:jc w:val="center"/>
        </w:trPr>
        <w:tc>
          <w:tcPr>
            <w:tcW w:w="2757" w:type="dxa"/>
            <w:vAlign w:val="center"/>
          </w:tcPr>
          <w:p w14:paraId="0E6893B3" w14:textId="77777777" w:rsidR="00037539" w:rsidRPr="009931F4" w:rsidRDefault="00037539" w:rsidP="00874A2B">
            <w:pPr>
              <w:keepNext/>
              <w:spacing w:before="20" w:after="20"/>
              <w:jc w:val="left"/>
              <w:rPr>
                <w:sz w:val="20"/>
                <w:szCs w:val="20"/>
              </w:rPr>
            </w:pPr>
            <w:r>
              <w:rPr>
                <w:sz w:val="20"/>
                <w:szCs w:val="20"/>
                <w:rtl/>
              </w:rPr>
              <w:t>خط الأساس للفترة 2009–2010:</w:t>
            </w:r>
          </w:p>
        </w:tc>
        <w:tc>
          <w:tcPr>
            <w:tcW w:w="2070" w:type="dxa"/>
            <w:vAlign w:val="center"/>
          </w:tcPr>
          <w:p w14:paraId="5CF6F140" w14:textId="77777777" w:rsidR="00037539" w:rsidRPr="005C66B3" w:rsidRDefault="00037539" w:rsidP="00874A2B">
            <w:pPr>
              <w:keepNext/>
              <w:spacing w:before="20" w:after="20"/>
              <w:jc w:val="left"/>
              <w:rPr>
                <w:kern w:val="2"/>
                <w:sz w:val="20"/>
                <w:szCs w:val="20"/>
                <w:lang w:eastAsia="en-CA"/>
                <w14:ligatures w14:val="standardContextual"/>
              </w:rPr>
            </w:pPr>
            <w:r>
              <w:rPr>
                <w:sz w:val="20"/>
                <w:szCs w:val="20"/>
              </w:rPr>
              <w:t>2.20</w:t>
            </w:r>
          </w:p>
        </w:tc>
        <w:tc>
          <w:tcPr>
            <w:tcW w:w="3755" w:type="dxa"/>
            <w:vAlign w:val="center"/>
          </w:tcPr>
          <w:p w14:paraId="0891F913" w14:textId="77777777" w:rsidR="00037539" w:rsidRPr="00996241" w:rsidRDefault="00037539" w:rsidP="00874A2B">
            <w:pPr>
              <w:keepNext/>
              <w:spacing w:before="20" w:after="20"/>
              <w:jc w:val="left"/>
              <w:rPr>
                <w:sz w:val="20"/>
                <w:szCs w:val="20"/>
              </w:rPr>
            </w:pPr>
            <w:r>
              <w:rPr>
                <w:sz w:val="20"/>
                <w:szCs w:val="20"/>
                <w:rtl/>
              </w:rPr>
              <w:t>نقطة البدء للتخفيضات المجمعة المستدامة:</w:t>
            </w:r>
          </w:p>
        </w:tc>
        <w:tc>
          <w:tcPr>
            <w:tcW w:w="1545" w:type="dxa"/>
            <w:vAlign w:val="center"/>
          </w:tcPr>
          <w:p w14:paraId="630CF2B1" w14:textId="77777777" w:rsidR="00037539" w:rsidRPr="005C66B3" w:rsidRDefault="00037539" w:rsidP="00874A2B">
            <w:pPr>
              <w:keepNext/>
              <w:spacing w:before="20" w:after="20"/>
              <w:jc w:val="left"/>
              <w:rPr>
                <w:kern w:val="2"/>
                <w:sz w:val="20"/>
                <w:szCs w:val="20"/>
                <w:lang w:eastAsia="en-CA"/>
                <w14:ligatures w14:val="standardContextual"/>
              </w:rPr>
            </w:pPr>
            <w:r>
              <w:rPr>
                <w:sz w:val="20"/>
                <w:szCs w:val="20"/>
              </w:rPr>
              <w:t>0.15</w:t>
            </w:r>
          </w:p>
        </w:tc>
      </w:tr>
      <w:tr w:rsidR="00037539" w:rsidRPr="00EB31E3" w14:paraId="1707A2C2" w14:textId="77777777">
        <w:trPr>
          <w:cantSplit/>
          <w:trHeight w:val="163"/>
          <w:jc w:val="center"/>
        </w:trPr>
        <w:tc>
          <w:tcPr>
            <w:tcW w:w="10127" w:type="dxa"/>
            <w:gridSpan w:val="4"/>
          </w:tcPr>
          <w:p w14:paraId="33852C77" w14:textId="77777777" w:rsidR="00037539" w:rsidRPr="009931F4" w:rsidRDefault="00037539" w:rsidP="00874A2B">
            <w:pPr>
              <w:keepNext/>
              <w:tabs>
                <w:tab w:val="left" w:pos="993"/>
              </w:tabs>
              <w:spacing w:before="20" w:after="20"/>
              <w:ind w:left="426"/>
              <w:jc w:val="left"/>
              <w:rPr>
                <w:b/>
                <w:sz w:val="20"/>
                <w:szCs w:val="20"/>
              </w:rPr>
            </w:pPr>
            <w:r>
              <w:rPr>
                <w:b/>
                <w:bCs/>
                <w:sz w:val="20"/>
                <w:szCs w:val="20"/>
                <w:rtl/>
              </w:rPr>
              <w:t>الاستهلاك المؤهل للتمويل</w:t>
            </w:r>
          </w:p>
        </w:tc>
      </w:tr>
      <w:tr w:rsidR="00037539" w:rsidRPr="00EB31E3" w14:paraId="37DDD069" w14:textId="77777777" w:rsidTr="00874A2B">
        <w:trPr>
          <w:cantSplit/>
          <w:trHeight w:val="272"/>
          <w:jc w:val="center"/>
        </w:trPr>
        <w:tc>
          <w:tcPr>
            <w:tcW w:w="2757" w:type="dxa"/>
            <w:vAlign w:val="center"/>
          </w:tcPr>
          <w:p w14:paraId="1AFBA892" w14:textId="77777777" w:rsidR="00037539" w:rsidRPr="009931F4" w:rsidRDefault="00037539">
            <w:pPr>
              <w:spacing w:before="20" w:after="20"/>
              <w:rPr>
                <w:sz w:val="20"/>
                <w:szCs w:val="20"/>
              </w:rPr>
            </w:pPr>
            <w:r>
              <w:rPr>
                <w:sz w:val="20"/>
                <w:szCs w:val="20"/>
                <w:rtl/>
              </w:rPr>
              <w:t>الموافق عليه بالفعل:</w:t>
            </w:r>
          </w:p>
        </w:tc>
        <w:tc>
          <w:tcPr>
            <w:tcW w:w="2070" w:type="dxa"/>
            <w:vAlign w:val="center"/>
          </w:tcPr>
          <w:p w14:paraId="437EB671" w14:textId="77777777" w:rsidR="00037539" w:rsidRPr="00996241" w:rsidRDefault="00037539" w:rsidP="00874A2B">
            <w:pPr>
              <w:spacing w:before="20" w:after="20"/>
              <w:jc w:val="left"/>
              <w:rPr>
                <w:sz w:val="20"/>
                <w:szCs w:val="20"/>
              </w:rPr>
            </w:pPr>
            <w:r>
              <w:rPr>
                <w:color w:val="000000" w:themeColor="text1"/>
                <w:sz w:val="20"/>
                <w:szCs w:val="20"/>
              </w:rPr>
              <w:t>0.05</w:t>
            </w:r>
          </w:p>
        </w:tc>
        <w:tc>
          <w:tcPr>
            <w:tcW w:w="3755" w:type="dxa"/>
            <w:vAlign w:val="center"/>
          </w:tcPr>
          <w:p w14:paraId="6F29D8E0" w14:textId="77777777" w:rsidR="00037539" w:rsidRPr="00996241" w:rsidRDefault="00037539" w:rsidP="00874A2B">
            <w:pPr>
              <w:spacing w:before="20" w:after="20"/>
              <w:jc w:val="left"/>
              <w:rPr>
                <w:sz w:val="20"/>
                <w:szCs w:val="20"/>
              </w:rPr>
            </w:pPr>
            <w:r>
              <w:rPr>
                <w:sz w:val="20"/>
                <w:szCs w:val="20"/>
                <w:rtl/>
              </w:rPr>
              <w:t>المتبقي:</w:t>
            </w:r>
          </w:p>
        </w:tc>
        <w:tc>
          <w:tcPr>
            <w:tcW w:w="1545" w:type="dxa"/>
            <w:vAlign w:val="center"/>
          </w:tcPr>
          <w:p w14:paraId="337202AF" w14:textId="77777777" w:rsidR="00037539" w:rsidRPr="00996241" w:rsidRDefault="00037539" w:rsidP="00874A2B">
            <w:pPr>
              <w:spacing w:before="20" w:after="20"/>
              <w:jc w:val="left"/>
              <w:rPr>
                <w:sz w:val="20"/>
                <w:szCs w:val="20"/>
              </w:rPr>
            </w:pPr>
            <w:r>
              <w:rPr>
                <w:color w:val="000000" w:themeColor="text1"/>
                <w:sz w:val="20"/>
                <w:szCs w:val="20"/>
              </w:rPr>
              <w:t>0.10</w:t>
            </w:r>
          </w:p>
        </w:tc>
      </w:tr>
    </w:tbl>
    <w:p w14:paraId="53912801" w14:textId="77777777" w:rsidR="00037539" w:rsidRPr="00DC561D" w:rsidRDefault="00037539" w:rsidP="00037539">
      <w:pPr>
        <w:jc w:val="center"/>
        <w:rPr>
          <w:sz w:val="26"/>
          <w:szCs w:val="26"/>
        </w:rPr>
      </w:pPr>
    </w:p>
    <w:tbl>
      <w:tblPr>
        <w:tblStyle w:val="TableGrid"/>
        <w:bidiVisual/>
        <w:tblW w:w="10127" w:type="dxa"/>
        <w:jc w:val="center"/>
        <w:tblLayout w:type="fixed"/>
        <w:tblLook w:val="04A0" w:firstRow="1" w:lastRow="0" w:firstColumn="1" w:lastColumn="0" w:noHBand="0" w:noVBand="1"/>
      </w:tblPr>
      <w:tblGrid>
        <w:gridCol w:w="1578"/>
        <w:gridCol w:w="2718"/>
        <w:gridCol w:w="1428"/>
        <w:gridCol w:w="1428"/>
        <w:gridCol w:w="1428"/>
        <w:gridCol w:w="1547"/>
      </w:tblGrid>
      <w:tr w:rsidR="00037539" w:rsidRPr="00EB31E3" w14:paraId="013A3CBE" w14:textId="77777777">
        <w:trPr>
          <w:cantSplit/>
          <w:trHeight w:val="258"/>
          <w:jc w:val="center"/>
        </w:trPr>
        <w:tc>
          <w:tcPr>
            <w:tcW w:w="4296" w:type="dxa"/>
            <w:gridSpan w:val="2"/>
            <w:vAlign w:val="center"/>
          </w:tcPr>
          <w:p w14:paraId="02B8A2BB" w14:textId="77777777" w:rsidR="00037539" w:rsidRPr="00996241" w:rsidRDefault="00037539">
            <w:pPr>
              <w:keepNext/>
              <w:spacing w:before="20" w:after="20"/>
              <w:rPr>
                <w:b/>
                <w:sz w:val="20"/>
                <w:szCs w:val="20"/>
              </w:rPr>
            </w:pPr>
            <w:r>
              <w:rPr>
                <w:b/>
                <w:bCs/>
                <w:sz w:val="20"/>
                <w:szCs w:val="20"/>
                <w:rtl/>
              </w:rPr>
              <w:t>خطة الأعمال المعتمدة</w:t>
            </w:r>
          </w:p>
        </w:tc>
        <w:tc>
          <w:tcPr>
            <w:tcW w:w="1428" w:type="dxa"/>
            <w:vAlign w:val="center"/>
          </w:tcPr>
          <w:p w14:paraId="004796C9" w14:textId="77777777" w:rsidR="00037539" w:rsidRPr="00996241" w:rsidRDefault="00037539" w:rsidP="002A5172">
            <w:pPr>
              <w:keepNext/>
              <w:spacing w:before="20" w:after="20"/>
              <w:jc w:val="center"/>
              <w:rPr>
                <w:b/>
                <w:sz w:val="20"/>
                <w:szCs w:val="20"/>
              </w:rPr>
            </w:pPr>
            <w:r>
              <w:rPr>
                <w:b/>
                <w:bCs/>
                <w:sz w:val="20"/>
                <w:szCs w:val="20"/>
              </w:rPr>
              <w:t>2026</w:t>
            </w:r>
          </w:p>
        </w:tc>
        <w:tc>
          <w:tcPr>
            <w:tcW w:w="1428" w:type="dxa"/>
            <w:vAlign w:val="center"/>
          </w:tcPr>
          <w:p w14:paraId="55704F00" w14:textId="77777777" w:rsidR="00037539" w:rsidRPr="00996241" w:rsidRDefault="00037539" w:rsidP="002A5172">
            <w:pPr>
              <w:keepNext/>
              <w:spacing w:before="20" w:after="20"/>
              <w:jc w:val="center"/>
              <w:rPr>
                <w:b/>
                <w:sz w:val="20"/>
                <w:szCs w:val="20"/>
              </w:rPr>
            </w:pPr>
            <w:r>
              <w:rPr>
                <w:b/>
                <w:bCs/>
                <w:sz w:val="20"/>
                <w:szCs w:val="20"/>
              </w:rPr>
              <w:t>2027</w:t>
            </w:r>
          </w:p>
        </w:tc>
        <w:tc>
          <w:tcPr>
            <w:tcW w:w="1428" w:type="dxa"/>
            <w:vAlign w:val="center"/>
          </w:tcPr>
          <w:p w14:paraId="50938364" w14:textId="77777777" w:rsidR="00037539" w:rsidRPr="00996241" w:rsidRDefault="00037539" w:rsidP="002A5172">
            <w:pPr>
              <w:keepNext/>
              <w:spacing w:before="20" w:after="20"/>
              <w:jc w:val="center"/>
              <w:rPr>
                <w:b/>
                <w:sz w:val="20"/>
                <w:szCs w:val="20"/>
              </w:rPr>
            </w:pPr>
            <w:r>
              <w:rPr>
                <w:b/>
                <w:bCs/>
                <w:sz w:val="20"/>
                <w:szCs w:val="20"/>
              </w:rPr>
              <w:t>2028</w:t>
            </w:r>
          </w:p>
        </w:tc>
        <w:tc>
          <w:tcPr>
            <w:tcW w:w="1547" w:type="dxa"/>
            <w:vAlign w:val="center"/>
          </w:tcPr>
          <w:p w14:paraId="46247F73" w14:textId="77777777" w:rsidR="00037539" w:rsidRPr="00996241" w:rsidRDefault="00037539" w:rsidP="002A5172">
            <w:pPr>
              <w:keepNext/>
              <w:spacing w:before="20" w:after="20"/>
              <w:jc w:val="center"/>
              <w:rPr>
                <w:b/>
                <w:sz w:val="20"/>
                <w:szCs w:val="20"/>
              </w:rPr>
            </w:pPr>
            <w:r>
              <w:rPr>
                <w:b/>
                <w:bCs/>
                <w:sz w:val="20"/>
                <w:szCs w:val="20"/>
                <w:rtl/>
              </w:rPr>
              <w:t>المجموع</w:t>
            </w:r>
          </w:p>
        </w:tc>
      </w:tr>
      <w:tr w:rsidR="00037539" w:rsidRPr="00EB31E3" w14:paraId="63A50661" w14:textId="77777777">
        <w:trPr>
          <w:cantSplit/>
          <w:trHeight w:val="258"/>
          <w:jc w:val="center"/>
        </w:trPr>
        <w:tc>
          <w:tcPr>
            <w:tcW w:w="1578" w:type="dxa"/>
            <w:vMerge w:val="restart"/>
            <w:vAlign w:val="center"/>
          </w:tcPr>
          <w:p w14:paraId="3238EFF5" w14:textId="77777777" w:rsidR="00037539" w:rsidRPr="008A76E4" w:rsidRDefault="00037539" w:rsidP="002A5172">
            <w:pPr>
              <w:keepNext/>
              <w:spacing w:before="20" w:after="20"/>
              <w:jc w:val="center"/>
              <w:rPr>
                <w:kern w:val="2"/>
                <w:sz w:val="20"/>
                <w:szCs w:val="20"/>
                <w:lang w:eastAsia="en-CA"/>
                <w14:ligatures w14:val="standardContextual"/>
              </w:rPr>
            </w:pPr>
            <w:r>
              <w:rPr>
                <w:color w:val="000000"/>
                <w:sz w:val="20"/>
                <w:szCs w:val="20"/>
                <w:rtl/>
              </w:rPr>
              <w:t>اليونيب</w:t>
            </w:r>
          </w:p>
        </w:tc>
        <w:tc>
          <w:tcPr>
            <w:tcW w:w="2718" w:type="dxa"/>
            <w:vAlign w:val="center"/>
          </w:tcPr>
          <w:p w14:paraId="4D5A66EA" w14:textId="77777777" w:rsidR="00037539" w:rsidRPr="00996241" w:rsidRDefault="00037539">
            <w:pPr>
              <w:keepNext/>
              <w:spacing w:before="20" w:after="20"/>
              <w:rPr>
                <w:sz w:val="20"/>
                <w:szCs w:val="20"/>
              </w:rPr>
            </w:pPr>
            <w:r>
              <w:rPr>
                <w:sz w:val="20"/>
                <w:szCs w:val="20"/>
                <w:rtl/>
              </w:rPr>
              <w:t>إزالة المواد المستنفدة للأوزون (طن من قدرات استنفاد الأوزون)</w:t>
            </w:r>
          </w:p>
        </w:tc>
        <w:tc>
          <w:tcPr>
            <w:tcW w:w="1428" w:type="dxa"/>
            <w:vAlign w:val="center"/>
          </w:tcPr>
          <w:p w14:paraId="202B0D58" w14:textId="77777777" w:rsidR="00037539" w:rsidRPr="008A76E4" w:rsidRDefault="00037539" w:rsidP="00874A2B">
            <w:pPr>
              <w:keepNext/>
              <w:spacing w:before="20" w:after="20"/>
              <w:jc w:val="left"/>
              <w:rPr>
                <w:kern w:val="2"/>
                <w:sz w:val="20"/>
                <w:szCs w:val="20"/>
                <w:lang w:eastAsia="en-CA"/>
                <w14:ligatures w14:val="standardContextual"/>
              </w:rPr>
            </w:pPr>
            <w:r>
              <w:rPr>
                <w:sz w:val="20"/>
                <w:szCs w:val="20"/>
              </w:rPr>
              <w:t>0.02</w:t>
            </w:r>
          </w:p>
        </w:tc>
        <w:tc>
          <w:tcPr>
            <w:tcW w:w="1428" w:type="dxa"/>
            <w:vAlign w:val="center"/>
          </w:tcPr>
          <w:p w14:paraId="2EAB9B2C" w14:textId="77777777" w:rsidR="00037539" w:rsidRPr="008A76E4" w:rsidRDefault="00037539" w:rsidP="00874A2B">
            <w:pPr>
              <w:keepNext/>
              <w:spacing w:before="20" w:after="20"/>
              <w:jc w:val="left"/>
              <w:rPr>
                <w:kern w:val="2"/>
                <w:sz w:val="20"/>
                <w:szCs w:val="20"/>
                <w:lang w:eastAsia="en-CA"/>
                <w14:ligatures w14:val="standardContextual"/>
              </w:rPr>
            </w:pPr>
            <w:r>
              <w:rPr>
                <w:sz w:val="20"/>
                <w:szCs w:val="20"/>
              </w:rPr>
              <w:t>0.00</w:t>
            </w:r>
          </w:p>
        </w:tc>
        <w:tc>
          <w:tcPr>
            <w:tcW w:w="1428" w:type="dxa"/>
            <w:vAlign w:val="center"/>
          </w:tcPr>
          <w:p w14:paraId="086CB54A" w14:textId="77777777" w:rsidR="00037539" w:rsidRPr="008A76E4" w:rsidRDefault="00037539" w:rsidP="00874A2B">
            <w:pPr>
              <w:keepNext/>
              <w:spacing w:before="20" w:after="20"/>
              <w:jc w:val="left"/>
              <w:rPr>
                <w:kern w:val="2"/>
                <w:sz w:val="20"/>
                <w:szCs w:val="20"/>
                <w:lang w:eastAsia="en-CA"/>
                <w14:ligatures w14:val="standardContextual"/>
              </w:rPr>
            </w:pPr>
            <w:r>
              <w:rPr>
                <w:sz w:val="20"/>
                <w:szCs w:val="20"/>
              </w:rPr>
              <w:t>0.00</w:t>
            </w:r>
          </w:p>
        </w:tc>
        <w:tc>
          <w:tcPr>
            <w:tcW w:w="1547" w:type="dxa"/>
            <w:vAlign w:val="center"/>
          </w:tcPr>
          <w:p w14:paraId="4D73843D" w14:textId="77777777" w:rsidR="00037539" w:rsidRPr="008A76E4" w:rsidRDefault="00037539" w:rsidP="00874A2B">
            <w:pPr>
              <w:keepNext/>
              <w:spacing w:before="20" w:after="20"/>
              <w:jc w:val="left"/>
              <w:rPr>
                <w:kern w:val="2"/>
                <w:sz w:val="20"/>
                <w:szCs w:val="20"/>
                <w:lang w:eastAsia="en-CA"/>
                <w14:ligatures w14:val="standardContextual"/>
              </w:rPr>
            </w:pPr>
            <w:r>
              <w:rPr>
                <w:sz w:val="20"/>
                <w:szCs w:val="20"/>
              </w:rPr>
              <w:t>0.02</w:t>
            </w:r>
          </w:p>
        </w:tc>
      </w:tr>
      <w:tr w:rsidR="00037539" w:rsidRPr="00EB31E3" w14:paraId="2DCDC27E" w14:textId="77777777">
        <w:trPr>
          <w:cantSplit/>
          <w:trHeight w:val="258"/>
          <w:jc w:val="center"/>
        </w:trPr>
        <w:tc>
          <w:tcPr>
            <w:tcW w:w="1578" w:type="dxa"/>
            <w:vMerge/>
            <w:vAlign w:val="center"/>
          </w:tcPr>
          <w:p w14:paraId="4CF2987F" w14:textId="77777777" w:rsidR="00037539" w:rsidRPr="00996241" w:rsidRDefault="00037539">
            <w:pPr>
              <w:spacing w:before="20" w:after="20"/>
              <w:rPr>
                <w:sz w:val="20"/>
                <w:szCs w:val="20"/>
              </w:rPr>
            </w:pPr>
          </w:p>
        </w:tc>
        <w:tc>
          <w:tcPr>
            <w:tcW w:w="2718" w:type="dxa"/>
            <w:vAlign w:val="center"/>
          </w:tcPr>
          <w:p w14:paraId="11D11123" w14:textId="77777777" w:rsidR="00037539" w:rsidRPr="00996241" w:rsidRDefault="00037539">
            <w:pPr>
              <w:spacing w:before="20" w:after="20"/>
              <w:rPr>
                <w:sz w:val="20"/>
                <w:szCs w:val="20"/>
              </w:rPr>
            </w:pPr>
            <w:r>
              <w:rPr>
                <w:sz w:val="20"/>
                <w:szCs w:val="20"/>
                <w:rtl/>
              </w:rPr>
              <w:t>التمويل (بالدولار الأمريكي)</w:t>
            </w:r>
          </w:p>
        </w:tc>
        <w:tc>
          <w:tcPr>
            <w:tcW w:w="1428" w:type="dxa"/>
            <w:vAlign w:val="center"/>
          </w:tcPr>
          <w:p w14:paraId="1C8B2CC1" w14:textId="747032A1" w:rsidR="00037539" w:rsidRPr="008A76E4" w:rsidRDefault="00AB3113" w:rsidP="00874A2B">
            <w:pPr>
              <w:spacing w:before="20" w:after="20"/>
              <w:jc w:val="left"/>
              <w:rPr>
                <w:kern w:val="2"/>
                <w:sz w:val="20"/>
                <w:szCs w:val="20"/>
                <w:lang w:eastAsia="en-CA"/>
                <w14:ligatures w14:val="standardContextual"/>
              </w:rPr>
            </w:pPr>
            <w:r>
              <w:rPr>
                <w:kern w:val="2"/>
                <w:sz w:val="20"/>
                <w:szCs w:val="20"/>
                <w14:ligatures w14:val="standardContextual"/>
              </w:rPr>
              <w:t>169,535</w:t>
            </w:r>
          </w:p>
        </w:tc>
        <w:tc>
          <w:tcPr>
            <w:tcW w:w="1428" w:type="dxa"/>
            <w:vAlign w:val="center"/>
          </w:tcPr>
          <w:p w14:paraId="2240B511" w14:textId="77777777" w:rsidR="00037539" w:rsidRPr="008A76E4" w:rsidRDefault="00037539" w:rsidP="00874A2B">
            <w:pPr>
              <w:spacing w:before="20" w:after="20"/>
              <w:jc w:val="left"/>
              <w:rPr>
                <w:kern w:val="2"/>
                <w:sz w:val="20"/>
                <w:szCs w:val="20"/>
                <w:lang w:eastAsia="en-CA"/>
                <w14:ligatures w14:val="standardContextual"/>
              </w:rPr>
            </w:pPr>
            <w:r>
              <w:rPr>
                <w:sz w:val="20"/>
                <w:szCs w:val="20"/>
              </w:rPr>
              <w:t>0</w:t>
            </w:r>
          </w:p>
        </w:tc>
        <w:tc>
          <w:tcPr>
            <w:tcW w:w="1428" w:type="dxa"/>
            <w:vAlign w:val="center"/>
          </w:tcPr>
          <w:p w14:paraId="276F158F" w14:textId="77777777" w:rsidR="00037539" w:rsidRPr="008A76E4" w:rsidRDefault="00037539" w:rsidP="00874A2B">
            <w:pPr>
              <w:spacing w:before="20" w:after="20"/>
              <w:jc w:val="left"/>
              <w:rPr>
                <w:kern w:val="2"/>
                <w:sz w:val="20"/>
                <w:szCs w:val="20"/>
                <w:lang w:eastAsia="en-CA"/>
                <w14:ligatures w14:val="standardContextual"/>
              </w:rPr>
            </w:pPr>
            <w:r>
              <w:rPr>
                <w:sz w:val="20"/>
                <w:szCs w:val="20"/>
              </w:rPr>
              <w:t>0</w:t>
            </w:r>
          </w:p>
        </w:tc>
        <w:tc>
          <w:tcPr>
            <w:tcW w:w="1547" w:type="dxa"/>
            <w:vAlign w:val="center"/>
          </w:tcPr>
          <w:p w14:paraId="6B9AD441" w14:textId="4742A303" w:rsidR="00037539" w:rsidRPr="008A76E4" w:rsidRDefault="00AC2334" w:rsidP="00874A2B">
            <w:pPr>
              <w:spacing w:before="20" w:after="20"/>
              <w:jc w:val="left"/>
              <w:rPr>
                <w:kern w:val="2"/>
                <w:sz w:val="20"/>
                <w:szCs w:val="20"/>
                <w:lang w:eastAsia="en-CA"/>
                <w14:ligatures w14:val="standardContextual"/>
              </w:rPr>
            </w:pPr>
            <w:r>
              <w:rPr>
                <w:sz w:val="20"/>
                <w:szCs w:val="20"/>
              </w:rPr>
              <w:t>169,535</w:t>
            </w:r>
          </w:p>
        </w:tc>
      </w:tr>
    </w:tbl>
    <w:p w14:paraId="49AB1F6F" w14:textId="77777777" w:rsidR="00037539" w:rsidRPr="00BE2DAA" w:rsidRDefault="00037539" w:rsidP="00037539">
      <w:pPr>
        <w:spacing w:after="120"/>
        <w:ind w:left="-284" w:right="-279"/>
        <w:jc w:val="center"/>
        <w:rPr>
          <w:sz w:val="26"/>
          <w:szCs w:val="26"/>
        </w:rPr>
      </w:pPr>
    </w:p>
    <w:tbl>
      <w:tblPr>
        <w:tblStyle w:val="TableGrid"/>
        <w:bidiVisual/>
        <w:tblW w:w="10127" w:type="dxa"/>
        <w:jc w:val="center"/>
        <w:tblLayout w:type="fixed"/>
        <w:tblLook w:val="04A0" w:firstRow="1" w:lastRow="0" w:firstColumn="1" w:lastColumn="0" w:noHBand="0" w:noVBand="1"/>
      </w:tblPr>
      <w:tblGrid>
        <w:gridCol w:w="1539"/>
        <w:gridCol w:w="1433"/>
        <w:gridCol w:w="1435"/>
        <w:gridCol w:w="948"/>
        <w:gridCol w:w="948"/>
        <w:gridCol w:w="948"/>
        <w:gridCol w:w="948"/>
        <w:gridCol w:w="948"/>
        <w:gridCol w:w="980"/>
      </w:tblGrid>
      <w:tr w:rsidR="00037539" w:rsidRPr="00996241" w14:paraId="331F4002" w14:textId="77777777" w:rsidTr="0045196B">
        <w:trPr>
          <w:cantSplit/>
          <w:trHeight w:val="260"/>
          <w:jc w:val="center"/>
        </w:trPr>
        <w:tc>
          <w:tcPr>
            <w:tcW w:w="4407" w:type="dxa"/>
            <w:gridSpan w:val="3"/>
            <w:vAlign w:val="center"/>
          </w:tcPr>
          <w:p w14:paraId="44E1BFFD" w14:textId="77777777" w:rsidR="00037539" w:rsidRPr="00712359" w:rsidRDefault="00037539">
            <w:pPr>
              <w:keepNext/>
              <w:spacing w:before="20" w:after="20"/>
              <w:rPr>
                <w:b/>
                <w:bCs/>
                <w:sz w:val="20"/>
                <w:szCs w:val="20"/>
              </w:rPr>
            </w:pPr>
            <w:r>
              <w:rPr>
                <w:b/>
                <w:bCs/>
                <w:sz w:val="20"/>
                <w:szCs w:val="20"/>
                <w:rtl/>
              </w:rPr>
              <w:t>بيانات المشروع حسب ما اتُّفق عليه</w:t>
            </w:r>
          </w:p>
        </w:tc>
        <w:tc>
          <w:tcPr>
            <w:tcW w:w="948" w:type="dxa"/>
            <w:vAlign w:val="center"/>
          </w:tcPr>
          <w:p w14:paraId="238F1E82" w14:textId="77777777" w:rsidR="00037539" w:rsidRPr="00996241" w:rsidRDefault="00037539" w:rsidP="002A5172">
            <w:pPr>
              <w:keepNext/>
              <w:spacing w:before="20" w:after="20"/>
              <w:jc w:val="center"/>
              <w:rPr>
                <w:b/>
                <w:sz w:val="20"/>
                <w:szCs w:val="20"/>
              </w:rPr>
            </w:pPr>
            <w:r>
              <w:rPr>
                <w:b/>
                <w:bCs/>
                <w:sz w:val="20"/>
                <w:szCs w:val="20"/>
              </w:rPr>
              <w:t>2026</w:t>
            </w:r>
          </w:p>
        </w:tc>
        <w:tc>
          <w:tcPr>
            <w:tcW w:w="948" w:type="dxa"/>
            <w:vAlign w:val="center"/>
          </w:tcPr>
          <w:p w14:paraId="449233A6" w14:textId="77777777" w:rsidR="00037539" w:rsidRPr="00996241" w:rsidRDefault="00037539" w:rsidP="002A5172">
            <w:pPr>
              <w:keepNext/>
              <w:spacing w:before="20" w:after="20"/>
              <w:jc w:val="center"/>
              <w:rPr>
                <w:b/>
                <w:sz w:val="20"/>
                <w:szCs w:val="20"/>
              </w:rPr>
            </w:pPr>
            <w:r>
              <w:rPr>
                <w:b/>
                <w:bCs/>
                <w:sz w:val="20"/>
                <w:szCs w:val="20"/>
              </w:rPr>
              <w:t>2027</w:t>
            </w:r>
          </w:p>
        </w:tc>
        <w:tc>
          <w:tcPr>
            <w:tcW w:w="948" w:type="dxa"/>
            <w:vAlign w:val="center"/>
          </w:tcPr>
          <w:p w14:paraId="37D439A7" w14:textId="77777777" w:rsidR="00037539" w:rsidRPr="00996241" w:rsidRDefault="00037539" w:rsidP="002A5172">
            <w:pPr>
              <w:keepNext/>
              <w:spacing w:before="20" w:after="20"/>
              <w:jc w:val="center"/>
              <w:rPr>
                <w:b/>
                <w:sz w:val="20"/>
                <w:szCs w:val="20"/>
              </w:rPr>
            </w:pPr>
            <w:r>
              <w:rPr>
                <w:b/>
                <w:bCs/>
                <w:sz w:val="20"/>
                <w:szCs w:val="20"/>
              </w:rPr>
              <w:t>2028</w:t>
            </w:r>
          </w:p>
        </w:tc>
        <w:tc>
          <w:tcPr>
            <w:tcW w:w="948" w:type="dxa"/>
            <w:vAlign w:val="center"/>
          </w:tcPr>
          <w:p w14:paraId="63B4870B" w14:textId="77777777" w:rsidR="00037539" w:rsidRPr="00996241" w:rsidRDefault="00037539" w:rsidP="002A5172">
            <w:pPr>
              <w:keepNext/>
              <w:spacing w:before="20" w:after="20"/>
              <w:jc w:val="center"/>
              <w:rPr>
                <w:b/>
                <w:sz w:val="20"/>
                <w:szCs w:val="20"/>
              </w:rPr>
            </w:pPr>
            <w:r>
              <w:rPr>
                <w:b/>
                <w:bCs/>
                <w:sz w:val="20"/>
                <w:szCs w:val="20"/>
              </w:rPr>
              <w:t>2029</w:t>
            </w:r>
          </w:p>
        </w:tc>
        <w:tc>
          <w:tcPr>
            <w:tcW w:w="948" w:type="dxa"/>
            <w:vAlign w:val="center"/>
          </w:tcPr>
          <w:p w14:paraId="1FADA6DC" w14:textId="77777777" w:rsidR="00037539" w:rsidRDefault="00037539" w:rsidP="002A5172">
            <w:pPr>
              <w:keepNext/>
              <w:spacing w:before="20" w:after="20"/>
              <w:jc w:val="center"/>
              <w:rPr>
                <w:b/>
                <w:sz w:val="20"/>
                <w:szCs w:val="20"/>
              </w:rPr>
            </w:pPr>
            <w:r>
              <w:rPr>
                <w:b/>
                <w:bCs/>
                <w:sz w:val="20"/>
                <w:szCs w:val="20"/>
              </w:rPr>
              <w:t>2030</w:t>
            </w:r>
          </w:p>
        </w:tc>
        <w:tc>
          <w:tcPr>
            <w:tcW w:w="980" w:type="dxa"/>
            <w:vAlign w:val="center"/>
          </w:tcPr>
          <w:p w14:paraId="63E7150B" w14:textId="77777777" w:rsidR="00037539" w:rsidRPr="00996241" w:rsidRDefault="00037539" w:rsidP="002A5172">
            <w:pPr>
              <w:keepNext/>
              <w:spacing w:before="20" w:after="20"/>
              <w:jc w:val="center"/>
              <w:rPr>
                <w:b/>
                <w:sz w:val="20"/>
                <w:szCs w:val="20"/>
              </w:rPr>
            </w:pPr>
            <w:r>
              <w:rPr>
                <w:b/>
                <w:bCs/>
                <w:sz w:val="20"/>
                <w:szCs w:val="20"/>
                <w:rtl/>
              </w:rPr>
              <w:t>المجموع</w:t>
            </w:r>
          </w:p>
        </w:tc>
      </w:tr>
      <w:tr w:rsidR="00037539" w:rsidRPr="00996241" w14:paraId="14AEB2F1" w14:textId="77777777" w:rsidTr="0045196B">
        <w:trPr>
          <w:cantSplit/>
          <w:trHeight w:val="67"/>
          <w:jc w:val="center"/>
        </w:trPr>
        <w:tc>
          <w:tcPr>
            <w:tcW w:w="1539" w:type="dxa"/>
            <w:vMerge w:val="restart"/>
            <w:vAlign w:val="center"/>
          </w:tcPr>
          <w:p w14:paraId="50E74D9D" w14:textId="77777777" w:rsidR="00037539" w:rsidRPr="009931F4" w:rsidRDefault="00037539">
            <w:pPr>
              <w:keepNext/>
              <w:tabs>
                <w:tab w:val="left" w:pos="8280"/>
              </w:tabs>
              <w:spacing w:before="20" w:after="20"/>
              <w:ind w:right="-8"/>
              <w:rPr>
                <w:sz w:val="20"/>
                <w:szCs w:val="20"/>
              </w:rPr>
            </w:pPr>
            <w:r>
              <w:rPr>
                <w:sz w:val="20"/>
                <w:szCs w:val="20"/>
                <w:rtl/>
              </w:rPr>
              <w:t>الاستهلاك (طن من قدرات استنفاد الأوزون)</w:t>
            </w:r>
          </w:p>
        </w:tc>
        <w:tc>
          <w:tcPr>
            <w:tcW w:w="2868" w:type="dxa"/>
            <w:gridSpan w:val="2"/>
            <w:vAlign w:val="center"/>
          </w:tcPr>
          <w:p w14:paraId="5499656A" w14:textId="77777777" w:rsidR="00037539" w:rsidRPr="009931F4" w:rsidRDefault="00037539">
            <w:pPr>
              <w:keepNext/>
              <w:tabs>
                <w:tab w:val="left" w:pos="8280"/>
              </w:tabs>
              <w:spacing w:before="20" w:after="20"/>
              <w:ind w:right="-8"/>
              <w:rPr>
                <w:sz w:val="20"/>
                <w:szCs w:val="20"/>
              </w:rPr>
            </w:pPr>
            <w:r>
              <w:rPr>
                <w:sz w:val="20"/>
                <w:szCs w:val="20"/>
                <w:rtl/>
              </w:rPr>
              <w:t>حدود بروتوكول مونتريال</w:t>
            </w:r>
          </w:p>
        </w:tc>
        <w:tc>
          <w:tcPr>
            <w:tcW w:w="948" w:type="dxa"/>
            <w:vAlign w:val="center"/>
          </w:tcPr>
          <w:p w14:paraId="1BD46422" w14:textId="56BE715C" w:rsidR="00037539" w:rsidRPr="00320C4B" w:rsidRDefault="00037539" w:rsidP="00874A2B">
            <w:pPr>
              <w:keepNext/>
              <w:spacing w:before="20" w:after="20"/>
              <w:jc w:val="left"/>
              <w:rPr>
                <w:kern w:val="2"/>
                <w:sz w:val="20"/>
                <w:szCs w:val="20"/>
                <w:lang w:eastAsia="en-CA"/>
                <w14:ligatures w14:val="standardContextual"/>
              </w:rPr>
            </w:pPr>
            <w:r>
              <w:rPr>
                <w:sz w:val="20"/>
                <w:szCs w:val="20"/>
              </w:rPr>
              <w:t>0.72</w:t>
            </w:r>
          </w:p>
        </w:tc>
        <w:tc>
          <w:tcPr>
            <w:tcW w:w="948" w:type="dxa"/>
            <w:vAlign w:val="center"/>
          </w:tcPr>
          <w:p w14:paraId="3E1230E9" w14:textId="23E78539" w:rsidR="00037539" w:rsidRPr="00320C4B" w:rsidRDefault="00037539" w:rsidP="00874A2B">
            <w:pPr>
              <w:keepNext/>
              <w:spacing w:before="20" w:after="20"/>
              <w:jc w:val="left"/>
              <w:rPr>
                <w:kern w:val="2"/>
                <w:sz w:val="20"/>
                <w:szCs w:val="20"/>
                <w:lang w:eastAsia="en-CA"/>
                <w14:ligatures w14:val="standardContextual"/>
              </w:rPr>
            </w:pPr>
            <w:r>
              <w:rPr>
                <w:sz w:val="20"/>
                <w:szCs w:val="20"/>
              </w:rPr>
              <w:t>0.72</w:t>
            </w:r>
          </w:p>
        </w:tc>
        <w:tc>
          <w:tcPr>
            <w:tcW w:w="948" w:type="dxa"/>
            <w:vAlign w:val="center"/>
          </w:tcPr>
          <w:p w14:paraId="5AEB3C33" w14:textId="208B67E8" w:rsidR="00037539" w:rsidRPr="00320C4B" w:rsidRDefault="00037539" w:rsidP="00874A2B">
            <w:pPr>
              <w:keepNext/>
              <w:spacing w:before="20" w:after="20"/>
              <w:jc w:val="left"/>
              <w:rPr>
                <w:kern w:val="2"/>
                <w:sz w:val="20"/>
                <w:szCs w:val="20"/>
                <w:lang w:eastAsia="en-CA"/>
                <w14:ligatures w14:val="standardContextual"/>
              </w:rPr>
            </w:pPr>
            <w:r>
              <w:rPr>
                <w:sz w:val="20"/>
                <w:szCs w:val="20"/>
              </w:rPr>
              <w:t>0.72</w:t>
            </w:r>
          </w:p>
        </w:tc>
        <w:tc>
          <w:tcPr>
            <w:tcW w:w="948" w:type="dxa"/>
            <w:vAlign w:val="center"/>
          </w:tcPr>
          <w:p w14:paraId="0D715D67" w14:textId="2C6E5E63" w:rsidR="00037539" w:rsidRPr="00320C4B" w:rsidRDefault="00037539" w:rsidP="00874A2B">
            <w:pPr>
              <w:keepNext/>
              <w:spacing w:before="20" w:after="20"/>
              <w:jc w:val="left"/>
              <w:rPr>
                <w:kern w:val="2"/>
                <w:sz w:val="20"/>
                <w:szCs w:val="20"/>
                <w:lang w:eastAsia="en-CA"/>
                <w14:ligatures w14:val="standardContextual"/>
              </w:rPr>
            </w:pPr>
            <w:r>
              <w:rPr>
                <w:sz w:val="20"/>
                <w:szCs w:val="20"/>
              </w:rPr>
              <w:t>0.72</w:t>
            </w:r>
          </w:p>
        </w:tc>
        <w:tc>
          <w:tcPr>
            <w:tcW w:w="948" w:type="dxa"/>
            <w:vAlign w:val="center"/>
          </w:tcPr>
          <w:p w14:paraId="5118E8F9" w14:textId="77777777" w:rsidR="00037539" w:rsidRPr="00320C4B" w:rsidRDefault="00037539" w:rsidP="00874A2B">
            <w:pPr>
              <w:keepNext/>
              <w:spacing w:before="20" w:after="20"/>
              <w:jc w:val="left"/>
              <w:rPr>
                <w:kern w:val="2"/>
                <w:sz w:val="20"/>
                <w:szCs w:val="20"/>
                <w:highlight w:val="cyan"/>
                <w:lang w:eastAsia="en-CA"/>
                <w14:ligatures w14:val="standardContextual"/>
              </w:rPr>
            </w:pPr>
            <w:r>
              <w:rPr>
                <w:sz w:val="20"/>
                <w:szCs w:val="20"/>
              </w:rPr>
              <w:t>0.00</w:t>
            </w:r>
          </w:p>
        </w:tc>
        <w:tc>
          <w:tcPr>
            <w:tcW w:w="980" w:type="dxa"/>
            <w:vAlign w:val="center"/>
          </w:tcPr>
          <w:p w14:paraId="43AE66E8" w14:textId="77777777" w:rsidR="00037539" w:rsidRPr="00320C4B" w:rsidRDefault="00037539">
            <w:pPr>
              <w:keepNext/>
              <w:tabs>
                <w:tab w:val="left" w:pos="8280"/>
              </w:tabs>
              <w:spacing w:before="20" w:after="20"/>
              <w:rPr>
                <w:sz w:val="20"/>
                <w:szCs w:val="20"/>
              </w:rPr>
            </w:pPr>
            <w:r>
              <w:rPr>
                <w:sz w:val="20"/>
                <w:szCs w:val="20"/>
                <w:rtl/>
              </w:rPr>
              <w:t>لا ينطبق</w:t>
            </w:r>
          </w:p>
        </w:tc>
      </w:tr>
      <w:tr w:rsidR="00037539" w:rsidRPr="00996241" w14:paraId="205456F3" w14:textId="77777777" w:rsidTr="0045196B">
        <w:trPr>
          <w:cantSplit/>
          <w:trHeight w:val="190"/>
          <w:jc w:val="center"/>
        </w:trPr>
        <w:tc>
          <w:tcPr>
            <w:tcW w:w="1539" w:type="dxa"/>
            <w:vMerge/>
            <w:vAlign w:val="center"/>
          </w:tcPr>
          <w:p w14:paraId="0D13872B" w14:textId="77777777" w:rsidR="00037539" w:rsidRPr="00996241" w:rsidRDefault="00037539">
            <w:pPr>
              <w:keepNext/>
              <w:tabs>
                <w:tab w:val="left" w:pos="8280"/>
              </w:tabs>
              <w:spacing w:before="20" w:after="20"/>
              <w:rPr>
                <w:sz w:val="20"/>
                <w:szCs w:val="20"/>
              </w:rPr>
            </w:pPr>
          </w:p>
        </w:tc>
        <w:tc>
          <w:tcPr>
            <w:tcW w:w="2868" w:type="dxa"/>
            <w:gridSpan w:val="2"/>
            <w:vAlign w:val="center"/>
          </w:tcPr>
          <w:p w14:paraId="41353844" w14:textId="77777777" w:rsidR="00037539" w:rsidRPr="00996241" w:rsidRDefault="00037539">
            <w:pPr>
              <w:keepNext/>
              <w:tabs>
                <w:tab w:val="left" w:pos="8280"/>
              </w:tabs>
              <w:spacing w:before="20" w:after="20"/>
              <w:rPr>
                <w:sz w:val="20"/>
                <w:szCs w:val="20"/>
              </w:rPr>
            </w:pPr>
            <w:r>
              <w:rPr>
                <w:sz w:val="20"/>
                <w:szCs w:val="20"/>
                <w:rtl/>
              </w:rPr>
              <w:t>الحد الأقصى المسموح به</w:t>
            </w:r>
          </w:p>
        </w:tc>
        <w:tc>
          <w:tcPr>
            <w:tcW w:w="948" w:type="dxa"/>
            <w:vAlign w:val="center"/>
          </w:tcPr>
          <w:p w14:paraId="31BC52A9" w14:textId="3CEE11F1" w:rsidR="00037539" w:rsidRPr="00320C4B" w:rsidRDefault="00037539" w:rsidP="00874A2B">
            <w:pPr>
              <w:keepNext/>
              <w:spacing w:before="20" w:after="20"/>
              <w:jc w:val="left"/>
              <w:rPr>
                <w:kern w:val="2"/>
                <w:sz w:val="20"/>
                <w:szCs w:val="20"/>
                <w:lang w:eastAsia="en-CA"/>
                <w14:ligatures w14:val="standardContextual"/>
              </w:rPr>
            </w:pPr>
            <w:r>
              <w:rPr>
                <w:sz w:val="20"/>
                <w:szCs w:val="20"/>
              </w:rPr>
              <w:t>0.05</w:t>
            </w:r>
          </w:p>
        </w:tc>
        <w:tc>
          <w:tcPr>
            <w:tcW w:w="948" w:type="dxa"/>
            <w:vAlign w:val="center"/>
          </w:tcPr>
          <w:p w14:paraId="20BBDB96" w14:textId="365937A6" w:rsidR="00037539" w:rsidRPr="00320C4B" w:rsidRDefault="00037539" w:rsidP="00874A2B">
            <w:pPr>
              <w:keepNext/>
              <w:spacing w:before="20" w:after="20"/>
              <w:jc w:val="left"/>
              <w:rPr>
                <w:kern w:val="2"/>
                <w:sz w:val="20"/>
                <w:szCs w:val="20"/>
                <w:lang w:eastAsia="en-CA"/>
                <w14:ligatures w14:val="standardContextual"/>
              </w:rPr>
            </w:pPr>
            <w:r>
              <w:rPr>
                <w:sz w:val="20"/>
                <w:szCs w:val="20"/>
              </w:rPr>
              <w:t>0.05</w:t>
            </w:r>
          </w:p>
        </w:tc>
        <w:tc>
          <w:tcPr>
            <w:tcW w:w="948" w:type="dxa"/>
            <w:vAlign w:val="center"/>
          </w:tcPr>
          <w:p w14:paraId="61E3DA30" w14:textId="72804B61" w:rsidR="00037539" w:rsidRPr="00320C4B" w:rsidRDefault="00037539" w:rsidP="00874A2B">
            <w:pPr>
              <w:keepNext/>
              <w:spacing w:before="20" w:after="20"/>
              <w:jc w:val="left"/>
              <w:rPr>
                <w:kern w:val="2"/>
                <w:sz w:val="20"/>
                <w:szCs w:val="20"/>
                <w:lang w:eastAsia="en-CA"/>
                <w14:ligatures w14:val="standardContextual"/>
              </w:rPr>
            </w:pPr>
            <w:r>
              <w:rPr>
                <w:sz w:val="20"/>
                <w:szCs w:val="20"/>
              </w:rPr>
              <w:t>0.05</w:t>
            </w:r>
          </w:p>
        </w:tc>
        <w:tc>
          <w:tcPr>
            <w:tcW w:w="948" w:type="dxa"/>
            <w:vAlign w:val="center"/>
          </w:tcPr>
          <w:p w14:paraId="7D365553" w14:textId="3536968D" w:rsidR="00037539" w:rsidRPr="00320C4B" w:rsidRDefault="00037539" w:rsidP="00874A2B">
            <w:pPr>
              <w:keepNext/>
              <w:spacing w:before="20" w:after="20"/>
              <w:jc w:val="left"/>
              <w:rPr>
                <w:kern w:val="2"/>
                <w:sz w:val="20"/>
                <w:szCs w:val="20"/>
                <w:lang w:eastAsia="en-CA"/>
                <w14:ligatures w14:val="standardContextual"/>
              </w:rPr>
            </w:pPr>
            <w:r>
              <w:rPr>
                <w:sz w:val="20"/>
                <w:szCs w:val="20"/>
              </w:rPr>
              <w:t>0.05</w:t>
            </w:r>
          </w:p>
        </w:tc>
        <w:tc>
          <w:tcPr>
            <w:tcW w:w="948" w:type="dxa"/>
            <w:vAlign w:val="center"/>
          </w:tcPr>
          <w:p w14:paraId="287454F4" w14:textId="77777777" w:rsidR="00037539" w:rsidRPr="00320C4B" w:rsidRDefault="00037539" w:rsidP="00874A2B">
            <w:pPr>
              <w:keepNext/>
              <w:spacing w:before="20" w:after="20"/>
              <w:jc w:val="left"/>
              <w:rPr>
                <w:kern w:val="2"/>
                <w:sz w:val="20"/>
                <w:szCs w:val="20"/>
                <w:highlight w:val="cyan"/>
                <w:lang w:eastAsia="en-CA"/>
                <w14:ligatures w14:val="standardContextual"/>
              </w:rPr>
            </w:pPr>
            <w:r>
              <w:rPr>
                <w:sz w:val="20"/>
                <w:szCs w:val="20"/>
              </w:rPr>
              <w:t>0.00</w:t>
            </w:r>
          </w:p>
        </w:tc>
        <w:tc>
          <w:tcPr>
            <w:tcW w:w="980" w:type="dxa"/>
            <w:vAlign w:val="center"/>
          </w:tcPr>
          <w:p w14:paraId="11EBDB9A" w14:textId="77777777" w:rsidR="00037539" w:rsidRPr="00320C4B" w:rsidRDefault="00037539">
            <w:pPr>
              <w:keepNext/>
              <w:tabs>
                <w:tab w:val="left" w:pos="8280"/>
              </w:tabs>
              <w:spacing w:before="20" w:after="20"/>
              <w:rPr>
                <w:sz w:val="20"/>
                <w:szCs w:val="20"/>
              </w:rPr>
            </w:pPr>
            <w:r>
              <w:rPr>
                <w:sz w:val="20"/>
                <w:szCs w:val="20"/>
                <w:rtl/>
              </w:rPr>
              <w:t>لا ينطبق</w:t>
            </w:r>
          </w:p>
        </w:tc>
      </w:tr>
      <w:tr w:rsidR="00037539" w:rsidRPr="00996241" w14:paraId="43CAB02D" w14:textId="77777777" w:rsidTr="0045196B">
        <w:trPr>
          <w:cantSplit/>
          <w:trHeight w:val="106"/>
          <w:jc w:val="center"/>
        </w:trPr>
        <w:tc>
          <w:tcPr>
            <w:tcW w:w="1539" w:type="dxa"/>
            <w:vMerge w:val="restart"/>
            <w:vAlign w:val="center"/>
          </w:tcPr>
          <w:p w14:paraId="5E985E00" w14:textId="77777777" w:rsidR="00037539" w:rsidRPr="00F72BF4" w:rsidRDefault="00037539">
            <w:pPr>
              <w:keepNext/>
              <w:tabs>
                <w:tab w:val="left" w:pos="8280"/>
              </w:tabs>
              <w:spacing w:before="20" w:after="20"/>
              <w:ind w:right="-3"/>
              <w:rPr>
                <w:sz w:val="20"/>
                <w:szCs w:val="20"/>
              </w:rPr>
            </w:pPr>
            <w:r>
              <w:rPr>
                <w:sz w:val="20"/>
                <w:szCs w:val="20"/>
                <w:rtl/>
              </w:rPr>
              <w:t>تكاليف المشروع المطلوبة من حيث المبدأ (بالدولار الأمريكي)</w:t>
            </w:r>
          </w:p>
        </w:tc>
        <w:tc>
          <w:tcPr>
            <w:tcW w:w="1433" w:type="dxa"/>
            <w:vMerge w:val="restart"/>
            <w:vAlign w:val="center"/>
          </w:tcPr>
          <w:p w14:paraId="165B08E9" w14:textId="77777777" w:rsidR="00037539" w:rsidRPr="00E31F1A" w:rsidRDefault="00037539" w:rsidP="002A5172">
            <w:pPr>
              <w:keepNext/>
              <w:spacing w:before="20" w:after="20"/>
              <w:jc w:val="center"/>
              <w:rPr>
                <w:kern w:val="2"/>
                <w:sz w:val="20"/>
                <w:szCs w:val="20"/>
                <w:lang w:eastAsia="en-CA"/>
                <w14:ligatures w14:val="standardContextual"/>
              </w:rPr>
            </w:pPr>
            <w:r>
              <w:rPr>
                <w:sz w:val="20"/>
                <w:szCs w:val="20"/>
                <w:rtl/>
              </w:rPr>
              <w:t>اليونيب</w:t>
            </w:r>
          </w:p>
        </w:tc>
        <w:tc>
          <w:tcPr>
            <w:tcW w:w="1435" w:type="dxa"/>
            <w:vAlign w:val="center"/>
          </w:tcPr>
          <w:p w14:paraId="3D717D21" w14:textId="77777777" w:rsidR="00037539" w:rsidRPr="00996241" w:rsidRDefault="00037539">
            <w:pPr>
              <w:keepNext/>
              <w:tabs>
                <w:tab w:val="left" w:pos="8280"/>
              </w:tabs>
              <w:spacing w:before="20" w:after="20"/>
              <w:rPr>
                <w:sz w:val="20"/>
                <w:szCs w:val="20"/>
              </w:rPr>
            </w:pPr>
            <w:r>
              <w:rPr>
                <w:sz w:val="20"/>
                <w:szCs w:val="20"/>
                <w:rtl/>
              </w:rPr>
              <w:t>تكاليف المشروع</w:t>
            </w:r>
          </w:p>
        </w:tc>
        <w:tc>
          <w:tcPr>
            <w:tcW w:w="948" w:type="dxa"/>
            <w:vAlign w:val="center"/>
          </w:tcPr>
          <w:p w14:paraId="45DA3474"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85,500</w:t>
            </w:r>
          </w:p>
        </w:tc>
        <w:tc>
          <w:tcPr>
            <w:tcW w:w="948" w:type="dxa"/>
            <w:vAlign w:val="center"/>
          </w:tcPr>
          <w:p w14:paraId="5F1B1B55"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2DF479E0"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86,400</w:t>
            </w:r>
          </w:p>
        </w:tc>
        <w:tc>
          <w:tcPr>
            <w:tcW w:w="948" w:type="dxa"/>
            <w:vAlign w:val="center"/>
          </w:tcPr>
          <w:p w14:paraId="16F452BB"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361686EF"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19,100</w:t>
            </w:r>
          </w:p>
        </w:tc>
        <w:tc>
          <w:tcPr>
            <w:tcW w:w="980" w:type="dxa"/>
            <w:vAlign w:val="center"/>
          </w:tcPr>
          <w:p w14:paraId="19433EBE" w14:textId="77777777" w:rsidR="00037539" w:rsidRPr="00320C4B" w:rsidRDefault="00037539">
            <w:pPr>
              <w:keepNext/>
              <w:spacing w:before="20" w:after="20"/>
              <w:rPr>
                <w:kern w:val="2"/>
                <w:sz w:val="20"/>
                <w:szCs w:val="20"/>
                <w:lang w:eastAsia="en-CA"/>
                <w14:ligatures w14:val="standardContextual"/>
              </w:rPr>
            </w:pPr>
            <w:r>
              <w:rPr>
                <w:sz w:val="20"/>
                <w:szCs w:val="20"/>
              </w:rPr>
              <w:t>191,000</w:t>
            </w:r>
          </w:p>
        </w:tc>
      </w:tr>
      <w:tr w:rsidR="00037539" w:rsidRPr="00996241" w14:paraId="4EFE3A25" w14:textId="77777777" w:rsidTr="0045196B">
        <w:trPr>
          <w:cantSplit/>
          <w:trHeight w:val="46"/>
          <w:jc w:val="center"/>
        </w:trPr>
        <w:tc>
          <w:tcPr>
            <w:tcW w:w="1539" w:type="dxa"/>
            <w:vMerge/>
            <w:vAlign w:val="center"/>
          </w:tcPr>
          <w:p w14:paraId="51D58E2E" w14:textId="77777777" w:rsidR="00037539" w:rsidRPr="00996241" w:rsidRDefault="00037539">
            <w:pPr>
              <w:keepNext/>
              <w:tabs>
                <w:tab w:val="left" w:pos="8280"/>
              </w:tabs>
              <w:spacing w:before="20" w:after="20"/>
              <w:rPr>
                <w:sz w:val="20"/>
                <w:szCs w:val="20"/>
              </w:rPr>
            </w:pPr>
          </w:p>
        </w:tc>
        <w:tc>
          <w:tcPr>
            <w:tcW w:w="1433" w:type="dxa"/>
            <w:vMerge/>
            <w:vAlign w:val="center"/>
          </w:tcPr>
          <w:p w14:paraId="08BC60C4" w14:textId="77777777" w:rsidR="00037539" w:rsidRPr="00996241" w:rsidRDefault="00037539">
            <w:pPr>
              <w:keepNext/>
              <w:tabs>
                <w:tab w:val="left" w:pos="8280"/>
              </w:tabs>
              <w:spacing w:before="20" w:after="20"/>
              <w:rPr>
                <w:sz w:val="20"/>
                <w:szCs w:val="20"/>
              </w:rPr>
            </w:pPr>
          </w:p>
        </w:tc>
        <w:tc>
          <w:tcPr>
            <w:tcW w:w="1435" w:type="dxa"/>
            <w:vAlign w:val="center"/>
          </w:tcPr>
          <w:p w14:paraId="3DD901D1" w14:textId="77777777" w:rsidR="00037539" w:rsidRPr="00996241" w:rsidRDefault="00037539">
            <w:pPr>
              <w:keepNext/>
              <w:tabs>
                <w:tab w:val="left" w:pos="8280"/>
              </w:tabs>
              <w:spacing w:before="20" w:after="20"/>
              <w:rPr>
                <w:sz w:val="20"/>
                <w:szCs w:val="20"/>
              </w:rPr>
            </w:pPr>
            <w:r>
              <w:rPr>
                <w:sz w:val="20"/>
                <w:szCs w:val="20"/>
                <w:rtl/>
              </w:rPr>
              <w:t>تكاليف الدعم</w:t>
            </w:r>
          </w:p>
        </w:tc>
        <w:tc>
          <w:tcPr>
            <w:tcW w:w="948" w:type="dxa"/>
            <w:vAlign w:val="center"/>
          </w:tcPr>
          <w:p w14:paraId="492774C2"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11,115</w:t>
            </w:r>
          </w:p>
        </w:tc>
        <w:tc>
          <w:tcPr>
            <w:tcW w:w="948" w:type="dxa"/>
            <w:vAlign w:val="center"/>
          </w:tcPr>
          <w:p w14:paraId="09B71B69"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50A331F5"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11,232</w:t>
            </w:r>
          </w:p>
        </w:tc>
        <w:tc>
          <w:tcPr>
            <w:tcW w:w="948" w:type="dxa"/>
            <w:vAlign w:val="center"/>
          </w:tcPr>
          <w:p w14:paraId="1FC0614B"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32613331"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2,483</w:t>
            </w:r>
          </w:p>
        </w:tc>
        <w:tc>
          <w:tcPr>
            <w:tcW w:w="980" w:type="dxa"/>
            <w:vAlign w:val="center"/>
          </w:tcPr>
          <w:p w14:paraId="55F5BA70" w14:textId="77777777" w:rsidR="00037539" w:rsidRPr="00320C4B" w:rsidRDefault="00037539">
            <w:pPr>
              <w:keepNext/>
              <w:spacing w:before="20" w:after="20"/>
              <w:rPr>
                <w:kern w:val="2"/>
                <w:sz w:val="20"/>
                <w:szCs w:val="20"/>
                <w:lang w:eastAsia="en-CA"/>
                <w14:ligatures w14:val="standardContextual"/>
              </w:rPr>
            </w:pPr>
            <w:r>
              <w:rPr>
                <w:sz w:val="20"/>
                <w:szCs w:val="20"/>
              </w:rPr>
              <w:t>24,830</w:t>
            </w:r>
          </w:p>
        </w:tc>
      </w:tr>
      <w:tr w:rsidR="00037539" w:rsidRPr="00996241" w14:paraId="66E00A3F" w14:textId="77777777" w:rsidTr="0045196B">
        <w:trPr>
          <w:cantSplit/>
          <w:trHeight w:val="157"/>
          <w:jc w:val="center"/>
        </w:trPr>
        <w:tc>
          <w:tcPr>
            <w:tcW w:w="2972" w:type="dxa"/>
            <w:gridSpan w:val="2"/>
            <w:vMerge w:val="restart"/>
            <w:vAlign w:val="center"/>
          </w:tcPr>
          <w:p w14:paraId="0A098705" w14:textId="77777777" w:rsidR="00037539" w:rsidRPr="002F50A8" w:rsidRDefault="00037539">
            <w:pPr>
              <w:keepNext/>
              <w:tabs>
                <w:tab w:val="left" w:pos="8280"/>
              </w:tabs>
              <w:spacing w:before="20" w:after="20"/>
              <w:rPr>
                <w:sz w:val="20"/>
                <w:szCs w:val="20"/>
              </w:rPr>
            </w:pPr>
            <w:r>
              <w:rPr>
                <w:sz w:val="20"/>
                <w:szCs w:val="20"/>
                <w:rtl/>
              </w:rPr>
              <w:t>مجموع المبالغ الموصى بها من حيث المبدأ (بالدولار الأمريكي)</w:t>
            </w:r>
          </w:p>
        </w:tc>
        <w:tc>
          <w:tcPr>
            <w:tcW w:w="1435" w:type="dxa"/>
            <w:vAlign w:val="center"/>
          </w:tcPr>
          <w:p w14:paraId="2A8D7BAC" w14:textId="77777777" w:rsidR="00037539" w:rsidRPr="002F50A8" w:rsidRDefault="00037539">
            <w:pPr>
              <w:keepNext/>
              <w:tabs>
                <w:tab w:val="left" w:pos="8280"/>
              </w:tabs>
              <w:spacing w:before="20" w:after="20"/>
              <w:rPr>
                <w:sz w:val="20"/>
                <w:szCs w:val="20"/>
              </w:rPr>
            </w:pPr>
            <w:r>
              <w:rPr>
                <w:sz w:val="20"/>
                <w:szCs w:val="20"/>
                <w:rtl/>
              </w:rPr>
              <w:t>تكاليف المشروع</w:t>
            </w:r>
          </w:p>
        </w:tc>
        <w:tc>
          <w:tcPr>
            <w:tcW w:w="948" w:type="dxa"/>
            <w:vAlign w:val="center"/>
          </w:tcPr>
          <w:p w14:paraId="10CE3973"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85,500</w:t>
            </w:r>
          </w:p>
        </w:tc>
        <w:tc>
          <w:tcPr>
            <w:tcW w:w="948" w:type="dxa"/>
            <w:vAlign w:val="center"/>
          </w:tcPr>
          <w:p w14:paraId="527E9A96"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5DFD53F7"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86,400</w:t>
            </w:r>
          </w:p>
        </w:tc>
        <w:tc>
          <w:tcPr>
            <w:tcW w:w="948" w:type="dxa"/>
            <w:vAlign w:val="center"/>
          </w:tcPr>
          <w:p w14:paraId="5A8B2503"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2717CEB7"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19,100</w:t>
            </w:r>
          </w:p>
        </w:tc>
        <w:tc>
          <w:tcPr>
            <w:tcW w:w="980" w:type="dxa"/>
            <w:vAlign w:val="center"/>
          </w:tcPr>
          <w:p w14:paraId="5762082A" w14:textId="77777777" w:rsidR="00037539" w:rsidRPr="00320C4B" w:rsidRDefault="00037539">
            <w:pPr>
              <w:keepNext/>
              <w:spacing w:before="20" w:after="20"/>
              <w:rPr>
                <w:kern w:val="2"/>
                <w:sz w:val="20"/>
                <w:szCs w:val="20"/>
                <w:lang w:eastAsia="en-CA"/>
                <w14:ligatures w14:val="standardContextual"/>
              </w:rPr>
            </w:pPr>
            <w:r>
              <w:rPr>
                <w:sz w:val="20"/>
                <w:szCs w:val="20"/>
              </w:rPr>
              <w:t>191,000</w:t>
            </w:r>
          </w:p>
        </w:tc>
      </w:tr>
      <w:tr w:rsidR="00037539" w:rsidRPr="00996241" w14:paraId="127E37D2" w14:textId="77777777" w:rsidTr="0045196B">
        <w:trPr>
          <w:cantSplit/>
          <w:trHeight w:val="202"/>
          <w:jc w:val="center"/>
        </w:trPr>
        <w:tc>
          <w:tcPr>
            <w:tcW w:w="2972" w:type="dxa"/>
            <w:gridSpan w:val="2"/>
            <w:vMerge/>
            <w:vAlign w:val="center"/>
          </w:tcPr>
          <w:p w14:paraId="3BF60EAB" w14:textId="77777777" w:rsidR="00037539" w:rsidRPr="002F50A8" w:rsidRDefault="00037539">
            <w:pPr>
              <w:keepNext/>
              <w:tabs>
                <w:tab w:val="left" w:pos="8280"/>
              </w:tabs>
              <w:spacing w:before="20" w:after="20"/>
              <w:rPr>
                <w:sz w:val="20"/>
                <w:szCs w:val="20"/>
              </w:rPr>
            </w:pPr>
          </w:p>
        </w:tc>
        <w:tc>
          <w:tcPr>
            <w:tcW w:w="1435" w:type="dxa"/>
            <w:vAlign w:val="center"/>
          </w:tcPr>
          <w:p w14:paraId="699D92A8" w14:textId="77777777" w:rsidR="00037539" w:rsidRPr="002F50A8" w:rsidRDefault="00037539">
            <w:pPr>
              <w:keepNext/>
              <w:tabs>
                <w:tab w:val="left" w:pos="8280"/>
              </w:tabs>
              <w:spacing w:before="20" w:after="20"/>
              <w:rPr>
                <w:sz w:val="20"/>
                <w:szCs w:val="20"/>
              </w:rPr>
            </w:pPr>
            <w:r>
              <w:rPr>
                <w:sz w:val="20"/>
                <w:szCs w:val="20"/>
                <w:rtl/>
              </w:rPr>
              <w:t>تكاليف الدعم</w:t>
            </w:r>
          </w:p>
        </w:tc>
        <w:tc>
          <w:tcPr>
            <w:tcW w:w="948" w:type="dxa"/>
            <w:vAlign w:val="center"/>
          </w:tcPr>
          <w:p w14:paraId="5D101D62"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11,115</w:t>
            </w:r>
          </w:p>
        </w:tc>
        <w:tc>
          <w:tcPr>
            <w:tcW w:w="948" w:type="dxa"/>
            <w:vAlign w:val="center"/>
          </w:tcPr>
          <w:p w14:paraId="4E441716"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253682B5"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11,232</w:t>
            </w:r>
          </w:p>
        </w:tc>
        <w:tc>
          <w:tcPr>
            <w:tcW w:w="948" w:type="dxa"/>
            <w:vAlign w:val="center"/>
          </w:tcPr>
          <w:p w14:paraId="374119D2"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0</w:t>
            </w:r>
          </w:p>
        </w:tc>
        <w:tc>
          <w:tcPr>
            <w:tcW w:w="948" w:type="dxa"/>
            <w:vAlign w:val="center"/>
          </w:tcPr>
          <w:p w14:paraId="57884C61" w14:textId="77777777" w:rsidR="00037539" w:rsidRPr="00320C4B" w:rsidRDefault="00037539" w:rsidP="00874A2B">
            <w:pPr>
              <w:keepNext/>
              <w:spacing w:before="20" w:after="20"/>
              <w:jc w:val="left"/>
              <w:rPr>
                <w:kern w:val="2"/>
                <w:sz w:val="20"/>
                <w:szCs w:val="20"/>
                <w:lang w:eastAsia="en-CA"/>
                <w14:ligatures w14:val="standardContextual"/>
              </w:rPr>
            </w:pPr>
            <w:r>
              <w:rPr>
                <w:sz w:val="20"/>
                <w:szCs w:val="20"/>
              </w:rPr>
              <w:t>2,483</w:t>
            </w:r>
          </w:p>
        </w:tc>
        <w:tc>
          <w:tcPr>
            <w:tcW w:w="980" w:type="dxa"/>
            <w:vAlign w:val="center"/>
          </w:tcPr>
          <w:p w14:paraId="22E6FCD5" w14:textId="77777777" w:rsidR="00037539" w:rsidRPr="00320C4B" w:rsidRDefault="00037539">
            <w:pPr>
              <w:keepNext/>
              <w:spacing w:before="20" w:after="20"/>
              <w:rPr>
                <w:kern w:val="2"/>
                <w:sz w:val="20"/>
                <w:szCs w:val="20"/>
                <w:lang w:eastAsia="en-CA"/>
                <w14:ligatures w14:val="standardContextual"/>
              </w:rPr>
            </w:pPr>
            <w:r>
              <w:rPr>
                <w:sz w:val="20"/>
                <w:szCs w:val="20"/>
              </w:rPr>
              <w:t>24,830</w:t>
            </w:r>
          </w:p>
        </w:tc>
      </w:tr>
      <w:tr w:rsidR="00037539" w:rsidRPr="00996241" w14:paraId="196057BB" w14:textId="77777777" w:rsidTr="0045196B">
        <w:trPr>
          <w:cantSplit/>
          <w:trHeight w:val="46"/>
          <w:jc w:val="center"/>
        </w:trPr>
        <w:tc>
          <w:tcPr>
            <w:tcW w:w="2972" w:type="dxa"/>
            <w:gridSpan w:val="2"/>
            <w:vMerge/>
            <w:vAlign w:val="center"/>
          </w:tcPr>
          <w:p w14:paraId="0F302EDC" w14:textId="77777777" w:rsidR="00037539" w:rsidRPr="002F50A8" w:rsidRDefault="00037539">
            <w:pPr>
              <w:tabs>
                <w:tab w:val="left" w:pos="8280"/>
              </w:tabs>
              <w:spacing w:before="20" w:after="20"/>
              <w:rPr>
                <w:sz w:val="20"/>
                <w:szCs w:val="20"/>
              </w:rPr>
            </w:pPr>
          </w:p>
        </w:tc>
        <w:tc>
          <w:tcPr>
            <w:tcW w:w="1435" w:type="dxa"/>
            <w:vAlign w:val="center"/>
          </w:tcPr>
          <w:p w14:paraId="468270E8" w14:textId="77777777" w:rsidR="00037539" w:rsidRPr="002F50A8" w:rsidRDefault="00037539">
            <w:pPr>
              <w:tabs>
                <w:tab w:val="left" w:pos="8280"/>
              </w:tabs>
              <w:spacing w:before="20" w:after="20"/>
              <w:rPr>
                <w:sz w:val="20"/>
                <w:szCs w:val="20"/>
              </w:rPr>
            </w:pPr>
            <w:r>
              <w:rPr>
                <w:sz w:val="20"/>
                <w:szCs w:val="20"/>
                <w:rtl/>
              </w:rPr>
              <w:t>مجموع الأموال</w:t>
            </w:r>
          </w:p>
        </w:tc>
        <w:tc>
          <w:tcPr>
            <w:tcW w:w="948" w:type="dxa"/>
            <w:vAlign w:val="center"/>
          </w:tcPr>
          <w:p w14:paraId="15325CF6" w14:textId="77777777" w:rsidR="00037539" w:rsidRPr="00320C4B" w:rsidRDefault="00037539" w:rsidP="00874A2B">
            <w:pPr>
              <w:spacing w:before="20" w:after="20"/>
              <w:jc w:val="left"/>
              <w:rPr>
                <w:kern w:val="2"/>
                <w:sz w:val="20"/>
                <w:szCs w:val="20"/>
                <w:lang w:eastAsia="en-CA"/>
                <w14:ligatures w14:val="standardContextual"/>
              </w:rPr>
            </w:pPr>
            <w:r>
              <w:rPr>
                <w:sz w:val="20"/>
                <w:szCs w:val="20"/>
              </w:rPr>
              <w:t>96,615</w:t>
            </w:r>
          </w:p>
        </w:tc>
        <w:tc>
          <w:tcPr>
            <w:tcW w:w="948" w:type="dxa"/>
            <w:vAlign w:val="center"/>
          </w:tcPr>
          <w:p w14:paraId="4824F354" w14:textId="77777777" w:rsidR="00037539" w:rsidRPr="00320C4B" w:rsidRDefault="00037539" w:rsidP="00874A2B">
            <w:pPr>
              <w:spacing w:before="20" w:after="20"/>
              <w:jc w:val="left"/>
              <w:rPr>
                <w:kern w:val="2"/>
                <w:sz w:val="20"/>
                <w:szCs w:val="20"/>
                <w:lang w:eastAsia="en-CA"/>
                <w14:ligatures w14:val="standardContextual"/>
              </w:rPr>
            </w:pPr>
            <w:r>
              <w:rPr>
                <w:sz w:val="20"/>
                <w:szCs w:val="20"/>
              </w:rPr>
              <w:t>0</w:t>
            </w:r>
          </w:p>
        </w:tc>
        <w:tc>
          <w:tcPr>
            <w:tcW w:w="948" w:type="dxa"/>
            <w:vAlign w:val="center"/>
          </w:tcPr>
          <w:p w14:paraId="4C97AC91" w14:textId="77777777" w:rsidR="00037539" w:rsidRPr="00320C4B" w:rsidRDefault="00037539" w:rsidP="00874A2B">
            <w:pPr>
              <w:spacing w:before="20" w:after="20"/>
              <w:jc w:val="left"/>
              <w:rPr>
                <w:kern w:val="2"/>
                <w:sz w:val="20"/>
                <w:szCs w:val="20"/>
                <w:lang w:eastAsia="en-CA"/>
                <w14:ligatures w14:val="standardContextual"/>
              </w:rPr>
            </w:pPr>
            <w:r>
              <w:rPr>
                <w:sz w:val="20"/>
                <w:szCs w:val="20"/>
              </w:rPr>
              <w:t>97,632</w:t>
            </w:r>
          </w:p>
        </w:tc>
        <w:tc>
          <w:tcPr>
            <w:tcW w:w="948" w:type="dxa"/>
            <w:vAlign w:val="center"/>
          </w:tcPr>
          <w:p w14:paraId="71C4025A" w14:textId="77777777" w:rsidR="00037539" w:rsidRPr="00320C4B" w:rsidRDefault="00037539" w:rsidP="00874A2B">
            <w:pPr>
              <w:spacing w:before="20" w:after="20"/>
              <w:jc w:val="left"/>
              <w:rPr>
                <w:kern w:val="2"/>
                <w:sz w:val="20"/>
                <w:szCs w:val="20"/>
                <w:lang w:eastAsia="en-CA"/>
                <w14:ligatures w14:val="standardContextual"/>
              </w:rPr>
            </w:pPr>
            <w:r>
              <w:rPr>
                <w:sz w:val="20"/>
                <w:szCs w:val="20"/>
              </w:rPr>
              <w:t>0</w:t>
            </w:r>
          </w:p>
        </w:tc>
        <w:tc>
          <w:tcPr>
            <w:tcW w:w="948" w:type="dxa"/>
            <w:vAlign w:val="center"/>
          </w:tcPr>
          <w:p w14:paraId="079B2212" w14:textId="77777777" w:rsidR="00037539" w:rsidRPr="00320C4B" w:rsidRDefault="00037539" w:rsidP="00874A2B">
            <w:pPr>
              <w:spacing w:before="20" w:after="20"/>
              <w:jc w:val="left"/>
              <w:rPr>
                <w:kern w:val="2"/>
                <w:sz w:val="20"/>
                <w:szCs w:val="20"/>
                <w:lang w:eastAsia="en-CA"/>
                <w14:ligatures w14:val="standardContextual"/>
              </w:rPr>
            </w:pPr>
            <w:r>
              <w:rPr>
                <w:sz w:val="20"/>
                <w:szCs w:val="20"/>
              </w:rPr>
              <w:t>21,583</w:t>
            </w:r>
          </w:p>
        </w:tc>
        <w:tc>
          <w:tcPr>
            <w:tcW w:w="980" w:type="dxa"/>
            <w:vAlign w:val="center"/>
          </w:tcPr>
          <w:p w14:paraId="6576CB41" w14:textId="77777777" w:rsidR="00037539" w:rsidRPr="00320C4B" w:rsidRDefault="00037539">
            <w:pPr>
              <w:spacing w:before="20" w:after="20"/>
              <w:rPr>
                <w:kern w:val="2"/>
                <w:sz w:val="20"/>
                <w:szCs w:val="20"/>
                <w:lang w:eastAsia="en-CA"/>
                <w14:ligatures w14:val="standardContextual"/>
              </w:rPr>
            </w:pPr>
            <w:r>
              <w:rPr>
                <w:sz w:val="20"/>
                <w:szCs w:val="20"/>
              </w:rPr>
              <w:t>215,830</w:t>
            </w:r>
          </w:p>
        </w:tc>
      </w:tr>
    </w:tbl>
    <w:p w14:paraId="20124F9E" w14:textId="77777777" w:rsidR="00037539" w:rsidRPr="005C7DD3" w:rsidRDefault="00037539" w:rsidP="00037539">
      <w:pPr>
        <w:spacing w:after="120"/>
        <w:ind w:left="-284" w:right="-279"/>
        <w:rPr>
          <w:sz w:val="26"/>
          <w:szCs w:val="26"/>
        </w:rPr>
      </w:pPr>
    </w:p>
    <w:tbl>
      <w:tblPr>
        <w:tblStyle w:val="TableGrid10"/>
        <w:bidiVisual/>
        <w:tblW w:w="10127" w:type="dxa"/>
        <w:jc w:val="center"/>
        <w:tblLayout w:type="fixed"/>
        <w:tblLook w:val="04A0" w:firstRow="1" w:lastRow="0" w:firstColumn="1" w:lastColumn="0" w:noHBand="0" w:noVBand="1"/>
      </w:tblPr>
      <w:tblGrid>
        <w:gridCol w:w="3375"/>
        <w:gridCol w:w="3376"/>
        <w:gridCol w:w="3376"/>
      </w:tblGrid>
      <w:tr w:rsidR="00037539" w:rsidRPr="00EB31E3" w14:paraId="0246DF51" w14:textId="77777777">
        <w:trPr>
          <w:cantSplit/>
          <w:trHeight w:val="261"/>
          <w:jc w:val="center"/>
        </w:trPr>
        <w:tc>
          <w:tcPr>
            <w:tcW w:w="10127" w:type="dxa"/>
            <w:gridSpan w:val="3"/>
          </w:tcPr>
          <w:p w14:paraId="79851A17" w14:textId="77777777" w:rsidR="00037539" w:rsidRPr="00996241" w:rsidRDefault="00037539">
            <w:pPr>
              <w:keepNext/>
              <w:spacing w:before="20" w:after="20"/>
              <w:rPr>
                <w:b/>
                <w:color w:val="000000" w:themeColor="text1"/>
                <w:sz w:val="20"/>
                <w:szCs w:val="20"/>
              </w:rPr>
            </w:pPr>
            <w:r>
              <w:rPr>
                <w:b/>
                <w:bCs/>
                <w:color w:val="000000" w:themeColor="text1"/>
                <w:sz w:val="20"/>
                <w:szCs w:val="20"/>
                <w:rtl/>
              </w:rPr>
              <w:t>طلب تمويل الشريحة الأولى (2026)</w:t>
            </w:r>
          </w:p>
        </w:tc>
      </w:tr>
      <w:tr w:rsidR="00037539" w:rsidRPr="00EB31E3" w14:paraId="7A5134FB" w14:textId="77777777">
        <w:trPr>
          <w:cantSplit/>
          <w:trHeight w:val="261"/>
          <w:jc w:val="center"/>
        </w:trPr>
        <w:tc>
          <w:tcPr>
            <w:tcW w:w="3375" w:type="dxa"/>
          </w:tcPr>
          <w:p w14:paraId="73F1DCBF" w14:textId="77777777" w:rsidR="00037539" w:rsidRPr="009931F4" w:rsidRDefault="00037539" w:rsidP="001B1FFC">
            <w:pPr>
              <w:keepNext/>
              <w:spacing w:before="20" w:after="20"/>
              <w:jc w:val="center"/>
              <w:rPr>
                <w:b/>
                <w:color w:val="000000" w:themeColor="text1"/>
                <w:sz w:val="20"/>
                <w:szCs w:val="20"/>
              </w:rPr>
            </w:pPr>
            <w:r>
              <w:rPr>
                <w:b/>
                <w:bCs/>
                <w:color w:val="000000" w:themeColor="text1"/>
                <w:sz w:val="20"/>
                <w:szCs w:val="20"/>
                <w:rtl/>
              </w:rPr>
              <w:t>الوكالة المنفذة</w:t>
            </w:r>
          </w:p>
        </w:tc>
        <w:tc>
          <w:tcPr>
            <w:tcW w:w="3376" w:type="dxa"/>
          </w:tcPr>
          <w:p w14:paraId="20AE7FAE" w14:textId="77777777" w:rsidR="00037539" w:rsidRPr="00996241" w:rsidRDefault="00037539">
            <w:pPr>
              <w:keepNext/>
              <w:spacing w:before="20" w:after="20"/>
              <w:rPr>
                <w:b/>
                <w:color w:val="000000" w:themeColor="text1"/>
                <w:sz w:val="20"/>
                <w:szCs w:val="20"/>
              </w:rPr>
            </w:pPr>
            <w:r>
              <w:rPr>
                <w:b/>
                <w:bCs/>
                <w:color w:val="000000" w:themeColor="text1"/>
                <w:sz w:val="20"/>
                <w:szCs w:val="20"/>
                <w:rtl/>
              </w:rPr>
              <w:t>الأموال الموصى بها (بالدولار الأمريكي)</w:t>
            </w:r>
          </w:p>
        </w:tc>
        <w:tc>
          <w:tcPr>
            <w:tcW w:w="3376" w:type="dxa"/>
          </w:tcPr>
          <w:p w14:paraId="6164FD2B" w14:textId="77777777" w:rsidR="00037539" w:rsidRPr="00996241" w:rsidRDefault="00037539" w:rsidP="002A5172">
            <w:pPr>
              <w:keepNext/>
              <w:spacing w:before="20" w:after="20"/>
              <w:jc w:val="center"/>
              <w:rPr>
                <w:b/>
                <w:color w:val="000000" w:themeColor="text1"/>
                <w:sz w:val="20"/>
                <w:szCs w:val="20"/>
              </w:rPr>
            </w:pPr>
            <w:r>
              <w:rPr>
                <w:b/>
                <w:bCs/>
                <w:color w:val="000000" w:themeColor="text1"/>
                <w:sz w:val="20"/>
                <w:szCs w:val="20"/>
                <w:rtl/>
              </w:rPr>
              <w:t>تكاليف الدعم (بالدولار الأمريكي)</w:t>
            </w:r>
          </w:p>
        </w:tc>
      </w:tr>
      <w:tr w:rsidR="00037539" w:rsidRPr="00EB31E3" w14:paraId="1F27EA82" w14:textId="77777777">
        <w:trPr>
          <w:cantSplit/>
          <w:trHeight w:val="261"/>
          <w:jc w:val="center"/>
        </w:trPr>
        <w:tc>
          <w:tcPr>
            <w:tcW w:w="3375" w:type="dxa"/>
          </w:tcPr>
          <w:p w14:paraId="186A83A3" w14:textId="77777777" w:rsidR="00037539" w:rsidRPr="00A05BAE" w:rsidRDefault="00037539">
            <w:pPr>
              <w:keepNext/>
              <w:spacing w:before="20" w:after="20"/>
              <w:rPr>
                <w:color w:val="000000" w:themeColor="text1"/>
                <w:kern w:val="2"/>
                <w:sz w:val="20"/>
                <w:szCs w:val="20"/>
                <w:lang w:eastAsia="en-CA"/>
                <w14:ligatures w14:val="standardContextual"/>
              </w:rPr>
            </w:pPr>
            <w:r>
              <w:rPr>
                <w:color w:val="000000"/>
                <w:sz w:val="20"/>
                <w:szCs w:val="20"/>
                <w:rtl/>
              </w:rPr>
              <w:t>اليونيب</w:t>
            </w:r>
          </w:p>
        </w:tc>
        <w:tc>
          <w:tcPr>
            <w:tcW w:w="3376" w:type="dxa"/>
          </w:tcPr>
          <w:p w14:paraId="4948C0D5" w14:textId="77777777" w:rsidR="00037539" w:rsidRPr="00A05BAE" w:rsidRDefault="00037539" w:rsidP="00874A2B">
            <w:pPr>
              <w:keepNext/>
              <w:spacing w:before="20" w:after="20"/>
              <w:jc w:val="left"/>
              <w:rPr>
                <w:color w:val="000000" w:themeColor="text1"/>
                <w:kern w:val="2"/>
                <w:sz w:val="20"/>
                <w:szCs w:val="20"/>
                <w:lang w:eastAsia="en-CA"/>
                <w14:ligatures w14:val="standardContextual"/>
              </w:rPr>
            </w:pPr>
            <w:r>
              <w:rPr>
                <w:sz w:val="20"/>
                <w:szCs w:val="20"/>
              </w:rPr>
              <w:t>85,500</w:t>
            </w:r>
          </w:p>
        </w:tc>
        <w:tc>
          <w:tcPr>
            <w:tcW w:w="3376" w:type="dxa"/>
          </w:tcPr>
          <w:p w14:paraId="071A8333" w14:textId="77777777" w:rsidR="00037539" w:rsidRPr="00A05BAE" w:rsidRDefault="00037539" w:rsidP="00874A2B">
            <w:pPr>
              <w:keepNext/>
              <w:spacing w:before="20" w:after="20"/>
              <w:jc w:val="left"/>
              <w:rPr>
                <w:color w:val="000000" w:themeColor="text1"/>
                <w:kern w:val="2"/>
                <w:sz w:val="20"/>
                <w:szCs w:val="20"/>
                <w:lang w:eastAsia="en-CA"/>
                <w14:ligatures w14:val="standardContextual"/>
              </w:rPr>
            </w:pPr>
            <w:r>
              <w:rPr>
                <w:sz w:val="20"/>
                <w:szCs w:val="20"/>
              </w:rPr>
              <w:t>11,115</w:t>
            </w:r>
          </w:p>
        </w:tc>
      </w:tr>
      <w:tr w:rsidR="00037539" w:rsidRPr="00EB31E3" w14:paraId="0C055B61" w14:textId="77777777">
        <w:trPr>
          <w:cantSplit/>
          <w:trHeight w:val="261"/>
          <w:jc w:val="center"/>
        </w:trPr>
        <w:tc>
          <w:tcPr>
            <w:tcW w:w="3375" w:type="dxa"/>
          </w:tcPr>
          <w:p w14:paraId="595C52CB" w14:textId="77777777" w:rsidR="00037539" w:rsidRPr="009931F4" w:rsidRDefault="00037539">
            <w:pPr>
              <w:spacing w:before="20" w:after="20"/>
              <w:rPr>
                <w:color w:val="000000" w:themeColor="text1"/>
                <w:sz w:val="20"/>
                <w:szCs w:val="20"/>
                <w:highlight w:val="cyan"/>
              </w:rPr>
            </w:pPr>
            <w:r>
              <w:rPr>
                <w:color w:val="000000" w:themeColor="text1"/>
                <w:sz w:val="20"/>
                <w:szCs w:val="20"/>
                <w:rtl/>
              </w:rPr>
              <w:t>المجموع</w:t>
            </w:r>
          </w:p>
        </w:tc>
        <w:tc>
          <w:tcPr>
            <w:tcW w:w="3376" w:type="dxa"/>
          </w:tcPr>
          <w:p w14:paraId="45E12038" w14:textId="77777777" w:rsidR="00037539" w:rsidRPr="00A05BAE" w:rsidRDefault="00037539" w:rsidP="00874A2B">
            <w:pPr>
              <w:spacing w:before="20" w:after="20"/>
              <w:jc w:val="left"/>
              <w:rPr>
                <w:color w:val="000000" w:themeColor="text1"/>
                <w:kern w:val="2"/>
                <w:sz w:val="20"/>
                <w:szCs w:val="20"/>
                <w:lang w:eastAsia="en-CA"/>
                <w14:ligatures w14:val="standardContextual"/>
              </w:rPr>
            </w:pPr>
            <w:r>
              <w:rPr>
                <w:sz w:val="20"/>
                <w:szCs w:val="20"/>
              </w:rPr>
              <w:t>85,500</w:t>
            </w:r>
          </w:p>
        </w:tc>
        <w:tc>
          <w:tcPr>
            <w:tcW w:w="3376" w:type="dxa"/>
          </w:tcPr>
          <w:p w14:paraId="689DE274" w14:textId="77777777" w:rsidR="00037539" w:rsidRPr="00A05BAE" w:rsidRDefault="00037539" w:rsidP="00874A2B">
            <w:pPr>
              <w:spacing w:before="20" w:after="20"/>
              <w:jc w:val="left"/>
              <w:rPr>
                <w:color w:val="000000" w:themeColor="text1"/>
                <w:kern w:val="2"/>
                <w:sz w:val="20"/>
                <w:szCs w:val="20"/>
                <w:lang w:eastAsia="en-CA"/>
                <w14:ligatures w14:val="standardContextual"/>
              </w:rPr>
            </w:pPr>
            <w:r>
              <w:rPr>
                <w:sz w:val="20"/>
                <w:szCs w:val="20"/>
              </w:rPr>
              <w:t>11,115</w:t>
            </w:r>
          </w:p>
        </w:tc>
      </w:tr>
    </w:tbl>
    <w:p w14:paraId="448F468B" w14:textId="77777777" w:rsidR="00037539" w:rsidRPr="00C56812" w:rsidRDefault="00037539" w:rsidP="00037539">
      <w:pPr>
        <w:jc w:val="center"/>
        <w:rPr>
          <w:sz w:val="26"/>
          <w:szCs w:val="26"/>
        </w:rPr>
      </w:pPr>
    </w:p>
    <w:tbl>
      <w:tblPr>
        <w:tblStyle w:val="TableGrid"/>
        <w:bidiVisual/>
        <w:tblW w:w="10127" w:type="dxa"/>
        <w:jc w:val="center"/>
        <w:tblLayout w:type="fixed"/>
        <w:tblLook w:val="04A0" w:firstRow="1" w:lastRow="0" w:firstColumn="1" w:lastColumn="0" w:noHBand="0" w:noVBand="1"/>
      </w:tblPr>
      <w:tblGrid>
        <w:gridCol w:w="5063"/>
        <w:gridCol w:w="5064"/>
      </w:tblGrid>
      <w:tr w:rsidR="00037539" w:rsidRPr="00EB31E3" w14:paraId="3864102F" w14:textId="77777777">
        <w:trPr>
          <w:cantSplit/>
          <w:trHeight w:hRule="exact" w:val="281"/>
          <w:jc w:val="center"/>
        </w:trPr>
        <w:tc>
          <w:tcPr>
            <w:tcW w:w="5063" w:type="dxa"/>
          </w:tcPr>
          <w:p w14:paraId="47922613" w14:textId="77777777" w:rsidR="00037539" w:rsidRPr="00996241" w:rsidRDefault="00037539">
            <w:pPr>
              <w:spacing w:before="20" w:after="20"/>
              <w:rPr>
                <w:b/>
                <w:color w:val="000000" w:themeColor="text1"/>
                <w:sz w:val="20"/>
                <w:szCs w:val="20"/>
              </w:rPr>
            </w:pPr>
            <w:r>
              <w:rPr>
                <w:b/>
                <w:bCs/>
                <w:color w:val="000000" w:themeColor="text1"/>
                <w:sz w:val="20"/>
                <w:szCs w:val="20"/>
                <w:rtl/>
              </w:rPr>
              <w:t>توصية الأمانة:</w:t>
            </w:r>
          </w:p>
        </w:tc>
        <w:tc>
          <w:tcPr>
            <w:tcW w:w="5064" w:type="dxa"/>
          </w:tcPr>
          <w:p w14:paraId="4CCB901A" w14:textId="77777777" w:rsidR="00037539" w:rsidRPr="00996241" w:rsidRDefault="00037539">
            <w:pPr>
              <w:spacing w:before="20" w:after="20"/>
              <w:rPr>
                <w:color w:val="000000" w:themeColor="text1"/>
                <w:sz w:val="20"/>
                <w:szCs w:val="20"/>
              </w:rPr>
            </w:pPr>
            <w:r>
              <w:rPr>
                <w:color w:val="000000" w:themeColor="text1"/>
                <w:sz w:val="20"/>
                <w:szCs w:val="20"/>
                <w:rtl/>
              </w:rPr>
              <w:t>النظر بشكل فردي</w:t>
            </w:r>
          </w:p>
        </w:tc>
      </w:tr>
    </w:tbl>
    <w:p w14:paraId="71CDB3A3" w14:textId="77777777" w:rsidR="00037539" w:rsidRDefault="00037539" w:rsidP="00037539">
      <w:pPr>
        <w:keepNext/>
        <w:tabs>
          <w:tab w:val="left" w:pos="2880"/>
          <w:tab w:val="left" w:pos="5760"/>
        </w:tabs>
        <w:spacing w:before="240" w:after="240"/>
        <w:jc w:val="center"/>
        <w:rPr>
          <w:b/>
          <w:sz w:val="26"/>
          <w:szCs w:val="26"/>
        </w:rPr>
      </w:pPr>
    </w:p>
    <w:p w14:paraId="48D15289" w14:textId="174F68B7" w:rsidR="00037539" w:rsidRDefault="00037539" w:rsidP="003A712E">
      <w:pPr>
        <w:jc w:val="center"/>
        <w:rPr>
          <w:b/>
          <w:bCs/>
          <w:sz w:val="26"/>
          <w:szCs w:val="26"/>
        </w:rPr>
      </w:pPr>
      <w:r>
        <w:rPr>
          <w:b/>
          <w:sz w:val="26"/>
          <w:szCs w:val="26"/>
          <w:rtl/>
        </w:rPr>
        <w:br w:type="page"/>
      </w:r>
      <w:r>
        <w:rPr>
          <w:b/>
          <w:bCs/>
          <w:sz w:val="26"/>
          <w:szCs w:val="26"/>
          <w:rtl/>
        </w:rPr>
        <w:lastRenderedPageBreak/>
        <w:t>وصف المشروع</w:t>
      </w:r>
    </w:p>
    <w:p w14:paraId="6205C604" w14:textId="77777777" w:rsidR="00B80D18" w:rsidRPr="00996241" w:rsidRDefault="00B80D18" w:rsidP="003A712E">
      <w:pPr>
        <w:jc w:val="center"/>
        <w:rPr>
          <w:b/>
          <w:sz w:val="26"/>
          <w:szCs w:val="26"/>
        </w:rPr>
      </w:pPr>
    </w:p>
    <w:p w14:paraId="4CEA243A" w14:textId="77777777" w:rsidR="00037539" w:rsidRDefault="00037539" w:rsidP="00037539">
      <w:pPr>
        <w:pStyle w:val="Heading1"/>
        <w:rPr>
          <w:sz w:val="26"/>
          <w:szCs w:val="26"/>
          <w:lang w:eastAsia="en-CA"/>
          <w14:ligatures w14:val="standardContextual"/>
        </w:rPr>
      </w:pPr>
      <w:r>
        <w:rPr>
          <w:sz w:val="26"/>
          <w:szCs w:val="26"/>
          <w:rtl/>
        </w:rPr>
        <w:t>قدّم اليونيب، بصفته الوكالة المنفذة المعيّنة، نيابةً عن حكومة سان تومي وبرينسيبي، طلباً للمرحلة الثانية من خطة إدارة إزالة المواد الهيدروكلوروفلوروكربونية، بمبلغ 191,000 دولار أمريكي، زائد تكاليف دعم الوكالة البالغة 24,830 دولاراً أمريكياً، حسب ما قُدّم في الأصل.</w:t>
      </w:r>
      <w:r>
        <w:rPr>
          <w:rStyle w:val="FootnoteReference"/>
          <w:sz w:val="26"/>
          <w:szCs w:val="26"/>
          <w:rtl/>
        </w:rPr>
        <w:footnoteReference w:id="2"/>
      </w:r>
      <w:r>
        <w:rPr>
          <w:sz w:val="26"/>
          <w:szCs w:val="26"/>
          <w:rtl/>
        </w:rPr>
        <w:t xml:space="preserve"> وسيؤدي تنفيذ المرحلة الثانية من خطة إدارة إزالة المواد الهيدروكلوروفلوروكربونية إلى إزالة الاستهلاك المتبقي من المواد الهيدروكلوروفلوروكربونية بحلول عام 2030.</w:t>
      </w:r>
    </w:p>
    <w:p w14:paraId="4D7C9252" w14:textId="77777777" w:rsidR="00037539" w:rsidRPr="003C5CD2" w:rsidRDefault="00037539" w:rsidP="00037539">
      <w:pPr>
        <w:pStyle w:val="Heading1"/>
        <w:rPr>
          <w:sz w:val="26"/>
          <w:szCs w:val="26"/>
        </w:rPr>
      </w:pPr>
      <w:r>
        <w:rPr>
          <w:sz w:val="26"/>
          <w:szCs w:val="26"/>
          <w:rtl/>
        </w:rPr>
        <w:t>وتبلغ الشريحة الأولى من المرحلة الثانية من خطة إدارة إزالة المواد الهيدروكلوروفلوروكربونية المطلوبة في هذا الاجتماع 85,500 دولار أمريكي، زائد تكاليف دعم الوكالة البالغة 11,115 دولاراً أمريكياً لليونيب، حسب ما قُدّم في الأصل.</w:t>
      </w:r>
    </w:p>
    <w:p w14:paraId="3F06380B" w14:textId="77777777" w:rsidR="00037539" w:rsidRDefault="00037539" w:rsidP="00037539">
      <w:pPr>
        <w:keepNext/>
        <w:spacing w:after="240"/>
        <w:outlineLvl w:val="0"/>
        <w:rPr>
          <w:b/>
          <w:sz w:val="26"/>
          <w:szCs w:val="26"/>
        </w:rPr>
      </w:pPr>
      <w:r>
        <w:rPr>
          <w:b/>
          <w:bCs/>
          <w:sz w:val="26"/>
          <w:szCs w:val="26"/>
          <w:rtl/>
        </w:rPr>
        <w:t>حالة تنفيذ المرحلة الأولى من خطة إدارة إزالة المواد الهيدروكلوروفلوروكربونية</w:t>
      </w:r>
    </w:p>
    <w:p w14:paraId="6CA0D92E" w14:textId="77777777" w:rsidR="00037539" w:rsidRPr="000D5ECC" w:rsidRDefault="00037539" w:rsidP="00037539">
      <w:pPr>
        <w:pStyle w:val="Heading1"/>
        <w:tabs>
          <w:tab w:val="num" w:pos="709"/>
        </w:tabs>
        <w:rPr>
          <w:sz w:val="26"/>
          <w:szCs w:val="26"/>
        </w:rPr>
      </w:pPr>
      <w:r>
        <w:rPr>
          <w:sz w:val="26"/>
          <w:szCs w:val="26"/>
          <w:rtl/>
        </w:rPr>
        <w:t>وافقت اللجنة التنفيذية في اجتماعها الثالث والستين</w:t>
      </w:r>
      <w:r>
        <w:rPr>
          <w:rStyle w:val="FootnoteReference"/>
          <w:sz w:val="26"/>
          <w:szCs w:val="26"/>
          <w:rtl/>
        </w:rPr>
        <w:footnoteReference w:id="3"/>
      </w:r>
      <w:r>
        <w:rPr>
          <w:sz w:val="26"/>
          <w:szCs w:val="26"/>
          <w:rtl/>
        </w:rPr>
        <w:t xml:space="preserve"> على المرحلة الأولى من خطة إدارة إزالة المواد الهيدروكلوروفلوروكربونية لسان تومي وبرينسيبي لإزالة 0.05 طن من قدرات استنفاد الأوزون من المواد الهيدروكلوروفلوروكربونية المستخدمة في قطاع خدمة أجهزة التبريد وتكييف الهواء، وتحقيق التخفيض بنسبة 35 في المائة من خط الأساس بحلول عام 2020، بتكلفة إجمالية قدرها 160,000 دولار أمريكي، زائد تكاليف دعم الوكالة البالغة 20,800 دولار أمريكي. وقد اكتملت المرحلة الأولى من خطة إدارة إزالة المواد الهيدروكلوروفلوروكربونية في كانون الأول/ديسمبر 2021.</w:t>
      </w:r>
    </w:p>
    <w:p w14:paraId="71B8BC15" w14:textId="77777777" w:rsidR="00037539" w:rsidRPr="002C5D9E" w:rsidRDefault="00037539" w:rsidP="00037539">
      <w:pPr>
        <w:keepNext/>
        <w:spacing w:after="240"/>
        <w:rPr>
          <w:sz w:val="26"/>
          <w:szCs w:val="26"/>
          <w:lang w:val="en-US"/>
        </w:rPr>
      </w:pPr>
      <w:r>
        <w:rPr>
          <w:sz w:val="26"/>
          <w:szCs w:val="26"/>
          <w:u w:val="single"/>
          <w:rtl/>
        </w:rPr>
        <w:t>تقرير عن استهلاك المواد الهيدروكلوروفلوروكربونية</w:t>
      </w:r>
      <w:bookmarkStart w:id="0" w:name="_Hlk170900703"/>
    </w:p>
    <w:bookmarkEnd w:id="0"/>
    <w:p w14:paraId="571473EE" w14:textId="48CE181F" w:rsidR="00037539" w:rsidRDefault="00037539" w:rsidP="00037539">
      <w:pPr>
        <w:pStyle w:val="Heading1"/>
        <w:rPr>
          <w:sz w:val="26"/>
          <w:szCs w:val="26"/>
          <w:lang w:eastAsia="en-CA"/>
          <w14:ligatures w14:val="standardContextual"/>
        </w:rPr>
      </w:pPr>
      <w:r>
        <w:rPr>
          <w:sz w:val="26"/>
          <w:szCs w:val="26"/>
          <w:rtl/>
        </w:rPr>
        <w:t>أبلغت حكومة سان تومي وبرينسيبي عن استهلاك قدره 0.04 طن من قدرات استنفاد الأوزون من المواد الهيدروكلوروفلوروكربونية في عام 2025، وهو ما يقل بنسبة 98.2 في المائة عن خط أساس المواد الهيدروكلوروفلوروكربونية لأغراض الامتثال، وبنسبة 73.3 في المائة عن نقطة البدء للتخفيضات المجمعة في الاستهلاك البالغة 0.15 طن من قدرات استنفاد الأوزون. ويرد استهلاك المواد الهيدروكلوروفلوروكربونية للفترة 2021–2025 في الجدول 1.</w:t>
      </w:r>
    </w:p>
    <w:p w14:paraId="46B04681" w14:textId="77777777" w:rsidR="00037539" w:rsidRDefault="00037539" w:rsidP="00037539">
      <w:pPr>
        <w:keepNext/>
        <w:spacing w:before="240"/>
        <w:rPr>
          <w:kern w:val="2"/>
          <w:sz w:val="26"/>
          <w:szCs w:val="26"/>
          <w:lang w:eastAsia="en-CA"/>
          <w14:ligatures w14:val="standardContextual"/>
        </w:rPr>
      </w:pPr>
      <w:r>
        <w:rPr>
          <w:b/>
          <w:bCs/>
          <w:sz w:val="26"/>
          <w:szCs w:val="26"/>
          <w:rtl/>
        </w:rPr>
        <w:t>الجدول 1. استهلاك المواد الهيدروكلوروفلوروكربونية في سان تومي وبرينسيبي في الفترة 2021–2025 (بيانات المادة 7)</w:t>
      </w:r>
    </w:p>
    <w:tbl>
      <w:tblPr>
        <w:bidiVisual/>
        <w:tblW w:w="9450" w:type="dxa"/>
        <w:jc w:val="center"/>
        <w:tblLayout w:type="fixed"/>
        <w:tblLook w:val="04A0" w:firstRow="1" w:lastRow="0" w:firstColumn="1" w:lastColumn="0" w:noHBand="0" w:noVBand="1"/>
      </w:tblPr>
      <w:tblGrid>
        <w:gridCol w:w="2072"/>
        <w:gridCol w:w="1171"/>
        <w:gridCol w:w="1242"/>
        <w:gridCol w:w="1241"/>
        <w:gridCol w:w="1241"/>
        <w:gridCol w:w="1241"/>
        <w:gridCol w:w="1242"/>
      </w:tblGrid>
      <w:tr w:rsidR="00037539" w:rsidRPr="00EB31E3" w14:paraId="5464E7B2" w14:textId="77777777" w:rsidTr="001B45CB">
        <w:trPr>
          <w:cantSplit/>
          <w:trHeight w:val="248"/>
          <w:tblHeader/>
          <w:jc w:val="center"/>
        </w:trPr>
        <w:tc>
          <w:tcPr>
            <w:tcW w:w="2072"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38DA2EB" w14:textId="77777777" w:rsidR="00037539" w:rsidRPr="00996241" w:rsidRDefault="00037539">
            <w:pPr>
              <w:keepNext/>
              <w:spacing w:before="20" w:after="20"/>
              <w:rPr>
                <w:b/>
                <w:color w:val="000000"/>
                <w:sz w:val="20"/>
                <w:szCs w:val="20"/>
              </w:rPr>
            </w:pPr>
            <w:r>
              <w:rPr>
                <w:b/>
                <w:bCs/>
                <w:color w:val="000000"/>
                <w:sz w:val="20"/>
                <w:szCs w:val="20"/>
                <w:rtl/>
              </w:rPr>
              <w:t>الهيدروكلوروفلوروكربون</w:t>
            </w:r>
            <w:r>
              <w:rPr>
                <w:b/>
                <w:bCs/>
                <w:color w:val="000000"/>
                <w:sz w:val="20"/>
                <w:szCs w:val="20"/>
                <w:rtl/>
              </w:rPr>
              <w:noBreakHyphen/>
              <w:t>22</w:t>
            </w:r>
          </w:p>
        </w:tc>
        <w:tc>
          <w:tcPr>
            <w:tcW w:w="1171" w:type="dxa"/>
            <w:tcBorders>
              <w:top w:val="single" w:sz="4" w:space="0" w:color="auto"/>
              <w:left w:val="nil"/>
              <w:bottom w:val="single" w:sz="4" w:space="0" w:color="auto"/>
              <w:right w:val="single" w:sz="4" w:space="0" w:color="auto"/>
            </w:tcBorders>
            <w:noWrap/>
            <w:vAlign w:val="center"/>
            <w:hideMark/>
          </w:tcPr>
          <w:p w14:paraId="1BB00C55" w14:textId="77777777" w:rsidR="00037539" w:rsidRPr="00996241" w:rsidRDefault="00037539" w:rsidP="00A06127">
            <w:pPr>
              <w:keepNext/>
              <w:spacing w:before="20" w:after="20"/>
              <w:jc w:val="center"/>
              <w:rPr>
                <w:b/>
                <w:color w:val="000000"/>
                <w:sz w:val="20"/>
                <w:szCs w:val="20"/>
              </w:rPr>
            </w:pPr>
            <w:r>
              <w:rPr>
                <w:b/>
                <w:bCs/>
                <w:color w:val="000000"/>
                <w:sz w:val="20"/>
                <w:szCs w:val="20"/>
              </w:rPr>
              <w:t>2021</w:t>
            </w:r>
          </w:p>
        </w:tc>
        <w:tc>
          <w:tcPr>
            <w:tcW w:w="1242" w:type="dxa"/>
            <w:tcBorders>
              <w:top w:val="single" w:sz="4" w:space="0" w:color="auto"/>
              <w:left w:val="nil"/>
              <w:bottom w:val="single" w:sz="4" w:space="0" w:color="auto"/>
              <w:right w:val="single" w:sz="4" w:space="0" w:color="auto"/>
            </w:tcBorders>
            <w:vAlign w:val="center"/>
          </w:tcPr>
          <w:p w14:paraId="4BD5CF34" w14:textId="77777777" w:rsidR="00037539" w:rsidRPr="00996241" w:rsidRDefault="00037539" w:rsidP="00A06127">
            <w:pPr>
              <w:keepNext/>
              <w:spacing w:before="20" w:after="20"/>
              <w:jc w:val="center"/>
              <w:rPr>
                <w:b/>
                <w:color w:val="000000"/>
                <w:sz w:val="20"/>
                <w:szCs w:val="20"/>
              </w:rPr>
            </w:pPr>
            <w:r>
              <w:rPr>
                <w:b/>
                <w:bCs/>
                <w:color w:val="000000"/>
                <w:sz w:val="20"/>
                <w:szCs w:val="20"/>
              </w:rPr>
              <w:t>2022</w:t>
            </w:r>
          </w:p>
        </w:tc>
        <w:tc>
          <w:tcPr>
            <w:tcW w:w="1241" w:type="dxa"/>
            <w:tcBorders>
              <w:top w:val="single" w:sz="4" w:space="0" w:color="auto"/>
              <w:left w:val="single" w:sz="4" w:space="0" w:color="auto"/>
              <w:bottom w:val="single" w:sz="4" w:space="0" w:color="auto"/>
              <w:right w:val="single" w:sz="4" w:space="0" w:color="auto"/>
            </w:tcBorders>
            <w:vAlign w:val="center"/>
          </w:tcPr>
          <w:p w14:paraId="647ACBD0" w14:textId="77777777" w:rsidR="00037539" w:rsidRPr="00996241" w:rsidRDefault="00037539" w:rsidP="00A06127">
            <w:pPr>
              <w:keepNext/>
              <w:spacing w:before="20" w:after="20"/>
              <w:jc w:val="center"/>
              <w:rPr>
                <w:b/>
                <w:color w:val="000000"/>
                <w:sz w:val="20"/>
                <w:szCs w:val="20"/>
              </w:rPr>
            </w:pPr>
            <w:r>
              <w:rPr>
                <w:b/>
                <w:bCs/>
                <w:color w:val="000000"/>
                <w:sz w:val="20"/>
                <w:szCs w:val="20"/>
              </w:rPr>
              <w:t>2023</w:t>
            </w:r>
          </w:p>
        </w:tc>
        <w:tc>
          <w:tcPr>
            <w:tcW w:w="1241" w:type="dxa"/>
            <w:tcBorders>
              <w:top w:val="single" w:sz="4" w:space="0" w:color="auto"/>
              <w:left w:val="single" w:sz="4" w:space="0" w:color="auto"/>
              <w:bottom w:val="single" w:sz="4" w:space="0" w:color="auto"/>
              <w:right w:val="single" w:sz="4" w:space="0" w:color="auto"/>
            </w:tcBorders>
            <w:vAlign w:val="center"/>
          </w:tcPr>
          <w:p w14:paraId="55E9E72B" w14:textId="77777777" w:rsidR="00037539" w:rsidRPr="00996241" w:rsidRDefault="00037539" w:rsidP="00A06127">
            <w:pPr>
              <w:keepNext/>
              <w:spacing w:before="20" w:after="20"/>
              <w:jc w:val="center"/>
              <w:rPr>
                <w:b/>
                <w:color w:val="000000"/>
                <w:sz w:val="20"/>
                <w:szCs w:val="20"/>
              </w:rPr>
            </w:pPr>
            <w:r>
              <w:rPr>
                <w:b/>
                <w:bCs/>
                <w:color w:val="000000"/>
                <w:sz w:val="20"/>
                <w:szCs w:val="20"/>
              </w:rPr>
              <w:t>2024</w:t>
            </w:r>
          </w:p>
        </w:tc>
        <w:tc>
          <w:tcPr>
            <w:tcW w:w="1241" w:type="dxa"/>
            <w:tcBorders>
              <w:top w:val="single" w:sz="4" w:space="0" w:color="auto"/>
              <w:left w:val="single" w:sz="4" w:space="0" w:color="auto"/>
              <w:bottom w:val="single" w:sz="4" w:space="0" w:color="auto"/>
              <w:right w:val="single" w:sz="4" w:space="0" w:color="auto"/>
            </w:tcBorders>
            <w:vAlign w:val="center"/>
          </w:tcPr>
          <w:p w14:paraId="09563916" w14:textId="77777777" w:rsidR="00037539" w:rsidRPr="00996241" w:rsidRDefault="00037539" w:rsidP="00A06127">
            <w:pPr>
              <w:keepNext/>
              <w:spacing w:before="20" w:after="20"/>
              <w:jc w:val="center"/>
              <w:rPr>
                <w:b/>
                <w:color w:val="000000"/>
                <w:sz w:val="20"/>
                <w:szCs w:val="20"/>
              </w:rPr>
            </w:pPr>
            <w:r>
              <w:rPr>
                <w:b/>
                <w:bCs/>
                <w:color w:val="000000"/>
                <w:sz w:val="20"/>
                <w:szCs w:val="20"/>
              </w:rPr>
              <w:t>2025</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4BD8BA03" w14:textId="77777777" w:rsidR="00037539" w:rsidRPr="00996241" w:rsidRDefault="00037539">
            <w:pPr>
              <w:keepNext/>
              <w:spacing w:before="20" w:after="20"/>
              <w:rPr>
                <w:b/>
                <w:color w:val="000000"/>
                <w:sz w:val="20"/>
                <w:szCs w:val="20"/>
              </w:rPr>
            </w:pPr>
            <w:r>
              <w:rPr>
                <w:b/>
                <w:bCs/>
                <w:color w:val="000000"/>
                <w:sz w:val="20"/>
                <w:szCs w:val="20"/>
                <w:rtl/>
              </w:rPr>
              <w:t>خط الأساس</w:t>
            </w:r>
          </w:p>
        </w:tc>
      </w:tr>
      <w:tr w:rsidR="00037539" w:rsidRPr="00EB31E3" w14:paraId="1967A5D2" w14:textId="77777777" w:rsidTr="001B45CB">
        <w:trPr>
          <w:cantSplit/>
          <w:trHeight w:val="240"/>
          <w:jc w:val="center"/>
        </w:trPr>
        <w:tc>
          <w:tcPr>
            <w:tcW w:w="2072"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3E197301" w14:textId="77777777" w:rsidR="00037539" w:rsidRPr="00987590" w:rsidRDefault="00037539">
            <w:pPr>
              <w:keepNext/>
              <w:spacing w:before="20" w:after="20"/>
              <w:rPr>
                <w:b/>
                <w:bCs/>
                <w:color w:val="000000"/>
                <w:sz w:val="20"/>
                <w:szCs w:val="20"/>
              </w:rPr>
            </w:pPr>
            <w:r>
              <w:rPr>
                <w:b/>
                <w:bCs/>
                <w:color w:val="000000"/>
                <w:sz w:val="20"/>
                <w:szCs w:val="20"/>
                <w:rtl/>
              </w:rPr>
              <w:t>طن متري</w:t>
            </w:r>
          </w:p>
        </w:tc>
        <w:tc>
          <w:tcPr>
            <w:tcW w:w="1171" w:type="dxa"/>
            <w:tcBorders>
              <w:top w:val="nil"/>
              <w:left w:val="nil"/>
              <w:bottom w:val="single" w:sz="4" w:space="0" w:color="auto"/>
              <w:right w:val="single" w:sz="4" w:space="0" w:color="auto"/>
            </w:tcBorders>
            <w:noWrap/>
            <w:tcMar>
              <w:left w:w="230" w:type="dxa"/>
              <w:right w:w="115" w:type="dxa"/>
            </w:tcMar>
          </w:tcPr>
          <w:p w14:paraId="715DB0F2" w14:textId="77777777" w:rsidR="00037539" w:rsidRPr="007E66FB" w:rsidRDefault="00037539" w:rsidP="00B80D18">
            <w:pPr>
              <w:keepNext/>
              <w:spacing w:before="20" w:after="20"/>
              <w:ind w:right="-125"/>
              <w:jc w:val="left"/>
              <w:rPr>
                <w:kern w:val="2"/>
                <w:sz w:val="20"/>
                <w:szCs w:val="20"/>
                <w:highlight w:val="cyan"/>
                <w:lang w:eastAsia="en-CA"/>
                <w14:ligatures w14:val="standardContextual"/>
              </w:rPr>
            </w:pPr>
            <w:r>
              <w:rPr>
                <w:sz w:val="20"/>
                <w:szCs w:val="20"/>
              </w:rPr>
              <w:t>1.00</w:t>
            </w:r>
          </w:p>
        </w:tc>
        <w:tc>
          <w:tcPr>
            <w:tcW w:w="1242" w:type="dxa"/>
            <w:tcBorders>
              <w:top w:val="single" w:sz="4" w:space="0" w:color="auto"/>
              <w:left w:val="nil"/>
              <w:bottom w:val="single" w:sz="4" w:space="0" w:color="auto"/>
              <w:right w:val="single" w:sz="4" w:space="0" w:color="auto"/>
            </w:tcBorders>
            <w:tcMar>
              <w:left w:w="230" w:type="dxa"/>
              <w:right w:w="115" w:type="dxa"/>
            </w:tcMar>
          </w:tcPr>
          <w:p w14:paraId="325A2DF9" w14:textId="77777777" w:rsidR="00037539" w:rsidRPr="007E66FB" w:rsidRDefault="00037539" w:rsidP="00B80D18">
            <w:pPr>
              <w:keepNext/>
              <w:spacing w:before="20" w:after="20"/>
              <w:ind w:right="-125"/>
              <w:jc w:val="left"/>
              <w:rPr>
                <w:kern w:val="2"/>
                <w:sz w:val="20"/>
                <w:szCs w:val="20"/>
                <w:highlight w:val="cyan"/>
                <w:lang w:eastAsia="en-CA"/>
                <w14:ligatures w14:val="standardContextual"/>
              </w:rPr>
            </w:pPr>
            <w:r>
              <w:rPr>
                <w:sz w:val="20"/>
                <w:szCs w:val="20"/>
              </w:rPr>
              <w:t>0.90</w:t>
            </w:r>
          </w:p>
        </w:tc>
        <w:tc>
          <w:tcPr>
            <w:tcW w:w="1241" w:type="dxa"/>
            <w:tcBorders>
              <w:top w:val="nil"/>
              <w:left w:val="single" w:sz="4" w:space="0" w:color="auto"/>
              <w:bottom w:val="single" w:sz="4" w:space="0" w:color="auto"/>
              <w:right w:val="single" w:sz="4" w:space="0" w:color="auto"/>
            </w:tcBorders>
            <w:tcMar>
              <w:left w:w="230" w:type="dxa"/>
              <w:right w:w="115" w:type="dxa"/>
            </w:tcMar>
          </w:tcPr>
          <w:p w14:paraId="48A27F40" w14:textId="77777777" w:rsidR="00037539" w:rsidRPr="007E66FB" w:rsidRDefault="00037539" w:rsidP="00B80D18">
            <w:pPr>
              <w:keepNext/>
              <w:spacing w:before="20" w:after="20"/>
              <w:ind w:right="-125"/>
              <w:jc w:val="left"/>
              <w:rPr>
                <w:kern w:val="2"/>
                <w:sz w:val="20"/>
                <w:szCs w:val="20"/>
                <w:highlight w:val="cyan"/>
                <w:lang w:eastAsia="en-CA"/>
                <w14:ligatures w14:val="standardContextual"/>
              </w:rPr>
            </w:pPr>
            <w:r>
              <w:rPr>
                <w:sz w:val="20"/>
                <w:szCs w:val="20"/>
              </w:rPr>
              <w:t>0.80</w:t>
            </w:r>
          </w:p>
        </w:tc>
        <w:tc>
          <w:tcPr>
            <w:tcW w:w="1241" w:type="dxa"/>
            <w:tcBorders>
              <w:top w:val="nil"/>
              <w:left w:val="single" w:sz="4" w:space="0" w:color="auto"/>
              <w:bottom w:val="single" w:sz="4" w:space="0" w:color="auto"/>
              <w:right w:val="single" w:sz="4" w:space="0" w:color="auto"/>
            </w:tcBorders>
            <w:tcMar>
              <w:left w:w="230" w:type="dxa"/>
              <w:right w:w="115" w:type="dxa"/>
            </w:tcMar>
          </w:tcPr>
          <w:p w14:paraId="1CF89344" w14:textId="77777777" w:rsidR="00037539" w:rsidRPr="007E66FB" w:rsidRDefault="00037539" w:rsidP="00B80D18">
            <w:pPr>
              <w:keepNext/>
              <w:spacing w:before="20" w:after="20"/>
              <w:ind w:right="-125"/>
              <w:jc w:val="left"/>
              <w:rPr>
                <w:color w:val="000000"/>
                <w:kern w:val="2"/>
                <w:sz w:val="20"/>
                <w:szCs w:val="20"/>
                <w:highlight w:val="cyan"/>
                <w:lang w:eastAsia="en-CA"/>
                <w14:ligatures w14:val="standardContextual"/>
              </w:rPr>
            </w:pPr>
            <w:r>
              <w:rPr>
                <w:sz w:val="20"/>
                <w:szCs w:val="20"/>
              </w:rPr>
              <w:t>0.80</w:t>
            </w:r>
          </w:p>
        </w:tc>
        <w:tc>
          <w:tcPr>
            <w:tcW w:w="1241" w:type="dxa"/>
            <w:tcBorders>
              <w:top w:val="nil"/>
              <w:left w:val="single" w:sz="4" w:space="0" w:color="auto"/>
              <w:bottom w:val="single" w:sz="4" w:space="0" w:color="auto"/>
              <w:right w:val="single" w:sz="4" w:space="0" w:color="auto"/>
            </w:tcBorders>
            <w:tcMar>
              <w:left w:w="230" w:type="dxa"/>
              <w:right w:w="115" w:type="dxa"/>
            </w:tcMar>
          </w:tcPr>
          <w:p w14:paraId="07366974" w14:textId="77777777" w:rsidR="00037539" w:rsidRPr="007E66FB" w:rsidRDefault="00037539" w:rsidP="00B80D18">
            <w:pPr>
              <w:keepNext/>
              <w:spacing w:before="20" w:after="20"/>
              <w:ind w:right="-125"/>
              <w:jc w:val="left"/>
              <w:rPr>
                <w:color w:val="000000"/>
                <w:kern w:val="2"/>
                <w:sz w:val="20"/>
                <w:szCs w:val="20"/>
                <w:highlight w:val="cyan"/>
                <w:lang w:eastAsia="en-CA"/>
                <w14:ligatures w14:val="standardContextual"/>
              </w:rPr>
            </w:pPr>
            <w:r>
              <w:rPr>
                <w:sz w:val="20"/>
                <w:szCs w:val="20"/>
              </w:rPr>
              <w:t>0.70</w:t>
            </w:r>
          </w:p>
        </w:tc>
        <w:tc>
          <w:tcPr>
            <w:tcW w:w="1242" w:type="dxa"/>
            <w:tcBorders>
              <w:top w:val="nil"/>
              <w:left w:val="single" w:sz="4" w:space="0" w:color="auto"/>
              <w:bottom w:val="single" w:sz="4" w:space="0" w:color="auto"/>
              <w:right w:val="single" w:sz="4" w:space="0" w:color="auto"/>
            </w:tcBorders>
            <w:noWrap/>
            <w:tcMar>
              <w:left w:w="230" w:type="dxa"/>
              <w:right w:w="115" w:type="dxa"/>
            </w:tcMar>
          </w:tcPr>
          <w:p w14:paraId="4D784122" w14:textId="77777777" w:rsidR="00037539" w:rsidRPr="007E66FB" w:rsidRDefault="00037539" w:rsidP="00B80D18">
            <w:pPr>
              <w:keepNext/>
              <w:spacing w:before="20" w:after="20"/>
              <w:ind w:right="-125"/>
              <w:jc w:val="left"/>
              <w:rPr>
                <w:color w:val="000000"/>
                <w:kern w:val="2"/>
                <w:sz w:val="20"/>
                <w:szCs w:val="20"/>
                <w:highlight w:val="cyan"/>
                <w:lang w:eastAsia="en-CA"/>
                <w14:ligatures w14:val="standardContextual"/>
              </w:rPr>
            </w:pPr>
            <w:r>
              <w:rPr>
                <w:sz w:val="20"/>
                <w:szCs w:val="20"/>
              </w:rPr>
              <w:t>38.95</w:t>
            </w:r>
          </w:p>
        </w:tc>
      </w:tr>
      <w:tr w:rsidR="00037539" w:rsidRPr="00EB31E3" w14:paraId="2F2FFB48" w14:textId="77777777" w:rsidTr="001B45CB">
        <w:trPr>
          <w:cantSplit/>
          <w:trHeight w:val="40"/>
          <w:jc w:val="center"/>
        </w:trPr>
        <w:tc>
          <w:tcPr>
            <w:tcW w:w="2072"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51356B" w14:textId="77777777" w:rsidR="00037539" w:rsidRPr="00987590" w:rsidRDefault="00037539" w:rsidP="00F551ED">
            <w:pPr>
              <w:keepNext/>
              <w:spacing w:before="20" w:after="20"/>
              <w:jc w:val="left"/>
              <w:rPr>
                <w:b/>
                <w:bCs/>
                <w:color w:val="000000"/>
                <w:sz w:val="20"/>
                <w:szCs w:val="20"/>
              </w:rPr>
            </w:pPr>
            <w:r>
              <w:rPr>
                <w:b/>
                <w:bCs/>
                <w:color w:val="000000"/>
                <w:sz w:val="20"/>
                <w:szCs w:val="20"/>
                <w:rtl/>
              </w:rPr>
              <w:t>طن من قدرات استنفاد الأوزون</w:t>
            </w:r>
          </w:p>
        </w:tc>
        <w:tc>
          <w:tcPr>
            <w:tcW w:w="1171" w:type="dxa"/>
            <w:tcBorders>
              <w:top w:val="single" w:sz="4" w:space="0" w:color="auto"/>
              <w:left w:val="nil"/>
              <w:bottom w:val="single" w:sz="4" w:space="0" w:color="auto"/>
              <w:right w:val="single" w:sz="4" w:space="0" w:color="auto"/>
            </w:tcBorders>
            <w:noWrap/>
            <w:tcMar>
              <w:left w:w="230" w:type="dxa"/>
              <w:right w:w="115" w:type="dxa"/>
            </w:tcMar>
          </w:tcPr>
          <w:p w14:paraId="1E7B1254" w14:textId="77777777" w:rsidR="00037539" w:rsidRPr="007E66FB" w:rsidRDefault="00037539" w:rsidP="00B80D18">
            <w:pPr>
              <w:spacing w:before="20" w:after="20"/>
              <w:ind w:right="-125"/>
              <w:jc w:val="left"/>
              <w:rPr>
                <w:kern w:val="2"/>
                <w:sz w:val="20"/>
                <w:szCs w:val="20"/>
                <w:highlight w:val="cyan"/>
                <w:lang w:eastAsia="en-CA"/>
                <w14:ligatures w14:val="standardContextual"/>
              </w:rPr>
            </w:pPr>
            <w:r>
              <w:rPr>
                <w:sz w:val="20"/>
                <w:szCs w:val="20"/>
              </w:rPr>
              <w:t>0.06</w:t>
            </w:r>
          </w:p>
        </w:tc>
        <w:tc>
          <w:tcPr>
            <w:tcW w:w="1242" w:type="dxa"/>
            <w:tcBorders>
              <w:top w:val="single" w:sz="4" w:space="0" w:color="auto"/>
              <w:left w:val="nil"/>
              <w:bottom w:val="single" w:sz="4" w:space="0" w:color="auto"/>
              <w:right w:val="single" w:sz="4" w:space="0" w:color="auto"/>
            </w:tcBorders>
            <w:tcMar>
              <w:left w:w="230" w:type="dxa"/>
              <w:right w:w="115" w:type="dxa"/>
            </w:tcMar>
          </w:tcPr>
          <w:p w14:paraId="727AECCA" w14:textId="77777777" w:rsidR="00037539" w:rsidRPr="007E66FB" w:rsidRDefault="00037539" w:rsidP="00B80D18">
            <w:pPr>
              <w:spacing w:before="20" w:after="20"/>
              <w:ind w:right="-125"/>
              <w:jc w:val="left"/>
              <w:rPr>
                <w:kern w:val="2"/>
                <w:sz w:val="20"/>
                <w:szCs w:val="20"/>
                <w:highlight w:val="cyan"/>
                <w:lang w:eastAsia="en-CA"/>
                <w14:ligatures w14:val="standardContextual"/>
              </w:rPr>
            </w:pPr>
            <w:r>
              <w:rPr>
                <w:sz w:val="20"/>
                <w:szCs w:val="20"/>
              </w:rPr>
              <w:t>0.05</w:t>
            </w:r>
          </w:p>
        </w:tc>
        <w:tc>
          <w:tcPr>
            <w:tcW w:w="1241" w:type="dxa"/>
            <w:tcBorders>
              <w:top w:val="single" w:sz="4" w:space="0" w:color="auto"/>
              <w:left w:val="single" w:sz="4" w:space="0" w:color="auto"/>
              <w:bottom w:val="single" w:sz="4" w:space="0" w:color="auto"/>
              <w:right w:val="single" w:sz="4" w:space="0" w:color="auto"/>
            </w:tcBorders>
            <w:tcMar>
              <w:left w:w="230" w:type="dxa"/>
              <w:right w:w="115" w:type="dxa"/>
            </w:tcMar>
          </w:tcPr>
          <w:p w14:paraId="70DAFE23" w14:textId="77777777" w:rsidR="00037539" w:rsidRPr="007E66FB" w:rsidRDefault="00037539" w:rsidP="00B80D18">
            <w:pPr>
              <w:spacing w:before="20" w:after="20"/>
              <w:ind w:right="-125"/>
              <w:jc w:val="left"/>
              <w:rPr>
                <w:kern w:val="2"/>
                <w:sz w:val="20"/>
                <w:szCs w:val="20"/>
                <w:highlight w:val="cyan"/>
                <w:lang w:eastAsia="en-CA"/>
                <w14:ligatures w14:val="standardContextual"/>
              </w:rPr>
            </w:pPr>
            <w:r>
              <w:rPr>
                <w:sz w:val="20"/>
                <w:szCs w:val="20"/>
              </w:rPr>
              <w:t>0.04</w:t>
            </w:r>
          </w:p>
        </w:tc>
        <w:tc>
          <w:tcPr>
            <w:tcW w:w="1241" w:type="dxa"/>
            <w:tcBorders>
              <w:top w:val="single" w:sz="4" w:space="0" w:color="auto"/>
              <w:left w:val="single" w:sz="4" w:space="0" w:color="auto"/>
              <w:bottom w:val="single" w:sz="4" w:space="0" w:color="auto"/>
              <w:right w:val="single" w:sz="4" w:space="0" w:color="auto"/>
            </w:tcBorders>
            <w:tcMar>
              <w:left w:w="230" w:type="dxa"/>
              <w:right w:w="115" w:type="dxa"/>
            </w:tcMar>
          </w:tcPr>
          <w:p w14:paraId="1C546F31" w14:textId="77777777" w:rsidR="00037539" w:rsidRPr="007E66FB" w:rsidRDefault="00037539" w:rsidP="00B80D18">
            <w:pPr>
              <w:spacing w:before="20" w:after="20"/>
              <w:ind w:right="-125"/>
              <w:jc w:val="left"/>
              <w:rPr>
                <w:color w:val="000000"/>
                <w:kern w:val="2"/>
                <w:sz w:val="20"/>
                <w:szCs w:val="20"/>
                <w:highlight w:val="cyan"/>
                <w:lang w:eastAsia="en-CA"/>
                <w14:ligatures w14:val="standardContextual"/>
              </w:rPr>
            </w:pPr>
            <w:r>
              <w:rPr>
                <w:sz w:val="20"/>
                <w:szCs w:val="20"/>
              </w:rPr>
              <w:t>0.04</w:t>
            </w:r>
          </w:p>
        </w:tc>
        <w:tc>
          <w:tcPr>
            <w:tcW w:w="1241" w:type="dxa"/>
            <w:tcBorders>
              <w:top w:val="single" w:sz="4" w:space="0" w:color="auto"/>
              <w:left w:val="single" w:sz="4" w:space="0" w:color="auto"/>
              <w:bottom w:val="single" w:sz="4" w:space="0" w:color="auto"/>
              <w:right w:val="single" w:sz="4" w:space="0" w:color="auto"/>
            </w:tcBorders>
            <w:tcMar>
              <w:left w:w="230" w:type="dxa"/>
              <w:right w:w="115" w:type="dxa"/>
            </w:tcMar>
          </w:tcPr>
          <w:p w14:paraId="6E3A629F" w14:textId="77777777" w:rsidR="00037539" w:rsidRPr="007E66FB" w:rsidRDefault="00037539" w:rsidP="00B80D18">
            <w:pPr>
              <w:spacing w:before="20" w:after="20"/>
              <w:ind w:right="-125"/>
              <w:jc w:val="left"/>
              <w:rPr>
                <w:color w:val="000000"/>
                <w:kern w:val="2"/>
                <w:sz w:val="20"/>
                <w:szCs w:val="20"/>
                <w:highlight w:val="cyan"/>
                <w:lang w:eastAsia="en-CA"/>
                <w14:ligatures w14:val="standardContextual"/>
              </w:rPr>
            </w:pPr>
            <w:r>
              <w:rPr>
                <w:sz w:val="20"/>
                <w:szCs w:val="20"/>
              </w:rPr>
              <w:t>0.04</w:t>
            </w:r>
          </w:p>
        </w:tc>
        <w:tc>
          <w:tcPr>
            <w:tcW w:w="1242" w:type="dxa"/>
            <w:tcBorders>
              <w:top w:val="single" w:sz="4" w:space="0" w:color="auto"/>
              <w:left w:val="single" w:sz="4" w:space="0" w:color="auto"/>
              <w:bottom w:val="single" w:sz="4" w:space="0" w:color="auto"/>
              <w:right w:val="single" w:sz="4" w:space="0" w:color="auto"/>
            </w:tcBorders>
            <w:noWrap/>
            <w:tcMar>
              <w:left w:w="230" w:type="dxa"/>
              <w:right w:w="115" w:type="dxa"/>
            </w:tcMar>
          </w:tcPr>
          <w:p w14:paraId="50E653F7" w14:textId="77777777" w:rsidR="00037539" w:rsidRPr="007E66FB" w:rsidRDefault="00037539" w:rsidP="00B80D18">
            <w:pPr>
              <w:spacing w:before="20" w:after="20"/>
              <w:ind w:right="-125"/>
              <w:jc w:val="left"/>
              <w:rPr>
                <w:color w:val="000000"/>
                <w:kern w:val="2"/>
                <w:sz w:val="20"/>
                <w:szCs w:val="20"/>
                <w:highlight w:val="cyan"/>
                <w:lang w:eastAsia="en-CA"/>
                <w14:ligatures w14:val="standardContextual"/>
              </w:rPr>
            </w:pPr>
            <w:r>
              <w:rPr>
                <w:sz w:val="20"/>
                <w:szCs w:val="20"/>
              </w:rPr>
              <w:t>2.20</w:t>
            </w:r>
          </w:p>
        </w:tc>
      </w:tr>
    </w:tbl>
    <w:p w14:paraId="5EC7B6BF" w14:textId="7F2792AA" w:rsidR="00037539" w:rsidRPr="00B650AF" w:rsidRDefault="00037539" w:rsidP="00037539">
      <w:pPr>
        <w:pStyle w:val="Heading1"/>
        <w:spacing w:before="240"/>
        <w:rPr>
          <w:sz w:val="26"/>
          <w:szCs w:val="26"/>
        </w:rPr>
      </w:pPr>
      <w:r>
        <w:rPr>
          <w:sz w:val="26"/>
          <w:szCs w:val="26"/>
          <w:rtl/>
        </w:rPr>
        <w:t>ويعكس انخفاض استهلاك المواد الهيدروكلوروفلوروكربونية خلال الفترة 2021–2025 استمرار تنفيذ نظام إصدار التراخيص والحصص، وأثر الأنشطة المنفذة في إطار المرحلة الأولى من خطة إدارة إزالة المواد الهيدروكلوروفلوروكربونية، والاعتماد التدريجي لبدائل غير المواد الهيدروكلوروفلوروكربونية.</w:t>
      </w:r>
    </w:p>
    <w:p w14:paraId="2EBAA311" w14:textId="77777777" w:rsidR="00037539" w:rsidRPr="00AE2090" w:rsidRDefault="00037539" w:rsidP="00037539">
      <w:pPr>
        <w:keepNext/>
        <w:spacing w:after="240"/>
        <w:rPr>
          <w:i/>
          <w:sz w:val="26"/>
          <w:szCs w:val="26"/>
        </w:rPr>
      </w:pPr>
      <w:bookmarkStart w:id="1" w:name="_Hlk126915671"/>
      <w:r>
        <w:rPr>
          <w:i/>
          <w:sz w:val="26"/>
          <w:szCs w:val="26"/>
          <w:rtl/>
        </w:rPr>
        <w:t>تقرير تنفيذ البرنامج القطري</w:t>
      </w:r>
    </w:p>
    <w:bookmarkEnd w:id="1"/>
    <w:p w14:paraId="490E894F" w14:textId="77777777" w:rsidR="00037539" w:rsidRPr="00996241" w:rsidRDefault="00037539" w:rsidP="00037539">
      <w:pPr>
        <w:pStyle w:val="Heading1"/>
        <w:rPr>
          <w:sz w:val="26"/>
          <w:szCs w:val="26"/>
        </w:rPr>
      </w:pPr>
      <w:r>
        <w:rPr>
          <w:sz w:val="26"/>
          <w:szCs w:val="26"/>
          <w:rtl/>
        </w:rPr>
        <w:t>أبلغت حكومة سان تومي وبرينسيبي عن بيانات الاستهلاك القطاعي للمواد الهيدروكلوروفلوروكربونية في إطار تقرير تنفيذ البرنامج القطري لعام 2025، وهي بيانات تتسق مع البيانات المبلغ عنها بموجب المادة 7 من بروتوكول مونتريال.</w:t>
      </w:r>
    </w:p>
    <w:p w14:paraId="4DB67623" w14:textId="77777777" w:rsidR="00037539" w:rsidRDefault="00037539" w:rsidP="00037539">
      <w:pPr>
        <w:keepNext/>
        <w:spacing w:after="240"/>
        <w:rPr>
          <w:i/>
          <w:sz w:val="26"/>
          <w:szCs w:val="26"/>
        </w:rPr>
      </w:pPr>
      <w:bookmarkStart w:id="2" w:name="_Hlk126915680"/>
      <w:r>
        <w:rPr>
          <w:i/>
          <w:sz w:val="26"/>
          <w:szCs w:val="26"/>
          <w:rtl/>
        </w:rPr>
        <w:lastRenderedPageBreak/>
        <w:t>تقرير التحقق</w:t>
      </w:r>
      <w:bookmarkEnd w:id="2"/>
    </w:p>
    <w:p w14:paraId="6BDEFFC5" w14:textId="73B962CE" w:rsidR="00037539" w:rsidRDefault="00037539" w:rsidP="00037539">
      <w:pPr>
        <w:pStyle w:val="Heading1"/>
        <w:rPr>
          <w:sz w:val="26"/>
          <w:szCs w:val="26"/>
        </w:rPr>
      </w:pPr>
      <w:r>
        <w:rPr>
          <w:sz w:val="26"/>
          <w:szCs w:val="26"/>
          <w:rtl/>
        </w:rPr>
        <w:t>أكد تقرير التحقق أن الحكومة تنفذ نظاماً لإصدار التراخيص والحصص لواردات المواد الهيدروكلوروفلوروكربونية وصادراتها، وأن مجموع استهلاك المواد الهيدروكلوروفلوروكربونية المبلغ عنه بموجب المادة 7 من بروتوكول مونتريال للفترة من 2020 إلى 2025 صحيح (على النحو المبين في الجدول 1 أعلاه للفترة 2021–2025). وخلص التحقق إلى أن سان تومي وبرينسيبي كانت ممتثلة لبروتوكول مونتريال وللاتفاق المبرم مع اللجنة التنفيذية في تلك السنوات. كما خلص التحقق إلى أن نظام الرصد في سان تومي وبرينسيبي يعمل بفعالية، وأن الكميات المستوردة والمبلغ عنها من المواد الهيدروكلوروفلوروكربونية كانت دون المستوى المسموح به في كل سنة.</w:t>
      </w:r>
    </w:p>
    <w:p w14:paraId="65070759" w14:textId="77777777" w:rsidR="00037539" w:rsidRDefault="00037539" w:rsidP="00037539">
      <w:pPr>
        <w:keepNext/>
        <w:spacing w:before="240" w:after="240"/>
        <w:rPr>
          <w:sz w:val="26"/>
          <w:szCs w:val="26"/>
          <w:u w:val="single"/>
        </w:rPr>
      </w:pPr>
      <w:bookmarkStart w:id="3" w:name="_Hlk126915699"/>
      <w:r>
        <w:rPr>
          <w:sz w:val="26"/>
          <w:szCs w:val="26"/>
          <w:u w:val="single"/>
          <w:rtl/>
        </w:rPr>
        <w:t>حالة التقدم المحرز والصرف</w:t>
      </w:r>
    </w:p>
    <w:p w14:paraId="59B1D8FE" w14:textId="77777777" w:rsidR="00037539" w:rsidRPr="008C7D4E" w:rsidRDefault="00037539" w:rsidP="00037539">
      <w:pPr>
        <w:keepNext/>
        <w:spacing w:before="240" w:after="240"/>
        <w:rPr>
          <w:i/>
          <w:iCs/>
          <w:sz w:val="26"/>
          <w:szCs w:val="26"/>
        </w:rPr>
      </w:pPr>
      <w:r>
        <w:rPr>
          <w:i/>
          <w:iCs/>
          <w:sz w:val="26"/>
          <w:szCs w:val="26"/>
          <w:rtl/>
        </w:rPr>
        <w:t>الإطار القانوني</w:t>
      </w:r>
    </w:p>
    <w:p w14:paraId="16DE6530" w14:textId="224825A8" w:rsidR="00037539" w:rsidRPr="003110EE" w:rsidRDefault="005F70F1" w:rsidP="00797253">
      <w:pPr>
        <w:pStyle w:val="Heading1"/>
        <w:rPr>
          <w:sz w:val="26"/>
          <w:szCs w:val="26"/>
        </w:rPr>
      </w:pPr>
      <w:bookmarkStart w:id="4" w:name="_Hlk126915708"/>
      <w:bookmarkEnd w:id="3"/>
      <w:r>
        <w:rPr>
          <w:sz w:val="26"/>
          <w:szCs w:val="26"/>
          <w:rtl/>
        </w:rPr>
        <w:t>تضطلع وزارة البيئة والشباب والسياحة المستدامة بدور السلطة الوطنية المعيّنة لبروتوكول مونتريال. وتتبع وحدة الأوزون الوطنية مديرية التفتيش والشؤون القانونية وتقييم الأثر البيئي التابعة للوزارة، ضمن المديرية العامة للبيئة والعمل المناخي. وأُنشئت لجنة الأوزون الوطنية بوصفها هيئة استشارية لدعم وحدة الأوزون الوطنية، وهي تضم وزارة البيئة والشباب والسياحة المستدامة، ووزارة التجارة، ومديرية الجمارك، والشرطة الضريبية، والمعهد الوطني للإحصاء، وجمعيات التبريد وتكييف الهواء، وشركة الموانئ، ومعهد الطيران المدني، والشركة الوطنية للوقود. وتظل المسؤولية العامة عن السياسات واللوائح التنظيمية منوطة بوزارة البيئة والشباب والسياحة المستدامة، من خلال وحدة الأوزون الوطنية. وتتولى وحدة الأوزون الوطنية تنسيق العمل المتعلق بإدخال التدابير التشريعية والتنظيمية، وتشرف على أنشطة الرصد والتقييم. وفي إطار المرحلة الأولى من خطة إدارة إزالة المواد الهيدروكلوروفلوروكربونية، أُدخلت عدة تدابير تنظيمية، منها نظام لإصدار التراخيص والحصص للمواد الهيدروكلوروفلوروكربونية لتنظيم استيراد المواد المستنفدة للأوزون وبيعها واستخدامها، وأحكام بشأن الاسترداد وإعادة التدوير، وحظر على استيراد البوليولات سابقة الخلط. وصدّقت الحكومة على تعديل كيغالي في عام 2019، ووُسِّع نطاق نظام إصدار التراخيص والحصص للمواد المستنفدة للأوزون ليشمل المواد الهيدروفلوروكربونية.</w:t>
      </w:r>
    </w:p>
    <w:p w14:paraId="6CDC9EE7" w14:textId="52047730" w:rsidR="00037539" w:rsidRDefault="00037539" w:rsidP="00037539">
      <w:pPr>
        <w:pStyle w:val="Heading1"/>
        <w:rPr>
          <w:sz w:val="26"/>
          <w:szCs w:val="26"/>
        </w:rPr>
      </w:pPr>
      <w:r>
        <w:rPr>
          <w:sz w:val="26"/>
          <w:szCs w:val="26"/>
          <w:rtl/>
        </w:rPr>
        <w:t>وخلال المرحلة الأولى من خطة إدارة إزالة المواد الهيدروكلوروفلوروكربونية، دُرِّب 144 موظفاً من موظفي الإنفاذ لتعزيز الرقابة على المواد الهيدروكلوروفلوروكربونية ومنع الاتجار غير المشروع، منهم 61 موظفاً من موظفي الجمارك، و39 مفتشاً بيئياً، و24 ضابطاً من الشرطة الضريبية، وثلاثة موظفين من وزارة التجارة، و17 من موظفي الإنفاذ الآخرين. وشملت مواضيع التدريب مراقبة المواد الهيدروكلوروفلوروكربونية والمعدات القائمة على المواد الهيدروكلوروفلوروكربونية ومواد التبريد المستوردة والتعرف عليها، والتنقيحات التي أُدخلت على رموز النظام المنسق، ومنع الاتجار غير المشروع في المواد والمعدات الخاضعة للرقابة. وبالإضافة إلى ذلك، اشتُريت أربعة أجهزة للتعرف على مواد التبريد ووُزعت على نقاط الدخول الرئيسية للمساعدة في الكشف عن واردات المواد الهيدروكلوروفلوروكربونية ورصدها.</w:t>
      </w:r>
    </w:p>
    <w:p w14:paraId="66C8F429" w14:textId="4F3178AC" w:rsidR="00037539" w:rsidRDefault="000E2C3A" w:rsidP="00037539">
      <w:pPr>
        <w:rPr>
          <w:i/>
          <w:iCs/>
          <w:sz w:val="26"/>
          <w:szCs w:val="26"/>
        </w:rPr>
      </w:pPr>
      <w:r w:rsidRPr="000E2C3A">
        <w:rPr>
          <w:i/>
          <w:iCs/>
          <w:sz w:val="26"/>
          <w:szCs w:val="26"/>
          <w:rtl/>
        </w:rPr>
        <w:t>قطاع خدمات التبريد</w:t>
      </w:r>
    </w:p>
    <w:p w14:paraId="464BA6A1" w14:textId="77777777" w:rsidR="00037539" w:rsidRPr="00451A8A" w:rsidRDefault="00037539" w:rsidP="00037539">
      <w:pPr>
        <w:rPr>
          <w:i/>
          <w:iCs/>
          <w:sz w:val="26"/>
          <w:szCs w:val="26"/>
        </w:rPr>
      </w:pPr>
    </w:p>
    <w:p w14:paraId="5F44513E" w14:textId="46850E2D" w:rsidR="00037539" w:rsidRPr="0012189C" w:rsidRDefault="00037539" w:rsidP="00037539">
      <w:pPr>
        <w:pStyle w:val="Heading1"/>
        <w:rPr>
          <w:i/>
          <w:iCs/>
          <w:kern w:val="2"/>
          <w:sz w:val="26"/>
          <w:szCs w:val="26"/>
          <w:lang w:eastAsia="en-CA"/>
          <w14:ligatures w14:val="standardContextual"/>
        </w:rPr>
      </w:pPr>
      <w:r>
        <w:rPr>
          <w:sz w:val="26"/>
          <w:szCs w:val="26"/>
          <w:rtl/>
        </w:rPr>
        <w:t>خلال تنفيذ المرحلة الأولى من خطة إدارة إزالة المواد الهيدروكلوروفلوروكربونية، دُرِّب أو أُعيد تدريب 188 فنياً في مجال التبريد وتكييف الهواء على الممارسات الجيدة في الخدمة، وتقنيات الاسترداد وإعادة التدوير، وخدمة معدات التبريد وتكييف الهواء القائمة على المواد الهيدروكلوروفلوروكربونية، والمناولة الآمنة لمواد التبريد القابلة للاشتعال. ونُظمت حلقة عمل تدريبية لعشرين مدرباً في مجال التبريد وتكييف الهواء بشأن الممارسات الجيدة في الخدمة، والمناولة الآمنة للهيدروكربونات، وخدمة المعدات القائمة على المواد الهيدروكلوروفلوروكربونية، وزُوِّد المدربون بمجموعات أدوات للخدمة الجيدة. وحُددت مؤسسات التدريب المهني وورش الإصلاح الكبيرة بوصفها مراكز مرجعية لتدريب الفنيين وإدارة معدات الخدمة الأساسية. ووُقّعت مذكرة تفاهم مع مركز التدريب المهني في سان تومي وبرينسيبي، وأُدرجت وحدة تعليمية عن الأوزون في المناهج الدراسية للمركز. كما نُفذت أنشطة للتوعية موجهة إلى المستهلكين والمستوردين بشأن اللوائح المتعلقة بالمواد الهيدروكلوروفلوروكربونية وتوافر البدائل الملائمة للبيئة.</w:t>
      </w:r>
    </w:p>
    <w:p w14:paraId="5AEDA0CC" w14:textId="77777777" w:rsidR="00037539" w:rsidRPr="0012189C" w:rsidRDefault="00037539" w:rsidP="002E0FDF">
      <w:pPr>
        <w:pStyle w:val="Heading1"/>
        <w:keepNext/>
        <w:numPr>
          <w:ilvl w:val="0"/>
          <w:numId w:val="0"/>
        </w:numPr>
        <w:rPr>
          <w:i/>
          <w:iCs/>
          <w:kern w:val="2"/>
          <w:sz w:val="26"/>
          <w:szCs w:val="26"/>
          <w:lang w:eastAsia="en-CA"/>
          <w14:ligatures w14:val="standardContextual"/>
        </w:rPr>
      </w:pPr>
      <w:r>
        <w:rPr>
          <w:i/>
          <w:iCs/>
          <w:kern w:val="2"/>
          <w:sz w:val="26"/>
          <w:szCs w:val="26"/>
          <w:rtl/>
          <w:lang w:eastAsia="en-CA"/>
          <w14:ligatures w14:val="standardContextual"/>
        </w:rPr>
        <w:lastRenderedPageBreak/>
        <w:t>تنفيذ المشروع ورصده</w:t>
      </w:r>
    </w:p>
    <w:p w14:paraId="693E93D0" w14:textId="30546FAC" w:rsidR="00037539" w:rsidRDefault="00037539" w:rsidP="002E0FDF">
      <w:pPr>
        <w:pStyle w:val="Heading1"/>
        <w:keepNext/>
        <w:rPr>
          <w:sz w:val="26"/>
          <w:szCs w:val="26"/>
        </w:rPr>
      </w:pPr>
      <w:r>
        <w:rPr>
          <w:sz w:val="26"/>
          <w:szCs w:val="26"/>
          <w:rtl/>
        </w:rPr>
        <w:t>تشرف وحدة الأوزون الوطنية على تنفيذ خطة إدارة إزالة المواد الهيدروكلوروفلوروكربونية، وتقيّم التقدم المحرز وتعدّ التقارير، وتدير تنفيذ المشروع. وقد رصدت وحدة الأوزون الوطنية، بدعم من خبيرين استشاريين، التنفيذ الفعلي لأنشطة خطة إدارة إزالة المواد الهيدروكلوروفلوروكربونية.</w:t>
      </w:r>
    </w:p>
    <w:p w14:paraId="20B98D5F" w14:textId="77777777" w:rsidR="00037539" w:rsidRPr="001B709E" w:rsidRDefault="00037539" w:rsidP="00DE144F">
      <w:pPr>
        <w:keepNext/>
        <w:rPr>
          <w:i/>
          <w:iCs/>
          <w:sz w:val="26"/>
          <w:szCs w:val="26"/>
        </w:rPr>
      </w:pPr>
      <w:r>
        <w:rPr>
          <w:i/>
          <w:iCs/>
          <w:sz w:val="26"/>
          <w:szCs w:val="26"/>
          <w:rtl/>
        </w:rPr>
        <w:t>مستوى صرف الأموال</w:t>
      </w:r>
    </w:p>
    <w:p w14:paraId="09714431" w14:textId="77777777" w:rsidR="00037539" w:rsidRDefault="00037539" w:rsidP="00DE144F">
      <w:pPr>
        <w:keepNext/>
        <w:rPr>
          <w:sz w:val="26"/>
          <w:szCs w:val="26"/>
        </w:rPr>
      </w:pPr>
    </w:p>
    <w:p w14:paraId="5951B4A3" w14:textId="6B3835A1" w:rsidR="00037539" w:rsidRPr="001B709E" w:rsidRDefault="00037539" w:rsidP="00DE144F">
      <w:pPr>
        <w:pStyle w:val="Heading1"/>
        <w:keepNext/>
        <w:rPr>
          <w:sz w:val="26"/>
          <w:szCs w:val="26"/>
        </w:rPr>
      </w:pPr>
      <w:r>
        <w:rPr>
          <w:sz w:val="26"/>
          <w:szCs w:val="26"/>
          <w:rtl/>
        </w:rPr>
        <w:t>حتى آب/أغسطس 2026، كان قد صُرف كامل المبلغ البالغ 160,000 دولار أمريكي الموافق عليه للمرحلة الأولى.</w:t>
      </w:r>
    </w:p>
    <w:p w14:paraId="2E8BAAD5" w14:textId="77777777" w:rsidR="00037539" w:rsidRPr="00996241" w:rsidRDefault="00037539" w:rsidP="00037539">
      <w:pPr>
        <w:keepNext/>
        <w:autoSpaceDE w:val="0"/>
        <w:autoSpaceDN w:val="0"/>
        <w:adjustRightInd w:val="0"/>
        <w:spacing w:after="240"/>
        <w:rPr>
          <w:b/>
          <w:sz w:val="26"/>
          <w:szCs w:val="26"/>
        </w:rPr>
      </w:pPr>
      <w:r>
        <w:rPr>
          <w:b/>
          <w:bCs/>
          <w:sz w:val="26"/>
          <w:szCs w:val="26"/>
          <w:rtl/>
        </w:rPr>
        <w:t>المرحلة الثانية من خطة إدارة إزالة المواد الهيدروكلوروفلوروكربونية</w:t>
      </w:r>
    </w:p>
    <w:p w14:paraId="3F256A25" w14:textId="77777777" w:rsidR="00037539" w:rsidRPr="00996241" w:rsidRDefault="00037539" w:rsidP="00037539">
      <w:pPr>
        <w:keepNext/>
        <w:spacing w:after="240"/>
        <w:outlineLvl w:val="0"/>
        <w:rPr>
          <w:sz w:val="26"/>
          <w:szCs w:val="26"/>
          <w:u w:val="single"/>
        </w:rPr>
      </w:pPr>
      <w:r>
        <w:rPr>
          <w:sz w:val="26"/>
          <w:szCs w:val="26"/>
          <w:u w:val="single"/>
          <w:rtl/>
        </w:rPr>
        <w:t>الاستهلاك المتبقي المؤهل للتمويل</w:t>
      </w:r>
    </w:p>
    <w:p w14:paraId="1965F332" w14:textId="77D52379" w:rsidR="00037539" w:rsidRDefault="00037539" w:rsidP="00037539">
      <w:pPr>
        <w:pStyle w:val="Heading1"/>
        <w:rPr>
          <w:sz w:val="26"/>
          <w:szCs w:val="26"/>
          <w:lang w:eastAsia="en-CA"/>
          <w14:ligatures w14:val="standardContextual"/>
        </w:rPr>
      </w:pPr>
      <w:bookmarkStart w:id="5" w:name="_Hlk126915728"/>
      <w:bookmarkEnd w:id="4"/>
      <w:r>
        <w:rPr>
          <w:sz w:val="26"/>
          <w:szCs w:val="26"/>
          <w:rtl/>
        </w:rPr>
        <w:t>بعد خصم 0.05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إطار المرحلة الثانية 0.10 طن من قدرات استنفاد الأوزون من الهيدروكلوروفلوروكربون</w:t>
      </w:r>
      <w:r>
        <w:rPr>
          <w:sz w:val="26"/>
          <w:szCs w:val="26"/>
          <w:rtl/>
        </w:rPr>
        <w:noBreakHyphen/>
        <w:t>22. وقد بلغت سان تومي وبرينسيبي هدف التخفيض بنسبة 67.5 في المائة بحلول عام 2025 دون دعم من الصندوق المتعدد الأطراف.</w:t>
      </w:r>
    </w:p>
    <w:p w14:paraId="772F9243" w14:textId="77777777" w:rsidR="00037539" w:rsidRDefault="00037539" w:rsidP="00037539">
      <w:pPr>
        <w:keepNext/>
        <w:spacing w:after="240"/>
        <w:outlineLvl w:val="0"/>
        <w:rPr>
          <w:sz w:val="26"/>
          <w:szCs w:val="26"/>
          <w:u w:val="single"/>
        </w:rPr>
      </w:pPr>
      <w:r>
        <w:rPr>
          <w:sz w:val="26"/>
          <w:szCs w:val="26"/>
          <w:u w:val="single"/>
          <w:rtl/>
        </w:rPr>
        <w:t>التوزيع القطاعي للمواد الهيدروكلوروفلوروكربونية</w:t>
      </w:r>
    </w:p>
    <w:bookmarkEnd w:id="5"/>
    <w:p w14:paraId="770B1104" w14:textId="4DD9F1D4" w:rsidR="00037539" w:rsidRDefault="00037539" w:rsidP="00037539">
      <w:pPr>
        <w:pStyle w:val="Heading1"/>
        <w:rPr>
          <w:sz w:val="26"/>
          <w:szCs w:val="26"/>
          <w:lang w:eastAsia="en-CA"/>
          <w14:ligatures w14:val="standardContextual"/>
        </w:rPr>
      </w:pPr>
      <w:r>
        <w:rPr>
          <w:sz w:val="26"/>
          <w:szCs w:val="26"/>
          <w:rtl/>
        </w:rPr>
        <w:t>يعمل في قطاع الخدمة نحو 110 فنيين (من بينهم أربع نساء) و34 ورشة للتبريد وتكييف الهواء، ويُستهلك الهيدروكلوروفلوروكربون</w:t>
      </w:r>
      <w:r>
        <w:rPr>
          <w:sz w:val="26"/>
          <w:szCs w:val="26"/>
          <w:rtl/>
        </w:rPr>
        <w:noBreakHyphen/>
        <w:t>22 في خدمة نظم تكييف الهواء السكنية والتجارية، على النحو المبين في الجدول 2. ولم يُنشأ بعدُ نظام لإصدار الشهادات لفنيي التبريد وتكييف الهواء، ويتألف القطاع أساساً من فنيين مستقلين أو ورش صغيرة، بما في ذلك من تلقوا تدريباً غير رسمي. ويمثل الهيدروكلوروفلوروكربون</w:t>
      </w:r>
      <w:r>
        <w:rPr>
          <w:sz w:val="26"/>
          <w:szCs w:val="26"/>
          <w:rtl/>
        </w:rPr>
        <w:noBreakHyphen/>
        <w:t>22 نسبة 10 في المائة من مواد التبريد المستخدمة في قطاع خدمة أجهزة تكييف الهواء، وتمثل المواد الهيدروفلوروكربونية نسبة الـ 90 في المائة المتبقية.</w:t>
      </w:r>
    </w:p>
    <w:p w14:paraId="3C2B8FCF" w14:textId="06EB5668" w:rsidR="00F24238" w:rsidRDefault="00037539" w:rsidP="00037539">
      <w:pPr>
        <w:keepNext/>
        <w:rPr>
          <w:kern w:val="2"/>
          <w:sz w:val="26"/>
          <w:szCs w:val="26"/>
          <w:lang w:eastAsia="en-CA"/>
          <w14:ligatures w14:val="standardContextual"/>
        </w:rPr>
      </w:pPr>
      <w:bookmarkStart w:id="6" w:name="_Hlk126915738"/>
      <w:r>
        <w:rPr>
          <w:b/>
          <w:bCs/>
          <w:sz w:val="26"/>
          <w:szCs w:val="26"/>
          <w:rtl/>
        </w:rPr>
        <w:t>الجدول 2. تقدير الطلب على الهيدروكلوروفلوروكربون</w:t>
      </w:r>
      <w:r>
        <w:rPr>
          <w:b/>
          <w:bCs/>
          <w:sz w:val="26"/>
          <w:szCs w:val="26"/>
          <w:rtl/>
        </w:rPr>
        <w:noBreakHyphen/>
        <w:t>22 في قطاع الخدمة في سان تومي وبرينسيبي</w:t>
      </w:r>
    </w:p>
    <w:tbl>
      <w:tblPr>
        <w:bidiVisual/>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94"/>
        <w:gridCol w:w="1370"/>
        <w:gridCol w:w="1370"/>
        <w:gridCol w:w="1372"/>
        <w:gridCol w:w="1370"/>
        <w:gridCol w:w="1374"/>
      </w:tblGrid>
      <w:tr w:rsidR="00F24238" w14:paraId="565454CF" w14:textId="77777777" w:rsidTr="001247C5">
        <w:trPr>
          <w:cantSplit/>
          <w:tblHeader/>
          <w:jc w:val="center"/>
        </w:trPr>
        <w:tc>
          <w:tcPr>
            <w:tcW w:w="2594" w:type="dxa"/>
            <w:vMerge w:val="restart"/>
            <w:tcMar>
              <w:left w:w="28" w:type="dxa"/>
              <w:right w:w="28" w:type="dxa"/>
            </w:tcMar>
            <w:vAlign w:val="center"/>
            <w:hideMark/>
          </w:tcPr>
          <w:p w14:paraId="34E13009" w14:textId="77777777" w:rsidR="00F24238" w:rsidRDefault="00F24238" w:rsidP="0048224B">
            <w:pPr>
              <w:keepNext/>
              <w:jc w:val="center"/>
              <w:rPr>
                <w:kern w:val="2"/>
                <w:sz w:val="20"/>
                <w:szCs w:val="20"/>
                <w:lang w:eastAsia="en-CA"/>
                <w14:ligatures w14:val="standardContextual"/>
              </w:rPr>
            </w:pPr>
            <w:r>
              <w:rPr>
                <w:b/>
                <w:bCs/>
                <w:sz w:val="20"/>
                <w:szCs w:val="20"/>
                <w:rtl/>
              </w:rPr>
              <w:t>القطاع/التطبيق</w:t>
            </w:r>
          </w:p>
        </w:tc>
        <w:tc>
          <w:tcPr>
            <w:tcW w:w="1370" w:type="dxa"/>
            <w:tcMar>
              <w:left w:w="28" w:type="dxa"/>
              <w:right w:w="28" w:type="dxa"/>
            </w:tcMar>
            <w:vAlign w:val="center"/>
            <w:hideMark/>
          </w:tcPr>
          <w:p w14:paraId="3DFC9998" w14:textId="77777777" w:rsidR="00F24238" w:rsidRDefault="00F24238" w:rsidP="0048224B">
            <w:pPr>
              <w:keepNext/>
              <w:jc w:val="center"/>
              <w:rPr>
                <w:sz w:val="20"/>
                <w:szCs w:val="20"/>
              </w:rPr>
            </w:pPr>
            <w:r>
              <w:rPr>
                <w:b/>
                <w:bCs/>
                <w:sz w:val="20"/>
                <w:szCs w:val="20"/>
                <w:rtl/>
              </w:rPr>
              <w:t>(أ)</w:t>
            </w:r>
          </w:p>
        </w:tc>
        <w:tc>
          <w:tcPr>
            <w:tcW w:w="1370" w:type="dxa"/>
            <w:tcMar>
              <w:left w:w="28" w:type="dxa"/>
              <w:right w:w="28" w:type="dxa"/>
            </w:tcMar>
            <w:vAlign w:val="center"/>
            <w:hideMark/>
          </w:tcPr>
          <w:p w14:paraId="1E9D2B45" w14:textId="77777777" w:rsidR="00F24238" w:rsidRDefault="00F24238" w:rsidP="0048224B">
            <w:pPr>
              <w:keepNext/>
              <w:jc w:val="center"/>
              <w:rPr>
                <w:sz w:val="20"/>
                <w:szCs w:val="20"/>
              </w:rPr>
            </w:pPr>
            <w:r>
              <w:rPr>
                <w:b/>
                <w:bCs/>
                <w:sz w:val="20"/>
                <w:szCs w:val="20"/>
                <w:rtl/>
              </w:rPr>
              <w:t>(ب)</w:t>
            </w:r>
          </w:p>
        </w:tc>
        <w:tc>
          <w:tcPr>
            <w:tcW w:w="1372" w:type="dxa"/>
            <w:tcMar>
              <w:left w:w="28" w:type="dxa"/>
              <w:right w:w="28" w:type="dxa"/>
            </w:tcMar>
            <w:vAlign w:val="center"/>
            <w:hideMark/>
          </w:tcPr>
          <w:p w14:paraId="0E91C1BF" w14:textId="77777777" w:rsidR="00F24238" w:rsidRDefault="00F24238" w:rsidP="0048224B">
            <w:pPr>
              <w:keepNext/>
              <w:jc w:val="center"/>
              <w:rPr>
                <w:sz w:val="20"/>
                <w:szCs w:val="20"/>
              </w:rPr>
            </w:pPr>
            <w:r>
              <w:rPr>
                <w:b/>
                <w:bCs/>
                <w:sz w:val="20"/>
                <w:szCs w:val="20"/>
                <w:rtl/>
              </w:rPr>
              <w:t>(ج)</w:t>
            </w:r>
          </w:p>
        </w:tc>
        <w:tc>
          <w:tcPr>
            <w:tcW w:w="1370" w:type="dxa"/>
            <w:tcMar>
              <w:left w:w="28" w:type="dxa"/>
              <w:right w:w="28" w:type="dxa"/>
            </w:tcMar>
            <w:vAlign w:val="center"/>
            <w:hideMark/>
          </w:tcPr>
          <w:p w14:paraId="08C28166" w14:textId="77777777" w:rsidR="00F24238" w:rsidRDefault="00F24238" w:rsidP="0048224B">
            <w:pPr>
              <w:keepNext/>
              <w:jc w:val="center"/>
              <w:rPr>
                <w:sz w:val="20"/>
                <w:szCs w:val="20"/>
              </w:rPr>
            </w:pPr>
            <w:r>
              <w:rPr>
                <w:b/>
                <w:bCs/>
                <w:sz w:val="20"/>
                <w:szCs w:val="20"/>
                <w:rtl/>
              </w:rPr>
              <w:t>(د)</w:t>
            </w:r>
          </w:p>
        </w:tc>
        <w:tc>
          <w:tcPr>
            <w:tcW w:w="1374" w:type="dxa"/>
            <w:tcMar>
              <w:left w:w="28" w:type="dxa"/>
              <w:right w:w="28" w:type="dxa"/>
            </w:tcMar>
            <w:vAlign w:val="center"/>
            <w:hideMark/>
          </w:tcPr>
          <w:p w14:paraId="28EAE4B2" w14:textId="77777777" w:rsidR="00F24238" w:rsidRDefault="00F24238" w:rsidP="0048224B">
            <w:pPr>
              <w:keepNext/>
              <w:jc w:val="center"/>
              <w:rPr>
                <w:sz w:val="20"/>
                <w:szCs w:val="20"/>
              </w:rPr>
            </w:pPr>
            <w:r>
              <w:rPr>
                <w:b/>
                <w:bCs/>
                <w:sz w:val="20"/>
                <w:szCs w:val="20"/>
                <w:rtl/>
              </w:rPr>
              <w:t>(أ*ب*ج*د)</w:t>
            </w:r>
          </w:p>
        </w:tc>
      </w:tr>
      <w:tr w:rsidR="00F24238" w14:paraId="1E42EA5A" w14:textId="77777777" w:rsidTr="001247C5">
        <w:trPr>
          <w:cantSplit/>
          <w:tblHeader/>
          <w:jc w:val="center"/>
        </w:trPr>
        <w:tc>
          <w:tcPr>
            <w:tcW w:w="2594" w:type="dxa"/>
            <w:vMerge/>
            <w:tcMar>
              <w:left w:w="28" w:type="dxa"/>
              <w:right w:w="28" w:type="dxa"/>
            </w:tcMar>
            <w:vAlign w:val="center"/>
            <w:hideMark/>
          </w:tcPr>
          <w:p w14:paraId="7C46625C" w14:textId="77777777" w:rsidR="00F24238" w:rsidRDefault="00F24238">
            <w:pPr>
              <w:keepNext/>
              <w:rPr>
                <w:sz w:val="20"/>
                <w:szCs w:val="20"/>
              </w:rPr>
            </w:pPr>
          </w:p>
        </w:tc>
        <w:tc>
          <w:tcPr>
            <w:tcW w:w="1370" w:type="dxa"/>
            <w:tcMar>
              <w:left w:w="28" w:type="dxa"/>
              <w:right w:w="28" w:type="dxa"/>
            </w:tcMar>
            <w:vAlign w:val="center"/>
            <w:hideMark/>
          </w:tcPr>
          <w:p w14:paraId="33386978" w14:textId="77777777" w:rsidR="00F24238" w:rsidRDefault="00F24238" w:rsidP="0048224B">
            <w:pPr>
              <w:keepNext/>
              <w:jc w:val="center"/>
              <w:rPr>
                <w:sz w:val="20"/>
                <w:szCs w:val="20"/>
              </w:rPr>
            </w:pPr>
            <w:r>
              <w:rPr>
                <w:b/>
                <w:bCs/>
                <w:sz w:val="20"/>
                <w:szCs w:val="20"/>
                <w:rtl/>
              </w:rPr>
              <w:t>مخزون المعدات</w:t>
            </w:r>
          </w:p>
        </w:tc>
        <w:tc>
          <w:tcPr>
            <w:tcW w:w="1370" w:type="dxa"/>
            <w:tcMar>
              <w:left w:w="28" w:type="dxa"/>
              <w:right w:w="28" w:type="dxa"/>
            </w:tcMar>
            <w:vAlign w:val="center"/>
            <w:hideMark/>
          </w:tcPr>
          <w:p w14:paraId="1632F8CA" w14:textId="77777777" w:rsidR="00F24238" w:rsidRDefault="00F24238" w:rsidP="0048224B">
            <w:pPr>
              <w:keepNext/>
              <w:jc w:val="center"/>
              <w:rPr>
                <w:sz w:val="20"/>
                <w:szCs w:val="20"/>
              </w:rPr>
            </w:pPr>
            <w:r>
              <w:rPr>
                <w:b/>
                <w:bCs/>
                <w:sz w:val="20"/>
                <w:szCs w:val="20"/>
                <w:rtl/>
              </w:rPr>
              <w:t>متوسط الشحنة (كغ)</w:t>
            </w:r>
          </w:p>
        </w:tc>
        <w:tc>
          <w:tcPr>
            <w:tcW w:w="1372" w:type="dxa"/>
            <w:tcMar>
              <w:left w:w="28" w:type="dxa"/>
              <w:right w:w="28" w:type="dxa"/>
            </w:tcMar>
            <w:vAlign w:val="center"/>
            <w:hideMark/>
          </w:tcPr>
          <w:p w14:paraId="3C7F08D7" w14:textId="77777777" w:rsidR="00F24238" w:rsidRDefault="00F24238" w:rsidP="0048224B">
            <w:pPr>
              <w:keepNext/>
              <w:jc w:val="center"/>
              <w:rPr>
                <w:sz w:val="20"/>
                <w:szCs w:val="20"/>
              </w:rPr>
            </w:pPr>
            <w:r>
              <w:rPr>
                <w:b/>
                <w:bCs/>
                <w:sz w:val="20"/>
                <w:szCs w:val="20"/>
                <w:rtl/>
              </w:rPr>
              <w:t>المعدات التي تخضع للخدمة (%)</w:t>
            </w:r>
          </w:p>
        </w:tc>
        <w:tc>
          <w:tcPr>
            <w:tcW w:w="1370" w:type="dxa"/>
            <w:tcMar>
              <w:left w:w="28" w:type="dxa"/>
              <w:right w:w="28" w:type="dxa"/>
            </w:tcMar>
            <w:vAlign w:val="center"/>
            <w:hideMark/>
          </w:tcPr>
          <w:p w14:paraId="7083076E" w14:textId="77777777" w:rsidR="00F24238" w:rsidRDefault="00F24238" w:rsidP="0048224B">
            <w:pPr>
              <w:keepNext/>
              <w:jc w:val="center"/>
              <w:rPr>
                <w:sz w:val="20"/>
                <w:szCs w:val="20"/>
              </w:rPr>
            </w:pPr>
            <w:r>
              <w:rPr>
                <w:b/>
                <w:bCs/>
                <w:sz w:val="20"/>
                <w:szCs w:val="20"/>
                <w:rtl/>
              </w:rPr>
              <w:t>معدل التسرب المقدر (%)</w:t>
            </w:r>
          </w:p>
        </w:tc>
        <w:tc>
          <w:tcPr>
            <w:tcW w:w="1374" w:type="dxa"/>
            <w:tcMar>
              <w:left w:w="28" w:type="dxa"/>
              <w:right w:w="28" w:type="dxa"/>
            </w:tcMar>
            <w:vAlign w:val="center"/>
            <w:hideMark/>
          </w:tcPr>
          <w:p w14:paraId="6DC0F34E" w14:textId="0D55155E" w:rsidR="00F24238" w:rsidRDefault="004F7313" w:rsidP="0048224B">
            <w:pPr>
              <w:keepNext/>
              <w:jc w:val="center"/>
              <w:rPr>
                <w:sz w:val="20"/>
                <w:szCs w:val="20"/>
              </w:rPr>
            </w:pPr>
            <w:r>
              <w:rPr>
                <w:b/>
                <w:bCs/>
                <w:sz w:val="20"/>
                <w:szCs w:val="20"/>
                <w:rtl/>
              </w:rPr>
              <w:t>الاحتياجات السنوية للخدمة (2025) (طن متري)</w:t>
            </w:r>
          </w:p>
        </w:tc>
      </w:tr>
      <w:tr w:rsidR="00F24238" w14:paraId="3F1FEF6A" w14:textId="77777777" w:rsidTr="001247C5">
        <w:trPr>
          <w:cantSplit/>
          <w:jc w:val="center"/>
        </w:trPr>
        <w:tc>
          <w:tcPr>
            <w:tcW w:w="2594" w:type="dxa"/>
            <w:tcMar>
              <w:left w:w="28" w:type="dxa"/>
              <w:right w:w="28" w:type="dxa"/>
            </w:tcMar>
            <w:vAlign w:val="center"/>
            <w:hideMark/>
          </w:tcPr>
          <w:p w14:paraId="082551A5" w14:textId="0EB6C4B9" w:rsidR="00F24238" w:rsidRDefault="00F24238">
            <w:pPr>
              <w:keepNext/>
              <w:rPr>
                <w:sz w:val="20"/>
                <w:szCs w:val="20"/>
              </w:rPr>
            </w:pPr>
            <w:r>
              <w:rPr>
                <w:sz w:val="20"/>
                <w:szCs w:val="20"/>
                <w:rtl/>
              </w:rPr>
              <w:t>أجهزة تكييف الهواء السكنية</w:t>
            </w:r>
          </w:p>
        </w:tc>
        <w:tc>
          <w:tcPr>
            <w:tcW w:w="1370" w:type="dxa"/>
            <w:tcMar>
              <w:left w:w="102" w:type="dxa"/>
              <w:right w:w="102" w:type="dxa"/>
            </w:tcMar>
            <w:vAlign w:val="center"/>
            <w:hideMark/>
          </w:tcPr>
          <w:p w14:paraId="1AB9DD58" w14:textId="77777777" w:rsidR="00F24238" w:rsidRDefault="00F24238" w:rsidP="00B80D18">
            <w:pPr>
              <w:keepNext/>
              <w:jc w:val="left"/>
              <w:rPr>
                <w:sz w:val="20"/>
                <w:szCs w:val="20"/>
              </w:rPr>
            </w:pPr>
            <w:r>
              <w:rPr>
                <w:sz w:val="20"/>
                <w:szCs w:val="20"/>
              </w:rPr>
              <w:t>669</w:t>
            </w:r>
          </w:p>
        </w:tc>
        <w:tc>
          <w:tcPr>
            <w:tcW w:w="1370" w:type="dxa"/>
            <w:tcMar>
              <w:left w:w="102" w:type="dxa"/>
              <w:right w:w="102" w:type="dxa"/>
            </w:tcMar>
            <w:vAlign w:val="center"/>
            <w:hideMark/>
          </w:tcPr>
          <w:p w14:paraId="676D277F" w14:textId="77777777" w:rsidR="00F24238" w:rsidRDefault="00F24238" w:rsidP="00B80D18">
            <w:pPr>
              <w:keepNext/>
              <w:jc w:val="left"/>
              <w:rPr>
                <w:sz w:val="20"/>
                <w:szCs w:val="20"/>
              </w:rPr>
            </w:pPr>
            <w:r>
              <w:rPr>
                <w:sz w:val="20"/>
                <w:szCs w:val="20"/>
              </w:rPr>
              <w:t>1.17</w:t>
            </w:r>
          </w:p>
        </w:tc>
        <w:tc>
          <w:tcPr>
            <w:tcW w:w="1372" w:type="dxa"/>
            <w:tcMar>
              <w:left w:w="102" w:type="dxa"/>
              <w:right w:w="102" w:type="dxa"/>
            </w:tcMar>
            <w:vAlign w:val="center"/>
            <w:hideMark/>
          </w:tcPr>
          <w:p w14:paraId="61912B9F" w14:textId="0D5E9772" w:rsidR="00F24238" w:rsidRDefault="00F24238" w:rsidP="00B80D18">
            <w:pPr>
              <w:keepNext/>
              <w:jc w:val="left"/>
              <w:rPr>
                <w:sz w:val="20"/>
                <w:szCs w:val="20"/>
              </w:rPr>
            </w:pPr>
            <w:r>
              <w:rPr>
                <w:sz w:val="20"/>
                <w:szCs w:val="20"/>
              </w:rPr>
              <w:t>30</w:t>
            </w:r>
          </w:p>
        </w:tc>
        <w:tc>
          <w:tcPr>
            <w:tcW w:w="1370" w:type="dxa"/>
            <w:tcMar>
              <w:left w:w="102" w:type="dxa"/>
              <w:right w:w="102" w:type="dxa"/>
            </w:tcMar>
            <w:vAlign w:val="center"/>
            <w:hideMark/>
          </w:tcPr>
          <w:p w14:paraId="19434F9A" w14:textId="00E4A4B8" w:rsidR="00F24238" w:rsidRDefault="00F24238" w:rsidP="00B80D18">
            <w:pPr>
              <w:keepNext/>
              <w:jc w:val="left"/>
              <w:rPr>
                <w:sz w:val="20"/>
                <w:szCs w:val="20"/>
              </w:rPr>
            </w:pPr>
            <w:r>
              <w:rPr>
                <w:sz w:val="20"/>
                <w:szCs w:val="20"/>
              </w:rPr>
              <w:t>15</w:t>
            </w:r>
          </w:p>
        </w:tc>
        <w:tc>
          <w:tcPr>
            <w:tcW w:w="1374" w:type="dxa"/>
            <w:tcMar>
              <w:left w:w="102" w:type="dxa"/>
              <w:right w:w="102" w:type="dxa"/>
            </w:tcMar>
            <w:vAlign w:val="center"/>
            <w:hideMark/>
          </w:tcPr>
          <w:p w14:paraId="46517C72" w14:textId="77777777" w:rsidR="00F24238" w:rsidRDefault="00F24238" w:rsidP="00B80D18">
            <w:pPr>
              <w:keepNext/>
              <w:jc w:val="left"/>
              <w:rPr>
                <w:sz w:val="20"/>
                <w:szCs w:val="20"/>
              </w:rPr>
            </w:pPr>
            <w:r>
              <w:rPr>
                <w:sz w:val="20"/>
                <w:szCs w:val="20"/>
              </w:rPr>
              <w:t>0.04</w:t>
            </w:r>
          </w:p>
        </w:tc>
      </w:tr>
      <w:tr w:rsidR="00F24238" w14:paraId="1BEC1EE4" w14:textId="77777777" w:rsidTr="001247C5">
        <w:trPr>
          <w:cantSplit/>
          <w:jc w:val="center"/>
        </w:trPr>
        <w:tc>
          <w:tcPr>
            <w:tcW w:w="2594" w:type="dxa"/>
            <w:tcMar>
              <w:left w:w="28" w:type="dxa"/>
              <w:right w:w="28" w:type="dxa"/>
            </w:tcMar>
            <w:vAlign w:val="center"/>
            <w:hideMark/>
          </w:tcPr>
          <w:p w14:paraId="473092B8" w14:textId="74185237" w:rsidR="00F24238" w:rsidRDefault="00F24238">
            <w:pPr>
              <w:keepNext/>
              <w:rPr>
                <w:sz w:val="20"/>
                <w:szCs w:val="20"/>
              </w:rPr>
            </w:pPr>
            <w:r>
              <w:rPr>
                <w:sz w:val="20"/>
                <w:szCs w:val="20"/>
                <w:rtl/>
              </w:rPr>
              <w:t>أجهزة تكييف الهواء التجارية</w:t>
            </w:r>
          </w:p>
        </w:tc>
        <w:tc>
          <w:tcPr>
            <w:tcW w:w="1370" w:type="dxa"/>
            <w:tcMar>
              <w:left w:w="102" w:type="dxa"/>
              <w:right w:w="102" w:type="dxa"/>
            </w:tcMar>
            <w:vAlign w:val="center"/>
            <w:hideMark/>
          </w:tcPr>
          <w:p w14:paraId="2D797530" w14:textId="77777777" w:rsidR="00F24238" w:rsidRDefault="00F24238" w:rsidP="00B80D18">
            <w:pPr>
              <w:keepNext/>
              <w:jc w:val="left"/>
              <w:rPr>
                <w:sz w:val="20"/>
                <w:szCs w:val="20"/>
              </w:rPr>
            </w:pPr>
            <w:r>
              <w:rPr>
                <w:sz w:val="20"/>
                <w:szCs w:val="20"/>
              </w:rPr>
              <w:t>902</w:t>
            </w:r>
          </w:p>
        </w:tc>
        <w:tc>
          <w:tcPr>
            <w:tcW w:w="1370" w:type="dxa"/>
            <w:tcMar>
              <w:left w:w="102" w:type="dxa"/>
              <w:right w:w="102" w:type="dxa"/>
            </w:tcMar>
            <w:vAlign w:val="center"/>
            <w:hideMark/>
          </w:tcPr>
          <w:p w14:paraId="27916BD6" w14:textId="77777777" w:rsidR="00F24238" w:rsidRDefault="00F24238" w:rsidP="00B80D18">
            <w:pPr>
              <w:keepNext/>
              <w:jc w:val="left"/>
              <w:rPr>
                <w:sz w:val="20"/>
                <w:szCs w:val="20"/>
              </w:rPr>
            </w:pPr>
            <w:r>
              <w:rPr>
                <w:sz w:val="20"/>
                <w:szCs w:val="20"/>
              </w:rPr>
              <w:t>6.00</w:t>
            </w:r>
          </w:p>
        </w:tc>
        <w:tc>
          <w:tcPr>
            <w:tcW w:w="1372" w:type="dxa"/>
            <w:tcMar>
              <w:left w:w="102" w:type="dxa"/>
              <w:right w:w="102" w:type="dxa"/>
            </w:tcMar>
            <w:vAlign w:val="center"/>
            <w:hideMark/>
          </w:tcPr>
          <w:p w14:paraId="10E2A977" w14:textId="5E8FD213" w:rsidR="00F24238" w:rsidRDefault="00F24238" w:rsidP="00B80D18">
            <w:pPr>
              <w:keepNext/>
              <w:jc w:val="left"/>
              <w:rPr>
                <w:sz w:val="20"/>
                <w:szCs w:val="20"/>
              </w:rPr>
            </w:pPr>
            <w:r>
              <w:rPr>
                <w:sz w:val="20"/>
                <w:szCs w:val="20"/>
              </w:rPr>
              <w:t xml:space="preserve">30 </w:t>
            </w:r>
          </w:p>
        </w:tc>
        <w:tc>
          <w:tcPr>
            <w:tcW w:w="1370" w:type="dxa"/>
            <w:tcMar>
              <w:left w:w="102" w:type="dxa"/>
              <w:right w:w="102" w:type="dxa"/>
            </w:tcMar>
            <w:vAlign w:val="center"/>
            <w:hideMark/>
          </w:tcPr>
          <w:p w14:paraId="628C00F6" w14:textId="4E7B1BB0" w:rsidR="00F24238" w:rsidRDefault="00F24238" w:rsidP="00B80D18">
            <w:pPr>
              <w:keepNext/>
              <w:jc w:val="left"/>
              <w:rPr>
                <w:sz w:val="20"/>
                <w:szCs w:val="20"/>
              </w:rPr>
            </w:pPr>
            <w:r>
              <w:rPr>
                <w:sz w:val="20"/>
                <w:szCs w:val="20"/>
              </w:rPr>
              <w:t>35</w:t>
            </w:r>
          </w:p>
        </w:tc>
        <w:tc>
          <w:tcPr>
            <w:tcW w:w="1374" w:type="dxa"/>
            <w:tcMar>
              <w:left w:w="102" w:type="dxa"/>
              <w:right w:w="102" w:type="dxa"/>
            </w:tcMar>
            <w:vAlign w:val="center"/>
            <w:hideMark/>
          </w:tcPr>
          <w:p w14:paraId="300DC931" w14:textId="77777777" w:rsidR="00F24238" w:rsidRDefault="00F24238" w:rsidP="00B80D18">
            <w:pPr>
              <w:keepNext/>
              <w:jc w:val="left"/>
              <w:rPr>
                <w:sz w:val="20"/>
                <w:szCs w:val="20"/>
              </w:rPr>
            </w:pPr>
            <w:r>
              <w:rPr>
                <w:sz w:val="20"/>
                <w:szCs w:val="20"/>
              </w:rPr>
              <w:t>0.57</w:t>
            </w:r>
          </w:p>
        </w:tc>
      </w:tr>
      <w:tr w:rsidR="00F24238" w14:paraId="2CC4243D" w14:textId="77777777" w:rsidTr="001247C5">
        <w:trPr>
          <w:cantSplit/>
          <w:jc w:val="center"/>
        </w:trPr>
        <w:tc>
          <w:tcPr>
            <w:tcW w:w="2594" w:type="dxa"/>
            <w:tcMar>
              <w:left w:w="28" w:type="dxa"/>
              <w:right w:w="28" w:type="dxa"/>
            </w:tcMar>
            <w:vAlign w:val="center"/>
            <w:hideMark/>
          </w:tcPr>
          <w:p w14:paraId="4C69CC3F" w14:textId="77777777" w:rsidR="00F24238" w:rsidRDefault="00F24238">
            <w:pPr>
              <w:rPr>
                <w:sz w:val="20"/>
                <w:szCs w:val="20"/>
              </w:rPr>
            </w:pPr>
            <w:r>
              <w:rPr>
                <w:b/>
                <w:bCs/>
                <w:sz w:val="20"/>
                <w:szCs w:val="20"/>
                <w:rtl/>
              </w:rPr>
              <w:t>المجموع</w:t>
            </w:r>
          </w:p>
        </w:tc>
        <w:tc>
          <w:tcPr>
            <w:tcW w:w="1370" w:type="dxa"/>
            <w:tcMar>
              <w:left w:w="102" w:type="dxa"/>
              <w:right w:w="102" w:type="dxa"/>
            </w:tcMar>
            <w:vAlign w:val="center"/>
            <w:hideMark/>
          </w:tcPr>
          <w:p w14:paraId="11CD684D" w14:textId="77777777" w:rsidR="00F24238" w:rsidRDefault="00F24238" w:rsidP="00B80D18">
            <w:pPr>
              <w:jc w:val="left"/>
              <w:rPr>
                <w:sz w:val="20"/>
                <w:szCs w:val="20"/>
              </w:rPr>
            </w:pPr>
            <w:r>
              <w:rPr>
                <w:b/>
                <w:bCs/>
                <w:sz w:val="20"/>
                <w:szCs w:val="20"/>
              </w:rPr>
              <w:t>1,571</w:t>
            </w:r>
          </w:p>
        </w:tc>
        <w:tc>
          <w:tcPr>
            <w:tcW w:w="1370" w:type="dxa"/>
            <w:tcMar>
              <w:left w:w="102" w:type="dxa"/>
              <w:right w:w="102" w:type="dxa"/>
            </w:tcMar>
            <w:vAlign w:val="center"/>
            <w:hideMark/>
          </w:tcPr>
          <w:p w14:paraId="10271C88" w14:textId="77777777" w:rsidR="00F24238" w:rsidRDefault="00F24238" w:rsidP="00B80D18">
            <w:pPr>
              <w:jc w:val="left"/>
              <w:rPr>
                <w:sz w:val="20"/>
                <w:szCs w:val="20"/>
              </w:rPr>
            </w:pPr>
          </w:p>
        </w:tc>
        <w:tc>
          <w:tcPr>
            <w:tcW w:w="1372" w:type="dxa"/>
            <w:tcMar>
              <w:left w:w="102" w:type="dxa"/>
              <w:right w:w="102" w:type="dxa"/>
            </w:tcMar>
            <w:vAlign w:val="center"/>
            <w:hideMark/>
          </w:tcPr>
          <w:p w14:paraId="477E369E" w14:textId="77777777" w:rsidR="00F24238" w:rsidRDefault="00F24238" w:rsidP="00B80D18">
            <w:pPr>
              <w:jc w:val="left"/>
              <w:rPr>
                <w:sz w:val="20"/>
                <w:szCs w:val="20"/>
              </w:rPr>
            </w:pPr>
          </w:p>
        </w:tc>
        <w:tc>
          <w:tcPr>
            <w:tcW w:w="1370" w:type="dxa"/>
            <w:tcMar>
              <w:left w:w="102" w:type="dxa"/>
              <w:right w:w="102" w:type="dxa"/>
            </w:tcMar>
            <w:vAlign w:val="center"/>
            <w:hideMark/>
          </w:tcPr>
          <w:p w14:paraId="5002217E" w14:textId="77777777" w:rsidR="00F24238" w:rsidRDefault="00F24238" w:rsidP="00B80D18">
            <w:pPr>
              <w:jc w:val="left"/>
              <w:rPr>
                <w:sz w:val="20"/>
                <w:szCs w:val="20"/>
              </w:rPr>
            </w:pPr>
          </w:p>
        </w:tc>
        <w:tc>
          <w:tcPr>
            <w:tcW w:w="1374" w:type="dxa"/>
            <w:tcMar>
              <w:left w:w="102" w:type="dxa"/>
              <w:right w:w="102" w:type="dxa"/>
            </w:tcMar>
            <w:vAlign w:val="center"/>
            <w:hideMark/>
          </w:tcPr>
          <w:p w14:paraId="7CCBAD4B" w14:textId="77777777" w:rsidR="00F24238" w:rsidRDefault="00F24238" w:rsidP="00B80D18">
            <w:pPr>
              <w:jc w:val="left"/>
              <w:rPr>
                <w:sz w:val="20"/>
                <w:szCs w:val="20"/>
              </w:rPr>
            </w:pPr>
            <w:r>
              <w:rPr>
                <w:b/>
                <w:bCs/>
                <w:sz w:val="20"/>
                <w:szCs w:val="20"/>
              </w:rPr>
              <w:t>0.61</w:t>
            </w:r>
          </w:p>
        </w:tc>
      </w:tr>
    </w:tbl>
    <w:p w14:paraId="661C414D" w14:textId="5B142D34" w:rsidR="00037539" w:rsidRPr="009931F4" w:rsidRDefault="00037539" w:rsidP="00037539">
      <w:pPr>
        <w:keepNext/>
        <w:spacing w:before="240" w:after="240"/>
        <w:rPr>
          <w:b/>
          <w:sz w:val="26"/>
          <w:szCs w:val="26"/>
        </w:rPr>
      </w:pPr>
      <w:r>
        <w:rPr>
          <w:sz w:val="26"/>
          <w:szCs w:val="26"/>
          <w:u w:val="single"/>
          <w:rtl/>
        </w:rPr>
        <w:t>استراتيجية الإزالة</w:t>
      </w:r>
    </w:p>
    <w:bookmarkEnd w:id="6"/>
    <w:p w14:paraId="65020B60" w14:textId="2AD3BE82" w:rsidR="00037539" w:rsidRDefault="00AC3D0D" w:rsidP="00037539">
      <w:pPr>
        <w:pStyle w:val="Heading1"/>
        <w:rPr>
          <w:sz w:val="26"/>
          <w:szCs w:val="26"/>
          <w:lang w:eastAsia="en-CA"/>
          <w14:ligatures w14:val="standardContextual"/>
        </w:rPr>
      </w:pPr>
      <w:r>
        <w:rPr>
          <w:sz w:val="26"/>
          <w:szCs w:val="26"/>
          <w:rtl/>
        </w:rPr>
        <w:t>تقترح حكومة سان تومي وبرينسيبي الإزالة الكاملة للمواد الهيدروكلوروفلوروكربونية بحلول عام 2030، مع فترة استهلاك لأغراض الخدمة حتى عام 2040، بما يتماشى مع بروتوكول مونتريال. وستتألف المرحلة الثانية من ثلاث شرائح، وستبني على التقدم المحرز في المرحلة الأولى، مع التركيز على مواصلة تعزيز الإطار القانوني والتنظيمي؛ وتحسين القدرات التقنية للبلد في إدارة المواد الهيدروكلوروفلوروكربونية وبدائلها؛ وإنشاء نظام لإصدار الشهادات؛ وتعزيز قدرات الإنفاذ؛ وضمان استمرار الرصد والتقييم والإبلاغ. ويعتزم البلد فرض حظر على استيراد المعدات القائمة على المواد الهيدروكلوروفلوروكربونية وعلى استيراد المواد الهيدروكلوروفلوروكربونية في أسطوانات غير قابلة لإعادة التعبئة خلال المرحلة الثانية. وستُنفذ المرحلة الثانية من خطة إدارة إزالة المواد الهيدروكلوروفلوروكربونية بالتنسيق مع المرحلة الأولى من خطة التنفيذ المتعلقة بالمواد الهيدروفلوروكربونية بموجب تعديل كيغالي، المقترحة في هذا الاجتماع.</w:t>
      </w:r>
    </w:p>
    <w:p w14:paraId="1A7B4B01" w14:textId="77777777" w:rsidR="00037539" w:rsidRDefault="00037539" w:rsidP="00037539">
      <w:pPr>
        <w:keepNext/>
        <w:spacing w:after="240"/>
        <w:rPr>
          <w:i/>
          <w:iCs/>
          <w:sz w:val="26"/>
          <w:szCs w:val="26"/>
        </w:rPr>
      </w:pPr>
      <w:r>
        <w:rPr>
          <w:i/>
          <w:iCs/>
          <w:sz w:val="26"/>
          <w:szCs w:val="26"/>
          <w:rtl/>
        </w:rPr>
        <w:lastRenderedPageBreak/>
        <w:t>الأنشطة المقترحة</w:t>
      </w:r>
    </w:p>
    <w:p w14:paraId="06F912C6" w14:textId="79F7029C" w:rsidR="00037539" w:rsidRDefault="00037539" w:rsidP="00037539">
      <w:pPr>
        <w:pStyle w:val="Heading1"/>
        <w:rPr>
          <w:kern w:val="2"/>
          <w:sz w:val="26"/>
          <w:szCs w:val="26"/>
          <w:lang w:eastAsia="en-CA"/>
          <w14:ligatures w14:val="standardContextual"/>
        </w:rPr>
      </w:pPr>
      <w:bookmarkStart w:id="7" w:name="_Hlk126915743"/>
      <w:r>
        <w:rPr>
          <w:sz w:val="26"/>
          <w:szCs w:val="26"/>
          <w:rtl/>
        </w:rPr>
        <w:t>يعرض الجدول 3 الأنشطة المقترح تنفيذها في قطاع الخدمة في إطار المرحلة الثانية وفي الشريحة الأولى وتوزيع تكاليفها.</w:t>
      </w:r>
    </w:p>
    <w:p w14:paraId="1C51EC41" w14:textId="77777777" w:rsidR="00037539" w:rsidRDefault="00037539" w:rsidP="00037539">
      <w:pPr>
        <w:keepNext/>
        <w:shd w:val="clear" w:color="auto" w:fill="FFFFFF"/>
        <w:rPr>
          <w:kern w:val="2"/>
          <w:sz w:val="26"/>
          <w:szCs w:val="26"/>
          <w:lang w:eastAsia="en-CA"/>
          <w14:ligatures w14:val="standardContextual"/>
        </w:rPr>
      </w:pPr>
      <w:r>
        <w:rPr>
          <w:b/>
          <w:bCs/>
          <w:color w:val="000000"/>
          <w:sz w:val="26"/>
          <w:szCs w:val="26"/>
          <w:rtl/>
        </w:rPr>
        <w:t>الجدول 3. الأنشطة وتوزيع التكاليف في إطار المرحلة الثانية من خطة إدارة إزالة المواد الهيدروكلوروفلوروكربونية لسان تومي وبرينسيبي، حسب ما قُدّمت</w:t>
      </w:r>
    </w:p>
    <w:tbl>
      <w:tblPr>
        <w:bidiVisual/>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239"/>
        <w:gridCol w:w="1605"/>
        <w:gridCol w:w="1606"/>
      </w:tblGrid>
      <w:tr w:rsidR="00037539" w:rsidRPr="006D0830" w14:paraId="50FCACA0" w14:textId="77777777">
        <w:trPr>
          <w:cantSplit/>
          <w:tblHeader/>
          <w:jc w:val="center"/>
        </w:trPr>
        <w:tc>
          <w:tcPr>
            <w:tcW w:w="6239" w:type="dxa"/>
            <w:tcMar>
              <w:top w:w="0" w:type="dxa"/>
              <w:left w:w="108" w:type="dxa"/>
              <w:bottom w:w="0" w:type="dxa"/>
              <w:right w:w="108" w:type="dxa"/>
            </w:tcMar>
            <w:vAlign w:val="center"/>
            <w:hideMark/>
          </w:tcPr>
          <w:p w14:paraId="0DE1478B" w14:textId="77777777" w:rsidR="00037539" w:rsidRPr="006D0830" w:rsidRDefault="00037539">
            <w:pPr>
              <w:rPr>
                <w:kern w:val="2"/>
                <w:sz w:val="21"/>
                <w:szCs w:val="21"/>
                <w:lang w:eastAsia="en-CA"/>
                <w14:ligatures w14:val="standardContextual"/>
              </w:rPr>
            </w:pPr>
            <w:bookmarkStart w:id="8" w:name="_Hlk126915749"/>
            <w:bookmarkEnd w:id="7"/>
            <w:r w:rsidRPr="006D0830">
              <w:rPr>
                <w:b/>
                <w:bCs/>
                <w:sz w:val="21"/>
                <w:szCs w:val="21"/>
                <w:rtl/>
              </w:rPr>
              <w:t>النشاط</w:t>
            </w:r>
          </w:p>
        </w:tc>
        <w:tc>
          <w:tcPr>
            <w:tcW w:w="1605" w:type="dxa"/>
            <w:tcMar>
              <w:top w:w="0" w:type="dxa"/>
              <w:left w:w="108" w:type="dxa"/>
              <w:bottom w:w="0" w:type="dxa"/>
              <w:right w:w="108" w:type="dxa"/>
            </w:tcMar>
            <w:vAlign w:val="center"/>
            <w:hideMark/>
          </w:tcPr>
          <w:p w14:paraId="16824F61" w14:textId="77777777" w:rsidR="00037539" w:rsidRPr="006D0830" w:rsidRDefault="00037539">
            <w:pPr>
              <w:rPr>
                <w:sz w:val="21"/>
                <w:szCs w:val="21"/>
              </w:rPr>
            </w:pPr>
            <w:r w:rsidRPr="006D0830">
              <w:rPr>
                <w:b/>
                <w:bCs/>
                <w:sz w:val="21"/>
                <w:szCs w:val="21"/>
                <w:rtl/>
              </w:rPr>
              <w:t>تكلفة المرحلة الثانية (بالدولار الأمريكي)</w:t>
            </w:r>
          </w:p>
        </w:tc>
        <w:tc>
          <w:tcPr>
            <w:tcW w:w="1606" w:type="dxa"/>
            <w:tcMar>
              <w:top w:w="0" w:type="dxa"/>
              <w:left w:w="108" w:type="dxa"/>
              <w:bottom w:w="0" w:type="dxa"/>
              <w:right w:w="108" w:type="dxa"/>
            </w:tcMar>
            <w:vAlign w:val="center"/>
            <w:hideMark/>
          </w:tcPr>
          <w:p w14:paraId="202BF257" w14:textId="77777777" w:rsidR="00037539" w:rsidRPr="006D0830" w:rsidRDefault="00037539">
            <w:pPr>
              <w:rPr>
                <w:sz w:val="21"/>
                <w:szCs w:val="21"/>
              </w:rPr>
            </w:pPr>
            <w:r w:rsidRPr="006D0830">
              <w:rPr>
                <w:b/>
                <w:bCs/>
                <w:sz w:val="21"/>
                <w:szCs w:val="21"/>
                <w:rtl/>
              </w:rPr>
              <w:t>الشريحة الأولى (بالدولار الأمريكي)</w:t>
            </w:r>
          </w:p>
        </w:tc>
      </w:tr>
      <w:tr w:rsidR="00037539" w:rsidRPr="006D0830" w14:paraId="6593D945" w14:textId="77777777">
        <w:trPr>
          <w:cantSplit/>
          <w:jc w:val="center"/>
        </w:trPr>
        <w:tc>
          <w:tcPr>
            <w:tcW w:w="9450" w:type="dxa"/>
            <w:gridSpan w:val="3"/>
            <w:tcMar>
              <w:top w:w="0" w:type="dxa"/>
              <w:left w:w="108" w:type="dxa"/>
              <w:bottom w:w="0" w:type="dxa"/>
              <w:right w:w="108" w:type="dxa"/>
            </w:tcMar>
            <w:vAlign w:val="center"/>
            <w:hideMark/>
          </w:tcPr>
          <w:p w14:paraId="087758BC" w14:textId="77777777" w:rsidR="00037539" w:rsidRPr="006D0830" w:rsidRDefault="00037539">
            <w:pPr>
              <w:keepNext/>
              <w:rPr>
                <w:sz w:val="21"/>
                <w:szCs w:val="21"/>
              </w:rPr>
            </w:pPr>
            <w:r w:rsidRPr="006D0830">
              <w:rPr>
                <w:b/>
                <w:bCs/>
                <w:sz w:val="21"/>
                <w:szCs w:val="21"/>
                <w:rtl/>
              </w:rPr>
              <w:t>1. تعزيز الإطار القانوني والتنظيمي لدعم إزالة المواد الهيدروكلوروفلوروكربونية</w:t>
            </w:r>
          </w:p>
        </w:tc>
      </w:tr>
      <w:tr w:rsidR="00037539" w:rsidRPr="006D0830" w14:paraId="7A2BD498" w14:textId="77777777">
        <w:trPr>
          <w:cantSplit/>
          <w:jc w:val="center"/>
        </w:trPr>
        <w:tc>
          <w:tcPr>
            <w:tcW w:w="6239" w:type="dxa"/>
            <w:tcMar>
              <w:top w:w="0" w:type="dxa"/>
              <w:left w:w="108" w:type="dxa"/>
              <w:bottom w:w="0" w:type="dxa"/>
              <w:right w:w="108" w:type="dxa"/>
            </w:tcMar>
            <w:vAlign w:val="center"/>
            <w:hideMark/>
          </w:tcPr>
          <w:p w14:paraId="74031603" w14:textId="1E28E309" w:rsidR="00037539" w:rsidRPr="006D0830" w:rsidRDefault="00037539">
            <w:pPr>
              <w:keepNext/>
              <w:rPr>
                <w:sz w:val="21"/>
                <w:szCs w:val="21"/>
              </w:rPr>
            </w:pPr>
            <w:r w:rsidRPr="006D0830">
              <w:rPr>
                <w:sz w:val="21"/>
                <w:szCs w:val="21"/>
                <w:rtl/>
              </w:rPr>
              <w:t>1.1 فرض حظر على استيراد المعدات القائمة على المواد الهيدروكلوروفلوروكربونية وعلى استيراد المواد الهيدروكلوروفلوروكربونية في أسطوانات غير قابلة لإعادة التعبئة بحلول عام 2028، وحظر على استيراد المواد الهيدروكلوروفلوروكربونية اعتباراً من عام 2030؛ وتحليل الاستهلاك السنوي المتوقع من المواد الهيدروكلوروفلوروكربونية في البلد للفترة 2030–2040، بما يتماشى مع فترة الاستهلاك لأغراض الخدمة؛ وعقد اجتماعين للتوعية لفائدة المستوردين ومديرية الجمارك ووزارة التجارة بشأن الحظر وفترة الاستهلاك لأغراض الخدمة</w:t>
            </w:r>
          </w:p>
        </w:tc>
        <w:tc>
          <w:tcPr>
            <w:tcW w:w="1605" w:type="dxa"/>
            <w:tcMar>
              <w:top w:w="0" w:type="dxa"/>
              <w:left w:w="108" w:type="dxa"/>
              <w:bottom w:w="0" w:type="dxa"/>
              <w:right w:w="108" w:type="dxa"/>
            </w:tcMar>
            <w:vAlign w:val="center"/>
            <w:hideMark/>
          </w:tcPr>
          <w:p w14:paraId="35706B26" w14:textId="77777777" w:rsidR="00037539" w:rsidRPr="006D0830" w:rsidRDefault="00037539" w:rsidP="00B80D18">
            <w:pPr>
              <w:jc w:val="left"/>
              <w:rPr>
                <w:sz w:val="21"/>
                <w:szCs w:val="21"/>
              </w:rPr>
            </w:pPr>
            <w:r w:rsidRPr="006D0830">
              <w:rPr>
                <w:sz w:val="21"/>
                <w:szCs w:val="21"/>
              </w:rPr>
              <w:t>12,000</w:t>
            </w:r>
          </w:p>
        </w:tc>
        <w:tc>
          <w:tcPr>
            <w:tcW w:w="1606" w:type="dxa"/>
            <w:tcMar>
              <w:top w:w="0" w:type="dxa"/>
              <w:left w:w="108" w:type="dxa"/>
              <w:bottom w:w="0" w:type="dxa"/>
              <w:right w:w="108" w:type="dxa"/>
            </w:tcMar>
            <w:vAlign w:val="center"/>
            <w:hideMark/>
          </w:tcPr>
          <w:p w14:paraId="34CB6699" w14:textId="15634871" w:rsidR="00037539" w:rsidRPr="006D0830" w:rsidRDefault="00037539" w:rsidP="00B80D18">
            <w:pPr>
              <w:jc w:val="left"/>
              <w:rPr>
                <w:sz w:val="21"/>
                <w:szCs w:val="21"/>
              </w:rPr>
            </w:pPr>
            <w:r w:rsidRPr="006D0830">
              <w:rPr>
                <w:sz w:val="21"/>
                <w:szCs w:val="21"/>
              </w:rPr>
              <w:t>4,000</w:t>
            </w:r>
          </w:p>
        </w:tc>
      </w:tr>
      <w:tr w:rsidR="00037539" w:rsidRPr="006D0830" w14:paraId="29DC0893" w14:textId="77777777">
        <w:trPr>
          <w:cantSplit/>
          <w:jc w:val="center"/>
        </w:trPr>
        <w:tc>
          <w:tcPr>
            <w:tcW w:w="6239" w:type="dxa"/>
            <w:tcMar>
              <w:top w:w="0" w:type="dxa"/>
              <w:left w:w="108" w:type="dxa"/>
              <w:bottom w:w="0" w:type="dxa"/>
              <w:right w:w="108" w:type="dxa"/>
            </w:tcMar>
            <w:vAlign w:val="center"/>
            <w:hideMark/>
          </w:tcPr>
          <w:p w14:paraId="7E87C353" w14:textId="7B7D4AB1" w:rsidR="00037539" w:rsidRPr="006D0830" w:rsidRDefault="00037539">
            <w:pPr>
              <w:rPr>
                <w:kern w:val="2"/>
                <w:sz w:val="21"/>
                <w:szCs w:val="21"/>
                <w:lang w:eastAsia="en-CA"/>
                <w14:ligatures w14:val="standardContextual"/>
              </w:rPr>
            </w:pPr>
            <w:r w:rsidRPr="006D0830">
              <w:rPr>
                <w:sz w:val="21"/>
                <w:szCs w:val="21"/>
                <w:rtl/>
              </w:rPr>
              <w:t>1.2 تحسين جمع البيانات وتنظيمها والإبلاغ عنها، وتعزيز التعاون بين أصحاب المصلحة، بما في ذلك إنشاء قاعدة البيانات الوطنية لورش التبريد وتكييف الهواء ومعدات التبريد وتكييف الهواء ومراكز التدريب على التبريد وتكييف الهواء وتحديثها، وعقد حلقتي عمل لأصحاب المصلحة بشأن استخدام قاعدة البيانات والإبلاغ عن البيانات</w:t>
            </w:r>
          </w:p>
        </w:tc>
        <w:tc>
          <w:tcPr>
            <w:tcW w:w="1605" w:type="dxa"/>
            <w:tcMar>
              <w:top w:w="0" w:type="dxa"/>
              <w:left w:w="108" w:type="dxa"/>
              <w:bottom w:w="0" w:type="dxa"/>
              <w:right w:w="108" w:type="dxa"/>
            </w:tcMar>
            <w:vAlign w:val="center"/>
            <w:hideMark/>
          </w:tcPr>
          <w:p w14:paraId="395D4DF3" w14:textId="77777777" w:rsidR="00037539" w:rsidRPr="006D0830" w:rsidRDefault="00037539" w:rsidP="00B80D18">
            <w:pPr>
              <w:jc w:val="left"/>
              <w:rPr>
                <w:sz w:val="21"/>
                <w:szCs w:val="21"/>
              </w:rPr>
            </w:pPr>
            <w:r w:rsidRPr="006D0830">
              <w:rPr>
                <w:sz w:val="21"/>
                <w:szCs w:val="21"/>
              </w:rPr>
              <w:t>30,000</w:t>
            </w:r>
          </w:p>
        </w:tc>
        <w:tc>
          <w:tcPr>
            <w:tcW w:w="1606" w:type="dxa"/>
            <w:tcMar>
              <w:top w:w="0" w:type="dxa"/>
              <w:left w:w="108" w:type="dxa"/>
              <w:bottom w:w="0" w:type="dxa"/>
              <w:right w:w="108" w:type="dxa"/>
            </w:tcMar>
            <w:vAlign w:val="center"/>
            <w:hideMark/>
          </w:tcPr>
          <w:p w14:paraId="4B84346D" w14:textId="77777777" w:rsidR="00037539" w:rsidRPr="006D0830" w:rsidRDefault="00037539" w:rsidP="00B80D18">
            <w:pPr>
              <w:jc w:val="left"/>
              <w:rPr>
                <w:sz w:val="21"/>
                <w:szCs w:val="21"/>
              </w:rPr>
            </w:pPr>
            <w:r w:rsidRPr="006D0830">
              <w:rPr>
                <w:sz w:val="21"/>
                <w:szCs w:val="21"/>
              </w:rPr>
              <w:t>20,000</w:t>
            </w:r>
          </w:p>
        </w:tc>
      </w:tr>
      <w:tr w:rsidR="00037539" w:rsidRPr="006D0830" w14:paraId="3DB840A2" w14:textId="77777777">
        <w:trPr>
          <w:cantSplit/>
          <w:jc w:val="center"/>
        </w:trPr>
        <w:tc>
          <w:tcPr>
            <w:tcW w:w="6239" w:type="dxa"/>
            <w:tcMar>
              <w:top w:w="0" w:type="dxa"/>
              <w:left w:w="108" w:type="dxa"/>
              <w:bottom w:w="0" w:type="dxa"/>
              <w:right w:w="108" w:type="dxa"/>
            </w:tcMar>
            <w:vAlign w:val="center"/>
            <w:hideMark/>
          </w:tcPr>
          <w:p w14:paraId="7941B41C" w14:textId="77777777" w:rsidR="00037539" w:rsidRPr="006D0830" w:rsidRDefault="00037539">
            <w:pPr>
              <w:rPr>
                <w:sz w:val="21"/>
                <w:szCs w:val="21"/>
              </w:rPr>
            </w:pPr>
            <w:r w:rsidRPr="006D0830">
              <w:rPr>
                <w:b/>
                <w:bCs/>
                <w:sz w:val="21"/>
                <w:szCs w:val="21"/>
                <w:rtl/>
              </w:rPr>
              <w:t>المجموع الفرعي</w:t>
            </w:r>
          </w:p>
        </w:tc>
        <w:tc>
          <w:tcPr>
            <w:tcW w:w="1605" w:type="dxa"/>
            <w:tcMar>
              <w:top w:w="0" w:type="dxa"/>
              <w:left w:w="108" w:type="dxa"/>
              <w:bottom w:w="0" w:type="dxa"/>
              <w:right w:w="108" w:type="dxa"/>
            </w:tcMar>
            <w:vAlign w:val="center"/>
            <w:hideMark/>
          </w:tcPr>
          <w:p w14:paraId="68A785AA" w14:textId="77777777" w:rsidR="00037539" w:rsidRPr="006D0830" w:rsidRDefault="00037539" w:rsidP="00B80D18">
            <w:pPr>
              <w:jc w:val="left"/>
              <w:rPr>
                <w:sz w:val="21"/>
                <w:szCs w:val="21"/>
              </w:rPr>
            </w:pPr>
            <w:r w:rsidRPr="006D0830">
              <w:rPr>
                <w:b/>
                <w:bCs/>
                <w:sz w:val="21"/>
                <w:szCs w:val="21"/>
              </w:rPr>
              <w:t>42,000</w:t>
            </w:r>
          </w:p>
        </w:tc>
        <w:tc>
          <w:tcPr>
            <w:tcW w:w="1606" w:type="dxa"/>
            <w:tcMar>
              <w:top w:w="0" w:type="dxa"/>
              <w:left w:w="108" w:type="dxa"/>
              <w:bottom w:w="0" w:type="dxa"/>
              <w:right w:w="108" w:type="dxa"/>
            </w:tcMar>
            <w:vAlign w:val="center"/>
            <w:hideMark/>
          </w:tcPr>
          <w:p w14:paraId="7DBFAF62" w14:textId="77777777" w:rsidR="00037539" w:rsidRPr="006D0830" w:rsidRDefault="00037539" w:rsidP="00B80D18">
            <w:pPr>
              <w:jc w:val="left"/>
              <w:rPr>
                <w:sz w:val="21"/>
                <w:szCs w:val="21"/>
              </w:rPr>
            </w:pPr>
            <w:r w:rsidRPr="006D0830">
              <w:rPr>
                <w:b/>
                <w:bCs/>
                <w:sz w:val="21"/>
                <w:szCs w:val="21"/>
              </w:rPr>
              <w:t>24,000</w:t>
            </w:r>
          </w:p>
        </w:tc>
      </w:tr>
      <w:tr w:rsidR="00037539" w:rsidRPr="006D0830" w14:paraId="7DC3F594" w14:textId="77777777">
        <w:trPr>
          <w:cantSplit/>
          <w:jc w:val="center"/>
        </w:trPr>
        <w:tc>
          <w:tcPr>
            <w:tcW w:w="6239" w:type="dxa"/>
            <w:tcMar>
              <w:top w:w="0" w:type="dxa"/>
              <w:left w:w="108" w:type="dxa"/>
              <w:bottom w:w="0" w:type="dxa"/>
              <w:right w:w="108" w:type="dxa"/>
            </w:tcMar>
            <w:vAlign w:val="center"/>
          </w:tcPr>
          <w:p w14:paraId="60944E68" w14:textId="7EAB24CB" w:rsidR="00037539" w:rsidRPr="006D0830" w:rsidRDefault="00037539">
            <w:pPr>
              <w:rPr>
                <w:b/>
                <w:bCs/>
                <w:sz w:val="21"/>
                <w:szCs w:val="21"/>
              </w:rPr>
            </w:pPr>
            <w:r w:rsidRPr="006D0830">
              <w:rPr>
                <w:b/>
                <w:bCs/>
                <w:sz w:val="21"/>
                <w:szCs w:val="21"/>
                <w:rtl/>
              </w:rPr>
              <w:t>2. بناء قدرات موظفي الجمارك وموظفي الإنفاذ</w:t>
            </w:r>
          </w:p>
        </w:tc>
        <w:tc>
          <w:tcPr>
            <w:tcW w:w="1605" w:type="dxa"/>
            <w:tcMar>
              <w:top w:w="0" w:type="dxa"/>
              <w:left w:w="108" w:type="dxa"/>
              <w:bottom w:w="0" w:type="dxa"/>
              <w:right w:w="108" w:type="dxa"/>
            </w:tcMar>
            <w:vAlign w:val="center"/>
          </w:tcPr>
          <w:p w14:paraId="3490D787" w14:textId="77777777" w:rsidR="00037539" w:rsidRPr="006D0830" w:rsidRDefault="00037539" w:rsidP="00B80D18">
            <w:pPr>
              <w:jc w:val="left"/>
              <w:rPr>
                <w:b/>
                <w:bCs/>
                <w:sz w:val="21"/>
                <w:szCs w:val="21"/>
              </w:rPr>
            </w:pPr>
          </w:p>
        </w:tc>
        <w:tc>
          <w:tcPr>
            <w:tcW w:w="1606" w:type="dxa"/>
            <w:tcMar>
              <w:top w:w="0" w:type="dxa"/>
              <w:left w:w="108" w:type="dxa"/>
              <w:bottom w:w="0" w:type="dxa"/>
              <w:right w:w="108" w:type="dxa"/>
            </w:tcMar>
            <w:vAlign w:val="center"/>
          </w:tcPr>
          <w:p w14:paraId="33A93787" w14:textId="77777777" w:rsidR="00037539" w:rsidRPr="006D0830" w:rsidRDefault="00037539" w:rsidP="00B80D18">
            <w:pPr>
              <w:jc w:val="left"/>
              <w:rPr>
                <w:b/>
                <w:bCs/>
                <w:sz w:val="21"/>
                <w:szCs w:val="21"/>
              </w:rPr>
            </w:pPr>
          </w:p>
        </w:tc>
      </w:tr>
      <w:tr w:rsidR="00037539" w:rsidRPr="006D0830" w14:paraId="24C85395" w14:textId="77777777">
        <w:trPr>
          <w:cantSplit/>
          <w:jc w:val="center"/>
        </w:trPr>
        <w:tc>
          <w:tcPr>
            <w:tcW w:w="6239" w:type="dxa"/>
            <w:tcMar>
              <w:top w:w="0" w:type="dxa"/>
              <w:left w:w="108" w:type="dxa"/>
              <w:bottom w:w="0" w:type="dxa"/>
              <w:right w:w="108" w:type="dxa"/>
            </w:tcMar>
            <w:vAlign w:val="center"/>
          </w:tcPr>
          <w:p w14:paraId="61B1302A" w14:textId="77777777" w:rsidR="00037539" w:rsidRPr="006D0830" w:rsidRDefault="00037539">
            <w:pPr>
              <w:rPr>
                <w:b/>
                <w:bCs/>
                <w:sz w:val="21"/>
                <w:szCs w:val="21"/>
              </w:rPr>
            </w:pPr>
            <w:r w:rsidRPr="006D0830">
              <w:rPr>
                <w:sz w:val="21"/>
                <w:szCs w:val="21"/>
                <w:rtl/>
              </w:rPr>
              <w:t>2.1 تحديث المواد التدريبية؛ وتنظيم تسع دورات تدريبية لـ 180 من موظفي الجمارك وضباط الشرطة الضريبية بشأن اللوائح المتعلقة بالمواد المستنفدة للأوزون، والتعرف على المواد الخاضعة للرقابة، والرصد</w:t>
            </w:r>
          </w:p>
        </w:tc>
        <w:tc>
          <w:tcPr>
            <w:tcW w:w="1605" w:type="dxa"/>
            <w:tcMar>
              <w:top w:w="0" w:type="dxa"/>
              <w:left w:w="108" w:type="dxa"/>
              <w:bottom w:w="0" w:type="dxa"/>
              <w:right w:w="108" w:type="dxa"/>
            </w:tcMar>
            <w:vAlign w:val="center"/>
          </w:tcPr>
          <w:p w14:paraId="6591AFC5" w14:textId="77777777" w:rsidR="00037539" w:rsidRPr="006D0830" w:rsidRDefault="00037539" w:rsidP="00B80D18">
            <w:pPr>
              <w:jc w:val="left"/>
              <w:rPr>
                <w:b/>
                <w:bCs/>
                <w:sz w:val="21"/>
                <w:szCs w:val="21"/>
              </w:rPr>
            </w:pPr>
            <w:r w:rsidRPr="006D0830">
              <w:rPr>
                <w:sz w:val="21"/>
                <w:szCs w:val="21"/>
              </w:rPr>
              <w:t>40,000</w:t>
            </w:r>
          </w:p>
        </w:tc>
        <w:tc>
          <w:tcPr>
            <w:tcW w:w="1606" w:type="dxa"/>
            <w:tcMar>
              <w:top w:w="0" w:type="dxa"/>
              <w:left w:w="108" w:type="dxa"/>
              <w:bottom w:w="0" w:type="dxa"/>
              <w:right w:w="108" w:type="dxa"/>
            </w:tcMar>
            <w:vAlign w:val="center"/>
          </w:tcPr>
          <w:p w14:paraId="211103B7" w14:textId="77777777" w:rsidR="00037539" w:rsidRPr="006D0830" w:rsidRDefault="00037539" w:rsidP="00B80D18">
            <w:pPr>
              <w:jc w:val="left"/>
              <w:rPr>
                <w:b/>
                <w:bCs/>
                <w:sz w:val="21"/>
                <w:szCs w:val="21"/>
              </w:rPr>
            </w:pPr>
            <w:r w:rsidRPr="006D0830">
              <w:rPr>
                <w:sz w:val="21"/>
                <w:szCs w:val="21"/>
              </w:rPr>
              <w:t>19,000</w:t>
            </w:r>
          </w:p>
        </w:tc>
      </w:tr>
      <w:tr w:rsidR="00037539" w:rsidRPr="006D0830" w14:paraId="6B071EAC" w14:textId="77777777">
        <w:trPr>
          <w:cantSplit/>
          <w:jc w:val="center"/>
        </w:trPr>
        <w:tc>
          <w:tcPr>
            <w:tcW w:w="6239" w:type="dxa"/>
            <w:tcMar>
              <w:top w:w="0" w:type="dxa"/>
              <w:left w:w="108" w:type="dxa"/>
              <w:bottom w:w="0" w:type="dxa"/>
              <w:right w:w="108" w:type="dxa"/>
            </w:tcMar>
            <w:vAlign w:val="center"/>
          </w:tcPr>
          <w:p w14:paraId="343B3546" w14:textId="77777777" w:rsidR="00037539" w:rsidRPr="006D0830" w:rsidRDefault="00037539">
            <w:pPr>
              <w:rPr>
                <w:b/>
                <w:bCs/>
                <w:sz w:val="21"/>
                <w:szCs w:val="21"/>
              </w:rPr>
            </w:pPr>
            <w:r w:rsidRPr="006D0830">
              <w:rPr>
                <w:b/>
                <w:bCs/>
                <w:sz w:val="21"/>
                <w:szCs w:val="21"/>
                <w:rtl/>
              </w:rPr>
              <w:t>المجموع الفرعي</w:t>
            </w:r>
          </w:p>
        </w:tc>
        <w:tc>
          <w:tcPr>
            <w:tcW w:w="1605" w:type="dxa"/>
            <w:tcMar>
              <w:top w:w="0" w:type="dxa"/>
              <w:left w:w="108" w:type="dxa"/>
              <w:bottom w:w="0" w:type="dxa"/>
              <w:right w:w="108" w:type="dxa"/>
            </w:tcMar>
            <w:vAlign w:val="center"/>
          </w:tcPr>
          <w:p w14:paraId="5E779678" w14:textId="77777777" w:rsidR="00037539" w:rsidRPr="006D0830" w:rsidRDefault="00037539" w:rsidP="00B80D18">
            <w:pPr>
              <w:jc w:val="left"/>
              <w:rPr>
                <w:b/>
                <w:bCs/>
                <w:sz w:val="21"/>
                <w:szCs w:val="21"/>
              </w:rPr>
            </w:pPr>
            <w:r w:rsidRPr="006D0830">
              <w:rPr>
                <w:b/>
                <w:bCs/>
                <w:sz w:val="21"/>
                <w:szCs w:val="21"/>
              </w:rPr>
              <w:t>40,000</w:t>
            </w:r>
          </w:p>
        </w:tc>
        <w:tc>
          <w:tcPr>
            <w:tcW w:w="1606" w:type="dxa"/>
            <w:tcMar>
              <w:top w:w="0" w:type="dxa"/>
              <w:left w:w="108" w:type="dxa"/>
              <w:bottom w:w="0" w:type="dxa"/>
              <w:right w:w="108" w:type="dxa"/>
            </w:tcMar>
            <w:vAlign w:val="center"/>
          </w:tcPr>
          <w:p w14:paraId="2CD463D8" w14:textId="77777777" w:rsidR="00037539" w:rsidRPr="006D0830" w:rsidRDefault="00037539" w:rsidP="00B80D18">
            <w:pPr>
              <w:jc w:val="left"/>
              <w:rPr>
                <w:b/>
                <w:bCs/>
                <w:sz w:val="21"/>
                <w:szCs w:val="21"/>
              </w:rPr>
            </w:pPr>
            <w:r w:rsidRPr="006D0830">
              <w:rPr>
                <w:b/>
                <w:bCs/>
                <w:sz w:val="21"/>
                <w:szCs w:val="21"/>
              </w:rPr>
              <w:t>19,000</w:t>
            </w:r>
          </w:p>
        </w:tc>
      </w:tr>
      <w:tr w:rsidR="00037539" w:rsidRPr="006D0830" w14:paraId="6247312C" w14:textId="77777777">
        <w:trPr>
          <w:cantSplit/>
          <w:jc w:val="center"/>
        </w:trPr>
        <w:tc>
          <w:tcPr>
            <w:tcW w:w="9450" w:type="dxa"/>
            <w:gridSpan w:val="3"/>
            <w:tcMar>
              <w:top w:w="0" w:type="dxa"/>
              <w:left w:w="108" w:type="dxa"/>
              <w:bottom w:w="0" w:type="dxa"/>
              <w:right w:w="108" w:type="dxa"/>
            </w:tcMar>
            <w:vAlign w:val="center"/>
            <w:hideMark/>
          </w:tcPr>
          <w:p w14:paraId="0B309816" w14:textId="3565F6D1" w:rsidR="00037539" w:rsidRPr="006D0830" w:rsidRDefault="00037539" w:rsidP="00B80D18">
            <w:pPr>
              <w:jc w:val="left"/>
              <w:rPr>
                <w:sz w:val="21"/>
                <w:szCs w:val="21"/>
              </w:rPr>
            </w:pPr>
            <w:r w:rsidRPr="006D0830">
              <w:rPr>
                <w:b/>
                <w:bCs/>
                <w:sz w:val="21"/>
                <w:szCs w:val="21"/>
                <w:rtl/>
              </w:rPr>
              <w:t>3. بناء قدرات فنيي التبريد وتكييف الهواء</w:t>
            </w:r>
          </w:p>
        </w:tc>
      </w:tr>
      <w:tr w:rsidR="00037539" w:rsidRPr="006D0830" w14:paraId="420334AC" w14:textId="77777777">
        <w:trPr>
          <w:cantSplit/>
          <w:jc w:val="center"/>
        </w:trPr>
        <w:tc>
          <w:tcPr>
            <w:tcW w:w="6239" w:type="dxa"/>
            <w:tcMar>
              <w:top w:w="0" w:type="dxa"/>
              <w:left w:w="108" w:type="dxa"/>
              <w:bottom w:w="0" w:type="dxa"/>
              <w:right w:w="108" w:type="dxa"/>
            </w:tcMar>
            <w:vAlign w:val="center"/>
            <w:hideMark/>
          </w:tcPr>
          <w:p w14:paraId="60365321" w14:textId="394DA3D8" w:rsidR="00037539" w:rsidRPr="006D0830" w:rsidRDefault="00037539">
            <w:pPr>
              <w:rPr>
                <w:kern w:val="2"/>
                <w:sz w:val="21"/>
                <w:szCs w:val="21"/>
                <w:lang w:eastAsia="en-CA"/>
                <w14:ligatures w14:val="standardContextual"/>
              </w:rPr>
            </w:pPr>
            <w:r w:rsidRPr="006D0830">
              <w:rPr>
                <w:sz w:val="21"/>
                <w:szCs w:val="21"/>
                <w:rtl/>
              </w:rPr>
              <w:t>3.1 تحديث المواد التدريبية؛ وتنظيم أربع دورات تدريبية لـ 80 فنياً في مجال التبريد وتكييف الهواء بشأن الممارسات الجيدة في الخدمة والمناولة الآمنة لمواد التبريد القابلة للاشتعال؛ وتنظيم حملة لتعزيز مشاركة المرأة في قطاع التبريد وتكييف الهواء، تشمل إعداد مواد عن الفرص المتاحة في هذا القطاع، وتنظيم جلسات إعلامية وعروض في مؤسسات التعليم الثانوي والتقني</w:t>
            </w:r>
          </w:p>
        </w:tc>
        <w:tc>
          <w:tcPr>
            <w:tcW w:w="1605" w:type="dxa"/>
            <w:tcMar>
              <w:top w:w="0" w:type="dxa"/>
              <w:left w:w="108" w:type="dxa"/>
              <w:bottom w:w="0" w:type="dxa"/>
              <w:right w:w="108" w:type="dxa"/>
            </w:tcMar>
            <w:vAlign w:val="center"/>
            <w:hideMark/>
          </w:tcPr>
          <w:p w14:paraId="1F1FF347" w14:textId="2EF684A7" w:rsidR="00037539" w:rsidRPr="006D0830" w:rsidRDefault="00037539" w:rsidP="00B80D18">
            <w:pPr>
              <w:jc w:val="left"/>
              <w:rPr>
                <w:sz w:val="21"/>
                <w:szCs w:val="21"/>
              </w:rPr>
            </w:pPr>
            <w:r w:rsidRPr="006D0830">
              <w:rPr>
                <w:sz w:val="21"/>
                <w:szCs w:val="21"/>
              </w:rPr>
              <w:t>27,000</w:t>
            </w:r>
          </w:p>
        </w:tc>
        <w:tc>
          <w:tcPr>
            <w:tcW w:w="1606" w:type="dxa"/>
            <w:tcMar>
              <w:top w:w="0" w:type="dxa"/>
              <w:left w:w="108" w:type="dxa"/>
              <w:bottom w:w="0" w:type="dxa"/>
              <w:right w:w="108" w:type="dxa"/>
            </w:tcMar>
            <w:vAlign w:val="center"/>
            <w:hideMark/>
          </w:tcPr>
          <w:p w14:paraId="27C4BFEA" w14:textId="01D3F309" w:rsidR="00037539" w:rsidRPr="006D0830" w:rsidRDefault="002F56FA" w:rsidP="00B80D18">
            <w:pPr>
              <w:jc w:val="left"/>
              <w:rPr>
                <w:sz w:val="21"/>
                <w:szCs w:val="21"/>
              </w:rPr>
            </w:pPr>
            <w:r w:rsidRPr="006D0830">
              <w:rPr>
                <w:sz w:val="21"/>
                <w:szCs w:val="21"/>
              </w:rPr>
              <w:t>14,500</w:t>
            </w:r>
          </w:p>
        </w:tc>
      </w:tr>
      <w:tr w:rsidR="00037539" w:rsidRPr="006D0830" w14:paraId="25DE7FE1" w14:textId="77777777">
        <w:trPr>
          <w:cantSplit/>
          <w:jc w:val="center"/>
        </w:trPr>
        <w:tc>
          <w:tcPr>
            <w:tcW w:w="6239" w:type="dxa"/>
            <w:tcMar>
              <w:top w:w="0" w:type="dxa"/>
              <w:left w:w="108" w:type="dxa"/>
              <w:bottom w:w="0" w:type="dxa"/>
              <w:right w:w="108" w:type="dxa"/>
            </w:tcMar>
            <w:vAlign w:val="center"/>
            <w:hideMark/>
          </w:tcPr>
          <w:p w14:paraId="10087AF6" w14:textId="17D4D1F0" w:rsidR="00037539" w:rsidRPr="006D0830" w:rsidRDefault="00037539">
            <w:pPr>
              <w:rPr>
                <w:kern w:val="2"/>
                <w:sz w:val="21"/>
                <w:szCs w:val="21"/>
                <w:lang w:eastAsia="en-CA"/>
                <w14:ligatures w14:val="standardContextual"/>
              </w:rPr>
            </w:pPr>
            <w:r w:rsidRPr="006D0830">
              <w:rPr>
                <w:sz w:val="21"/>
                <w:szCs w:val="21"/>
                <w:rtl/>
              </w:rPr>
              <w:t>3.2 وضع نظام لإصدار الشهادات لفنيي التبريد وتكييف الهواء وتفعيله، بما في ذلك عقد حلقتي عمل للتشاور مع أصحاب المصلحة، وتقييم مراكز التدريب وتعزيزها من خلال الزيارات الميدانية، ووضع معايير الكفاءة المهنية والمبادئ التوجيهية لإصدار الشهادات، وإنشاء مراكز لإصدار الشهادات، ومنح الشهادات لـ 25 فنياً في مجال التبريد وتكييف الهواء</w:t>
            </w:r>
          </w:p>
        </w:tc>
        <w:tc>
          <w:tcPr>
            <w:tcW w:w="1605" w:type="dxa"/>
            <w:tcMar>
              <w:top w:w="0" w:type="dxa"/>
              <w:left w:w="108" w:type="dxa"/>
              <w:bottom w:w="0" w:type="dxa"/>
              <w:right w:w="108" w:type="dxa"/>
            </w:tcMar>
            <w:vAlign w:val="center"/>
            <w:hideMark/>
          </w:tcPr>
          <w:p w14:paraId="3061E5FE" w14:textId="77777777" w:rsidR="00037539" w:rsidRPr="006D0830" w:rsidRDefault="00037539" w:rsidP="00B80D18">
            <w:pPr>
              <w:jc w:val="left"/>
              <w:rPr>
                <w:sz w:val="21"/>
                <w:szCs w:val="21"/>
              </w:rPr>
            </w:pPr>
            <w:r w:rsidRPr="006D0830">
              <w:rPr>
                <w:sz w:val="21"/>
                <w:szCs w:val="21"/>
              </w:rPr>
              <w:t>60,000</w:t>
            </w:r>
          </w:p>
        </w:tc>
        <w:tc>
          <w:tcPr>
            <w:tcW w:w="1606" w:type="dxa"/>
            <w:tcMar>
              <w:top w:w="0" w:type="dxa"/>
              <w:left w:w="108" w:type="dxa"/>
              <w:bottom w:w="0" w:type="dxa"/>
              <w:right w:w="108" w:type="dxa"/>
            </w:tcMar>
            <w:vAlign w:val="center"/>
            <w:hideMark/>
          </w:tcPr>
          <w:p w14:paraId="36C104B6" w14:textId="77777777" w:rsidR="00037539" w:rsidRPr="006D0830" w:rsidRDefault="00037539" w:rsidP="00B80D18">
            <w:pPr>
              <w:jc w:val="left"/>
              <w:rPr>
                <w:sz w:val="21"/>
                <w:szCs w:val="21"/>
              </w:rPr>
            </w:pPr>
            <w:r w:rsidRPr="006D0830">
              <w:rPr>
                <w:sz w:val="21"/>
                <w:szCs w:val="21"/>
              </w:rPr>
              <w:t>17,000</w:t>
            </w:r>
          </w:p>
        </w:tc>
      </w:tr>
      <w:tr w:rsidR="00037539" w:rsidRPr="006D0830" w14:paraId="291547F8" w14:textId="77777777">
        <w:trPr>
          <w:cantSplit/>
          <w:jc w:val="center"/>
        </w:trPr>
        <w:tc>
          <w:tcPr>
            <w:tcW w:w="6239" w:type="dxa"/>
            <w:tcMar>
              <w:top w:w="0" w:type="dxa"/>
              <w:left w:w="108" w:type="dxa"/>
              <w:bottom w:w="0" w:type="dxa"/>
              <w:right w:w="108" w:type="dxa"/>
            </w:tcMar>
            <w:vAlign w:val="center"/>
            <w:hideMark/>
          </w:tcPr>
          <w:p w14:paraId="5B8ACFF8" w14:textId="77777777" w:rsidR="00037539" w:rsidRPr="006D0830" w:rsidRDefault="00037539">
            <w:pPr>
              <w:rPr>
                <w:sz w:val="21"/>
                <w:szCs w:val="21"/>
              </w:rPr>
            </w:pPr>
            <w:r w:rsidRPr="006D0830">
              <w:rPr>
                <w:b/>
                <w:bCs/>
                <w:sz w:val="21"/>
                <w:szCs w:val="21"/>
                <w:rtl/>
              </w:rPr>
              <w:t>المجموع الفرعي</w:t>
            </w:r>
          </w:p>
        </w:tc>
        <w:tc>
          <w:tcPr>
            <w:tcW w:w="1605" w:type="dxa"/>
            <w:tcMar>
              <w:top w:w="0" w:type="dxa"/>
              <w:left w:w="108" w:type="dxa"/>
              <w:bottom w:w="0" w:type="dxa"/>
              <w:right w:w="108" w:type="dxa"/>
            </w:tcMar>
            <w:vAlign w:val="center"/>
            <w:hideMark/>
          </w:tcPr>
          <w:p w14:paraId="775941A5" w14:textId="77777777" w:rsidR="00037539" w:rsidRPr="006D0830" w:rsidRDefault="00037539" w:rsidP="00B80D18">
            <w:pPr>
              <w:jc w:val="left"/>
              <w:rPr>
                <w:sz w:val="21"/>
                <w:szCs w:val="21"/>
              </w:rPr>
            </w:pPr>
            <w:r w:rsidRPr="006D0830">
              <w:rPr>
                <w:b/>
                <w:bCs/>
                <w:sz w:val="21"/>
                <w:szCs w:val="21"/>
              </w:rPr>
              <w:t>87,000</w:t>
            </w:r>
          </w:p>
        </w:tc>
        <w:tc>
          <w:tcPr>
            <w:tcW w:w="1606" w:type="dxa"/>
            <w:tcMar>
              <w:top w:w="0" w:type="dxa"/>
              <w:left w:w="108" w:type="dxa"/>
              <w:bottom w:w="0" w:type="dxa"/>
              <w:right w:w="108" w:type="dxa"/>
            </w:tcMar>
            <w:vAlign w:val="center"/>
            <w:hideMark/>
          </w:tcPr>
          <w:p w14:paraId="36384E01" w14:textId="77777777" w:rsidR="00037539" w:rsidRPr="006D0830" w:rsidRDefault="00037539" w:rsidP="00B80D18">
            <w:pPr>
              <w:jc w:val="left"/>
              <w:rPr>
                <w:sz w:val="21"/>
                <w:szCs w:val="21"/>
              </w:rPr>
            </w:pPr>
            <w:r w:rsidRPr="006D0830">
              <w:rPr>
                <w:b/>
                <w:bCs/>
                <w:sz w:val="21"/>
                <w:szCs w:val="21"/>
              </w:rPr>
              <w:t>31,500</w:t>
            </w:r>
          </w:p>
        </w:tc>
      </w:tr>
      <w:tr w:rsidR="00037539" w:rsidRPr="006D0830" w14:paraId="54C3087A" w14:textId="77777777">
        <w:trPr>
          <w:cantSplit/>
          <w:jc w:val="center"/>
        </w:trPr>
        <w:tc>
          <w:tcPr>
            <w:tcW w:w="9450" w:type="dxa"/>
            <w:gridSpan w:val="3"/>
            <w:tcMar>
              <w:top w:w="0" w:type="dxa"/>
              <w:left w:w="108" w:type="dxa"/>
              <w:bottom w:w="0" w:type="dxa"/>
              <w:right w:w="108" w:type="dxa"/>
            </w:tcMar>
            <w:vAlign w:val="center"/>
            <w:hideMark/>
          </w:tcPr>
          <w:p w14:paraId="3076B323" w14:textId="77777777" w:rsidR="00037539" w:rsidRPr="006D0830" w:rsidRDefault="00037539" w:rsidP="00B80D18">
            <w:pPr>
              <w:jc w:val="left"/>
              <w:rPr>
                <w:sz w:val="21"/>
                <w:szCs w:val="21"/>
              </w:rPr>
            </w:pPr>
            <w:r w:rsidRPr="006D0830">
              <w:rPr>
                <w:b/>
                <w:bCs/>
                <w:sz w:val="21"/>
                <w:szCs w:val="21"/>
                <w:rtl/>
              </w:rPr>
              <w:t>4. الرصد والتقييم والإبلاغ</w:t>
            </w:r>
          </w:p>
        </w:tc>
      </w:tr>
      <w:tr w:rsidR="00037539" w:rsidRPr="006D0830" w14:paraId="649015FA" w14:textId="77777777">
        <w:trPr>
          <w:cantSplit/>
          <w:jc w:val="center"/>
        </w:trPr>
        <w:tc>
          <w:tcPr>
            <w:tcW w:w="6239" w:type="dxa"/>
            <w:tcMar>
              <w:top w:w="0" w:type="dxa"/>
              <w:left w:w="108" w:type="dxa"/>
              <w:bottom w:w="0" w:type="dxa"/>
              <w:right w:w="108" w:type="dxa"/>
            </w:tcMar>
            <w:vAlign w:val="center"/>
            <w:hideMark/>
          </w:tcPr>
          <w:p w14:paraId="59290417" w14:textId="77777777" w:rsidR="00037539" w:rsidRPr="006D0830" w:rsidRDefault="00037539">
            <w:pPr>
              <w:rPr>
                <w:kern w:val="2"/>
                <w:sz w:val="21"/>
                <w:szCs w:val="21"/>
                <w:lang w:eastAsia="en-CA"/>
                <w14:ligatures w14:val="standardContextual"/>
              </w:rPr>
            </w:pPr>
            <w:r w:rsidRPr="006D0830">
              <w:rPr>
                <w:sz w:val="21"/>
                <w:szCs w:val="21"/>
                <w:rtl/>
              </w:rPr>
              <w:t>4.1 تنفيذ أنشطة الرصد والتقييم والإبلاغ</w:t>
            </w:r>
          </w:p>
        </w:tc>
        <w:tc>
          <w:tcPr>
            <w:tcW w:w="1605" w:type="dxa"/>
            <w:tcMar>
              <w:top w:w="0" w:type="dxa"/>
              <w:left w:w="108" w:type="dxa"/>
              <w:bottom w:w="0" w:type="dxa"/>
              <w:right w:w="108" w:type="dxa"/>
            </w:tcMar>
            <w:vAlign w:val="center"/>
            <w:hideMark/>
          </w:tcPr>
          <w:p w14:paraId="158EC30B" w14:textId="77777777" w:rsidR="00037539" w:rsidRPr="006D0830" w:rsidRDefault="00037539" w:rsidP="00B80D18">
            <w:pPr>
              <w:jc w:val="left"/>
              <w:rPr>
                <w:sz w:val="21"/>
                <w:szCs w:val="21"/>
              </w:rPr>
            </w:pPr>
            <w:r w:rsidRPr="006D0830">
              <w:rPr>
                <w:sz w:val="21"/>
                <w:szCs w:val="21"/>
              </w:rPr>
              <w:t>22,000</w:t>
            </w:r>
          </w:p>
        </w:tc>
        <w:tc>
          <w:tcPr>
            <w:tcW w:w="1606" w:type="dxa"/>
            <w:tcMar>
              <w:top w:w="0" w:type="dxa"/>
              <w:left w:w="108" w:type="dxa"/>
              <w:bottom w:w="0" w:type="dxa"/>
              <w:right w:w="108" w:type="dxa"/>
            </w:tcMar>
            <w:vAlign w:val="center"/>
            <w:hideMark/>
          </w:tcPr>
          <w:p w14:paraId="20DD4AEC" w14:textId="77777777" w:rsidR="00037539" w:rsidRPr="006D0830" w:rsidRDefault="00037539" w:rsidP="00B80D18">
            <w:pPr>
              <w:jc w:val="left"/>
              <w:rPr>
                <w:sz w:val="21"/>
                <w:szCs w:val="21"/>
              </w:rPr>
            </w:pPr>
            <w:r w:rsidRPr="006D0830">
              <w:rPr>
                <w:sz w:val="21"/>
                <w:szCs w:val="21"/>
              </w:rPr>
              <w:t>11,000</w:t>
            </w:r>
          </w:p>
        </w:tc>
      </w:tr>
      <w:tr w:rsidR="00037539" w:rsidRPr="006D0830" w14:paraId="39FAF300" w14:textId="77777777">
        <w:trPr>
          <w:cantSplit/>
          <w:jc w:val="center"/>
        </w:trPr>
        <w:tc>
          <w:tcPr>
            <w:tcW w:w="6239" w:type="dxa"/>
            <w:tcMar>
              <w:top w:w="0" w:type="dxa"/>
              <w:left w:w="108" w:type="dxa"/>
              <w:bottom w:w="0" w:type="dxa"/>
              <w:right w:w="108" w:type="dxa"/>
            </w:tcMar>
            <w:vAlign w:val="center"/>
            <w:hideMark/>
          </w:tcPr>
          <w:p w14:paraId="06A7F449" w14:textId="77777777" w:rsidR="00037539" w:rsidRPr="006D0830" w:rsidRDefault="00037539">
            <w:pPr>
              <w:rPr>
                <w:sz w:val="21"/>
                <w:szCs w:val="21"/>
              </w:rPr>
            </w:pPr>
            <w:r w:rsidRPr="006D0830">
              <w:rPr>
                <w:b/>
                <w:bCs/>
                <w:sz w:val="21"/>
                <w:szCs w:val="21"/>
                <w:rtl/>
              </w:rPr>
              <w:t>المجموع الفرعي</w:t>
            </w:r>
          </w:p>
        </w:tc>
        <w:tc>
          <w:tcPr>
            <w:tcW w:w="1605" w:type="dxa"/>
            <w:tcMar>
              <w:top w:w="0" w:type="dxa"/>
              <w:left w:w="108" w:type="dxa"/>
              <w:bottom w:w="0" w:type="dxa"/>
              <w:right w:w="108" w:type="dxa"/>
            </w:tcMar>
            <w:vAlign w:val="center"/>
            <w:hideMark/>
          </w:tcPr>
          <w:p w14:paraId="74534D89" w14:textId="77777777" w:rsidR="00037539" w:rsidRPr="006D0830" w:rsidRDefault="00037539" w:rsidP="00B80D18">
            <w:pPr>
              <w:jc w:val="left"/>
              <w:rPr>
                <w:sz w:val="21"/>
                <w:szCs w:val="21"/>
              </w:rPr>
            </w:pPr>
            <w:r w:rsidRPr="006D0830">
              <w:rPr>
                <w:b/>
                <w:bCs/>
                <w:sz w:val="21"/>
                <w:szCs w:val="21"/>
              </w:rPr>
              <w:t>22,000</w:t>
            </w:r>
          </w:p>
        </w:tc>
        <w:tc>
          <w:tcPr>
            <w:tcW w:w="1606" w:type="dxa"/>
            <w:tcMar>
              <w:top w:w="0" w:type="dxa"/>
              <w:left w:w="108" w:type="dxa"/>
              <w:bottom w:w="0" w:type="dxa"/>
              <w:right w:w="108" w:type="dxa"/>
            </w:tcMar>
            <w:vAlign w:val="center"/>
            <w:hideMark/>
          </w:tcPr>
          <w:p w14:paraId="3AD289BD" w14:textId="77777777" w:rsidR="00037539" w:rsidRPr="006D0830" w:rsidRDefault="00037539" w:rsidP="00B80D18">
            <w:pPr>
              <w:jc w:val="left"/>
              <w:rPr>
                <w:sz w:val="21"/>
                <w:szCs w:val="21"/>
              </w:rPr>
            </w:pPr>
            <w:r w:rsidRPr="006D0830">
              <w:rPr>
                <w:b/>
                <w:bCs/>
                <w:sz w:val="21"/>
                <w:szCs w:val="21"/>
              </w:rPr>
              <w:t>11,000</w:t>
            </w:r>
          </w:p>
        </w:tc>
      </w:tr>
      <w:tr w:rsidR="00037539" w:rsidRPr="006D0830" w14:paraId="61F1AB86" w14:textId="77777777">
        <w:trPr>
          <w:cantSplit/>
          <w:jc w:val="center"/>
        </w:trPr>
        <w:tc>
          <w:tcPr>
            <w:tcW w:w="6239" w:type="dxa"/>
            <w:tcMar>
              <w:top w:w="0" w:type="dxa"/>
              <w:left w:w="108" w:type="dxa"/>
              <w:bottom w:w="0" w:type="dxa"/>
              <w:right w:w="108" w:type="dxa"/>
            </w:tcMar>
            <w:vAlign w:val="center"/>
            <w:hideMark/>
          </w:tcPr>
          <w:p w14:paraId="6B490A95" w14:textId="77777777" w:rsidR="00037539" w:rsidRPr="006D0830" w:rsidRDefault="00037539">
            <w:pPr>
              <w:rPr>
                <w:sz w:val="21"/>
                <w:szCs w:val="21"/>
              </w:rPr>
            </w:pPr>
            <w:r w:rsidRPr="006D0830">
              <w:rPr>
                <w:b/>
                <w:bCs/>
                <w:sz w:val="21"/>
                <w:szCs w:val="21"/>
                <w:rtl/>
              </w:rPr>
              <w:t>المجموع الكلي</w:t>
            </w:r>
          </w:p>
        </w:tc>
        <w:tc>
          <w:tcPr>
            <w:tcW w:w="1605" w:type="dxa"/>
            <w:tcMar>
              <w:top w:w="0" w:type="dxa"/>
              <w:left w:w="108" w:type="dxa"/>
              <w:bottom w:w="0" w:type="dxa"/>
              <w:right w:w="108" w:type="dxa"/>
            </w:tcMar>
            <w:vAlign w:val="center"/>
            <w:hideMark/>
          </w:tcPr>
          <w:p w14:paraId="6C27F02F" w14:textId="77777777" w:rsidR="00037539" w:rsidRPr="006D0830" w:rsidRDefault="00037539" w:rsidP="00B80D18">
            <w:pPr>
              <w:jc w:val="left"/>
              <w:rPr>
                <w:sz w:val="21"/>
                <w:szCs w:val="21"/>
              </w:rPr>
            </w:pPr>
            <w:r w:rsidRPr="006D0830">
              <w:rPr>
                <w:b/>
                <w:bCs/>
                <w:sz w:val="21"/>
                <w:szCs w:val="21"/>
              </w:rPr>
              <w:t>191,000</w:t>
            </w:r>
          </w:p>
        </w:tc>
        <w:tc>
          <w:tcPr>
            <w:tcW w:w="1606" w:type="dxa"/>
            <w:tcMar>
              <w:top w:w="0" w:type="dxa"/>
              <w:left w:w="108" w:type="dxa"/>
              <w:bottom w:w="0" w:type="dxa"/>
              <w:right w:w="108" w:type="dxa"/>
            </w:tcMar>
            <w:vAlign w:val="center"/>
            <w:hideMark/>
          </w:tcPr>
          <w:p w14:paraId="5336373B" w14:textId="77777777" w:rsidR="00037539" w:rsidRPr="006D0830" w:rsidRDefault="00037539" w:rsidP="00B80D18">
            <w:pPr>
              <w:jc w:val="left"/>
              <w:rPr>
                <w:sz w:val="21"/>
                <w:szCs w:val="21"/>
              </w:rPr>
            </w:pPr>
            <w:r w:rsidRPr="006D0830">
              <w:rPr>
                <w:b/>
                <w:bCs/>
                <w:sz w:val="21"/>
                <w:szCs w:val="21"/>
              </w:rPr>
              <w:t>85,500</w:t>
            </w:r>
          </w:p>
        </w:tc>
      </w:tr>
    </w:tbl>
    <w:p w14:paraId="0F4E0C66" w14:textId="77777777" w:rsidR="00037539" w:rsidRPr="00F42294" w:rsidRDefault="00037539" w:rsidP="00037539">
      <w:pPr>
        <w:keepNext/>
        <w:spacing w:before="240" w:after="240"/>
        <w:rPr>
          <w:i/>
          <w:iCs/>
          <w:sz w:val="26"/>
          <w:szCs w:val="26"/>
        </w:rPr>
      </w:pPr>
      <w:r>
        <w:rPr>
          <w:i/>
          <w:iCs/>
          <w:sz w:val="26"/>
          <w:szCs w:val="26"/>
          <w:rtl/>
        </w:rPr>
        <w:t>تنفيذ المشروع ورصده</w:t>
      </w:r>
    </w:p>
    <w:p w14:paraId="403E5AEE" w14:textId="37BEA34E" w:rsidR="00037539" w:rsidRDefault="00037539" w:rsidP="00037539">
      <w:pPr>
        <w:pStyle w:val="Heading1"/>
        <w:rPr>
          <w:sz w:val="26"/>
          <w:szCs w:val="26"/>
          <w:lang w:eastAsia="en-CA"/>
          <w14:ligatures w14:val="standardContextual"/>
        </w:rPr>
      </w:pPr>
      <w:bookmarkStart w:id="9" w:name="_Hlk126915798"/>
      <w:bookmarkEnd w:id="8"/>
      <w:r>
        <w:rPr>
          <w:sz w:val="26"/>
          <w:szCs w:val="26"/>
          <w:rtl/>
        </w:rPr>
        <w:t>سيستمر العمل في المرحلة الثانية بالنظام المنشأ في إطار المرحلة الأولى من خطة إدارة إزالة المواد الهيدروكلوروفلوروكربونية، إذ ستتولى وحدة الأوزون الوطنية واليونيب رصد الأنشطة والإبلاغ عن التقدم المحرز والعمل مع أصحاب المصلحة على إزالة المواد الهيدروكلوروفلوروكربونية. وتبلغ تكلفة هذه الأنشطة 22,000 دولار أمريكي لليونيب، تشمل موظفي المشروع والخبراء الاستشاريين (12,000 دولار أمريكي)، والسفر (4,000 دولار أمريكي)، والاجتماعات وحلقات العمل (3,000 دولار أمريكي)، وتكاليف أخرى (3,000 دولار أمريكي).</w:t>
      </w:r>
    </w:p>
    <w:p w14:paraId="333326F1" w14:textId="77777777" w:rsidR="00037539" w:rsidRPr="00996241" w:rsidRDefault="00037539" w:rsidP="00037539">
      <w:pPr>
        <w:keepNext/>
        <w:spacing w:after="240"/>
        <w:outlineLvl w:val="0"/>
        <w:rPr>
          <w:sz w:val="26"/>
          <w:szCs w:val="26"/>
          <w:u w:val="single"/>
        </w:rPr>
      </w:pPr>
      <w:bookmarkStart w:id="10" w:name="_Hlk126915819"/>
      <w:bookmarkEnd w:id="9"/>
      <w:r>
        <w:rPr>
          <w:sz w:val="26"/>
          <w:szCs w:val="26"/>
          <w:u w:val="single"/>
          <w:rtl/>
        </w:rPr>
        <w:lastRenderedPageBreak/>
        <w:t>التكلفة الإجمالية للمرحلة الثانية من خطة إدارة إزالة المواد الهيدروكلوروفلوروكربونية</w:t>
      </w:r>
    </w:p>
    <w:bookmarkEnd w:id="10"/>
    <w:p w14:paraId="4C69B428" w14:textId="77777777" w:rsidR="00037539" w:rsidRDefault="00037539" w:rsidP="00037539">
      <w:pPr>
        <w:pStyle w:val="Heading1"/>
        <w:rPr>
          <w:sz w:val="26"/>
          <w:szCs w:val="26"/>
          <w:lang w:eastAsia="en-CA"/>
          <w14:ligatures w14:val="standardContextual"/>
        </w:rPr>
      </w:pPr>
      <w:r>
        <w:rPr>
          <w:sz w:val="26"/>
          <w:szCs w:val="26"/>
          <w:rtl/>
        </w:rPr>
        <w:t>قُدّرت التكلفة الإجمالية للمرحلة الثانية من خطة إدارة إزالة المواد الهيدروكلوروفلوروكربونية لسان تومي وبرينسيبي بمبلغ 191,000 دولار أمريكي (زائد تكاليف دعم الوكالة)، حسب ما قُدّم في الأصل، لتحقيق تخفيض بنسبة 100 في المائة بحلول عام 2030. ويرد موجز الأنشطة المقترحة وتوزيع التكاليف في الجدول 3 أعلاه.</w:t>
      </w:r>
    </w:p>
    <w:p w14:paraId="0E313CC0" w14:textId="77777777" w:rsidR="00037539" w:rsidRPr="00665801" w:rsidRDefault="00037539" w:rsidP="00037539">
      <w:pPr>
        <w:keepNext/>
        <w:spacing w:before="240" w:after="240"/>
        <w:rPr>
          <w:sz w:val="26"/>
          <w:szCs w:val="26"/>
        </w:rPr>
      </w:pPr>
      <w:bookmarkStart w:id="11" w:name="_Hlk126915832"/>
      <w:r>
        <w:rPr>
          <w:sz w:val="26"/>
          <w:szCs w:val="26"/>
          <w:u w:val="single"/>
          <w:rtl/>
        </w:rPr>
        <w:t>خطة تنفيذ الشريحة الأولى من المرحلة الثانية من خطة إدارة إزالة المواد الهيدروكلوروفلوروكربونية</w:t>
      </w:r>
    </w:p>
    <w:bookmarkEnd w:id="11"/>
    <w:p w14:paraId="11F4398A" w14:textId="77777777" w:rsidR="00037539" w:rsidRDefault="00037539" w:rsidP="00037539">
      <w:pPr>
        <w:pStyle w:val="Heading1"/>
        <w:rPr>
          <w:sz w:val="26"/>
          <w:szCs w:val="26"/>
          <w:lang w:eastAsia="en-CA"/>
          <w14:ligatures w14:val="standardContextual"/>
        </w:rPr>
      </w:pPr>
      <w:r>
        <w:rPr>
          <w:sz w:val="26"/>
          <w:szCs w:val="26"/>
          <w:rtl/>
        </w:rPr>
        <w:t>ستُنفَّذ شريحة التمويل الأولى من المرحلة الثانية من خطة إدارة إزالة المواد الهيدروكلوروفلوروكربونية، البالغ مجموعها 85,500 دولار أمريكي، في الفترة بين كانون الثاني/يناير 2027 وكانون الأول/ديسمبر 2029. وترد في الجدول 3 أعلاه معلومات تفصيلية عن الأنشطة المدرجة في الشريحة الأولى ومستوى الأموال المطلوبة.</w:t>
      </w:r>
    </w:p>
    <w:p w14:paraId="615027EA" w14:textId="77777777" w:rsidR="00037539" w:rsidRPr="00996241" w:rsidRDefault="00037539" w:rsidP="00037539">
      <w:pPr>
        <w:keepNext/>
        <w:spacing w:before="360" w:after="240"/>
        <w:jc w:val="center"/>
        <w:rPr>
          <w:b/>
          <w:sz w:val="26"/>
          <w:szCs w:val="26"/>
        </w:rPr>
      </w:pPr>
      <w:r>
        <w:rPr>
          <w:b/>
          <w:bCs/>
          <w:sz w:val="26"/>
          <w:szCs w:val="26"/>
          <w:rtl/>
        </w:rPr>
        <w:t>تعليقات الأمانة وتوصيتها</w:t>
      </w:r>
    </w:p>
    <w:p w14:paraId="5B183278" w14:textId="77777777" w:rsidR="00037539" w:rsidRPr="00996241" w:rsidRDefault="00037539" w:rsidP="00037539">
      <w:pPr>
        <w:keepNext/>
        <w:spacing w:after="240"/>
        <w:rPr>
          <w:b/>
          <w:sz w:val="26"/>
          <w:szCs w:val="26"/>
        </w:rPr>
      </w:pPr>
      <w:r>
        <w:rPr>
          <w:b/>
          <w:bCs/>
          <w:sz w:val="26"/>
          <w:szCs w:val="26"/>
          <w:rtl/>
        </w:rPr>
        <w:t>التعليقات</w:t>
      </w:r>
    </w:p>
    <w:p w14:paraId="4A55061A" w14:textId="77777777" w:rsidR="00037539" w:rsidRPr="002132EE" w:rsidRDefault="00037539" w:rsidP="00037539">
      <w:pPr>
        <w:pStyle w:val="Heading1"/>
        <w:rPr>
          <w:sz w:val="26"/>
          <w:szCs w:val="26"/>
        </w:rPr>
      </w:pPr>
      <w:r>
        <w:rPr>
          <w:sz w:val="26"/>
          <w:szCs w:val="26"/>
          <w:rtl/>
        </w:rPr>
        <w:t>استعرضت الأمانة المرحلة الثانية من خطة إدارة إزالة المواد الهيدروكلوروفلوروكربونية في ضوء المرحلة الأولى، وسياسات الصندوق المتعدد الأطراف ومبادئه التوجيهية،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أعمال الصندوق المتعدد الأطراف للفترة 2026–2028.</w:t>
      </w:r>
    </w:p>
    <w:p w14:paraId="3AD7EB7D" w14:textId="77777777" w:rsidR="00037539" w:rsidRPr="002132EE" w:rsidRDefault="00037539" w:rsidP="00037539">
      <w:pPr>
        <w:keepNext/>
        <w:spacing w:after="240"/>
        <w:rPr>
          <w:sz w:val="26"/>
          <w:szCs w:val="26"/>
          <w:u w:val="single"/>
        </w:rPr>
      </w:pPr>
      <w:r>
        <w:rPr>
          <w:sz w:val="26"/>
          <w:szCs w:val="26"/>
          <w:u w:val="single"/>
          <w:rtl/>
        </w:rPr>
        <w:t>الاستراتيجية الشاملة</w:t>
      </w:r>
    </w:p>
    <w:p w14:paraId="0871DE4D" w14:textId="4090BB32" w:rsidR="00037539" w:rsidRPr="002132EE" w:rsidRDefault="00037539" w:rsidP="00037539">
      <w:pPr>
        <w:pStyle w:val="Heading1"/>
        <w:rPr>
          <w:sz w:val="26"/>
          <w:szCs w:val="26"/>
        </w:rPr>
      </w:pPr>
      <w:r>
        <w:rPr>
          <w:sz w:val="26"/>
          <w:szCs w:val="26"/>
          <w:rtl/>
        </w:rPr>
        <w:t>تقترح حكومة سان تومي وبرينسيبي تحقيق التخفيض بنسبة 100 في المائة من استهلاك خط الأساس للمواد الهيدروكلوروفلوروكربونية بحلول عام 2030، والإبقاء على حد أقصى للاستهلاك السنوي من المواد الهيدروكلوروفلوروكربونية في الفترة من 2030 إلى 2040 عند مستوى يتسق مع الفقرة 8 مكرراً ثانياً (هـ)(1) من المادة 5 من بروتوكول مونتريال.</w:t>
      </w:r>
      <w:r>
        <w:rPr>
          <w:sz w:val="26"/>
          <w:szCs w:val="26"/>
          <w:vertAlign w:val="superscript"/>
          <w:rtl/>
        </w:rPr>
        <w:footnoteReference w:id="4"/>
      </w:r>
      <w:r>
        <w:rPr>
          <w:sz w:val="26"/>
          <w:szCs w:val="26"/>
          <w:rtl/>
        </w:rPr>
        <w:t xml:space="preserve"> والحكومة ملتزمة بمواصلة تنفيذ تدابير صارمة لرصد مستويات استيراد المواد الهيدروكلوروفلوروكربونية واستخداماتها ومراقبتها خلال تلك الفترة لضمان اقتصارها على الشروط التي حددها بروتوكول مونتريال.</w:t>
      </w:r>
    </w:p>
    <w:p w14:paraId="1369D2D1" w14:textId="77777777" w:rsidR="00037539" w:rsidRPr="00B178D4" w:rsidRDefault="00037539" w:rsidP="00037539">
      <w:pPr>
        <w:pStyle w:val="Heading1"/>
        <w:spacing w:after="0"/>
        <w:rPr>
          <w:sz w:val="26"/>
          <w:szCs w:val="26"/>
        </w:rPr>
      </w:pPr>
      <w:r>
        <w:rPr>
          <w:sz w:val="26"/>
          <w:szCs w:val="26"/>
          <w:rtl/>
        </w:rPr>
        <w:t>ووفقاً للمقرر 86/51، وإتاحةً للنظر في الشريحة الأخيرة من خطة إدارة إزالة المواد الهيدروكلوروفلوروكربونية، وافقت حكومة سان تومي وبرينسيبي على تقديم وصف تفصيلي للإطار التنظيمي والسياساتي القائم لتنفيذ تدابير تضمن امتثال استهلاك المواد الهيدروكلوروفلوروكربونية للفقرة 8 مكرراً ثانياً (هـ)(1) من المادة 5 من بروتوكول مونتريال للفترة 2030–2040، والاستهلاك السنوي المتوقع من المواد الهيدروكلوروفلوروكربونية في سان تومي وبرينسيبي للفترة 2030–2040.</w:t>
      </w:r>
    </w:p>
    <w:p w14:paraId="5DC96128" w14:textId="77777777" w:rsidR="00037539" w:rsidRPr="0077794E" w:rsidRDefault="00037539" w:rsidP="00037539">
      <w:pPr>
        <w:pStyle w:val="Heading1"/>
        <w:keepNext/>
        <w:numPr>
          <w:ilvl w:val="0"/>
          <w:numId w:val="0"/>
        </w:numPr>
        <w:spacing w:before="240"/>
        <w:rPr>
          <w:sz w:val="26"/>
          <w:szCs w:val="26"/>
          <w:highlight w:val="magenta"/>
        </w:rPr>
      </w:pPr>
      <w:r>
        <w:rPr>
          <w:sz w:val="26"/>
          <w:szCs w:val="26"/>
          <w:u w:val="single"/>
          <w:rtl/>
        </w:rPr>
        <w:t>الإطار القانوني</w:t>
      </w:r>
    </w:p>
    <w:p w14:paraId="11A13571" w14:textId="789D27EC" w:rsidR="00037539" w:rsidRDefault="00037539" w:rsidP="00037539">
      <w:pPr>
        <w:numPr>
          <w:ilvl w:val="0"/>
          <w:numId w:val="1"/>
        </w:numPr>
        <w:spacing w:after="240"/>
        <w:outlineLvl w:val="0"/>
        <w:rPr>
          <w:sz w:val="26"/>
          <w:szCs w:val="26"/>
        </w:rPr>
      </w:pPr>
      <w:r>
        <w:rPr>
          <w:sz w:val="26"/>
          <w:szCs w:val="26"/>
          <w:rtl/>
        </w:rPr>
        <w:t>أصدرت حكومة سان تومي وبرينسيبي حصص استيراد المواد الهيدروكلوروفلوروكربونية لعام 2026 بمقدار 0.04 طن من قدرات استنفاد الأوزون، وهو مستوى أدنى من هدف الرقابة المحدد في بروتوكول مونتريال.</w:t>
      </w:r>
    </w:p>
    <w:p w14:paraId="708BF7D4" w14:textId="77777777" w:rsidR="00037539" w:rsidRDefault="00037539" w:rsidP="00037539">
      <w:pPr>
        <w:keepNext/>
        <w:spacing w:after="240"/>
        <w:rPr>
          <w:sz w:val="26"/>
          <w:szCs w:val="26"/>
        </w:rPr>
      </w:pPr>
      <w:r>
        <w:rPr>
          <w:sz w:val="26"/>
          <w:szCs w:val="26"/>
          <w:u w:val="single"/>
          <w:rtl/>
        </w:rPr>
        <w:lastRenderedPageBreak/>
        <w:t>المسائل التقنية والمسائل المتعلقة بالتكاليف</w:t>
      </w:r>
    </w:p>
    <w:p w14:paraId="44AF80AB" w14:textId="1BFD9FD9" w:rsidR="00037539" w:rsidRDefault="00037539" w:rsidP="00037539">
      <w:pPr>
        <w:pStyle w:val="Heading1"/>
        <w:rPr>
          <w:sz w:val="26"/>
          <w:szCs w:val="26"/>
        </w:rPr>
      </w:pPr>
      <w:r>
        <w:rPr>
          <w:sz w:val="26"/>
          <w:szCs w:val="26"/>
          <w:rtl/>
        </w:rPr>
        <w:t>لاحظت الأمانة أن المرحلة الأولى من خطة إدارة إزالة المواد الهيدروكلوروفلوروكربونية قد اكتملت في عام 2021 وأن مشروع إعداد المرحلة الثانية حظي بالموافقة في الاجتماع الحادي والثمانين، غير أن تقديم المرحلة الثانية تأخر كثيراً. وأوضح اليونيب أن ظروفاً استثنائية أثرت مؤقتاً على توافر وحدة الأوزون الوطنية، وأن المنسق المعيّن حديثاً احتاج بعد ذلك إلى فترة انتقالية للاطلاع على الأنشطة الجارية ومتطلبات الإبلاغ وإعداد المرحلة الثانية من خطة إدارة إزالة المواد الهيدروكلوروفلوروكربونية والمرحلة الأولى من خطة التنفيذ المتعلقة بالمواد الهيدروفلوروكربونية بموجب تعديل كيغالي. كما أثرت تغييرات مؤسسية كبيرة داخل الحكومة خلال تلك الفترة على الاستمرارية وعلى الجداول الزمنية للتنفيذ. وأضاف اليونيب أنه على الرغم من أن هذه الظروف تسببت في تأخير لا مفر منه في التقديم، فقد أكد البلد التزامه القوي بتنفيذ المرحلة الثانية من خطة إدارة إزالة المواد الهيدروكلوروفلوروكربونية والمرحلة الأولى من خطة التنفيذ المتعلقة بالمواد الهيدروفلوروكربونية بموجب تعديل كيغالي في الوقت المحدد، فور الموافقة عليهما.</w:t>
      </w:r>
    </w:p>
    <w:p w14:paraId="1BE7F551" w14:textId="0B5E910B" w:rsidR="00037539" w:rsidRDefault="00037539" w:rsidP="00037539">
      <w:pPr>
        <w:pStyle w:val="Heading1"/>
        <w:rPr>
          <w:sz w:val="26"/>
          <w:szCs w:val="26"/>
        </w:rPr>
      </w:pPr>
      <w:r>
        <w:rPr>
          <w:sz w:val="26"/>
          <w:szCs w:val="26"/>
          <w:rtl/>
        </w:rPr>
        <w:t>وفيما يتعلق بالتنسيق بين المرحلة الثانية من خطة إدارة إزالة المواد الهيدروكلوروفلوروكربونية والمرحلة الأولى من خطة التنفيذ المتعلقة بالمواد الهيدروفلوروكربونية بموجب تعديل كيغالي، أكد اليونيب أنه، نظراً لأن المشروعين سيُنفذان بالتوازي، سيُتبع نهج شامل لتعزيز أوجه التآزر، وضمان المواءمة والتنسيق، وتجنب ازدواجية الجهود، والحفاظ على الموارد المالية وغيرها من الموارد. وأضاف اليونيب أن الأنشطة المنفذة في إطار المرحلة الثانية من خطة إدارة إزالة المواد الهيدروكلوروفلوروكربونية، بما فيها تعزيز الإبلاغ عن البيانات ونظام إصدار الشهادات للفنيين، ستدعم أيضاً تنفيذ المرحلة الأولى من خطة التنفيذ المتعلقة بالمواد الهيدروفلوروكربونية بموجب تعديل كيغالي.</w:t>
      </w:r>
    </w:p>
    <w:p w14:paraId="19FEC7CE" w14:textId="77777777" w:rsidR="00037539" w:rsidRPr="007E56E0" w:rsidRDefault="00037539" w:rsidP="00037539">
      <w:pPr>
        <w:keepNext/>
        <w:spacing w:before="240" w:after="240"/>
        <w:outlineLvl w:val="0"/>
        <w:rPr>
          <w:sz w:val="26"/>
          <w:szCs w:val="26"/>
          <w:u w:val="single"/>
        </w:rPr>
      </w:pPr>
      <w:r>
        <w:rPr>
          <w:sz w:val="26"/>
          <w:szCs w:val="26"/>
          <w:u w:val="single"/>
          <w:rtl/>
        </w:rPr>
        <w:t>التكلفة الإجمالية للمشروع</w:t>
      </w:r>
    </w:p>
    <w:p w14:paraId="5E43E0D5" w14:textId="77777777" w:rsidR="00037539" w:rsidRDefault="00037539" w:rsidP="00037539">
      <w:pPr>
        <w:pStyle w:val="Heading1"/>
        <w:rPr>
          <w:sz w:val="26"/>
          <w:szCs w:val="26"/>
          <w:lang w:eastAsia="en-CA"/>
          <w14:ligatures w14:val="standardContextual"/>
        </w:rPr>
      </w:pPr>
      <w:r>
        <w:rPr>
          <w:sz w:val="26"/>
          <w:szCs w:val="26"/>
          <w:rtl/>
        </w:rPr>
        <w:t>تبلغ التكلفة الإجمالية للمرحلة الثانية من خطة إدارة إزالة المواد الهيدروكلوروفلوروكربونية 191,000 دولار أمريكي، استناداً إلى المقرر 74/50(ج)(12) بشأن مستوى التمويل المؤهل للبلدان ذات الاستهلاك المنخفض الحجم. واتُّفق على تمويل الشريحة الأولى حسب ما قُدّم بمبلغ 85,500 دولار أمريكي.</w:t>
      </w:r>
    </w:p>
    <w:p w14:paraId="6D1531A7" w14:textId="77777777" w:rsidR="00037539" w:rsidRDefault="00037539" w:rsidP="00037539">
      <w:pPr>
        <w:keepNext/>
        <w:spacing w:before="240" w:after="240"/>
        <w:rPr>
          <w:sz w:val="26"/>
          <w:szCs w:val="26"/>
        </w:rPr>
      </w:pPr>
      <w:r>
        <w:rPr>
          <w:sz w:val="26"/>
          <w:szCs w:val="26"/>
          <w:u w:val="single"/>
          <w:rtl/>
        </w:rPr>
        <w:t>خطة التنفيذ المتفق عليها للشريحة الأولى من المرحلة الثانية من خطة إدارة إزالة المواد الهيدروكلوروفلوروكربونية</w:t>
      </w:r>
    </w:p>
    <w:p w14:paraId="611ED18C" w14:textId="77777777" w:rsidR="00037539" w:rsidRPr="005A492C" w:rsidRDefault="00037539" w:rsidP="00037539">
      <w:pPr>
        <w:pStyle w:val="Heading1"/>
        <w:rPr>
          <w:sz w:val="26"/>
          <w:szCs w:val="26"/>
        </w:rPr>
      </w:pPr>
      <w:r>
        <w:rPr>
          <w:sz w:val="26"/>
          <w:szCs w:val="26"/>
          <w:rtl/>
        </w:rPr>
        <w:t>ستشمل خطة العمل المتفق عليها الأنشطة التالية:</w:t>
      </w:r>
    </w:p>
    <w:p w14:paraId="7659C7B1" w14:textId="2E095B8A" w:rsidR="00037539" w:rsidRPr="00285FF1" w:rsidRDefault="00037539" w:rsidP="00037539">
      <w:pPr>
        <w:pStyle w:val="Heading2"/>
        <w:rPr>
          <w:sz w:val="26"/>
          <w:szCs w:val="26"/>
        </w:rPr>
      </w:pPr>
      <w:r>
        <w:rPr>
          <w:i/>
          <w:iCs/>
          <w:sz w:val="26"/>
          <w:szCs w:val="26"/>
          <w:rtl/>
        </w:rPr>
        <w:t>تعزيز الإطار القانوني:</w:t>
      </w:r>
      <w:r>
        <w:rPr>
          <w:sz w:val="26"/>
          <w:szCs w:val="26"/>
          <w:rtl/>
        </w:rPr>
        <w:t xml:space="preserve"> فرض حظر على استيراد المعدات القائمة على المواد الهيدروكلوروفلوروكربونية وعلى استيراد المواد الهيدروكلوروفلوروكربونية في أسطوانات غير قابلة لإعادة التعبئة بحلول 1 كانون الثاني/يناير 2028، وحظر على استيراد المواد الهيدروكلوروفلوروكربونية اعتباراً من عام 2030؛ وعقد اجتماع توعية واحد لفائدة المستوردين والجمارك ووزارة التجارة بشأن الحظر وفترة الاستهلاك لأغراض الخدمة؛ وإنشاء قاعدة البيانات الوطنية (24,000 دولار أمريكي)؛</w:t>
      </w:r>
    </w:p>
    <w:p w14:paraId="6D4EB75A" w14:textId="0FAC893D" w:rsidR="00037539" w:rsidRPr="00CC4D0F" w:rsidRDefault="00037539" w:rsidP="00037539">
      <w:pPr>
        <w:pStyle w:val="Heading2"/>
        <w:rPr>
          <w:sz w:val="26"/>
          <w:szCs w:val="26"/>
        </w:rPr>
      </w:pPr>
      <w:r>
        <w:rPr>
          <w:i/>
          <w:iCs/>
          <w:sz w:val="26"/>
          <w:szCs w:val="26"/>
          <w:rtl/>
        </w:rPr>
        <w:t>بناء قدرات موظفي الجمارك وموظفي الإنفاذ:</w:t>
      </w:r>
      <w:r>
        <w:rPr>
          <w:sz w:val="26"/>
          <w:szCs w:val="26"/>
          <w:rtl/>
        </w:rPr>
        <w:t xml:space="preserve"> تحديث المواد التدريبية؛ وعقد أربع دورات تدريبية لـ 75 من موظفي الجمارك وضباط الشرطة الضريبية بشأن بروتوكول مونتريال والقوانين واللوائح ذات الصلة (19,000 دولار أمريكي)؛</w:t>
      </w:r>
    </w:p>
    <w:p w14:paraId="7FDCE0D1" w14:textId="6B0C6DB6" w:rsidR="00037539" w:rsidRPr="00CC4D0F" w:rsidRDefault="00037539" w:rsidP="00037539">
      <w:pPr>
        <w:pStyle w:val="Heading2"/>
        <w:rPr>
          <w:sz w:val="26"/>
          <w:szCs w:val="26"/>
        </w:rPr>
      </w:pPr>
      <w:r>
        <w:rPr>
          <w:i/>
          <w:iCs/>
          <w:sz w:val="26"/>
          <w:szCs w:val="26"/>
          <w:rtl/>
        </w:rPr>
        <w:t>بناء قدرات فنيي التبريد وتكييف الهواء:</w:t>
      </w:r>
      <w:r>
        <w:rPr>
          <w:sz w:val="26"/>
          <w:szCs w:val="26"/>
          <w:rtl/>
        </w:rPr>
        <w:t xml:space="preserve"> تحديث المواد التدريبية الخاصة بتدريب الفنيين؛ وعقد دورة تدريبية واحدة لعشرين فنياً بشأن الممارسات الجيدة في الخدمة؛ وعقد اجتماعات وحلقات عمل تتعلق بإصدار الشهادات للفنيين؛ والقيام بزيارات ميدانية لجمع البيانات ذات الصلة وتقييم مراكز التدريب وتقييم المعدات؛ وتنظيم حملة توعية واحدة للنساء في قطاع التبريد وتكييف الهواء (31,500 دولار أمريكي)؛</w:t>
      </w:r>
    </w:p>
    <w:p w14:paraId="57A9AC22" w14:textId="5C2D0717" w:rsidR="00037539" w:rsidRDefault="00037539" w:rsidP="00037539">
      <w:pPr>
        <w:pStyle w:val="Heading2"/>
        <w:rPr>
          <w:sz w:val="26"/>
          <w:szCs w:val="26"/>
        </w:rPr>
      </w:pPr>
      <w:r>
        <w:rPr>
          <w:i/>
          <w:iCs/>
          <w:sz w:val="26"/>
          <w:szCs w:val="26"/>
          <w:rtl/>
        </w:rPr>
        <w:lastRenderedPageBreak/>
        <w:t>تنفيذ المشروع ورصده:</w:t>
      </w:r>
      <w:r>
        <w:rPr>
          <w:sz w:val="26"/>
          <w:szCs w:val="26"/>
          <w:rtl/>
        </w:rPr>
        <w:t xml:space="preserve"> تشمل الأنشطة الاستعانة بخبراء استشاريين محليين، والسفر، والاجتماعات، وتكاليف أخرى (11,000 دولار أمريكي).</w:t>
      </w:r>
    </w:p>
    <w:p w14:paraId="233D7815" w14:textId="77777777" w:rsidR="00037539" w:rsidRPr="009854AA" w:rsidRDefault="00037539" w:rsidP="00037539">
      <w:pPr>
        <w:keepNext/>
        <w:shd w:val="clear" w:color="auto" w:fill="FFFFFF" w:themeFill="background1"/>
        <w:spacing w:after="240"/>
        <w:outlineLvl w:val="0"/>
        <w:rPr>
          <w:bCs/>
          <w:sz w:val="26"/>
          <w:szCs w:val="26"/>
          <w:u w:val="single"/>
        </w:rPr>
      </w:pPr>
      <w:r>
        <w:rPr>
          <w:sz w:val="26"/>
          <w:szCs w:val="26"/>
          <w:u w:val="single"/>
          <w:rtl/>
        </w:rPr>
        <w:t>التمويل المشترك</w:t>
      </w:r>
    </w:p>
    <w:p w14:paraId="08348E68" w14:textId="77777777" w:rsidR="00037539" w:rsidRDefault="00037539" w:rsidP="00037539">
      <w:pPr>
        <w:pStyle w:val="Heading1"/>
        <w:rPr>
          <w:sz w:val="26"/>
          <w:szCs w:val="26"/>
          <w:lang w:eastAsia="en-CA"/>
          <w14:ligatures w14:val="standardContextual"/>
        </w:rPr>
      </w:pPr>
      <w:r>
        <w:rPr>
          <w:sz w:val="26"/>
          <w:szCs w:val="26"/>
          <w:rtl/>
        </w:rPr>
        <w:t>ستقدم حكومة سان تومي وبرينسيبي تمويلاً مشتركاً عينياً لدعم تنسيق المرحلة الثانية من خطة إدارة إزالة المواد الهيدروكلوروفلوروكربونية وإدارتها، بما في ذلك توفير المكاتب، وتكليف موظفين محليين مؤقتين بالمساعدة في الاجتماعات وحلقات العمل، وتنظيم نقل المشاركين في الاجتماعات وحلقات العمل.</w:t>
      </w:r>
    </w:p>
    <w:p w14:paraId="6347D7EA" w14:textId="77777777" w:rsidR="00037539" w:rsidRPr="00DC2B3A" w:rsidRDefault="00037539" w:rsidP="00037539">
      <w:pPr>
        <w:keepNext/>
        <w:spacing w:after="240"/>
        <w:outlineLvl w:val="0"/>
        <w:rPr>
          <w:bCs/>
          <w:sz w:val="26"/>
          <w:szCs w:val="26"/>
          <w:u w:val="single"/>
        </w:rPr>
      </w:pPr>
      <w:r>
        <w:rPr>
          <w:sz w:val="26"/>
          <w:szCs w:val="26"/>
          <w:u w:val="single"/>
          <w:rtl/>
        </w:rPr>
        <w:t>مشروع خطة أعمال الصندوق المتعدد الأطراف للفترة 2026–2028</w:t>
      </w:r>
    </w:p>
    <w:p w14:paraId="56330552" w14:textId="3B3F06F3" w:rsidR="00037539" w:rsidRPr="007E6BD7" w:rsidRDefault="00037539" w:rsidP="00037539">
      <w:pPr>
        <w:pStyle w:val="Heading1"/>
        <w:rPr>
          <w:sz w:val="26"/>
          <w:szCs w:val="26"/>
        </w:rPr>
      </w:pPr>
      <w:r>
        <w:rPr>
          <w:sz w:val="26"/>
          <w:szCs w:val="26"/>
          <w:rtl/>
        </w:rPr>
        <w:t>يطلب اليونيب مبلغ 191,000 دولار أمريكي، زائد تكاليف دعم الوكالة، لتنفيذ المرحلة الثانية من خطة إدارة إزالة المواد الهيدروكلوروفلوروكربونية لسان تومي وبرينسيبي. ويزيد مجموع القيمة المطلوبة البالغ 194,247 دولاراً أمريكياً، بما في ذلك تكاليف دعم الوكالة، للفترة 2026–2028 بمقدار 24,712 دولاراً أمريكياً على المبلغ الوارد في خطة الأعمال.</w:t>
      </w:r>
    </w:p>
    <w:p w14:paraId="7E600868" w14:textId="77777777" w:rsidR="00037539" w:rsidRPr="009854AA" w:rsidRDefault="00037539" w:rsidP="00037539">
      <w:pPr>
        <w:keepNext/>
        <w:spacing w:after="240"/>
        <w:rPr>
          <w:iCs/>
          <w:sz w:val="26"/>
          <w:szCs w:val="26"/>
          <w:u w:val="single"/>
        </w:rPr>
      </w:pPr>
      <w:r>
        <w:rPr>
          <w:iCs/>
          <w:sz w:val="26"/>
          <w:szCs w:val="26"/>
          <w:u w:val="single"/>
          <w:rtl/>
        </w:rPr>
        <w:t>تنفيذ السياسة الجنسانية</w:t>
      </w:r>
    </w:p>
    <w:p w14:paraId="452F7405" w14:textId="246D7EE6" w:rsidR="00037539" w:rsidRPr="005603E4" w:rsidRDefault="007E7230" w:rsidP="00037539">
      <w:pPr>
        <w:pStyle w:val="Heading1"/>
        <w:rPr>
          <w:sz w:val="26"/>
          <w:szCs w:val="26"/>
          <w:lang w:eastAsia="en-CA"/>
          <w14:ligatures w14:val="standardContextual"/>
        </w:rPr>
      </w:pPr>
      <w:r>
        <w:rPr>
          <w:sz w:val="26"/>
          <w:szCs w:val="26"/>
          <w:rtl/>
        </w:rPr>
        <w:t>وفقاً للمقررات 84/92(د) و90/48(ج) و92/40(ب)، أدرجت حكومة سان تومي وبرينسيبي السياسة في إعداد وصياغة المشروع الخاص بالمرحلة الثانية من خطة إدارة إزالة المواد الهيدروكلوروفلوروكربونية. وخلال تنفيذ المرحلة الأولى من خطة إدارة إزالة المواد الهيدروكلوروفلوروكربونية، أُفيد بأن النساء شكّلن 22 في المائة من المشاركين في الدورات التدريبية لموظفي الجمارك. وتجري وحدة الأوزون الوطنية مشاورات مع أصحاب المصلحة من أجل وضع استراتيجيات لتتبع مشاركة المرأة في أنشطة خطة إدارة إزالة المواد الهيدروكلوروفلوروكربونية وتشجيعها. وفي إطار المرحلة الثانية من خطة إدارة إزالة المواد الهيدروكلوروفلوروكربونية، سيقوم البلد بجمع بيانات المشاركين ورصدها، وتعزيز مشاركة المرأة في أنشطة التدريب وإصدار الشهادات، وتنظيم حلقة عمل موجهة لتحفيز الطالبات على الدراسة في قطاع التبريد وتكييف الهواء والانضمام إليه، والإبلاغ عن التقدم المحرز.</w:t>
      </w:r>
    </w:p>
    <w:p w14:paraId="4882AF92" w14:textId="77777777" w:rsidR="00037539" w:rsidRPr="00EE1B05" w:rsidRDefault="00037539" w:rsidP="00037539">
      <w:pPr>
        <w:keepNext/>
        <w:spacing w:after="240"/>
        <w:rPr>
          <w:sz w:val="26"/>
          <w:szCs w:val="26"/>
          <w:u w:val="single"/>
        </w:rPr>
      </w:pPr>
      <w:r>
        <w:rPr>
          <w:sz w:val="26"/>
          <w:szCs w:val="26"/>
          <w:u w:val="single"/>
          <w:rtl/>
        </w:rPr>
        <w:t>استدامة إزالة المواد الهيدروكلوروفلوروكربونية وتقييم المخاطر</w:t>
      </w:r>
    </w:p>
    <w:p w14:paraId="2DF756DA" w14:textId="583C8AB4" w:rsidR="0042188A" w:rsidRPr="0042188A" w:rsidRDefault="0042188A" w:rsidP="00037539">
      <w:pPr>
        <w:pStyle w:val="Heading1"/>
        <w:rPr>
          <w:sz w:val="26"/>
          <w:szCs w:val="26"/>
          <w:lang w:eastAsia="en-CA"/>
          <w14:ligatures w14:val="standardContextual"/>
        </w:rPr>
      </w:pPr>
      <w:r>
        <w:rPr>
          <w:sz w:val="26"/>
          <w:szCs w:val="26"/>
          <w:rtl/>
        </w:rPr>
        <w:t>ستُدعم الإزالة المستدامة للمواد الهيدروكلوروفلوروكربونية من خلال تعزيز قدرات فنيي التبريد وتكييف الهواء عن طريق التدريب، وإشراك جمعيات التبريد وتكييف الهواء، وإدخال برنامج لإصدار الشهادات، ومواصلة بناء قدرات موظفي الجمارك وموظفي الإنفاذ، ورصد إنفاذ الحظر على استيراد المعدات القائمة على المواد الهيدروكلوروفلوروكربونية، وتنفيذ أنشطة خطة التنفيذ المتعلقة بالمواد الهيدروفلوروكربونية بموجب تعديل كيغالي. وستيسّر هذه التدابير مجتمعةً الاعتماد الآمن والمستدام لبدائل منخفضة وأقل إمكانية للاحترار العالمي.</w:t>
      </w:r>
    </w:p>
    <w:p w14:paraId="58964004" w14:textId="12D0A73E" w:rsidR="00037539" w:rsidRDefault="00037539" w:rsidP="00037539">
      <w:pPr>
        <w:pStyle w:val="Heading1"/>
        <w:rPr>
          <w:sz w:val="26"/>
          <w:szCs w:val="26"/>
          <w:lang w:eastAsia="en-CA"/>
          <w14:ligatures w14:val="standardContextual"/>
        </w:rPr>
      </w:pPr>
      <w:r>
        <w:rPr>
          <w:sz w:val="26"/>
          <w:szCs w:val="26"/>
          <w:rtl/>
        </w:rPr>
        <w:t>وتشمل المخاطر التي تواجه تنفيذ المرحلة الثانية من خطة إدارة إزالة المواد الهيدروكلوروفلوروكربونية واستدامتها التغييرات الإدارية أو المؤسسية المحتملة التي قد تؤثر على الالتزام الوطني، والعوامل الخارجية التي قد تؤثر على التنفيذ في الوقت المحدد، وعجز آليات مراقبة الاستيراد والإنفاذ عن الاستجابة للتحديات المرتبطة بإزالة المواد الهيدروكلوروفلوروكربونية. وسيُخفَّف من هذه المخاطر من خلال مواصلة وحدة الأوزون الوطنية جهود الدعوة، والتنسيق الوثيق بين اليونيب ووحدة الأوزون الوطنية، وإجراء مشاورات منتظمة مع أصحاب المصلحة، وتعزيز التعاون فيما بينهم، ومواصلة التدريب وبناء القدرات التقنية لسلطات الجمارك والإنفاذ، وتدريب فنيي التبريد وتكييف الهواء ومنحهم الشهادات.</w:t>
      </w:r>
    </w:p>
    <w:p w14:paraId="1722BA57" w14:textId="77777777" w:rsidR="00037539" w:rsidRPr="00996241" w:rsidRDefault="00037539" w:rsidP="00037539">
      <w:pPr>
        <w:keepNext/>
        <w:spacing w:after="240"/>
        <w:rPr>
          <w:sz w:val="26"/>
          <w:szCs w:val="26"/>
          <w:u w:val="single"/>
        </w:rPr>
      </w:pPr>
      <w:r>
        <w:rPr>
          <w:sz w:val="26"/>
          <w:szCs w:val="26"/>
          <w:u w:val="single"/>
          <w:rtl/>
        </w:rPr>
        <w:t>الأثر على المناخ</w:t>
      </w:r>
    </w:p>
    <w:p w14:paraId="2A5349C3" w14:textId="1145A403" w:rsidR="00037539" w:rsidRDefault="00037539" w:rsidP="00037539">
      <w:pPr>
        <w:pStyle w:val="Heading1"/>
        <w:rPr>
          <w:sz w:val="26"/>
          <w:szCs w:val="26"/>
          <w:lang w:eastAsia="en-CA"/>
          <w14:ligatures w14:val="standardContextual"/>
        </w:rPr>
      </w:pPr>
      <w:r>
        <w:rPr>
          <w:sz w:val="26"/>
          <w:szCs w:val="26"/>
          <w:rtl/>
        </w:rPr>
        <w:t xml:space="preserve">ستؤدي الأنشطة المقترحة في قطاع الخدمة، بما في ذلك تحسين إدارة مواد التبريد من خلال تدريب فنيي التبريد وتكييف الهواء وحظر استيراد المعدات القائمة على المواد الهيدروكلوروفلوروكربونية، إلى خفض استخدام </w:t>
      </w:r>
      <w:r>
        <w:rPr>
          <w:sz w:val="26"/>
          <w:szCs w:val="26"/>
          <w:rtl/>
        </w:rPr>
        <w:lastRenderedPageBreak/>
        <w:t>الهيدروكلوروفلوروكربون</w:t>
      </w:r>
      <w:r>
        <w:rPr>
          <w:sz w:val="26"/>
          <w:szCs w:val="26"/>
          <w:rtl/>
        </w:rPr>
        <w:noBreakHyphen/>
        <w:t>22 في الخدمة. ويؤدي كل كيلوغرام من الهيدروكلوروفلوروكربون</w:t>
      </w:r>
      <w:r>
        <w:rPr>
          <w:sz w:val="26"/>
          <w:szCs w:val="26"/>
          <w:rtl/>
        </w:rPr>
        <w:noBreakHyphen/>
        <w:t>22 لا ينبعث بفضل تحسين ممارسات التبريد إلى وفورات تقارب 1.8 طن من مكافئ ثاني أكسيد الكربون. ورغم أن خطة إدارة إزالة المواد الهيدروكلوروفلوروكربونية لم تتضمن حساباً للأثر على المناخ، فإن الأنشطة التي تعتزمها سان تومي وبرينسيبي، بما فيها جهودها الرامية إلى تعزيز قدرات الفنيين من خلال التدريب وإصدار الشهادات، وكذلك تحسين الرصد عن طريق الإبلاغ عن البيانات، تشير إلى أن تنفيذ خطة إدارة إزالة المواد الهيدروكلوروفلوروكربونية سيخفض انبعاثات مواد التبريد في الغلاف الجوي، مما يحقق فوائد للمناخ.</w:t>
      </w:r>
    </w:p>
    <w:p w14:paraId="5841937B" w14:textId="77777777" w:rsidR="00037539" w:rsidRPr="00DC2B3A" w:rsidRDefault="00037539" w:rsidP="00037539">
      <w:pPr>
        <w:spacing w:after="240"/>
        <w:outlineLvl w:val="0"/>
        <w:rPr>
          <w:bCs/>
          <w:sz w:val="26"/>
          <w:szCs w:val="26"/>
          <w:u w:val="single"/>
        </w:rPr>
      </w:pPr>
      <w:r>
        <w:rPr>
          <w:sz w:val="26"/>
          <w:szCs w:val="26"/>
          <w:u w:val="single"/>
          <w:rtl/>
        </w:rPr>
        <w:t>مشروع الاتفاق</w:t>
      </w:r>
    </w:p>
    <w:p w14:paraId="66C3C71F" w14:textId="77777777" w:rsidR="00037539" w:rsidRDefault="00037539" w:rsidP="00037539">
      <w:pPr>
        <w:pStyle w:val="Heading1"/>
        <w:rPr>
          <w:sz w:val="26"/>
          <w:szCs w:val="26"/>
          <w:lang w:eastAsia="en-CA"/>
          <w14:ligatures w14:val="standardContextual"/>
        </w:rPr>
      </w:pPr>
      <w:r>
        <w:rPr>
          <w:sz w:val="26"/>
          <w:szCs w:val="26"/>
          <w:rtl/>
        </w:rPr>
        <w:t>يرد في المرفق الأول بهذه الوثيقة مشروع اتفاق بين حكومة سان تومي وبرينسيبي واللجنة التنفيذية بشأن المرحلة الثانية من خطة إدارة إزالة المواد الهيدروكلوروفلوروكربونية.</w:t>
      </w:r>
    </w:p>
    <w:p w14:paraId="7FBAF09C" w14:textId="77777777" w:rsidR="00037539" w:rsidRPr="00996241" w:rsidRDefault="00037539" w:rsidP="00037539">
      <w:pPr>
        <w:keepNext/>
        <w:autoSpaceDE w:val="0"/>
        <w:autoSpaceDN w:val="0"/>
        <w:adjustRightInd w:val="0"/>
        <w:spacing w:before="360" w:after="240"/>
        <w:outlineLvl w:val="0"/>
        <w:rPr>
          <w:b/>
          <w:sz w:val="26"/>
          <w:szCs w:val="26"/>
        </w:rPr>
      </w:pPr>
      <w:r>
        <w:rPr>
          <w:b/>
          <w:bCs/>
          <w:sz w:val="26"/>
          <w:szCs w:val="26"/>
          <w:rtl/>
        </w:rPr>
        <w:t>التوصية</w:t>
      </w:r>
    </w:p>
    <w:p w14:paraId="41AD96A5" w14:textId="77777777" w:rsidR="00037539" w:rsidRDefault="00037539" w:rsidP="00037539">
      <w:pPr>
        <w:pStyle w:val="Heading1"/>
        <w:rPr>
          <w:sz w:val="26"/>
          <w:szCs w:val="26"/>
          <w:lang w:eastAsia="en-CA"/>
          <w14:ligatures w14:val="standardContextual"/>
        </w:rPr>
      </w:pPr>
      <w:r>
        <w:rPr>
          <w:sz w:val="26"/>
          <w:szCs w:val="26"/>
          <w:rtl/>
        </w:rPr>
        <w:t>قد ترغب اللجنة التنفيذية في النظر فيما يلي:</w:t>
      </w:r>
    </w:p>
    <w:p w14:paraId="3B790917" w14:textId="77777777" w:rsidR="00037539" w:rsidRPr="00F85A7E" w:rsidRDefault="00037539" w:rsidP="00037539">
      <w:pPr>
        <w:pStyle w:val="Heading2"/>
        <w:rPr>
          <w:sz w:val="26"/>
          <w:szCs w:val="26"/>
          <w:lang w:eastAsia="en-CA"/>
          <w14:ligatures w14:val="standardContextual"/>
        </w:rPr>
      </w:pPr>
      <w:r>
        <w:rPr>
          <w:sz w:val="26"/>
          <w:szCs w:val="26"/>
          <w:rtl/>
        </w:rPr>
        <w:t>الموافقة، من حيث المبدأ، على المرحلة الثانية من خطة إدارة إزالة المواد الهيدروكلوروفلوروكربونية لسان تومي وبرينسيبي للفترة من 2026 إلى 2030 من أجل الإزالة الكاملة لاستهلاك المواد الهيدروكلوروفلوروكربونية، بمبلغ 191,000 دولار أمريكي، زائد تكاليف دعم الوكالة البالغة 24,830 دولاراً أمريكياً لليونيب، على أساس أنه لن يُقدَّم مزيد من التمويل من الصندوق المتعدد الأطراف لإزالة المواد الهيدروكلوروفلوروكربونية؛</w:t>
      </w:r>
    </w:p>
    <w:p w14:paraId="2D5E8655" w14:textId="77777777" w:rsidR="00037539" w:rsidRDefault="00037539" w:rsidP="00037539">
      <w:pPr>
        <w:pStyle w:val="Heading2"/>
        <w:rPr>
          <w:sz w:val="26"/>
          <w:szCs w:val="26"/>
        </w:rPr>
      </w:pPr>
      <w:r>
        <w:rPr>
          <w:sz w:val="26"/>
          <w:szCs w:val="26"/>
          <w:rtl/>
        </w:rPr>
        <w:t>الإحاطة علماً بالتزام حكومة سان تومي وبرينسيبي بما يلي:</w:t>
      </w:r>
    </w:p>
    <w:p w14:paraId="1E542F97" w14:textId="69D32284" w:rsidR="00037539" w:rsidRDefault="00037539" w:rsidP="00037539">
      <w:pPr>
        <w:pStyle w:val="Heading3"/>
        <w:rPr>
          <w:sz w:val="26"/>
          <w:szCs w:val="26"/>
          <w:lang w:val="en-GB"/>
        </w:rPr>
      </w:pPr>
      <w:r>
        <w:rPr>
          <w:sz w:val="26"/>
          <w:szCs w:val="26"/>
          <w:rtl/>
        </w:rPr>
        <w:t>الإزالة الكاملة للمواد الهيدروكلوروفلوروكربونية بحلول 1 كانون الثاني/يناير 2030، وعدم استيراد المواد الهيدروكلوروفلوروكربونية بعد ذلك التاريخ، باستثناء الكميات المسموح بها لفترة الاستهلاك لأغراض الخدمة بين عامي 2030 و2040، عند الاقتضاء، بما يتسق مع أحكام بروتوكول مونتريال؛</w:t>
      </w:r>
    </w:p>
    <w:p w14:paraId="1EB27CFD" w14:textId="281ED308" w:rsidR="00037539" w:rsidRPr="007B278D" w:rsidRDefault="00037539" w:rsidP="00037539">
      <w:pPr>
        <w:pStyle w:val="Heading3"/>
        <w:rPr>
          <w:sz w:val="26"/>
          <w:szCs w:val="26"/>
          <w:lang w:val="en-GB"/>
        </w:rPr>
      </w:pPr>
      <w:r>
        <w:rPr>
          <w:sz w:val="26"/>
          <w:szCs w:val="26"/>
          <w:rtl/>
          <w:lang w:val="en-GB"/>
        </w:rPr>
        <w:t>فرض حظر على استيراد المعدات القائمة على المواد الهيدروكلوروفلوروكربونية وعلى استيراد المواد الهيدروكلوروفلوروكربونية في أسطوانات غير قابلة لإعادة التعبئة بحلول 1 كانون الثاني/يناير 2028؛</w:t>
      </w:r>
    </w:p>
    <w:p w14:paraId="4071B42D" w14:textId="77777777" w:rsidR="00037539" w:rsidRDefault="00037539" w:rsidP="00037539">
      <w:pPr>
        <w:pStyle w:val="Heading2"/>
        <w:rPr>
          <w:kern w:val="2"/>
          <w:sz w:val="26"/>
          <w:szCs w:val="26"/>
          <w:lang w:eastAsia="en-CA"/>
          <w14:ligatures w14:val="standardContextual"/>
        </w:rPr>
      </w:pPr>
      <w:r>
        <w:rPr>
          <w:sz w:val="26"/>
          <w:szCs w:val="26"/>
          <w:rtl/>
        </w:rPr>
        <w:t>خصم 0.10 طن من قدرات استنفاد الأوزون من المواد الهيدروكلوروفلوروكربونية من الاستهلاك المتبقي من المواد الهيدروكلوروفلوروكربونية المؤهل للتمويل؛</w:t>
      </w:r>
    </w:p>
    <w:p w14:paraId="6519FA03" w14:textId="77777777" w:rsidR="00037539" w:rsidRDefault="00037539" w:rsidP="00037539">
      <w:pPr>
        <w:pStyle w:val="Heading2"/>
        <w:rPr>
          <w:kern w:val="2"/>
          <w:sz w:val="26"/>
          <w:szCs w:val="26"/>
          <w:lang w:eastAsia="en-CA"/>
          <w14:ligatures w14:val="standardContextual"/>
        </w:rPr>
      </w:pPr>
      <w:r>
        <w:rPr>
          <w:sz w:val="26"/>
          <w:szCs w:val="26"/>
          <w:rtl/>
        </w:rPr>
        <w:t>الموافقة على مشروع الاتفاق بين حكومة سان تومي وبرينسيبي واللجنة التنفيذية بشأن خفض استهلاك المواد الهيدروكلوروفلوروكربونية، وفقاً للمرحلة الثانية من خطة إدارة إزالة المواد الهيدروكلوروفلوروكربونية، الوارد في المرفق الأول بهذه الوثيقة؛</w:t>
      </w:r>
    </w:p>
    <w:p w14:paraId="309932DC" w14:textId="77777777" w:rsidR="00037539" w:rsidRDefault="00037539" w:rsidP="00037539">
      <w:pPr>
        <w:pStyle w:val="Heading2"/>
        <w:rPr>
          <w:kern w:val="2"/>
          <w:sz w:val="26"/>
          <w:szCs w:val="26"/>
          <w:lang w:eastAsia="en-CA"/>
          <w14:ligatures w14:val="standardContextual"/>
        </w:rPr>
      </w:pPr>
      <w:r>
        <w:rPr>
          <w:sz w:val="26"/>
          <w:szCs w:val="26"/>
          <w:rtl/>
        </w:rPr>
        <w:t>أن تقدم حكومة سان تومي وبرينسيبي، إتاحةً للنظر في الشريحة الأخيرة من خطة إدارة إزالة المواد الهيدروكلوروفلوروكربونية الخاصة بها، ما يلي:</w:t>
      </w:r>
    </w:p>
    <w:p w14:paraId="0040FFBC" w14:textId="77777777" w:rsidR="00037539" w:rsidRDefault="00037539" w:rsidP="00037539">
      <w:pPr>
        <w:pStyle w:val="Heading3"/>
        <w:rPr>
          <w:kern w:val="2"/>
          <w:sz w:val="26"/>
          <w:szCs w:val="26"/>
          <w:lang w:eastAsia="en-CA"/>
          <w14:ligatures w14:val="standardContextual"/>
        </w:rPr>
      </w:pPr>
      <w:r>
        <w:rPr>
          <w:sz w:val="26"/>
          <w:szCs w:val="26"/>
          <w:rtl/>
        </w:rPr>
        <w:t>وصفاً تفصيلياً للإطار التنظيمي والسياساتي القائم لتنفيذ تدابير تضمن امتثال استهلاك المواد الهيدروكلوروفلوروكربونية للفقرة 8 مكرراً ثانياً (هـ)(1) من المادة 5 من بروتوكول مونتريال للفترة 2030–2040؛</w:t>
      </w:r>
    </w:p>
    <w:p w14:paraId="589F92A8" w14:textId="77777777" w:rsidR="00037539" w:rsidRPr="00F85A7E" w:rsidRDefault="00037539" w:rsidP="00037539">
      <w:pPr>
        <w:pStyle w:val="Heading3"/>
        <w:rPr>
          <w:kern w:val="2"/>
          <w:sz w:val="26"/>
          <w:szCs w:val="26"/>
          <w:lang w:eastAsia="en-CA"/>
          <w14:ligatures w14:val="standardContextual"/>
        </w:rPr>
      </w:pPr>
      <w:r>
        <w:rPr>
          <w:sz w:val="26"/>
          <w:szCs w:val="26"/>
          <w:rtl/>
        </w:rPr>
        <w:lastRenderedPageBreak/>
        <w:t>الاستهلاك السنوي المتوقع من المواد الهيدروكلوروفلوروكربونية في سان تومي وبرينسيبي للفترة 2030–2040؛</w:t>
      </w:r>
    </w:p>
    <w:p w14:paraId="7CCA1C2F" w14:textId="255A3AE7" w:rsidR="00037539" w:rsidRDefault="00037539" w:rsidP="00037539">
      <w:pPr>
        <w:pStyle w:val="Heading2"/>
        <w:rPr>
          <w:sz w:val="26"/>
          <w:szCs w:val="26"/>
        </w:rPr>
        <w:sectPr w:rsidR="00037539" w:rsidSect="0003753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Pr>
          <w:sz w:val="26"/>
          <w:szCs w:val="26"/>
          <w:rtl/>
        </w:rPr>
        <w:t>الموافقة على الشريحة الأولى من المرحلة الثانية من خطة إدارة إزالة المواد الهيدروكلوروفلوروكربونية لسان تومي وبرينسيبي، وخطة تنفيذ الشريحة المقابلة، بمبلغ 85,500 دولار أمريكي، زائد تكاليف دعم الوكالة البالغة 11,115 دولاراً أمريكياً لليونيب.</w:t>
      </w:r>
    </w:p>
    <w:p w14:paraId="305C4E6B" w14:textId="6C068EE7" w:rsidR="00CB0432" w:rsidRPr="00BE38DF" w:rsidRDefault="00CB0432" w:rsidP="00564D13">
      <w:pPr>
        <w:spacing w:before="120" w:after="120"/>
        <w:jc w:val="center"/>
        <w:rPr>
          <w:b/>
          <w:sz w:val="26"/>
          <w:szCs w:val="26"/>
        </w:rPr>
      </w:pPr>
      <w:r>
        <w:rPr>
          <w:b/>
          <w:bCs/>
          <w:sz w:val="26"/>
          <w:szCs w:val="26"/>
          <w:rtl/>
        </w:rPr>
        <w:lastRenderedPageBreak/>
        <w:t xml:space="preserve">ورقة تقييم المشروع – </w:t>
      </w:r>
      <w:r w:rsidR="0015070E" w:rsidRPr="0015070E">
        <w:rPr>
          <w:b/>
          <w:bCs/>
          <w:sz w:val="26"/>
          <w:szCs w:val="26"/>
          <w:rtl/>
        </w:rPr>
        <w:t>مشاريع</w:t>
      </w:r>
      <w:r>
        <w:rPr>
          <w:b/>
          <w:bCs/>
          <w:sz w:val="26"/>
          <w:szCs w:val="26"/>
          <w:rtl/>
        </w:rPr>
        <w:t xml:space="preserve"> متعددة السنوات</w:t>
      </w:r>
    </w:p>
    <w:p w14:paraId="38C5B1C9" w14:textId="5170A01B" w:rsidR="001C4BB0" w:rsidRPr="00BE38DF" w:rsidRDefault="00452F0B">
      <w:pPr>
        <w:spacing w:after="200"/>
        <w:jc w:val="center"/>
        <w:rPr>
          <w:kern w:val="2"/>
          <w:sz w:val="26"/>
          <w:szCs w:val="26"/>
          <w:lang w:eastAsia="en-CA"/>
          <w14:ligatures w14:val="standardContextual"/>
        </w:rPr>
      </w:pPr>
      <w:r>
        <w:rPr>
          <w:b/>
          <w:bCs/>
          <w:sz w:val="26"/>
          <w:szCs w:val="26"/>
          <w:rtl/>
        </w:rPr>
        <w:t>سان تومي وبرينسيبي</w:t>
      </w:r>
    </w:p>
    <w:tbl>
      <w:tblPr>
        <w:tblStyle w:val="TableGrid"/>
        <w:bidiVisual/>
        <w:tblW w:w="10023" w:type="dxa"/>
        <w:jc w:val="center"/>
        <w:tblLayout w:type="fixed"/>
        <w:tblLook w:val="04A0" w:firstRow="1" w:lastRow="0" w:firstColumn="1" w:lastColumn="0" w:noHBand="0" w:noVBand="1"/>
      </w:tblPr>
      <w:tblGrid>
        <w:gridCol w:w="6338"/>
        <w:gridCol w:w="3685"/>
      </w:tblGrid>
      <w:tr w:rsidR="00CB0432" w:rsidRPr="00BE38DF" w14:paraId="490829E7" w14:textId="77777777" w:rsidTr="005C4A56">
        <w:trPr>
          <w:cantSplit/>
          <w:jc w:val="center"/>
        </w:trPr>
        <w:tc>
          <w:tcPr>
            <w:tcW w:w="6338" w:type="dxa"/>
          </w:tcPr>
          <w:p w14:paraId="09FA4111" w14:textId="77777777" w:rsidR="00CB0432" w:rsidRPr="00BE38DF" w:rsidRDefault="00CB0432" w:rsidP="0015070E">
            <w:pPr>
              <w:keepNext/>
              <w:spacing w:before="20" w:after="20"/>
              <w:jc w:val="center"/>
              <w:rPr>
                <w:b/>
                <w:sz w:val="20"/>
                <w:szCs w:val="20"/>
              </w:rPr>
            </w:pPr>
            <w:r>
              <w:rPr>
                <w:b/>
                <w:bCs/>
                <w:sz w:val="20"/>
                <w:szCs w:val="20"/>
                <w:rtl/>
              </w:rPr>
              <w:t>عنوان المشروع</w:t>
            </w:r>
          </w:p>
        </w:tc>
        <w:tc>
          <w:tcPr>
            <w:tcW w:w="3685" w:type="dxa"/>
          </w:tcPr>
          <w:p w14:paraId="609ED96E" w14:textId="77777777" w:rsidR="00CB0432" w:rsidRPr="00BE38DF" w:rsidRDefault="00CB0432" w:rsidP="0015070E">
            <w:pPr>
              <w:keepNext/>
              <w:spacing w:before="20" w:after="20"/>
              <w:jc w:val="center"/>
              <w:rPr>
                <w:b/>
                <w:sz w:val="20"/>
                <w:szCs w:val="20"/>
              </w:rPr>
            </w:pPr>
            <w:r>
              <w:rPr>
                <w:b/>
                <w:bCs/>
                <w:sz w:val="20"/>
                <w:szCs w:val="20"/>
                <w:rtl/>
              </w:rPr>
              <w:t>الوكالة</w:t>
            </w:r>
          </w:p>
        </w:tc>
      </w:tr>
      <w:tr w:rsidR="00CB0432" w:rsidRPr="00BE38DF" w14:paraId="6029772B" w14:textId="77777777" w:rsidTr="005C4A56">
        <w:trPr>
          <w:cantSplit/>
          <w:jc w:val="center"/>
        </w:trPr>
        <w:tc>
          <w:tcPr>
            <w:tcW w:w="6338" w:type="dxa"/>
            <w:vAlign w:val="center"/>
          </w:tcPr>
          <w:p w14:paraId="593C4DB2" w14:textId="77777777" w:rsidR="00CB0432" w:rsidRPr="00BE38DF" w:rsidRDefault="00CB0432" w:rsidP="0015070E">
            <w:pPr>
              <w:spacing w:before="20" w:after="20"/>
              <w:jc w:val="center"/>
              <w:rPr>
                <w:color w:val="000000" w:themeColor="text1"/>
                <w:sz w:val="20"/>
                <w:szCs w:val="20"/>
              </w:rPr>
            </w:pPr>
            <w:r>
              <w:rPr>
                <w:color w:val="000000" w:themeColor="text1"/>
                <w:sz w:val="20"/>
                <w:szCs w:val="20"/>
                <w:rtl/>
              </w:rPr>
              <w:t>خطة التنفيذ المتعلقة بالمواد الهيدروفلوروكربونية بموجب تعديل كيغالي (المرحلة الأولى)</w:t>
            </w:r>
          </w:p>
        </w:tc>
        <w:tc>
          <w:tcPr>
            <w:tcW w:w="3685" w:type="dxa"/>
            <w:vAlign w:val="center"/>
          </w:tcPr>
          <w:p w14:paraId="797D8A24" w14:textId="16121549" w:rsidR="00CB0432" w:rsidRPr="00BE38DF" w:rsidRDefault="001C4BB0" w:rsidP="0015070E">
            <w:pPr>
              <w:spacing w:before="20" w:after="20"/>
              <w:jc w:val="center"/>
              <w:rPr>
                <w:color w:val="000000" w:themeColor="text1"/>
                <w:kern w:val="2"/>
                <w:sz w:val="20"/>
                <w:szCs w:val="20"/>
                <w:lang w:eastAsia="en-CA"/>
                <w14:ligatures w14:val="standardContextual"/>
              </w:rPr>
            </w:pPr>
            <w:r>
              <w:rPr>
                <w:color w:val="000000"/>
                <w:sz w:val="20"/>
                <w:szCs w:val="20"/>
                <w:rtl/>
              </w:rPr>
              <w:t>اليونيب (الوكالة الرئيسية)</w:t>
            </w:r>
          </w:p>
        </w:tc>
      </w:tr>
    </w:tbl>
    <w:p w14:paraId="31CDA2A2" w14:textId="77777777" w:rsidR="00CB0432" w:rsidRPr="00BE38DF" w:rsidRDefault="00CB0432" w:rsidP="00CB0432">
      <w:pPr>
        <w:ind w:left="-284" w:right="-279"/>
        <w:jc w:val="center"/>
        <w:rPr>
          <w:sz w:val="26"/>
          <w:szCs w:val="26"/>
        </w:rPr>
      </w:pPr>
    </w:p>
    <w:tbl>
      <w:tblPr>
        <w:tblStyle w:val="TableGrid"/>
        <w:bidiVisual/>
        <w:tblW w:w="10023" w:type="dxa"/>
        <w:jc w:val="center"/>
        <w:tblLayout w:type="fixed"/>
        <w:tblLook w:val="04A0" w:firstRow="1" w:lastRow="0" w:firstColumn="1" w:lastColumn="0" w:noHBand="0" w:noVBand="1"/>
      </w:tblPr>
      <w:tblGrid>
        <w:gridCol w:w="2468"/>
        <w:gridCol w:w="1530"/>
        <w:gridCol w:w="2340"/>
        <w:gridCol w:w="3685"/>
      </w:tblGrid>
      <w:tr w:rsidR="00CB0432" w:rsidRPr="00BE38DF" w14:paraId="17C65D12" w14:textId="77777777" w:rsidTr="005C4A56">
        <w:trPr>
          <w:cantSplit/>
          <w:jc w:val="center"/>
        </w:trPr>
        <w:tc>
          <w:tcPr>
            <w:tcW w:w="2468" w:type="dxa"/>
          </w:tcPr>
          <w:p w14:paraId="38E4FDEA" w14:textId="77777777" w:rsidR="00CB0432" w:rsidRPr="00BE38DF" w:rsidRDefault="00CB0432">
            <w:pPr>
              <w:spacing w:before="20" w:after="20"/>
              <w:rPr>
                <w:b/>
                <w:sz w:val="20"/>
                <w:szCs w:val="20"/>
              </w:rPr>
            </w:pPr>
            <w:r>
              <w:rPr>
                <w:b/>
                <w:bCs/>
                <w:sz w:val="20"/>
                <w:szCs w:val="20"/>
                <w:rtl/>
              </w:rPr>
              <w:t>بيانات المادة 7 (المرفق واو)</w:t>
            </w:r>
          </w:p>
        </w:tc>
        <w:tc>
          <w:tcPr>
            <w:tcW w:w="1530" w:type="dxa"/>
          </w:tcPr>
          <w:p w14:paraId="43EDC469" w14:textId="77777777" w:rsidR="00CB0432" w:rsidRPr="00BE38DF" w:rsidRDefault="00CB0432">
            <w:pPr>
              <w:spacing w:before="20" w:after="20"/>
              <w:ind w:right="-247"/>
              <w:rPr>
                <w:sz w:val="20"/>
                <w:szCs w:val="20"/>
              </w:rPr>
            </w:pPr>
            <w:r>
              <w:rPr>
                <w:b/>
                <w:bCs/>
                <w:sz w:val="20"/>
                <w:szCs w:val="20"/>
                <w:rtl/>
              </w:rPr>
              <w:t>السنة:</w:t>
            </w:r>
            <w:r>
              <w:rPr>
                <w:b/>
                <w:bCs/>
                <w:color w:val="000000" w:themeColor="text1"/>
                <w:sz w:val="20"/>
                <w:szCs w:val="20"/>
              </w:rPr>
              <w:t xml:space="preserve"> 2025</w:t>
            </w:r>
          </w:p>
        </w:tc>
        <w:tc>
          <w:tcPr>
            <w:tcW w:w="2340" w:type="dxa"/>
          </w:tcPr>
          <w:p w14:paraId="1394D826" w14:textId="58860D18" w:rsidR="00CB0432" w:rsidRPr="00BE38DF" w:rsidRDefault="001C4BB0" w:rsidP="001C4BB0">
            <w:pPr>
              <w:spacing w:before="20" w:after="20"/>
              <w:ind w:left="-109"/>
              <w:rPr>
                <w:kern w:val="2"/>
                <w:sz w:val="20"/>
                <w:szCs w:val="20"/>
                <w:lang w:eastAsia="en-CA"/>
                <w14:ligatures w14:val="standardContextual"/>
              </w:rPr>
            </w:pPr>
            <w:r>
              <w:rPr>
                <w:color w:val="000000"/>
                <w:sz w:val="20"/>
                <w:szCs w:val="20"/>
                <w:rtl/>
              </w:rPr>
              <w:t>14.70 طن متري</w:t>
            </w:r>
          </w:p>
        </w:tc>
        <w:tc>
          <w:tcPr>
            <w:tcW w:w="3685" w:type="dxa"/>
          </w:tcPr>
          <w:p w14:paraId="5034E1C7" w14:textId="28F15A03" w:rsidR="00CB0432" w:rsidRPr="00BE38DF" w:rsidRDefault="001C4BB0" w:rsidP="001C4BB0">
            <w:pPr>
              <w:spacing w:before="20" w:after="20"/>
              <w:ind w:left="38" w:right="33"/>
              <w:rPr>
                <w:kern w:val="2"/>
                <w:sz w:val="20"/>
                <w:szCs w:val="20"/>
                <w:lang w:eastAsia="en-CA"/>
                <w14:ligatures w14:val="standardContextual"/>
              </w:rPr>
            </w:pPr>
            <w:r>
              <w:rPr>
                <w:color w:val="000000"/>
                <w:sz w:val="20"/>
                <w:szCs w:val="20"/>
                <w:rtl/>
              </w:rPr>
              <w:t>34,040 طن من مكافئ ثاني أكسيد الكربون</w:t>
            </w:r>
          </w:p>
        </w:tc>
      </w:tr>
    </w:tbl>
    <w:p w14:paraId="2FED43D9" w14:textId="77777777" w:rsidR="00CB0432" w:rsidRPr="00BE38DF" w:rsidRDefault="00CB0432" w:rsidP="00CB0432">
      <w:pPr>
        <w:ind w:left="-284" w:right="-279"/>
        <w:jc w:val="center"/>
        <w:rPr>
          <w:sz w:val="26"/>
          <w:szCs w:val="26"/>
        </w:rPr>
      </w:pPr>
    </w:p>
    <w:tbl>
      <w:tblPr>
        <w:tblStyle w:val="TableGrid"/>
        <w:bidiVisual/>
        <w:tblW w:w="10023" w:type="dxa"/>
        <w:jc w:val="center"/>
        <w:tblLayout w:type="fixed"/>
        <w:tblLook w:val="04A0" w:firstRow="1" w:lastRow="0" w:firstColumn="1" w:lastColumn="0" w:noHBand="0" w:noVBand="1"/>
      </w:tblPr>
      <w:tblGrid>
        <w:gridCol w:w="1773"/>
        <w:gridCol w:w="852"/>
        <w:gridCol w:w="754"/>
        <w:gridCol w:w="806"/>
        <w:gridCol w:w="1369"/>
        <w:gridCol w:w="838"/>
        <w:gridCol w:w="838"/>
        <w:gridCol w:w="1211"/>
        <w:gridCol w:w="852"/>
        <w:gridCol w:w="730"/>
      </w:tblGrid>
      <w:tr w:rsidR="00CB0432" w:rsidRPr="00BE38DF" w14:paraId="240C2DB2" w14:textId="77777777" w:rsidTr="00860D99">
        <w:trPr>
          <w:cantSplit/>
          <w:jc w:val="center"/>
        </w:trPr>
        <w:tc>
          <w:tcPr>
            <w:tcW w:w="8441" w:type="dxa"/>
            <w:gridSpan w:val="8"/>
            <w:tcBorders>
              <w:right w:val="single" w:sz="4" w:space="0" w:color="auto"/>
            </w:tcBorders>
            <w:vAlign w:val="center"/>
          </w:tcPr>
          <w:p w14:paraId="3C509A2C" w14:textId="77777777" w:rsidR="00CB0432" w:rsidRPr="00BE38DF" w:rsidRDefault="00CB0432">
            <w:pPr>
              <w:keepNext/>
              <w:spacing w:before="20" w:after="20"/>
              <w:ind w:right="33"/>
              <w:rPr>
                <w:b/>
                <w:sz w:val="20"/>
                <w:szCs w:val="20"/>
              </w:rPr>
            </w:pPr>
            <w:r>
              <w:rPr>
                <w:b/>
                <w:bCs/>
                <w:sz w:val="20"/>
                <w:szCs w:val="20"/>
                <w:rtl/>
              </w:rPr>
              <w:t>البيانات القطاعية للبرنامج القطري (طن من مكافئ ثاني أكسيد الكربون) والأنشطة</w:t>
            </w:r>
          </w:p>
        </w:tc>
        <w:tc>
          <w:tcPr>
            <w:tcW w:w="852" w:type="dxa"/>
            <w:tcBorders>
              <w:top w:val="single" w:sz="4" w:space="0" w:color="auto"/>
              <w:left w:val="single" w:sz="4" w:space="0" w:color="auto"/>
              <w:bottom w:val="single" w:sz="4" w:space="0" w:color="auto"/>
              <w:right w:val="nil"/>
            </w:tcBorders>
            <w:vAlign w:val="center"/>
          </w:tcPr>
          <w:p w14:paraId="7B37689E" w14:textId="77777777" w:rsidR="00CB0432" w:rsidRPr="00BE38DF" w:rsidRDefault="00CB0432">
            <w:pPr>
              <w:keepNext/>
              <w:spacing w:before="20" w:after="20"/>
              <w:ind w:right="33"/>
              <w:rPr>
                <w:bCs/>
                <w:sz w:val="20"/>
                <w:szCs w:val="20"/>
              </w:rPr>
            </w:pPr>
            <w:r>
              <w:rPr>
                <w:b/>
                <w:bCs/>
                <w:sz w:val="20"/>
                <w:szCs w:val="20"/>
                <w:rtl/>
              </w:rPr>
              <w:t>السنة:</w:t>
            </w:r>
          </w:p>
        </w:tc>
        <w:tc>
          <w:tcPr>
            <w:tcW w:w="730" w:type="dxa"/>
            <w:tcBorders>
              <w:top w:val="single" w:sz="4" w:space="0" w:color="auto"/>
              <w:left w:val="nil"/>
              <w:bottom w:val="single" w:sz="4" w:space="0" w:color="auto"/>
              <w:right w:val="single" w:sz="4" w:space="0" w:color="auto"/>
            </w:tcBorders>
            <w:vAlign w:val="center"/>
          </w:tcPr>
          <w:p w14:paraId="17B55F0D" w14:textId="77777777" w:rsidR="00CB0432" w:rsidRPr="00BE38DF" w:rsidRDefault="00CB0432">
            <w:pPr>
              <w:keepNext/>
              <w:spacing w:before="20" w:after="20"/>
              <w:ind w:right="33"/>
              <w:rPr>
                <w:b/>
                <w:sz w:val="20"/>
                <w:szCs w:val="20"/>
              </w:rPr>
            </w:pPr>
            <w:r>
              <w:rPr>
                <w:b/>
                <w:bCs/>
                <w:sz w:val="20"/>
                <w:szCs w:val="20"/>
              </w:rPr>
              <w:t>2025</w:t>
            </w:r>
          </w:p>
        </w:tc>
      </w:tr>
      <w:tr w:rsidR="00CB0432" w:rsidRPr="00BE38DF" w14:paraId="04D6D7A7" w14:textId="77777777" w:rsidTr="0015070E">
        <w:trPr>
          <w:cantSplit/>
          <w:jc w:val="center"/>
        </w:trPr>
        <w:tc>
          <w:tcPr>
            <w:tcW w:w="1773" w:type="dxa"/>
            <w:vMerge w:val="restart"/>
            <w:tcMar>
              <w:left w:w="85" w:type="dxa"/>
              <w:right w:w="85" w:type="dxa"/>
            </w:tcMar>
            <w:vAlign w:val="center"/>
          </w:tcPr>
          <w:p w14:paraId="0241D372" w14:textId="77777777" w:rsidR="00CB0432" w:rsidRPr="00BE38DF" w:rsidRDefault="00CB0432">
            <w:pPr>
              <w:keepNext/>
              <w:spacing w:before="20" w:after="20"/>
              <w:rPr>
                <w:sz w:val="20"/>
                <w:szCs w:val="20"/>
              </w:rPr>
            </w:pPr>
          </w:p>
        </w:tc>
        <w:tc>
          <w:tcPr>
            <w:tcW w:w="852" w:type="dxa"/>
            <w:vMerge w:val="restart"/>
            <w:tcMar>
              <w:left w:w="85" w:type="dxa"/>
              <w:right w:w="85" w:type="dxa"/>
            </w:tcMar>
            <w:vAlign w:val="center"/>
          </w:tcPr>
          <w:p w14:paraId="32595E5C" w14:textId="25352D60" w:rsidR="00CB0432" w:rsidRPr="00BE38DF" w:rsidRDefault="00CB0432">
            <w:pPr>
              <w:keepNext/>
              <w:spacing w:before="20" w:after="20"/>
              <w:rPr>
                <w:sz w:val="20"/>
                <w:szCs w:val="20"/>
              </w:rPr>
            </w:pPr>
            <w:r>
              <w:rPr>
                <w:sz w:val="20"/>
                <w:szCs w:val="20"/>
                <w:rtl/>
              </w:rPr>
              <w:t>الأيروسول</w:t>
            </w:r>
          </w:p>
        </w:tc>
        <w:tc>
          <w:tcPr>
            <w:tcW w:w="754" w:type="dxa"/>
            <w:vMerge w:val="restart"/>
            <w:tcMar>
              <w:left w:w="85" w:type="dxa"/>
              <w:right w:w="85" w:type="dxa"/>
            </w:tcMar>
            <w:vAlign w:val="center"/>
          </w:tcPr>
          <w:p w14:paraId="2985ADC4" w14:textId="77777777" w:rsidR="00CB0432" w:rsidRPr="00BE38DF" w:rsidRDefault="00CB0432">
            <w:pPr>
              <w:keepNext/>
              <w:spacing w:before="20" w:after="20"/>
              <w:rPr>
                <w:sz w:val="20"/>
                <w:szCs w:val="20"/>
              </w:rPr>
            </w:pPr>
            <w:r>
              <w:rPr>
                <w:sz w:val="20"/>
                <w:szCs w:val="20"/>
                <w:rtl/>
              </w:rPr>
              <w:t>الرغاوى</w:t>
            </w:r>
          </w:p>
        </w:tc>
        <w:tc>
          <w:tcPr>
            <w:tcW w:w="806" w:type="dxa"/>
            <w:vMerge w:val="restart"/>
            <w:tcMar>
              <w:left w:w="85" w:type="dxa"/>
              <w:right w:w="85" w:type="dxa"/>
            </w:tcMar>
            <w:vAlign w:val="center"/>
          </w:tcPr>
          <w:p w14:paraId="0868077B" w14:textId="77777777" w:rsidR="00CB0432" w:rsidRPr="00BE38DF" w:rsidRDefault="00CB0432">
            <w:pPr>
              <w:keepNext/>
              <w:spacing w:before="20" w:after="20"/>
              <w:rPr>
                <w:sz w:val="20"/>
                <w:szCs w:val="20"/>
              </w:rPr>
            </w:pPr>
            <w:r>
              <w:rPr>
                <w:sz w:val="20"/>
                <w:szCs w:val="20"/>
                <w:rtl/>
              </w:rPr>
              <w:t>مكافحة الحرائق</w:t>
            </w:r>
          </w:p>
        </w:tc>
        <w:tc>
          <w:tcPr>
            <w:tcW w:w="4256" w:type="dxa"/>
            <w:gridSpan w:val="4"/>
            <w:tcMar>
              <w:left w:w="85" w:type="dxa"/>
              <w:right w:w="85" w:type="dxa"/>
            </w:tcMar>
            <w:vAlign w:val="center"/>
          </w:tcPr>
          <w:p w14:paraId="19F3B3E8" w14:textId="77777777" w:rsidR="00CB0432" w:rsidRPr="00BE38DF" w:rsidRDefault="00CB0432" w:rsidP="0015070E">
            <w:pPr>
              <w:keepNext/>
              <w:spacing w:before="20" w:after="20"/>
              <w:jc w:val="center"/>
              <w:rPr>
                <w:sz w:val="20"/>
                <w:szCs w:val="20"/>
              </w:rPr>
            </w:pPr>
            <w:r>
              <w:rPr>
                <w:sz w:val="20"/>
                <w:szCs w:val="20"/>
                <w:rtl/>
              </w:rPr>
              <w:t>تكييف الهواء والتبريد</w:t>
            </w:r>
          </w:p>
        </w:tc>
        <w:tc>
          <w:tcPr>
            <w:tcW w:w="852" w:type="dxa"/>
            <w:vMerge w:val="restart"/>
            <w:tcBorders>
              <w:top w:val="single" w:sz="4" w:space="0" w:color="auto"/>
            </w:tcBorders>
            <w:tcMar>
              <w:left w:w="85" w:type="dxa"/>
              <w:right w:w="85" w:type="dxa"/>
            </w:tcMar>
            <w:vAlign w:val="center"/>
          </w:tcPr>
          <w:p w14:paraId="354983EE" w14:textId="77777777" w:rsidR="00CB0432" w:rsidRPr="00BE38DF" w:rsidRDefault="00CB0432">
            <w:pPr>
              <w:keepNext/>
              <w:spacing w:before="20" w:after="20"/>
              <w:ind w:left="-26"/>
              <w:rPr>
                <w:sz w:val="20"/>
                <w:szCs w:val="20"/>
              </w:rPr>
            </w:pPr>
            <w:r>
              <w:rPr>
                <w:sz w:val="20"/>
                <w:szCs w:val="20"/>
                <w:rtl/>
              </w:rPr>
              <w:t>المذيبات</w:t>
            </w:r>
          </w:p>
        </w:tc>
        <w:tc>
          <w:tcPr>
            <w:tcW w:w="730" w:type="dxa"/>
            <w:vMerge w:val="restart"/>
            <w:tcBorders>
              <w:top w:val="single" w:sz="4" w:space="0" w:color="auto"/>
            </w:tcBorders>
            <w:tcMar>
              <w:left w:w="85" w:type="dxa"/>
              <w:right w:w="85" w:type="dxa"/>
            </w:tcMar>
            <w:vAlign w:val="center"/>
          </w:tcPr>
          <w:p w14:paraId="60570139" w14:textId="77777777" w:rsidR="00CB0432" w:rsidRPr="00BE38DF" w:rsidRDefault="00CB0432">
            <w:pPr>
              <w:keepNext/>
              <w:spacing w:before="20" w:after="20"/>
              <w:rPr>
                <w:sz w:val="20"/>
                <w:szCs w:val="20"/>
              </w:rPr>
            </w:pPr>
            <w:r>
              <w:rPr>
                <w:sz w:val="20"/>
                <w:szCs w:val="20"/>
                <w:rtl/>
              </w:rPr>
              <w:t>أخرى</w:t>
            </w:r>
          </w:p>
        </w:tc>
      </w:tr>
      <w:tr w:rsidR="00CB0432" w:rsidRPr="00BE38DF" w14:paraId="06329649" w14:textId="77777777" w:rsidTr="0015070E">
        <w:trPr>
          <w:cantSplit/>
          <w:jc w:val="center"/>
        </w:trPr>
        <w:tc>
          <w:tcPr>
            <w:tcW w:w="1773" w:type="dxa"/>
            <w:vMerge/>
            <w:tcMar>
              <w:left w:w="85" w:type="dxa"/>
              <w:right w:w="85" w:type="dxa"/>
            </w:tcMar>
            <w:vAlign w:val="center"/>
          </w:tcPr>
          <w:p w14:paraId="411BE361" w14:textId="77777777" w:rsidR="00CB0432" w:rsidRPr="00BE38DF" w:rsidRDefault="00CB0432">
            <w:pPr>
              <w:keepNext/>
              <w:spacing w:before="20" w:after="20"/>
              <w:rPr>
                <w:sz w:val="20"/>
                <w:szCs w:val="20"/>
              </w:rPr>
            </w:pPr>
          </w:p>
        </w:tc>
        <w:tc>
          <w:tcPr>
            <w:tcW w:w="852" w:type="dxa"/>
            <w:vMerge/>
            <w:tcMar>
              <w:left w:w="85" w:type="dxa"/>
              <w:right w:w="85" w:type="dxa"/>
            </w:tcMar>
            <w:vAlign w:val="center"/>
          </w:tcPr>
          <w:p w14:paraId="65EEE58A" w14:textId="77777777" w:rsidR="00CB0432" w:rsidRPr="00BE38DF" w:rsidRDefault="00CB0432">
            <w:pPr>
              <w:keepNext/>
              <w:spacing w:before="20" w:after="20"/>
              <w:rPr>
                <w:sz w:val="20"/>
                <w:szCs w:val="20"/>
              </w:rPr>
            </w:pPr>
          </w:p>
        </w:tc>
        <w:tc>
          <w:tcPr>
            <w:tcW w:w="754" w:type="dxa"/>
            <w:vMerge/>
            <w:tcMar>
              <w:left w:w="85" w:type="dxa"/>
              <w:right w:w="85" w:type="dxa"/>
            </w:tcMar>
            <w:vAlign w:val="center"/>
          </w:tcPr>
          <w:p w14:paraId="18E8CF27" w14:textId="77777777" w:rsidR="00CB0432" w:rsidRPr="00BE38DF" w:rsidRDefault="00CB0432">
            <w:pPr>
              <w:keepNext/>
              <w:spacing w:before="20" w:after="20"/>
              <w:rPr>
                <w:sz w:val="20"/>
                <w:szCs w:val="20"/>
              </w:rPr>
            </w:pPr>
          </w:p>
        </w:tc>
        <w:tc>
          <w:tcPr>
            <w:tcW w:w="806" w:type="dxa"/>
            <w:vMerge/>
            <w:tcMar>
              <w:left w:w="85" w:type="dxa"/>
              <w:right w:w="85" w:type="dxa"/>
            </w:tcMar>
            <w:vAlign w:val="center"/>
          </w:tcPr>
          <w:p w14:paraId="365FD3D9" w14:textId="77777777" w:rsidR="00CB0432" w:rsidRPr="00BE38DF" w:rsidRDefault="00CB0432">
            <w:pPr>
              <w:keepNext/>
              <w:spacing w:before="20" w:after="20"/>
              <w:rPr>
                <w:sz w:val="20"/>
                <w:szCs w:val="20"/>
              </w:rPr>
            </w:pPr>
          </w:p>
        </w:tc>
        <w:tc>
          <w:tcPr>
            <w:tcW w:w="3045" w:type="dxa"/>
            <w:gridSpan w:val="3"/>
            <w:tcMar>
              <w:left w:w="85" w:type="dxa"/>
              <w:right w:w="85" w:type="dxa"/>
            </w:tcMar>
            <w:vAlign w:val="center"/>
          </w:tcPr>
          <w:p w14:paraId="154F0D04" w14:textId="77777777" w:rsidR="00CB0432" w:rsidRPr="00BE38DF" w:rsidRDefault="00CB0432" w:rsidP="0015070E">
            <w:pPr>
              <w:keepNext/>
              <w:spacing w:before="20" w:after="20"/>
              <w:jc w:val="center"/>
              <w:rPr>
                <w:sz w:val="20"/>
                <w:szCs w:val="20"/>
              </w:rPr>
            </w:pPr>
            <w:r>
              <w:rPr>
                <w:sz w:val="20"/>
                <w:szCs w:val="20"/>
                <w:rtl/>
              </w:rPr>
              <w:t>التصنيع</w:t>
            </w:r>
          </w:p>
        </w:tc>
        <w:tc>
          <w:tcPr>
            <w:tcW w:w="1211" w:type="dxa"/>
            <w:vMerge w:val="restart"/>
            <w:tcMar>
              <w:left w:w="85" w:type="dxa"/>
              <w:right w:w="85" w:type="dxa"/>
            </w:tcMar>
            <w:vAlign w:val="center"/>
          </w:tcPr>
          <w:p w14:paraId="14B31C7C" w14:textId="77777777" w:rsidR="00CB0432" w:rsidRPr="00BE38DF" w:rsidRDefault="00CB0432">
            <w:pPr>
              <w:keepNext/>
              <w:spacing w:before="20" w:after="20"/>
              <w:rPr>
                <w:sz w:val="20"/>
                <w:szCs w:val="20"/>
              </w:rPr>
            </w:pPr>
            <w:r>
              <w:rPr>
                <w:sz w:val="20"/>
                <w:szCs w:val="20"/>
                <w:rtl/>
              </w:rPr>
              <w:t>الخدمة</w:t>
            </w:r>
          </w:p>
        </w:tc>
        <w:tc>
          <w:tcPr>
            <w:tcW w:w="852" w:type="dxa"/>
            <w:vMerge/>
            <w:tcMar>
              <w:left w:w="85" w:type="dxa"/>
              <w:right w:w="85" w:type="dxa"/>
            </w:tcMar>
            <w:vAlign w:val="center"/>
          </w:tcPr>
          <w:p w14:paraId="36588635" w14:textId="77777777" w:rsidR="00CB0432" w:rsidRPr="00BE38DF" w:rsidRDefault="00CB0432">
            <w:pPr>
              <w:keepNext/>
              <w:spacing w:before="20" w:after="20"/>
              <w:rPr>
                <w:sz w:val="20"/>
                <w:szCs w:val="20"/>
              </w:rPr>
            </w:pPr>
          </w:p>
        </w:tc>
        <w:tc>
          <w:tcPr>
            <w:tcW w:w="730" w:type="dxa"/>
            <w:vMerge/>
            <w:tcMar>
              <w:left w:w="85" w:type="dxa"/>
              <w:right w:w="85" w:type="dxa"/>
            </w:tcMar>
            <w:vAlign w:val="center"/>
          </w:tcPr>
          <w:p w14:paraId="7D216BD4" w14:textId="77777777" w:rsidR="00CB0432" w:rsidRPr="00BE38DF" w:rsidRDefault="00CB0432">
            <w:pPr>
              <w:keepNext/>
              <w:spacing w:before="20" w:after="20"/>
              <w:rPr>
                <w:sz w:val="20"/>
                <w:szCs w:val="20"/>
              </w:rPr>
            </w:pPr>
          </w:p>
        </w:tc>
      </w:tr>
      <w:tr w:rsidR="00CB0432" w:rsidRPr="00BE38DF" w14:paraId="2D5317C1" w14:textId="77777777" w:rsidTr="0015070E">
        <w:trPr>
          <w:cantSplit/>
          <w:jc w:val="center"/>
        </w:trPr>
        <w:tc>
          <w:tcPr>
            <w:tcW w:w="1773" w:type="dxa"/>
            <w:vMerge/>
            <w:tcMar>
              <w:left w:w="85" w:type="dxa"/>
              <w:right w:w="85" w:type="dxa"/>
            </w:tcMar>
            <w:vAlign w:val="center"/>
          </w:tcPr>
          <w:p w14:paraId="5DBC2225" w14:textId="77777777" w:rsidR="00CB0432" w:rsidRPr="00BE38DF" w:rsidRDefault="00CB0432">
            <w:pPr>
              <w:keepNext/>
              <w:spacing w:before="20" w:after="20"/>
              <w:rPr>
                <w:sz w:val="20"/>
                <w:szCs w:val="20"/>
              </w:rPr>
            </w:pPr>
          </w:p>
        </w:tc>
        <w:tc>
          <w:tcPr>
            <w:tcW w:w="852" w:type="dxa"/>
            <w:vMerge/>
            <w:tcMar>
              <w:left w:w="85" w:type="dxa"/>
              <w:right w:w="85" w:type="dxa"/>
            </w:tcMar>
            <w:vAlign w:val="center"/>
          </w:tcPr>
          <w:p w14:paraId="1576C50E" w14:textId="77777777" w:rsidR="00CB0432" w:rsidRPr="00BE38DF" w:rsidRDefault="00CB0432">
            <w:pPr>
              <w:keepNext/>
              <w:spacing w:before="20" w:after="20"/>
              <w:rPr>
                <w:sz w:val="20"/>
                <w:szCs w:val="20"/>
              </w:rPr>
            </w:pPr>
          </w:p>
        </w:tc>
        <w:tc>
          <w:tcPr>
            <w:tcW w:w="754" w:type="dxa"/>
            <w:vMerge/>
            <w:tcMar>
              <w:left w:w="85" w:type="dxa"/>
              <w:right w:w="85" w:type="dxa"/>
            </w:tcMar>
            <w:vAlign w:val="center"/>
          </w:tcPr>
          <w:p w14:paraId="087254E0" w14:textId="77777777" w:rsidR="00CB0432" w:rsidRPr="00BE38DF" w:rsidRDefault="00CB0432">
            <w:pPr>
              <w:keepNext/>
              <w:spacing w:before="20" w:after="20"/>
              <w:rPr>
                <w:sz w:val="20"/>
                <w:szCs w:val="20"/>
              </w:rPr>
            </w:pPr>
          </w:p>
        </w:tc>
        <w:tc>
          <w:tcPr>
            <w:tcW w:w="806" w:type="dxa"/>
            <w:vMerge/>
            <w:tcMar>
              <w:left w:w="85" w:type="dxa"/>
              <w:right w:w="85" w:type="dxa"/>
            </w:tcMar>
            <w:vAlign w:val="center"/>
          </w:tcPr>
          <w:p w14:paraId="252EBDFD" w14:textId="77777777" w:rsidR="00CB0432" w:rsidRPr="00BE38DF" w:rsidRDefault="00CB0432">
            <w:pPr>
              <w:keepNext/>
              <w:spacing w:before="20" w:after="20"/>
              <w:rPr>
                <w:sz w:val="20"/>
                <w:szCs w:val="20"/>
              </w:rPr>
            </w:pPr>
          </w:p>
        </w:tc>
        <w:tc>
          <w:tcPr>
            <w:tcW w:w="1369" w:type="dxa"/>
            <w:tcMar>
              <w:left w:w="85" w:type="dxa"/>
              <w:right w:w="85" w:type="dxa"/>
            </w:tcMar>
            <w:vAlign w:val="center"/>
          </w:tcPr>
          <w:p w14:paraId="0D3B579F" w14:textId="77777777" w:rsidR="00CB0432" w:rsidRPr="00BE38DF" w:rsidRDefault="00CB0432">
            <w:pPr>
              <w:keepNext/>
              <w:spacing w:before="20" w:after="20"/>
              <w:rPr>
                <w:sz w:val="20"/>
                <w:szCs w:val="20"/>
              </w:rPr>
            </w:pPr>
            <w:r>
              <w:rPr>
                <w:sz w:val="20"/>
                <w:szCs w:val="20"/>
                <w:rtl/>
              </w:rPr>
              <w:t>التبريد</w:t>
            </w:r>
          </w:p>
        </w:tc>
        <w:tc>
          <w:tcPr>
            <w:tcW w:w="838" w:type="dxa"/>
            <w:tcMar>
              <w:left w:w="85" w:type="dxa"/>
              <w:right w:w="85" w:type="dxa"/>
            </w:tcMar>
            <w:vAlign w:val="center"/>
          </w:tcPr>
          <w:p w14:paraId="389D37E4" w14:textId="77777777" w:rsidR="00CB0432" w:rsidRPr="00BE38DF" w:rsidRDefault="00CB0432">
            <w:pPr>
              <w:keepNext/>
              <w:spacing w:before="20" w:after="20"/>
              <w:rPr>
                <w:sz w:val="20"/>
                <w:szCs w:val="20"/>
              </w:rPr>
            </w:pPr>
            <w:r>
              <w:rPr>
                <w:sz w:val="20"/>
                <w:szCs w:val="20"/>
                <w:rtl/>
              </w:rPr>
              <w:t>تكييف الهواء</w:t>
            </w:r>
          </w:p>
        </w:tc>
        <w:tc>
          <w:tcPr>
            <w:tcW w:w="838" w:type="dxa"/>
            <w:vAlign w:val="center"/>
          </w:tcPr>
          <w:p w14:paraId="02760A76" w14:textId="77777777" w:rsidR="00CB0432" w:rsidRPr="00BE38DF" w:rsidRDefault="00CB0432">
            <w:pPr>
              <w:keepNext/>
              <w:spacing w:before="20" w:after="20"/>
              <w:rPr>
                <w:sz w:val="20"/>
                <w:szCs w:val="20"/>
              </w:rPr>
            </w:pPr>
            <w:r>
              <w:rPr>
                <w:sz w:val="20"/>
                <w:szCs w:val="20"/>
                <w:rtl/>
              </w:rPr>
              <w:t>أخرى</w:t>
            </w:r>
          </w:p>
        </w:tc>
        <w:tc>
          <w:tcPr>
            <w:tcW w:w="1211" w:type="dxa"/>
            <w:vMerge/>
            <w:tcMar>
              <w:left w:w="85" w:type="dxa"/>
              <w:right w:w="85" w:type="dxa"/>
            </w:tcMar>
            <w:vAlign w:val="center"/>
          </w:tcPr>
          <w:p w14:paraId="057C022D" w14:textId="77777777" w:rsidR="00CB0432" w:rsidRPr="00BE38DF" w:rsidRDefault="00CB0432">
            <w:pPr>
              <w:keepNext/>
              <w:spacing w:before="20" w:after="20"/>
              <w:rPr>
                <w:sz w:val="20"/>
                <w:szCs w:val="20"/>
              </w:rPr>
            </w:pPr>
          </w:p>
        </w:tc>
        <w:tc>
          <w:tcPr>
            <w:tcW w:w="852" w:type="dxa"/>
            <w:vMerge/>
            <w:tcMar>
              <w:left w:w="85" w:type="dxa"/>
              <w:right w:w="85" w:type="dxa"/>
            </w:tcMar>
            <w:vAlign w:val="center"/>
          </w:tcPr>
          <w:p w14:paraId="016C1966" w14:textId="77777777" w:rsidR="00CB0432" w:rsidRPr="00BE38DF" w:rsidRDefault="00CB0432">
            <w:pPr>
              <w:keepNext/>
              <w:spacing w:before="20" w:after="20"/>
              <w:rPr>
                <w:sz w:val="20"/>
                <w:szCs w:val="20"/>
              </w:rPr>
            </w:pPr>
          </w:p>
        </w:tc>
        <w:tc>
          <w:tcPr>
            <w:tcW w:w="730" w:type="dxa"/>
            <w:vMerge/>
            <w:tcMar>
              <w:left w:w="85" w:type="dxa"/>
              <w:right w:w="85" w:type="dxa"/>
            </w:tcMar>
            <w:vAlign w:val="center"/>
          </w:tcPr>
          <w:p w14:paraId="2B170622" w14:textId="77777777" w:rsidR="00CB0432" w:rsidRPr="00BE38DF" w:rsidRDefault="00CB0432">
            <w:pPr>
              <w:keepNext/>
              <w:spacing w:before="20" w:after="20"/>
              <w:rPr>
                <w:sz w:val="20"/>
                <w:szCs w:val="20"/>
              </w:rPr>
            </w:pPr>
          </w:p>
        </w:tc>
      </w:tr>
      <w:tr w:rsidR="00CB0432" w:rsidRPr="00BE38DF" w14:paraId="7555BB8A" w14:textId="77777777" w:rsidTr="0015070E">
        <w:trPr>
          <w:cantSplit/>
          <w:jc w:val="center"/>
        </w:trPr>
        <w:tc>
          <w:tcPr>
            <w:tcW w:w="1773" w:type="dxa"/>
            <w:vAlign w:val="center"/>
          </w:tcPr>
          <w:p w14:paraId="67C3178C" w14:textId="77777777" w:rsidR="00CB0432" w:rsidRPr="00BE38DF" w:rsidRDefault="00CB0432">
            <w:pPr>
              <w:keepNext/>
              <w:spacing w:before="20" w:after="20"/>
              <w:rPr>
                <w:sz w:val="20"/>
                <w:szCs w:val="20"/>
              </w:rPr>
            </w:pPr>
            <w:r>
              <w:rPr>
                <w:sz w:val="20"/>
                <w:szCs w:val="20"/>
                <w:rtl/>
              </w:rPr>
              <w:t>المواد الهيدروفلوروكربونية</w:t>
            </w:r>
          </w:p>
        </w:tc>
        <w:tc>
          <w:tcPr>
            <w:tcW w:w="852" w:type="dxa"/>
            <w:vAlign w:val="center"/>
          </w:tcPr>
          <w:p w14:paraId="426B428B" w14:textId="7613648D" w:rsidR="00CB0432" w:rsidRPr="001247C5" w:rsidRDefault="0053284B" w:rsidP="001247C5">
            <w:pPr>
              <w:keepNext/>
              <w:spacing w:before="20" w:after="20"/>
              <w:ind w:left="-114" w:right="-10" w:firstLine="114"/>
              <w:rPr>
                <w:sz w:val="20"/>
                <w:szCs w:val="20"/>
              </w:rPr>
            </w:pPr>
            <w:r>
              <w:rPr>
                <w:sz w:val="20"/>
                <w:szCs w:val="20"/>
              </w:rPr>
              <w:t>0</w:t>
            </w:r>
          </w:p>
        </w:tc>
        <w:tc>
          <w:tcPr>
            <w:tcW w:w="754" w:type="dxa"/>
            <w:vAlign w:val="center"/>
          </w:tcPr>
          <w:p w14:paraId="27E4A737" w14:textId="7A1332B0" w:rsidR="00CB0432" w:rsidRPr="001247C5" w:rsidRDefault="0053284B" w:rsidP="001247C5">
            <w:pPr>
              <w:keepNext/>
              <w:spacing w:before="20" w:after="20"/>
              <w:ind w:left="-114" w:right="-10" w:firstLine="114"/>
              <w:rPr>
                <w:sz w:val="20"/>
                <w:szCs w:val="20"/>
              </w:rPr>
            </w:pPr>
            <w:r>
              <w:rPr>
                <w:sz w:val="20"/>
                <w:szCs w:val="20"/>
              </w:rPr>
              <w:t>0</w:t>
            </w:r>
          </w:p>
        </w:tc>
        <w:tc>
          <w:tcPr>
            <w:tcW w:w="806" w:type="dxa"/>
            <w:vAlign w:val="center"/>
          </w:tcPr>
          <w:p w14:paraId="09EF9EDC" w14:textId="0BA35A5D" w:rsidR="00CB0432" w:rsidRPr="001247C5" w:rsidRDefault="0053284B" w:rsidP="001247C5">
            <w:pPr>
              <w:keepNext/>
              <w:spacing w:before="20" w:after="20"/>
              <w:ind w:left="-114" w:right="-10" w:firstLine="114"/>
              <w:rPr>
                <w:sz w:val="20"/>
                <w:szCs w:val="20"/>
              </w:rPr>
            </w:pPr>
            <w:r>
              <w:rPr>
                <w:sz w:val="20"/>
                <w:szCs w:val="20"/>
              </w:rPr>
              <w:t>0</w:t>
            </w:r>
          </w:p>
        </w:tc>
        <w:tc>
          <w:tcPr>
            <w:tcW w:w="1369" w:type="dxa"/>
            <w:vAlign w:val="center"/>
          </w:tcPr>
          <w:p w14:paraId="48AE020A" w14:textId="42FAD445" w:rsidR="00CB0432" w:rsidRPr="001247C5" w:rsidRDefault="0053284B" w:rsidP="001247C5">
            <w:pPr>
              <w:keepNext/>
              <w:spacing w:before="20" w:after="20"/>
              <w:ind w:left="-114" w:right="-10" w:firstLine="114"/>
              <w:rPr>
                <w:sz w:val="20"/>
                <w:szCs w:val="20"/>
              </w:rPr>
            </w:pPr>
            <w:r>
              <w:rPr>
                <w:sz w:val="20"/>
                <w:szCs w:val="20"/>
              </w:rPr>
              <w:t>0</w:t>
            </w:r>
          </w:p>
        </w:tc>
        <w:tc>
          <w:tcPr>
            <w:tcW w:w="838" w:type="dxa"/>
            <w:vAlign w:val="center"/>
          </w:tcPr>
          <w:p w14:paraId="5691023D" w14:textId="25A808D7" w:rsidR="00CB0432" w:rsidRPr="001247C5" w:rsidRDefault="0053284B" w:rsidP="001247C5">
            <w:pPr>
              <w:keepNext/>
              <w:spacing w:before="20" w:after="20"/>
              <w:ind w:left="-114" w:right="-10" w:firstLine="114"/>
              <w:rPr>
                <w:sz w:val="20"/>
                <w:szCs w:val="20"/>
              </w:rPr>
            </w:pPr>
            <w:r>
              <w:rPr>
                <w:sz w:val="20"/>
                <w:szCs w:val="20"/>
              </w:rPr>
              <w:t>0</w:t>
            </w:r>
          </w:p>
        </w:tc>
        <w:tc>
          <w:tcPr>
            <w:tcW w:w="838" w:type="dxa"/>
            <w:vAlign w:val="center"/>
          </w:tcPr>
          <w:p w14:paraId="140FB860" w14:textId="3D520D10" w:rsidR="00CB0432" w:rsidRPr="001247C5" w:rsidRDefault="0053284B" w:rsidP="001247C5">
            <w:pPr>
              <w:keepNext/>
              <w:spacing w:before="20" w:after="20"/>
              <w:ind w:left="-114" w:right="-10" w:firstLine="114"/>
              <w:rPr>
                <w:sz w:val="20"/>
                <w:szCs w:val="20"/>
              </w:rPr>
            </w:pPr>
            <w:r>
              <w:rPr>
                <w:sz w:val="20"/>
                <w:szCs w:val="20"/>
              </w:rPr>
              <w:t>0</w:t>
            </w:r>
          </w:p>
        </w:tc>
        <w:tc>
          <w:tcPr>
            <w:tcW w:w="1211" w:type="dxa"/>
            <w:vAlign w:val="center"/>
          </w:tcPr>
          <w:p w14:paraId="3A210907" w14:textId="3C35F7E1" w:rsidR="00CB0432" w:rsidRPr="001247C5" w:rsidRDefault="0053284B" w:rsidP="001247C5">
            <w:pPr>
              <w:keepNext/>
              <w:spacing w:before="20" w:after="20"/>
              <w:ind w:left="-114" w:right="-10" w:firstLine="114"/>
              <w:rPr>
                <w:sz w:val="20"/>
                <w:szCs w:val="20"/>
              </w:rPr>
            </w:pPr>
            <w:r>
              <w:rPr>
                <w:sz w:val="20"/>
                <w:szCs w:val="20"/>
              </w:rPr>
              <w:t>34,040</w:t>
            </w:r>
          </w:p>
        </w:tc>
        <w:tc>
          <w:tcPr>
            <w:tcW w:w="852" w:type="dxa"/>
            <w:vAlign w:val="center"/>
          </w:tcPr>
          <w:p w14:paraId="20641654" w14:textId="36C64269" w:rsidR="00CB0432" w:rsidRPr="001247C5" w:rsidRDefault="0053284B" w:rsidP="001247C5">
            <w:pPr>
              <w:keepNext/>
              <w:spacing w:before="20" w:after="20"/>
              <w:ind w:left="-114" w:right="-10" w:firstLine="114"/>
              <w:rPr>
                <w:sz w:val="20"/>
                <w:szCs w:val="20"/>
              </w:rPr>
            </w:pPr>
            <w:r>
              <w:rPr>
                <w:sz w:val="20"/>
                <w:szCs w:val="20"/>
              </w:rPr>
              <w:t>0</w:t>
            </w:r>
          </w:p>
        </w:tc>
        <w:tc>
          <w:tcPr>
            <w:tcW w:w="730" w:type="dxa"/>
            <w:vAlign w:val="center"/>
          </w:tcPr>
          <w:p w14:paraId="3AB9649D" w14:textId="666CB23F" w:rsidR="00CB0432" w:rsidRPr="00BE38DF" w:rsidRDefault="0053284B" w:rsidP="001247C5">
            <w:pPr>
              <w:keepNext/>
              <w:spacing w:before="20" w:after="20"/>
              <w:ind w:left="-114" w:right="-10" w:firstLine="114"/>
              <w:rPr>
                <w:kern w:val="2"/>
                <w:sz w:val="20"/>
                <w:szCs w:val="20"/>
                <w:lang w:eastAsia="en-CA"/>
                <w14:ligatures w14:val="standardContextual"/>
              </w:rPr>
            </w:pPr>
            <w:r>
              <w:rPr>
                <w:sz w:val="20"/>
                <w:szCs w:val="20"/>
              </w:rPr>
              <w:t>0</w:t>
            </w:r>
          </w:p>
        </w:tc>
      </w:tr>
      <w:tr w:rsidR="00CB0432" w:rsidRPr="00BE38DF" w14:paraId="7C7517CA" w14:textId="77777777" w:rsidTr="0015070E">
        <w:trPr>
          <w:cantSplit/>
          <w:jc w:val="center"/>
        </w:trPr>
        <w:tc>
          <w:tcPr>
            <w:tcW w:w="1773" w:type="dxa"/>
            <w:vAlign w:val="center"/>
          </w:tcPr>
          <w:p w14:paraId="43A718A6" w14:textId="77777777" w:rsidR="00CB0432" w:rsidRPr="00BE38DF" w:rsidRDefault="00CB0432">
            <w:pPr>
              <w:spacing w:before="20" w:after="20"/>
              <w:ind w:right="-108"/>
              <w:rPr>
                <w:color w:val="000000" w:themeColor="text1"/>
                <w:sz w:val="20"/>
                <w:szCs w:val="20"/>
              </w:rPr>
            </w:pPr>
            <w:r>
              <w:rPr>
                <w:color w:val="000000" w:themeColor="text1"/>
                <w:sz w:val="20"/>
                <w:szCs w:val="20"/>
                <w:rtl/>
              </w:rPr>
              <w:t>الأنشطة المخطط لها المتفق عليها (نعم/لا)</w:t>
            </w:r>
          </w:p>
        </w:tc>
        <w:tc>
          <w:tcPr>
            <w:tcW w:w="852" w:type="dxa"/>
            <w:vAlign w:val="center"/>
          </w:tcPr>
          <w:p w14:paraId="7C6968D9" w14:textId="31C0AF02" w:rsidR="00CB0432" w:rsidRPr="00BE38DF" w:rsidRDefault="00CB0432" w:rsidP="0053284B">
            <w:pPr>
              <w:spacing w:before="20" w:after="20"/>
              <w:rPr>
                <w:kern w:val="2"/>
                <w:sz w:val="20"/>
                <w:szCs w:val="20"/>
                <w:lang w:eastAsia="en-CA"/>
                <w14:ligatures w14:val="standardContextual"/>
              </w:rPr>
            </w:pPr>
          </w:p>
        </w:tc>
        <w:tc>
          <w:tcPr>
            <w:tcW w:w="754" w:type="dxa"/>
            <w:vAlign w:val="center"/>
          </w:tcPr>
          <w:p w14:paraId="72E85726" w14:textId="721F31A6" w:rsidR="00CB0432" w:rsidRPr="00BE38DF" w:rsidRDefault="00CB0432" w:rsidP="0053284B">
            <w:pPr>
              <w:spacing w:before="20" w:after="20"/>
              <w:rPr>
                <w:kern w:val="2"/>
                <w:sz w:val="20"/>
                <w:szCs w:val="20"/>
                <w:lang w:eastAsia="en-CA"/>
                <w14:ligatures w14:val="standardContextual"/>
              </w:rPr>
            </w:pPr>
          </w:p>
        </w:tc>
        <w:tc>
          <w:tcPr>
            <w:tcW w:w="806" w:type="dxa"/>
            <w:vAlign w:val="center"/>
          </w:tcPr>
          <w:p w14:paraId="566432A2" w14:textId="004F027D" w:rsidR="00CB0432" w:rsidRPr="00BE38DF" w:rsidRDefault="00CB0432" w:rsidP="0053284B">
            <w:pPr>
              <w:spacing w:before="20" w:after="20"/>
              <w:rPr>
                <w:kern w:val="2"/>
                <w:sz w:val="20"/>
                <w:szCs w:val="20"/>
                <w:lang w:eastAsia="en-CA"/>
                <w14:ligatures w14:val="standardContextual"/>
              </w:rPr>
            </w:pPr>
          </w:p>
        </w:tc>
        <w:tc>
          <w:tcPr>
            <w:tcW w:w="1369" w:type="dxa"/>
            <w:vAlign w:val="center"/>
          </w:tcPr>
          <w:p w14:paraId="5CF744FF" w14:textId="487309E2" w:rsidR="00CB0432" w:rsidRPr="00BE38DF" w:rsidRDefault="00CB0432" w:rsidP="0053284B">
            <w:pPr>
              <w:spacing w:before="20" w:after="20"/>
              <w:rPr>
                <w:kern w:val="2"/>
                <w:sz w:val="20"/>
                <w:szCs w:val="20"/>
                <w:lang w:eastAsia="en-CA"/>
                <w14:ligatures w14:val="standardContextual"/>
              </w:rPr>
            </w:pPr>
          </w:p>
        </w:tc>
        <w:tc>
          <w:tcPr>
            <w:tcW w:w="838" w:type="dxa"/>
            <w:vAlign w:val="center"/>
          </w:tcPr>
          <w:p w14:paraId="151EC3CE" w14:textId="74C1C36C" w:rsidR="00CB0432" w:rsidRPr="00BE38DF" w:rsidRDefault="00CB0432" w:rsidP="0053284B">
            <w:pPr>
              <w:spacing w:before="20" w:after="20"/>
              <w:rPr>
                <w:kern w:val="2"/>
                <w:sz w:val="20"/>
                <w:szCs w:val="20"/>
                <w:lang w:eastAsia="en-CA"/>
                <w14:ligatures w14:val="standardContextual"/>
              </w:rPr>
            </w:pPr>
          </w:p>
        </w:tc>
        <w:tc>
          <w:tcPr>
            <w:tcW w:w="838" w:type="dxa"/>
            <w:vAlign w:val="center"/>
          </w:tcPr>
          <w:p w14:paraId="584A6F28" w14:textId="4104EB40" w:rsidR="00CB0432" w:rsidRPr="00BE38DF" w:rsidRDefault="00CB0432" w:rsidP="0053284B">
            <w:pPr>
              <w:spacing w:before="20" w:after="20"/>
              <w:rPr>
                <w:kern w:val="2"/>
                <w:sz w:val="20"/>
                <w:szCs w:val="20"/>
                <w:lang w:eastAsia="en-CA"/>
                <w14:ligatures w14:val="standardContextual"/>
              </w:rPr>
            </w:pPr>
          </w:p>
        </w:tc>
        <w:tc>
          <w:tcPr>
            <w:tcW w:w="1211" w:type="dxa"/>
            <w:vAlign w:val="center"/>
          </w:tcPr>
          <w:p w14:paraId="3A9729A6" w14:textId="1BDB9FCC" w:rsidR="00CB0432" w:rsidRPr="00BE38DF" w:rsidRDefault="0053284B" w:rsidP="0053284B">
            <w:pPr>
              <w:spacing w:before="20" w:after="20"/>
              <w:rPr>
                <w:kern w:val="2"/>
                <w:sz w:val="20"/>
                <w:szCs w:val="20"/>
                <w:lang w:eastAsia="en-CA"/>
                <w14:ligatures w14:val="standardContextual"/>
              </w:rPr>
            </w:pPr>
            <w:r>
              <w:rPr>
                <w:sz w:val="20"/>
                <w:szCs w:val="20"/>
                <w:rtl/>
              </w:rPr>
              <w:t>نعم</w:t>
            </w:r>
          </w:p>
        </w:tc>
        <w:tc>
          <w:tcPr>
            <w:tcW w:w="852" w:type="dxa"/>
            <w:vAlign w:val="center"/>
          </w:tcPr>
          <w:p w14:paraId="54259028" w14:textId="5FD3C35B" w:rsidR="00CB0432" w:rsidRPr="00BE38DF" w:rsidRDefault="00CB0432" w:rsidP="0053284B">
            <w:pPr>
              <w:spacing w:before="20" w:after="20"/>
              <w:rPr>
                <w:kern w:val="2"/>
                <w:sz w:val="20"/>
                <w:szCs w:val="20"/>
                <w:lang w:eastAsia="en-CA"/>
                <w14:ligatures w14:val="standardContextual"/>
              </w:rPr>
            </w:pPr>
          </w:p>
        </w:tc>
        <w:tc>
          <w:tcPr>
            <w:tcW w:w="730" w:type="dxa"/>
            <w:vAlign w:val="center"/>
          </w:tcPr>
          <w:p w14:paraId="401839FB" w14:textId="5C025069" w:rsidR="00CB0432" w:rsidRPr="00BE38DF" w:rsidRDefault="00CB0432" w:rsidP="0053284B">
            <w:pPr>
              <w:spacing w:before="20" w:after="20"/>
              <w:rPr>
                <w:kern w:val="2"/>
                <w:sz w:val="20"/>
                <w:szCs w:val="20"/>
                <w:lang w:eastAsia="en-CA"/>
                <w14:ligatures w14:val="standardContextual"/>
              </w:rPr>
            </w:pPr>
          </w:p>
        </w:tc>
      </w:tr>
    </w:tbl>
    <w:p w14:paraId="0A287C09" w14:textId="77777777" w:rsidR="00540DFC" w:rsidRPr="00BE38DF" w:rsidRDefault="00540DFC" w:rsidP="00540DFC">
      <w:pPr>
        <w:ind w:left="-284" w:right="-279"/>
        <w:rPr>
          <w:kern w:val="2"/>
          <w:sz w:val="26"/>
          <w:szCs w:val="26"/>
          <w:lang w:eastAsia="en-CA"/>
          <w14:ligatures w14:val="standardContextual"/>
        </w:rPr>
      </w:pPr>
    </w:p>
    <w:tbl>
      <w:tblPr>
        <w:bidiVisual/>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348"/>
        <w:gridCol w:w="1530"/>
        <w:gridCol w:w="3145"/>
      </w:tblGrid>
      <w:tr w:rsidR="00CB0432" w:rsidRPr="00BE38DF" w14:paraId="5E448B20" w14:textId="77777777" w:rsidTr="001247C5">
        <w:trPr>
          <w:cantSplit/>
          <w:trHeight w:val="156"/>
          <w:jc w:val="center"/>
        </w:trPr>
        <w:tc>
          <w:tcPr>
            <w:tcW w:w="5348" w:type="dxa"/>
            <w:tcMar>
              <w:top w:w="17" w:type="dxa"/>
              <w:left w:w="108" w:type="dxa"/>
              <w:bottom w:w="17" w:type="dxa"/>
              <w:right w:w="108" w:type="dxa"/>
            </w:tcMar>
          </w:tcPr>
          <w:p w14:paraId="655130F8" w14:textId="77777777" w:rsidR="00CB0432" w:rsidRPr="00BE38DF" w:rsidRDefault="00CB0432">
            <w:pPr>
              <w:spacing w:before="20" w:after="20"/>
              <w:ind w:right="-95"/>
              <w:rPr>
                <w:b/>
                <w:caps/>
                <w:sz w:val="20"/>
                <w:szCs w:val="20"/>
              </w:rPr>
            </w:pPr>
            <w:r>
              <w:rPr>
                <w:b/>
                <w:bCs/>
                <w:caps/>
                <w:sz w:val="20"/>
                <w:szCs w:val="20"/>
                <w:rtl/>
              </w:rPr>
              <w:t>متوسط استهلاك المواد الهيدروفلوروكربونية في الخدمة للفترة 2020–2022</w:t>
            </w:r>
          </w:p>
        </w:tc>
        <w:tc>
          <w:tcPr>
            <w:tcW w:w="1530" w:type="dxa"/>
          </w:tcPr>
          <w:p w14:paraId="76D083F7" w14:textId="5E2CE422" w:rsidR="00CB0432" w:rsidRPr="00BE38DF" w:rsidRDefault="001C4BB0" w:rsidP="001C4BB0">
            <w:pPr>
              <w:spacing w:before="20" w:after="20"/>
              <w:ind w:right="116"/>
              <w:rPr>
                <w:bCs/>
                <w:kern w:val="2"/>
                <w:sz w:val="20"/>
                <w:szCs w:val="20"/>
                <w:lang w:eastAsia="en-CA"/>
                <w14:ligatures w14:val="standardContextual"/>
              </w:rPr>
            </w:pPr>
            <w:r>
              <w:rPr>
                <w:color w:val="000000"/>
                <w:sz w:val="20"/>
                <w:szCs w:val="20"/>
                <w:rtl/>
              </w:rPr>
              <w:t>10.77 طن متري</w:t>
            </w:r>
          </w:p>
        </w:tc>
        <w:tc>
          <w:tcPr>
            <w:tcW w:w="3145" w:type="dxa"/>
          </w:tcPr>
          <w:p w14:paraId="38638DD2" w14:textId="70BD4B92" w:rsidR="00CB0432" w:rsidRPr="00BE38DF" w:rsidRDefault="001C4BB0" w:rsidP="001C4BB0">
            <w:pPr>
              <w:spacing w:before="20" w:after="20"/>
              <w:ind w:right="116"/>
              <w:rPr>
                <w:kern w:val="2"/>
                <w:sz w:val="20"/>
                <w:szCs w:val="20"/>
                <w:lang w:eastAsia="en-CA"/>
                <w14:ligatures w14:val="standardContextual"/>
              </w:rPr>
            </w:pPr>
            <w:r>
              <w:rPr>
                <w:color w:val="000000"/>
                <w:sz w:val="20"/>
                <w:szCs w:val="20"/>
                <w:rtl/>
              </w:rPr>
              <w:t>25,214 طن من مكافئ ثاني أكسيد الكربون</w:t>
            </w:r>
          </w:p>
        </w:tc>
      </w:tr>
    </w:tbl>
    <w:p w14:paraId="069A42AA" w14:textId="77777777" w:rsidR="00CB0432" w:rsidRPr="00BE38DF" w:rsidRDefault="00CB0432" w:rsidP="00CB0432">
      <w:pPr>
        <w:spacing w:before="20" w:after="20"/>
        <w:ind w:left="-284" w:right="-279"/>
        <w:jc w:val="center"/>
        <w:rPr>
          <w:sz w:val="26"/>
          <w:szCs w:val="26"/>
        </w:rPr>
      </w:pPr>
    </w:p>
    <w:tbl>
      <w:tblPr>
        <w:bidiVisual/>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088"/>
        <w:gridCol w:w="1080"/>
        <w:gridCol w:w="1080"/>
        <w:gridCol w:w="1260"/>
        <w:gridCol w:w="2515"/>
      </w:tblGrid>
      <w:tr w:rsidR="00CB0432" w:rsidRPr="00BE38DF" w14:paraId="04453002" w14:textId="77777777" w:rsidTr="005C4A56">
        <w:trPr>
          <w:cantSplit/>
          <w:tblHeader/>
          <w:jc w:val="center"/>
        </w:trPr>
        <w:tc>
          <w:tcPr>
            <w:tcW w:w="4088" w:type="dxa"/>
            <w:tcMar>
              <w:top w:w="17" w:type="dxa"/>
              <w:left w:w="108" w:type="dxa"/>
              <w:bottom w:w="17" w:type="dxa"/>
              <w:right w:w="108" w:type="dxa"/>
            </w:tcMar>
            <w:vAlign w:val="center"/>
          </w:tcPr>
          <w:p w14:paraId="66FC26C8" w14:textId="77777777" w:rsidR="00CB0432" w:rsidRPr="00BE38DF" w:rsidRDefault="00CB0432">
            <w:pPr>
              <w:keepNext/>
              <w:spacing w:before="20" w:after="20"/>
              <w:rPr>
                <w:b/>
                <w:bCs/>
                <w:sz w:val="20"/>
                <w:szCs w:val="20"/>
              </w:rPr>
            </w:pPr>
            <w:r>
              <w:rPr>
                <w:b/>
                <w:bCs/>
                <w:sz w:val="20"/>
                <w:szCs w:val="20"/>
                <w:rtl/>
              </w:rPr>
              <w:t>بيانات خط الأساس (طن من مكافئ ثاني أكسيد الكربون)</w:t>
            </w:r>
          </w:p>
        </w:tc>
        <w:tc>
          <w:tcPr>
            <w:tcW w:w="1080" w:type="dxa"/>
            <w:vAlign w:val="center"/>
          </w:tcPr>
          <w:p w14:paraId="7268BB3E" w14:textId="77777777" w:rsidR="00CB0432" w:rsidRPr="00BE38DF" w:rsidRDefault="00CB0432" w:rsidP="0015070E">
            <w:pPr>
              <w:keepNext/>
              <w:spacing w:before="20" w:after="20"/>
              <w:jc w:val="center"/>
              <w:rPr>
                <w:b/>
                <w:bCs/>
                <w:sz w:val="20"/>
                <w:szCs w:val="20"/>
              </w:rPr>
            </w:pPr>
            <w:r>
              <w:rPr>
                <w:b/>
                <w:bCs/>
                <w:sz w:val="20"/>
                <w:szCs w:val="20"/>
              </w:rPr>
              <w:t>2020</w:t>
            </w:r>
          </w:p>
        </w:tc>
        <w:tc>
          <w:tcPr>
            <w:tcW w:w="1080" w:type="dxa"/>
            <w:tcMar>
              <w:top w:w="17" w:type="dxa"/>
              <w:left w:w="108" w:type="dxa"/>
              <w:bottom w:w="17" w:type="dxa"/>
              <w:right w:w="108" w:type="dxa"/>
            </w:tcMar>
            <w:vAlign w:val="center"/>
          </w:tcPr>
          <w:p w14:paraId="36E42BA4" w14:textId="77777777" w:rsidR="00CB0432" w:rsidRPr="00BE38DF" w:rsidRDefault="00CB0432" w:rsidP="0015070E">
            <w:pPr>
              <w:keepNext/>
              <w:spacing w:before="20" w:after="20"/>
              <w:jc w:val="center"/>
              <w:rPr>
                <w:b/>
                <w:bCs/>
                <w:sz w:val="20"/>
                <w:szCs w:val="20"/>
              </w:rPr>
            </w:pPr>
            <w:r>
              <w:rPr>
                <w:b/>
                <w:bCs/>
                <w:sz w:val="20"/>
                <w:szCs w:val="20"/>
              </w:rPr>
              <w:t>2021</w:t>
            </w:r>
          </w:p>
        </w:tc>
        <w:tc>
          <w:tcPr>
            <w:tcW w:w="1260" w:type="dxa"/>
            <w:tcMar>
              <w:top w:w="17" w:type="dxa"/>
              <w:left w:w="108" w:type="dxa"/>
              <w:bottom w:w="17" w:type="dxa"/>
              <w:right w:w="108" w:type="dxa"/>
            </w:tcMar>
            <w:vAlign w:val="center"/>
          </w:tcPr>
          <w:p w14:paraId="6A6AFEA1" w14:textId="77777777" w:rsidR="00CB0432" w:rsidRPr="00BE38DF" w:rsidRDefault="00CB0432" w:rsidP="0015070E">
            <w:pPr>
              <w:keepNext/>
              <w:spacing w:before="20" w:after="20"/>
              <w:jc w:val="center"/>
              <w:rPr>
                <w:b/>
                <w:bCs/>
                <w:sz w:val="20"/>
                <w:szCs w:val="20"/>
              </w:rPr>
            </w:pPr>
            <w:r>
              <w:rPr>
                <w:b/>
                <w:bCs/>
                <w:sz w:val="20"/>
                <w:szCs w:val="20"/>
              </w:rPr>
              <w:t>2022</w:t>
            </w:r>
          </w:p>
        </w:tc>
        <w:tc>
          <w:tcPr>
            <w:tcW w:w="2515" w:type="dxa"/>
            <w:tcMar>
              <w:top w:w="17" w:type="dxa"/>
              <w:left w:w="108" w:type="dxa"/>
              <w:bottom w:w="17" w:type="dxa"/>
              <w:right w:w="108" w:type="dxa"/>
            </w:tcMar>
            <w:vAlign w:val="center"/>
          </w:tcPr>
          <w:p w14:paraId="25B74E57" w14:textId="77777777" w:rsidR="00CB0432" w:rsidRPr="00BE38DF" w:rsidRDefault="00CB0432" w:rsidP="0015070E">
            <w:pPr>
              <w:keepNext/>
              <w:spacing w:before="20" w:after="20"/>
              <w:jc w:val="center"/>
              <w:rPr>
                <w:b/>
                <w:bCs/>
                <w:sz w:val="20"/>
                <w:szCs w:val="20"/>
              </w:rPr>
            </w:pPr>
            <w:r>
              <w:rPr>
                <w:b/>
                <w:bCs/>
                <w:sz w:val="20"/>
                <w:szCs w:val="20"/>
                <w:rtl/>
              </w:rPr>
              <w:t>متوسط الفترة 2020–2022</w:t>
            </w:r>
          </w:p>
        </w:tc>
      </w:tr>
      <w:tr w:rsidR="00CB0432" w:rsidRPr="00BE38DF" w14:paraId="7492011E" w14:textId="77777777" w:rsidTr="005C4A56">
        <w:trPr>
          <w:cantSplit/>
          <w:jc w:val="center"/>
        </w:trPr>
        <w:tc>
          <w:tcPr>
            <w:tcW w:w="4088" w:type="dxa"/>
            <w:tcMar>
              <w:top w:w="17" w:type="dxa"/>
              <w:left w:w="108" w:type="dxa"/>
              <w:bottom w:w="17" w:type="dxa"/>
              <w:right w:w="108" w:type="dxa"/>
            </w:tcMar>
            <w:vAlign w:val="center"/>
          </w:tcPr>
          <w:p w14:paraId="6D4F6C61" w14:textId="77777777" w:rsidR="00CB0432" w:rsidRPr="00BE38DF" w:rsidRDefault="00CB0432" w:rsidP="00B80D18">
            <w:pPr>
              <w:keepNext/>
              <w:spacing w:before="20" w:after="20"/>
              <w:jc w:val="left"/>
              <w:rPr>
                <w:sz w:val="20"/>
                <w:szCs w:val="20"/>
              </w:rPr>
            </w:pPr>
            <w:r>
              <w:rPr>
                <w:sz w:val="20"/>
                <w:szCs w:val="20"/>
                <w:rtl/>
              </w:rPr>
              <w:t>الاستهلاك السنوي من المواد الهيدروفلوروكربونية</w:t>
            </w:r>
          </w:p>
        </w:tc>
        <w:tc>
          <w:tcPr>
            <w:tcW w:w="1080" w:type="dxa"/>
            <w:vAlign w:val="center"/>
          </w:tcPr>
          <w:p w14:paraId="1AFDB329" w14:textId="23A5B608" w:rsidR="00CB0432" w:rsidRPr="00BE38DF" w:rsidRDefault="001C4BB0" w:rsidP="00B80D18">
            <w:pPr>
              <w:keepNext/>
              <w:spacing w:before="20" w:after="20"/>
              <w:ind w:right="147"/>
              <w:jc w:val="left"/>
              <w:rPr>
                <w:kern w:val="2"/>
                <w:sz w:val="20"/>
                <w:szCs w:val="20"/>
                <w:lang w:eastAsia="en-CA"/>
                <w14:ligatures w14:val="standardContextual"/>
              </w:rPr>
            </w:pPr>
            <w:r>
              <w:rPr>
                <w:color w:val="000000"/>
                <w:sz w:val="20"/>
                <w:szCs w:val="20"/>
              </w:rPr>
              <w:t>17,696</w:t>
            </w:r>
          </w:p>
        </w:tc>
        <w:tc>
          <w:tcPr>
            <w:tcW w:w="1080" w:type="dxa"/>
            <w:tcMar>
              <w:top w:w="17" w:type="dxa"/>
              <w:left w:w="108" w:type="dxa"/>
              <w:bottom w:w="17" w:type="dxa"/>
              <w:right w:w="108" w:type="dxa"/>
            </w:tcMar>
            <w:vAlign w:val="center"/>
          </w:tcPr>
          <w:p w14:paraId="11CEF15B" w14:textId="721DCEA2" w:rsidR="00CB0432" w:rsidRPr="00BE38DF" w:rsidRDefault="001C4BB0" w:rsidP="00B80D18">
            <w:pPr>
              <w:keepNext/>
              <w:spacing w:before="20" w:after="20"/>
              <w:ind w:right="38"/>
              <w:jc w:val="left"/>
              <w:rPr>
                <w:kern w:val="2"/>
                <w:sz w:val="20"/>
                <w:szCs w:val="20"/>
                <w:lang w:eastAsia="en-CA"/>
                <w14:ligatures w14:val="standardContextual"/>
              </w:rPr>
            </w:pPr>
            <w:r>
              <w:rPr>
                <w:color w:val="000000"/>
                <w:sz w:val="20"/>
                <w:szCs w:val="20"/>
              </w:rPr>
              <w:t>29,038</w:t>
            </w:r>
          </w:p>
        </w:tc>
        <w:tc>
          <w:tcPr>
            <w:tcW w:w="1260" w:type="dxa"/>
            <w:tcMar>
              <w:top w:w="17" w:type="dxa"/>
              <w:left w:w="108" w:type="dxa"/>
              <w:bottom w:w="17" w:type="dxa"/>
              <w:right w:w="108" w:type="dxa"/>
            </w:tcMar>
            <w:vAlign w:val="center"/>
          </w:tcPr>
          <w:p w14:paraId="4B0DF225" w14:textId="0162F907" w:rsidR="00CB0432" w:rsidRPr="00BE38DF" w:rsidRDefault="001C4BB0" w:rsidP="00B80D18">
            <w:pPr>
              <w:keepNext/>
              <w:spacing w:before="20" w:after="20"/>
              <w:ind w:right="34"/>
              <w:jc w:val="left"/>
              <w:rPr>
                <w:kern w:val="2"/>
                <w:sz w:val="20"/>
                <w:szCs w:val="20"/>
                <w:lang w:eastAsia="en-CA"/>
                <w14:ligatures w14:val="standardContextual"/>
              </w:rPr>
            </w:pPr>
            <w:r>
              <w:rPr>
                <w:color w:val="000000"/>
                <w:sz w:val="20"/>
                <w:szCs w:val="20"/>
              </w:rPr>
              <w:t>28,907</w:t>
            </w:r>
          </w:p>
        </w:tc>
        <w:tc>
          <w:tcPr>
            <w:tcW w:w="2515" w:type="dxa"/>
            <w:tcMar>
              <w:top w:w="17" w:type="dxa"/>
              <w:left w:w="108" w:type="dxa"/>
              <w:bottom w:w="17" w:type="dxa"/>
              <w:right w:w="108" w:type="dxa"/>
            </w:tcMar>
            <w:vAlign w:val="center"/>
          </w:tcPr>
          <w:p w14:paraId="710F5738" w14:textId="41D1E2EA" w:rsidR="00CB0432" w:rsidRPr="00BE38DF" w:rsidRDefault="001C4BB0" w:rsidP="00B80D18">
            <w:pPr>
              <w:keepNext/>
              <w:spacing w:before="20" w:after="20"/>
              <w:ind w:right="33"/>
              <w:jc w:val="left"/>
              <w:rPr>
                <w:kern w:val="2"/>
                <w:sz w:val="20"/>
                <w:szCs w:val="20"/>
                <w:lang w:eastAsia="en-CA"/>
                <w14:ligatures w14:val="standardContextual"/>
              </w:rPr>
            </w:pPr>
            <w:r>
              <w:rPr>
                <w:color w:val="000000"/>
                <w:sz w:val="20"/>
                <w:szCs w:val="20"/>
              </w:rPr>
              <w:t>25,214</w:t>
            </w:r>
            <w:r w:rsidR="005C4A56">
              <w:rPr>
                <w:color w:val="000000"/>
                <w:sz w:val="20"/>
                <w:szCs w:val="20"/>
              </w:rPr>
              <w:t xml:space="preserve"> </w:t>
            </w:r>
          </w:p>
        </w:tc>
      </w:tr>
      <w:tr w:rsidR="00CB0432" w:rsidRPr="00BE38DF" w14:paraId="22560D77" w14:textId="77777777" w:rsidTr="005C4A56">
        <w:trPr>
          <w:cantSplit/>
          <w:jc w:val="center"/>
        </w:trPr>
        <w:tc>
          <w:tcPr>
            <w:tcW w:w="7508" w:type="dxa"/>
            <w:gridSpan w:val="4"/>
            <w:tcBorders>
              <w:bottom w:val="single" w:sz="4" w:space="0" w:color="auto"/>
            </w:tcBorders>
            <w:tcMar>
              <w:top w:w="17" w:type="dxa"/>
              <w:left w:w="108" w:type="dxa"/>
              <w:bottom w:w="17" w:type="dxa"/>
              <w:right w:w="108" w:type="dxa"/>
            </w:tcMar>
            <w:vAlign w:val="center"/>
          </w:tcPr>
          <w:p w14:paraId="2041CCD1" w14:textId="77777777" w:rsidR="00CB0432" w:rsidRPr="00BE38DF" w:rsidRDefault="00CB0432" w:rsidP="00B80D18">
            <w:pPr>
              <w:keepNext/>
              <w:spacing w:before="20" w:after="20"/>
              <w:ind w:right="113"/>
              <w:jc w:val="left"/>
              <w:rPr>
                <w:sz w:val="20"/>
                <w:szCs w:val="20"/>
              </w:rPr>
            </w:pPr>
            <w:r>
              <w:rPr>
                <w:sz w:val="20"/>
                <w:szCs w:val="20"/>
                <w:rtl/>
              </w:rPr>
              <w:t>خط أساس المواد الهيدروكلوروفلوروكربونية (65%)</w:t>
            </w:r>
          </w:p>
        </w:tc>
        <w:tc>
          <w:tcPr>
            <w:tcW w:w="2515" w:type="dxa"/>
            <w:tcBorders>
              <w:bottom w:val="single" w:sz="4" w:space="0" w:color="auto"/>
            </w:tcBorders>
            <w:vAlign w:val="center"/>
          </w:tcPr>
          <w:p w14:paraId="175B3D94" w14:textId="699E079F" w:rsidR="00CB0432" w:rsidRPr="005C4A56" w:rsidRDefault="001C4BB0" w:rsidP="00B80D18">
            <w:pPr>
              <w:keepNext/>
              <w:spacing w:before="20" w:after="20"/>
              <w:ind w:right="33" w:firstLine="120"/>
              <w:jc w:val="left"/>
              <w:rPr>
                <w:color w:val="000000"/>
                <w:sz w:val="20"/>
                <w:szCs w:val="20"/>
              </w:rPr>
            </w:pPr>
            <w:r>
              <w:rPr>
                <w:color w:val="000000"/>
                <w:sz w:val="20"/>
                <w:szCs w:val="20"/>
              </w:rPr>
              <w:t>45,825</w:t>
            </w:r>
          </w:p>
        </w:tc>
      </w:tr>
      <w:tr w:rsidR="00CB0432" w:rsidRPr="00BE38DF" w14:paraId="20C75788" w14:textId="77777777" w:rsidTr="005C4A56">
        <w:trPr>
          <w:cantSplit/>
          <w:jc w:val="center"/>
        </w:trPr>
        <w:tc>
          <w:tcPr>
            <w:tcW w:w="7508" w:type="dxa"/>
            <w:gridSpan w:val="4"/>
            <w:tcBorders>
              <w:bottom w:val="single" w:sz="4" w:space="0" w:color="auto"/>
            </w:tcBorders>
            <w:tcMar>
              <w:top w:w="17" w:type="dxa"/>
              <w:left w:w="108" w:type="dxa"/>
              <w:bottom w:w="17" w:type="dxa"/>
              <w:right w:w="108" w:type="dxa"/>
            </w:tcMar>
            <w:vAlign w:val="center"/>
          </w:tcPr>
          <w:p w14:paraId="5A4F58A2" w14:textId="77777777" w:rsidR="00CB0432" w:rsidRPr="00BE38DF" w:rsidRDefault="00CB0432" w:rsidP="00B80D18">
            <w:pPr>
              <w:spacing w:before="20" w:after="20"/>
              <w:ind w:right="116"/>
              <w:jc w:val="left"/>
              <w:rPr>
                <w:sz w:val="20"/>
                <w:szCs w:val="20"/>
              </w:rPr>
            </w:pPr>
            <w:r>
              <w:rPr>
                <w:sz w:val="20"/>
                <w:szCs w:val="20"/>
                <w:rtl/>
              </w:rPr>
              <w:t>خط أساس المواد الهيدروفلوروكربونية</w:t>
            </w:r>
          </w:p>
        </w:tc>
        <w:tc>
          <w:tcPr>
            <w:tcW w:w="2515" w:type="dxa"/>
            <w:tcBorders>
              <w:bottom w:val="single" w:sz="4" w:space="0" w:color="auto"/>
            </w:tcBorders>
            <w:vAlign w:val="center"/>
          </w:tcPr>
          <w:p w14:paraId="310826DA" w14:textId="30849936" w:rsidR="00CB0432" w:rsidRPr="005C4A56" w:rsidRDefault="001C4BB0" w:rsidP="00B80D18">
            <w:pPr>
              <w:keepNext/>
              <w:spacing w:before="20" w:after="20"/>
              <w:ind w:right="33" w:firstLine="120"/>
              <w:jc w:val="left"/>
              <w:rPr>
                <w:color w:val="000000"/>
                <w:sz w:val="20"/>
                <w:szCs w:val="20"/>
              </w:rPr>
            </w:pPr>
            <w:r>
              <w:rPr>
                <w:color w:val="000000"/>
                <w:sz w:val="20"/>
                <w:szCs w:val="20"/>
              </w:rPr>
              <w:t>71,039</w:t>
            </w:r>
          </w:p>
        </w:tc>
      </w:tr>
    </w:tbl>
    <w:p w14:paraId="1A75CA2F" w14:textId="77777777" w:rsidR="00CB0432" w:rsidRPr="00BE38DF" w:rsidRDefault="00CB0432" w:rsidP="00CB0432">
      <w:pPr>
        <w:spacing w:before="20" w:after="20"/>
        <w:ind w:right="-279"/>
        <w:jc w:val="center"/>
        <w:rPr>
          <w:sz w:val="26"/>
          <w:szCs w:val="26"/>
        </w:rPr>
      </w:pPr>
    </w:p>
    <w:tbl>
      <w:tblPr>
        <w:bidiVisual/>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03"/>
        <w:gridCol w:w="3320"/>
      </w:tblGrid>
      <w:tr w:rsidR="00CB0432" w:rsidRPr="00BE38DF" w14:paraId="553EAEF1" w14:textId="77777777">
        <w:trPr>
          <w:cantSplit/>
          <w:jc w:val="center"/>
        </w:trPr>
        <w:tc>
          <w:tcPr>
            <w:tcW w:w="10023" w:type="dxa"/>
            <w:gridSpan w:val="2"/>
            <w:tcMar>
              <w:top w:w="17" w:type="dxa"/>
              <w:left w:w="108" w:type="dxa"/>
              <w:bottom w:w="17" w:type="dxa"/>
              <w:right w:w="108" w:type="dxa"/>
            </w:tcMar>
          </w:tcPr>
          <w:p w14:paraId="33DA3562" w14:textId="77777777" w:rsidR="00CB0432" w:rsidRPr="00BE38DF" w:rsidRDefault="00CB0432">
            <w:pPr>
              <w:keepNext/>
              <w:spacing w:before="20" w:after="20"/>
              <w:ind w:right="116"/>
              <w:rPr>
                <w:sz w:val="20"/>
                <w:szCs w:val="20"/>
              </w:rPr>
            </w:pPr>
            <w:r>
              <w:rPr>
                <w:b/>
                <w:bCs/>
                <w:sz w:val="20"/>
                <w:szCs w:val="20"/>
                <w:rtl/>
              </w:rPr>
              <w:t>استهلاك المواد الهيدروفلوروكربونية المؤهل للتمويل (طن من مكافئ ثاني أكسيد الكربون)</w:t>
            </w:r>
          </w:p>
        </w:tc>
      </w:tr>
      <w:tr w:rsidR="00CB0432" w:rsidRPr="00BE38DF" w14:paraId="7B4B7D63" w14:textId="77777777" w:rsidTr="00DF59C6">
        <w:trPr>
          <w:cantSplit/>
          <w:jc w:val="center"/>
        </w:trPr>
        <w:tc>
          <w:tcPr>
            <w:tcW w:w="6703" w:type="dxa"/>
            <w:tcMar>
              <w:top w:w="17" w:type="dxa"/>
              <w:left w:w="108" w:type="dxa"/>
              <w:bottom w:w="17" w:type="dxa"/>
              <w:right w:w="108" w:type="dxa"/>
            </w:tcMar>
            <w:vAlign w:val="center"/>
          </w:tcPr>
          <w:p w14:paraId="60CA322F" w14:textId="77777777" w:rsidR="00CB0432" w:rsidRPr="00BE38DF" w:rsidRDefault="00CB0432">
            <w:pPr>
              <w:keepNext/>
              <w:spacing w:before="20" w:after="20"/>
              <w:ind w:right="55"/>
              <w:rPr>
                <w:sz w:val="20"/>
                <w:szCs w:val="20"/>
              </w:rPr>
            </w:pPr>
            <w:r>
              <w:rPr>
                <w:sz w:val="20"/>
                <w:szCs w:val="20"/>
                <w:rtl/>
              </w:rPr>
              <w:t>نقطة البدء للتخفيضات المجمعة المستدامة</w:t>
            </w:r>
          </w:p>
        </w:tc>
        <w:tc>
          <w:tcPr>
            <w:tcW w:w="3320" w:type="dxa"/>
            <w:vAlign w:val="center"/>
          </w:tcPr>
          <w:p w14:paraId="47F41EB9" w14:textId="34CE6CDC" w:rsidR="00CB0432" w:rsidRPr="00BE38DF" w:rsidRDefault="00D30874" w:rsidP="00283415">
            <w:pPr>
              <w:keepNext/>
              <w:spacing w:before="20" w:after="20"/>
              <w:ind w:left="-29" w:right="116"/>
              <w:jc w:val="center"/>
              <w:rPr>
                <w:kern w:val="2"/>
                <w:sz w:val="20"/>
                <w:szCs w:val="20"/>
                <w:lang w:eastAsia="en-CA"/>
                <w14:ligatures w14:val="standardContextual"/>
              </w:rPr>
            </w:pPr>
            <w:r>
              <w:rPr>
                <w:sz w:val="20"/>
                <w:szCs w:val="20"/>
                <w:rtl/>
              </w:rPr>
              <w:t>لا ينطبق</w:t>
            </w:r>
          </w:p>
        </w:tc>
      </w:tr>
      <w:tr w:rsidR="00CB0432" w:rsidRPr="00BE38DF" w14:paraId="49662498" w14:textId="77777777" w:rsidTr="00DF59C6">
        <w:trPr>
          <w:cantSplit/>
          <w:jc w:val="center"/>
        </w:trPr>
        <w:tc>
          <w:tcPr>
            <w:tcW w:w="6703" w:type="dxa"/>
            <w:tcMar>
              <w:top w:w="17" w:type="dxa"/>
              <w:left w:w="108" w:type="dxa"/>
              <w:bottom w:w="17" w:type="dxa"/>
              <w:right w:w="108" w:type="dxa"/>
            </w:tcMar>
            <w:vAlign w:val="center"/>
          </w:tcPr>
          <w:p w14:paraId="1A164B88" w14:textId="77777777" w:rsidR="00CB0432" w:rsidRPr="00BE38DF" w:rsidRDefault="00CB0432">
            <w:pPr>
              <w:keepNext/>
              <w:spacing w:before="20" w:after="20"/>
              <w:ind w:right="55"/>
              <w:rPr>
                <w:b/>
                <w:sz w:val="20"/>
                <w:szCs w:val="20"/>
              </w:rPr>
            </w:pPr>
            <w:r>
              <w:rPr>
                <w:sz w:val="20"/>
                <w:szCs w:val="20"/>
                <w:rtl/>
              </w:rPr>
              <w:t>مشروعات استثمارية للتخفيض التدريجي للمواد الهيدروفلوروكربونية سبقت الموافقة عليها</w:t>
            </w:r>
          </w:p>
        </w:tc>
        <w:tc>
          <w:tcPr>
            <w:tcW w:w="3320" w:type="dxa"/>
            <w:vAlign w:val="center"/>
          </w:tcPr>
          <w:p w14:paraId="645C70F4" w14:textId="32F5ED83" w:rsidR="00CB0432" w:rsidRPr="00BE38DF" w:rsidRDefault="00D30874" w:rsidP="00283415">
            <w:pPr>
              <w:keepNext/>
              <w:spacing w:before="20" w:after="20"/>
              <w:ind w:right="116"/>
              <w:jc w:val="center"/>
              <w:rPr>
                <w:b/>
                <w:kern w:val="2"/>
                <w:sz w:val="20"/>
                <w:szCs w:val="20"/>
                <w:lang w:eastAsia="en-CA"/>
                <w14:ligatures w14:val="standardContextual"/>
              </w:rPr>
            </w:pPr>
            <w:r>
              <w:rPr>
                <w:sz w:val="20"/>
                <w:szCs w:val="20"/>
                <w:rtl/>
              </w:rPr>
              <w:t>لا</w:t>
            </w:r>
          </w:p>
        </w:tc>
      </w:tr>
      <w:tr w:rsidR="00CB0432" w:rsidRPr="00BE38DF" w14:paraId="5E7B2360" w14:textId="77777777" w:rsidTr="00DF59C6">
        <w:trPr>
          <w:cantSplit/>
          <w:jc w:val="center"/>
        </w:trPr>
        <w:tc>
          <w:tcPr>
            <w:tcW w:w="6703" w:type="dxa"/>
            <w:tcMar>
              <w:top w:w="17" w:type="dxa"/>
              <w:left w:w="108" w:type="dxa"/>
              <w:bottom w:w="17" w:type="dxa"/>
              <w:right w:w="108" w:type="dxa"/>
            </w:tcMar>
            <w:vAlign w:val="center"/>
          </w:tcPr>
          <w:p w14:paraId="6E96C0E5" w14:textId="77777777" w:rsidR="00CB0432" w:rsidRPr="00BE38DF" w:rsidRDefault="00CB0432">
            <w:pPr>
              <w:spacing w:before="20" w:after="20"/>
              <w:ind w:right="172"/>
              <w:rPr>
                <w:sz w:val="20"/>
                <w:szCs w:val="20"/>
              </w:rPr>
            </w:pPr>
            <w:r>
              <w:rPr>
                <w:sz w:val="20"/>
                <w:szCs w:val="20"/>
                <w:rtl/>
              </w:rPr>
              <w:t>التخفيضات المجمعة من المشروعات التي سبقت الموافقة عليها</w:t>
            </w:r>
          </w:p>
        </w:tc>
        <w:tc>
          <w:tcPr>
            <w:tcW w:w="3320" w:type="dxa"/>
            <w:vAlign w:val="center"/>
          </w:tcPr>
          <w:p w14:paraId="2872FDB0" w14:textId="32E9D63D" w:rsidR="00CB0432" w:rsidRPr="00BE38DF" w:rsidRDefault="00D30874" w:rsidP="00283415">
            <w:pPr>
              <w:spacing w:before="20" w:after="20"/>
              <w:ind w:right="116"/>
              <w:jc w:val="center"/>
              <w:rPr>
                <w:kern w:val="2"/>
                <w:sz w:val="20"/>
                <w:szCs w:val="20"/>
                <w:lang w:eastAsia="en-CA"/>
                <w14:ligatures w14:val="standardContextual"/>
              </w:rPr>
            </w:pPr>
            <w:r>
              <w:rPr>
                <w:sz w:val="20"/>
                <w:szCs w:val="20"/>
                <w:rtl/>
              </w:rPr>
              <w:t>لا ينطبق</w:t>
            </w:r>
          </w:p>
        </w:tc>
      </w:tr>
    </w:tbl>
    <w:p w14:paraId="3508FCEE" w14:textId="77777777" w:rsidR="00CB0432" w:rsidRPr="00BE38DF" w:rsidRDefault="00CB0432" w:rsidP="00CB0432">
      <w:pPr>
        <w:ind w:left="-284" w:right="-279"/>
        <w:jc w:val="center"/>
        <w:rPr>
          <w:sz w:val="26"/>
          <w:szCs w:val="26"/>
        </w:rPr>
      </w:pPr>
    </w:p>
    <w:tbl>
      <w:tblPr>
        <w:tblStyle w:val="1"/>
        <w:bidiVisual/>
        <w:tblW w:w="10023" w:type="dxa"/>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CB0432" w:rsidRPr="00BE38DF" w14:paraId="35360A3D" w14:textId="77777777" w:rsidTr="008F35FC">
        <w:trPr>
          <w:cantSplit/>
          <w:trHeight w:val="216"/>
          <w:jc w:val="center"/>
        </w:trPr>
        <w:tc>
          <w:tcPr>
            <w:tcW w:w="4390" w:type="dxa"/>
            <w:gridSpan w:val="3"/>
            <w:vAlign w:val="center"/>
          </w:tcPr>
          <w:p w14:paraId="34DC153F" w14:textId="77777777" w:rsidR="00CB0432" w:rsidRPr="00BE38DF" w:rsidRDefault="00CB0432">
            <w:pPr>
              <w:keepNext/>
              <w:spacing w:before="20" w:after="20"/>
              <w:rPr>
                <w:b/>
                <w:bCs/>
                <w:sz w:val="20"/>
                <w:szCs w:val="20"/>
              </w:rPr>
            </w:pPr>
            <w:r>
              <w:rPr>
                <w:b/>
                <w:bCs/>
                <w:sz w:val="20"/>
                <w:szCs w:val="20"/>
                <w:rtl/>
              </w:rPr>
              <w:t>بيانات المشروع حسب ما اتُّفق عليه</w:t>
            </w:r>
          </w:p>
        </w:tc>
        <w:tc>
          <w:tcPr>
            <w:tcW w:w="1239" w:type="dxa"/>
            <w:vAlign w:val="center"/>
          </w:tcPr>
          <w:p w14:paraId="7A27E31B" w14:textId="54CCCD87" w:rsidR="00CB0432" w:rsidRPr="00BE38DF" w:rsidRDefault="00283415" w:rsidP="00016D21">
            <w:pPr>
              <w:keepNext/>
              <w:spacing w:before="20" w:after="20"/>
              <w:jc w:val="center"/>
              <w:rPr>
                <w:b/>
                <w:bCs/>
                <w:sz w:val="20"/>
                <w:szCs w:val="20"/>
              </w:rPr>
            </w:pPr>
            <w:r>
              <w:rPr>
                <w:b/>
                <w:bCs/>
                <w:sz w:val="20"/>
                <w:szCs w:val="20"/>
              </w:rPr>
              <w:t>*2026</w:t>
            </w:r>
          </w:p>
        </w:tc>
        <w:tc>
          <w:tcPr>
            <w:tcW w:w="1099" w:type="dxa"/>
            <w:vAlign w:val="center"/>
          </w:tcPr>
          <w:p w14:paraId="67407F1D" w14:textId="77777777" w:rsidR="00CB0432" w:rsidRPr="00BE38DF" w:rsidRDefault="00CB0432" w:rsidP="00016D21">
            <w:pPr>
              <w:keepNext/>
              <w:spacing w:before="20" w:after="20"/>
              <w:jc w:val="center"/>
              <w:rPr>
                <w:b/>
                <w:bCs/>
                <w:sz w:val="20"/>
                <w:szCs w:val="20"/>
              </w:rPr>
            </w:pPr>
            <w:r>
              <w:rPr>
                <w:b/>
                <w:bCs/>
                <w:sz w:val="20"/>
                <w:szCs w:val="20"/>
              </w:rPr>
              <w:t>2027</w:t>
            </w:r>
          </w:p>
        </w:tc>
        <w:tc>
          <w:tcPr>
            <w:tcW w:w="1099" w:type="dxa"/>
            <w:vAlign w:val="center"/>
          </w:tcPr>
          <w:p w14:paraId="30596290" w14:textId="77777777" w:rsidR="00CB0432" w:rsidRPr="00BE38DF" w:rsidRDefault="00CB0432" w:rsidP="00016D21">
            <w:pPr>
              <w:keepNext/>
              <w:spacing w:before="20" w:after="20"/>
              <w:jc w:val="center"/>
              <w:rPr>
                <w:b/>
                <w:bCs/>
                <w:sz w:val="20"/>
                <w:szCs w:val="20"/>
              </w:rPr>
            </w:pPr>
            <w:r>
              <w:rPr>
                <w:b/>
                <w:bCs/>
                <w:sz w:val="20"/>
                <w:szCs w:val="20"/>
              </w:rPr>
              <w:t>2028</w:t>
            </w:r>
          </w:p>
        </w:tc>
        <w:tc>
          <w:tcPr>
            <w:tcW w:w="1099" w:type="dxa"/>
            <w:vAlign w:val="center"/>
          </w:tcPr>
          <w:p w14:paraId="7026FEC8" w14:textId="77777777" w:rsidR="00CB0432" w:rsidRPr="00BE38DF" w:rsidRDefault="00CB0432" w:rsidP="00016D21">
            <w:pPr>
              <w:keepNext/>
              <w:spacing w:before="20" w:after="20"/>
              <w:jc w:val="center"/>
              <w:rPr>
                <w:b/>
                <w:bCs/>
                <w:sz w:val="20"/>
                <w:szCs w:val="20"/>
              </w:rPr>
            </w:pPr>
            <w:r>
              <w:rPr>
                <w:b/>
                <w:bCs/>
                <w:sz w:val="20"/>
                <w:szCs w:val="20"/>
              </w:rPr>
              <w:t>2029</w:t>
            </w:r>
          </w:p>
        </w:tc>
        <w:tc>
          <w:tcPr>
            <w:tcW w:w="1097" w:type="dxa"/>
            <w:vAlign w:val="center"/>
          </w:tcPr>
          <w:p w14:paraId="23094202" w14:textId="77777777" w:rsidR="00CB0432" w:rsidRPr="00BE38DF" w:rsidRDefault="00CB0432" w:rsidP="00016D21">
            <w:pPr>
              <w:keepNext/>
              <w:spacing w:before="20" w:after="20"/>
              <w:jc w:val="center"/>
              <w:rPr>
                <w:b/>
                <w:bCs/>
                <w:sz w:val="20"/>
                <w:szCs w:val="20"/>
              </w:rPr>
            </w:pPr>
            <w:r>
              <w:rPr>
                <w:b/>
                <w:bCs/>
                <w:sz w:val="20"/>
                <w:szCs w:val="20"/>
                <w:rtl/>
              </w:rPr>
              <w:t>المجموع</w:t>
            </w:r>
          </w:p>
        </w:tc>
      </w:tr>
      <w:tr w:rsidR="00CB0432" w:rsidRPr="00BE38DF" w14:paraId="64D9BAEA" w14:textId="77777777" w:rsidTr="008F35FC">
        <w:trPr>
          <w:cantSplit/>
          <w:trHeight w:val="119"/>
          <w:jc w:val="center"/>
        </w:trPr>
        <w:tc>
          <w:tcPr>
            <w:tcW w:w="1561" w:type="dxa"/>
            <w:vMerge w:val="restart"/>
            <w:vAlign w:val="center"/>
          </w:tcPr>
          <w:p w14:paraId="753392E2" w14:textId="24DEC939" w:rsidR="00CB0432" w:rsidRPr="00BE38DF" w:rsidRDefault="0082554A">
            <w:pPr>
              <w:keepNext/>
              <w:rPr>
                <w:sz w:val="20"/>
                <w:szCs w:val="20"/>
              </w:rPr>
            </w:pPr>
            <w:r>
              <w:rPr>
                <w:sz w:val="20"/>
                <w:szCs w:val="20"/>
                <w:rtl/>
              </w:rPr>
              <w:t>الاستهلاك (طن من مكافئ ثاني أكسيد الكربون)</w:t>
            </w:r>
          </w:p>
        </w:tc>
        <w:tc>
          <w:tcPr>
            <w:tcW w:w="2829" w:type="dxa"/>
            <w:gridSpan w:val="2"/>
            <w:vAlign w:val="center"/>
          </w:tcPr>
          <w:p w14:paraId="5696E84E" w14:textId="7E9DA4BE" w:rsidR="00CB0432" w:rsidRPr="00BE38DF" w:rsidRDefault="0082554A">
            <w:pPr>
              <w:keepNext/>
              <w:spacing w:before="20" w:after="20"/>
              <w:rPr>
                <w:sz w:val="20"/>
                <w:szCs w:val="20"/>
              </w:rPr>
            </w:pPr>
            <w:r>
              <w:rPr>
                <w:sz w:val="20"/>
                <w:szCs w:val="20"/>
                <w:rtl/>
              </w:rPr>
              <w:t>حدود بروتوكول مونتريال</w:t>
            </w:r>
          </w:p>
        </w:tc>
        <w:tc>
          <w:tcPr>
            <w:tcW w:w="1239" w:type="dxa"/>
            <w:vAlign w:val="center"/>
          </w:tcPr>
          <w:p w14:paraId="765ACA14" w14:textId="463E9B1D" w:rsidR="00CB0432" w:rsidRPr="00BE38DF" w:rsidRDefault="0082554A" w:rsidP="00B80D18">
            <w:pPr>
              <w:keepNext/>
              <w:spacing w:before="20" w:after="20"/>
              <w:jc w:val="left"/>
              <w:rPr>
                <w:sz w:val="20"/>
                <w:szCs w:val="20"/>
              </w:rPr>
            </w:pPr>
            <w:r>
              <w:rPr>
                <w:sz w:val="20"/>
                <w:szCs w:val="20"/>
              </w:rPr>
              <w:t>71,039</w:t>
            </w:r>
          </w:p>
        </w:tc>
        <w:tc>
          <w:tcPr>
            <w:tcW w:w="1099" w:type="dxa"/>
            <w:vAlign w:val="center"/>
          </w:tcPr>
          <w:p w14:paraId="140767FD" w14:textId="03517206" w:rsidR="00CB0432" w:rsidRPr="00BE38DF" w:rsidRDefault="0082554A" w:rsidP="00B80D18">
            <w:pPr>
              <w:keepNext/>
              <w:spacing w:before="20" w:after="20"/>
              <w:jc w:val="left"/>
              <w:rPr>
                <w:sz w:val="20"/>
                <w:szCs w:val="20"/>
              </w:rPr>
            </w:pPr>
            <w:r>
              <w:rPr>
                <w:sz w:val="20"/>
                <w:szCs w:val="20"/>
              </w:rPr>
              <w:t>71,039</w:t>
            </w:r>
          </w:p>
        </w:tc>
        <w:tc>
          <w:tcPr>
            <w:tcW w:w="1099" w:type="dxa"/>
            <w:vAlign w:val="center"/>
          </w:tcPr>
          <w:p w14:paraId="7B2D1F29" w14:textId="3BE3ACFC" w:rsidR="00CB0432" w:rsidRPr="00BE38DF" w:rsidRDefault="0082554A" w:rsidP="00B80D18">
            <w:pPr>
              <w:keepNext/>
              <w:spacing w:before="20" w:after="20"/>
              <w:jc w:val="left"/>
              <w:rPr>
                <w:sz w:val="20"/>
                <w:szCs w:val="20"/>
              </w:rPr>
            </w:pPr>
            <w:r>
              <w:rPr>
                <w:sz w:val="20"/>
                <w:szCs w:val="20"/>
              </w:rPr>
              <w:t>71,039</w:t>
            </w:r>
          </w:p>
        </w:tc>
        <w:tc>
          <w:tcPr>
            <w:tcW w:w="1099" w:type="dxa"/>
            <w:vAlign w:val="center"/>
          </w:tcPr>
          <w:p w14:paraId="0D116853" w14:textId="6F1AA1AE" w:rsidR="00CB0432" w:rsidRPr="00BE38DF" w:rsidRDefault="0082554A" w:rsidP="00B80D18">
            <w:pPr>
              <w:keepNext/>
              <w:spacing w:before="20" w:after="20"/>
              <w:jc w:val="left"/>
              <w:rPr>
                <w:sz w:val="20"/>
                <w:szCs w:val="20"/>
              </w:rPr>
            </w:pPr>
            <w:r>
              <w:rPr>
                <w:sz w:val="20"/>
                <w:szCs w:val="20"/>
              </w:rPr>
              <w:t>63,935</w:t>
            </w:r>
          </w:p>
        </w:tc>
        <w:tc>
          <w:tcPr>
            <w:tcW w:w="1097" w:type="dxa"/>
            <w:vAlign w:val="center"/>
          </w:tcPr>
          <w:p w14:paraId="6FDBF883" w14:textId="442BDAC7" w:rsidR="00CB0432" w:rsidRPr="00BE38DF" w:rsidRDefault="0082554A" w:rsidP="00B80D18">
            <w:pPr>
              <w:keepNext/>
              <w:spacing w:before="20" w:after="20"/>
              <w:jc w:val="center"/>
              <w:rPr>
                <w:sz w:val="20"/>
                <w:szCs w:val="20"/>
              </w:rPr>
            </w:pPr>
            <w:r>
              <w:rPr>
                <w:sz w:val="20"/>
                <w:szCs w:val="20"/>
                <w:rtl/>
              </w:rPr>
              <w:t>لا ينطبق</w:t>
            </w:r>
          </w:p>
        </w:tc>
      </w:tr>
      <w:tr w:rsidR="00CB0432" w:rsidRPr="00BE38DF" w14:paraId="3FDFB5FB" w14:textId="77777777" w:rsidTr="008F35FC">
        <w:trPr>
          <w:cantSplit/>
          <w:trHeight w:val="46"/>
          <w:jc w:val="center"/>
        </w:trPr>
        <w:tc>
          <w:tcPr>
            <w:tcW w:w="1561" w:type="dxa"/>
            <w:vMerge/>
            <w:vAlign w:val="center"/>
          </w:tcPr>
          <w:p w14:paraId="0FE490A2" w14:textId="77777777" w:rsidR="00CB0432" w:rsidRPr="00BE38DF" w:rsidRDefault="00CB0432">
            <w:pPr>
              <w:keepNext/>
              <w:rPr>
                <w:sz w:val="20"/>
                <w:szCs w:val="20"/>
              </w:rPr>
            </w:pPr>
          </w:p>
        </w:tc>
        <w:tc>
          <w:tcPr>
            <w:tcW w:w="2829" w:type="dxa"/>
            <w:gridSpan w:val="2"/>
            <w:vAlign w:val="center"/>
          </w:tcPr>
          <w:p w14:paraId="4E8D405C" w14:textId="77777777" w:rsidR="00CB0432" w:rsidRPr="00BE38DF" w:rsidRDefault="00CB0432">
            <w:pPr>
              <w:keepNext/>
              <w:spacing w:before="20" w:after="20"/>
              <w:rPr>
                <w:sz w:val="20"/>
                <w:szCs w:val="20"/>
              </w:rPr>
            </w:pPr>
            <w:r>
              <w:rPr>
                <w:sz w:val="20"/>
                <w:szCs w:val="20"/>
                <w:rtl/>
              </w:rPr>
              <w:t>الحد الأقصى المسموح به</w:t>
            </w:r>
          </w:p>
        </w:tc>
        <w:tc>
          <w:tcPr>
            <w:tcW w:w="1239" w:type="dxa"/>
            <w:vAlign w:val="center"/>
          </w:tcPr>
          <w:p w14:paraId="1BEAFB64" w14:textId="7B17E2D3" w:rsidR="00CB0432" w:rsidRPr="00BE38DF" w:rsidRDefault="0097360C" w:rsidP="00B80D18">
            <w:pPr>
              <w:keepNext/>
              <w:spacing w:before="20" w:after="20"/>
              <w:jc w:val="left"/>
              <w:rPr>
                <w:sz w:val="20"/>
                <w:szCs w:val="20"/>
              </w:rPr>
            </w:pPr>
            <w:r>
              <w:rPr>
                <w:sz w:val="20"/>
                <w:szCs w:val="20"/>
              </w:rPr>
              <w:t>38,962</w:t>
            </w:r>
          </w:p>
        </w:tc>
        <w:tc>
          <w:tcPr>
            <w:tcW w:w="1099" w:type="dxa"/>
            <w:vAlign w:val="center"/>
          </w:tcPr>
          <w:p w14:paraId="20BAE95F" w14:textId="1D7477A2" w:rsidR="00CB0432" w:rsidRPr="00BE38DF" w:rsidRDefault="0097360C" w:rsidP="00B80D18">
            <w:pPr>
              <w:keepNext/>
              <w:spacing w:before="20" w:after="20"/>
              <w:jc w:val="left"/>
              <w:rPr>
                <w:sz w:val="20"/>
                <w:szCs w:val="20"/>
              </w:rPr>
            </w:pPr>
            <w:r>
              <w:rPr>
                <w:sz w:val="20"/>
                <w:szCs w:val="20"/>
              </w:rPr>
              <w:t>38,962</w:t>
            </w:r>
          </w:p>
        </w:tc>
        <w:tc>
          <w:tcPr>
            <w:tcW w:w="1099" w:type="dxa"/>
            <w:vAlign w:val="center"/>
          </w:tcPr>
          <w:p w14:paraId="3D97A446" w14:textId="7F2D5DED" w:rsidR="00CB0432" w:rsidRPr="00BE38DF" w:rsidRDefault="0097360C" w:rsidP="00B80D18">
            <w:pPr>
              <w:keepNext/>
              <w:spacing w:before="20" w:after="20"/>
              <w:jc w:val="left"/>
              <w:rPr>
                <w:sz w:val="20"/>
                <w:szCs w:val="20"/>
              </w:rPr>
            </w:pPr>
            <w:r>
              <w:rPr>
                <w:sz w:val="20"/>
                <w:szCs w:val="20"/>
              </w:rPr>
              <w:t>38,962</w:t>
            </w:r>
          </w:p>
        </w:tc>
        <w:tc>
          <w:tcPr>
            <w:tcW w:w="1099" w:type="dxa"/>
            <w:vAlign w:val="center"/>
          </w:tcPr>
          <w:p w14:paraId="7D85E532" w14:textId="43B916D1" w:rsidR="00CB0432" w:rsidRPr="00BE38DF" w:rsidRDefault="0082554A" w:rsidP="00B80D18">
            <w:pPr>
              <w:keepNext/>
              <w:spacing w:before="20" w:after="20"/>
              <w:jc w:val="left"/>
              <w:rPr>
                <w:sz w:val="20"/>
                <w:szCs w:val="20"/>
              </w:rPr>
            </w:pPr>
            <w:r>
              <w:rPr>
                <w:sz w:val="20"/>
                <w:szCs w:val="20"/>
              </w:rPr>
              <w:t>35,066</w:t>
            </w:r>
          </w:p>
        </w:tc>
        <w:tc>
          <w:tcPr>
            <w:tcW w:w="1097" w:type="dxa"/>
            <w:vAlign w:val="center"/>
          </w:tcPr>
          <w:p w14:paraId="14B6B237" w14:textId="00C21FBE" w:rsidR="00CB0432" w:rsidRPr="00BE38DF" w:rsidRDefault="0082554A" w:rsidP="00B80D18">
            <w:pPr>
              <w:keepNext/>
              <w:spacing w:before="20" w:after="20"/>
              <w:jc w:val="center"/>
              <w:rPr>
                <w:sz w:val="20"/>
                <w:szCs w:val="20"/>
              </w:rPr>
            </w:pPr>
            <w:r>
              <w:rPr>
                <w:sz w:val="20"/>
                <w:szCs w:val="20"/>
                <w:rtl/>
              </w:rPr>
              <w:t>لا ينطبق</w:t>
            </w:r>
          </w:p>
        </w:tc>
      </w:tr>
      <w:tr w:rsidR="00CB0432" w:rsidRPr="00BE38DF" w14:paraId="2F4555A4" w14:textId="77777777" w:rsidTr="008F35FC">
        <w:trPr>
          <w:cantSplit/>
          <w:trHeight w:val="46"/>
          <w:jc w:val="center"/>
        </w:trPr>
        <w:tc>
          <w:tcPr>
            <w:tcW w:w="1561" w:type="dxa"/>
            <w:vMerge/>
            <w:vAlign w:val="center"/>
          </w:tcPr>
          <w:p w14:paraId="04553B66" w14:textId="77777777" w:rsidR="00CB0432" w:rsidRPr="00BE38DF" w:rsidRDefault="00CB0432">
            <w:pPr>
              <w:keepNext/>
              <w:rPr>
                <w:sz w:val="20"/>
                <w:szCs w:val="20"/>
              </w:rPr>
            </w:pPr>
          </w:p>
        </w:tc>
        <w:tc>
          <w:tcPr>
            <w:tcW w:w="2829" w:type="dxa"/>
            <w:gridSpan w:val="2"/>
            <w:vAlign w:val="center"/>
          </w:tcPr>
          <w:p w14:paraId="54D46A08" w14:textId="77777777" w:rsidR="00CB0432" w:rsidRPr="00BE38DF" w:rsidRDefault="00CB0432">
            <w:pPr>
              <w:keepNext/>
              <w:spacing w:before="20" w:after="20"/>
              <w:rPr>
                <w:sz w:val="20"/>
                <w:szCs w:val="20"/>
              </w:rPr>
            </w:pPr>
            <w:r>
              <w:rPr>
                <w:sz w:val="20"/>
                <w:szCs w:val="20"/>
                <w:rtl/>
              </w:rPr>
              <w:t>التخفيض من خط الأساس (%)</w:t>
            </w:r>
          </w:p>
        </w:tc>
        <w:tc>
          <w:tcPr>
            <w:tcW w:w="1239" w:type="dxa"/>
            <w:vAlign w:val="center"/>
          </w:tcPr>
          <w:p w14:paraId="73F494A9" w14:textId="436B1FDA" w:rsidR="00CB0432" w:rsidRPr="00BE38DF" w:rsidRDefault="00634863" w:rsidP="00B80D18">
            <w:pPr>
              <w:keepNext/>
              <w:spacing w:before="20" w:after="20"/>
              <w:jc w:val="left"/>
              <w:rPr>
                <w:sz w:val="20"/>
                <w:szCs w:val="20"/>
              </w:rPr>
            </w:pPr>
            <w:r>
              <w:rPr>
                <w:sz w:val="20"/>
                <w:szCs w:val="20"/>
              </w:rPr>
              <w:t>45.2</w:t>
            </w:r>
          </w:p>
        </w:tc>
        <w:tc>
          <w:tcPr>
            <w:tcW w:w="1099" w:type="dxa"/>
            <w:vAlign w:val="center"/>
          </w:tcPr>
          <w:p w14:paraId="08F81CD8" w14:textId="03D9AA32" w:rsidR="00CB0432" w:rsidRPr="00BE38DF" w:rsidRDefault="00634863" w:rsidP="00B80D18">
            <w:pPr>
              <w:keepNext/>
              <w:spacing w:before="20" w:after="20"/>
              <w:jc w:val="left"/>
              <w:rPr>
                <w:sz w:val="20"/>
                <w:szCs w:val="20"/>
              </w:rPr>
            </w:pPr>
            <w:r>
              <w:rPr>
                <w:sz w:val="20"/>
                <w:szCs w:val="20"/>
              </w:rPr>
              <w:t>45.2</w:t>
            </w:r>
          </w:p>
        </w:tc>
        <w:tc>
          <w:tcPr>
            <w:tcW w:w="1099" w:type="dxa"/>
            <w:vAlign w:val="center"/>
          </w:tcPr>
          <w:p w14:paraId="31775147" w14:textId="46F27628" w:rsidR="00CB0432" w:rsidRPr="00BE38DF" w:rsidRDefault="00634863" w:rsidP="00B80D18">
            <w:pPr>
              <w:keepNext/>
              <w:spacing w:before="20" w:after="20"/>
              <w:jc w:val="left"/>
              <w:rPr>
                <w:sz w:val="20"/>
                <w:szCs w:val="20"/>
              </w:rPr>
            </w:pPr>
            <w:r>
              <w:rPr>
                <w:sz w:val="20"/>
                <w:szCs w:val="20"/>
              </w:rPr>
              <w:t>45.2</w:t>
            </w:r>
          </w:p>
        </w:tc>
        <w:tc>
          <w:tcPr>
            <w:tcW w:w="1099" w:type="dxa"/>
            <w:vAlign w:val="center"/>
          </w:tcPr>
          <w:p w14:paraId="4975DD38" w14:textId="49D96421" w:rsidR="00CB0432" w:rsidRPr="00BE38DF" w:rsidRDefault="0082554A" w:rsidP="00B80D18">
            <w:pPr>
              <w:keepNext/>
              <w:spacing w:before="20" w:after="20"/>
              <w:jc w:val="left"/>
              <w:rPr>
                <w:sz w:val="20"/>
                <w:szCs w:val="20"/>
              </w:rPr>
            </w:pPr>
            <w:r>
              <w:rPr>
                <w:sz w:val="20"/>
                <w:szCs w:val="20"/>
              </w:rPr>
              <w:t>50.6</w:t>
            </w:r>
          </w:p>
        </w:tc>
        <w:tc>
          <w:tcPr>
            <w:tcW w:w="1097" w:type="dxa"/>
            <w:vAlign w:val="center"/>
          </w:tcPr>
          <w:p w14:paraId="49B491AC" w14:textId="24929171" w:rsidR="00CB0432" w:rsidRPr="00BE38DF" w:rsidRDefault="0082554A" w:rsidP="00B80D18">
            <w:pPr>
              <w:keepNext/>
              <w:spacing w:before="20" w:after="20"/>
              <w:jc w:val="center"/>
              <w:rPr>
                <w:sz w:val="20"/>
                <w:szCs w:val="20"/>
              </w:rPr>
            </w:pPr>
            <w:r>
              <w:rPr>
                <w:sz w:val="20"/>
                <w:szCs w:val="20"/>
                <w:rtl/>
              </w:rPr>
              <w:t>لا ينطبق</w:t>
            </w:r>
          </w:p>
        </w:tc>
      </w:tr>
      <w:tr w:rsidR="00CB0432" w:rsidRPr="00BE38DF" w14:paraId="4E3EB5B6" w14:textId="77777777" w:rsidTr="008F35FC">
        <w:trPr>
          <w:cantSplit/>
          <w:trHeight w:val="46"/>
          <w:jc w:val="center"/>
        </w:trPr>
        <w:tc>
          <w:tcPr>
            <w:tcW w:w="1561" w:type="dxa"/>
            <w:vMerge w:val="restart"/>
            <w:vAlign w:val="center"/>
          </w:tcPr>
          <w:p w14:paraId="11F34C79" w14:textId="7A0B51EE" w:rsidR="00CB0432" w:rsidRPr="00BE38DF" w:rsidRDefault="0082554A">
            <w:pPr>
              <w:keepNext/>
              <w:rPr>
                <w:sz w:val="20"/>
                <w:szCs w:val="20"/>
              </w:rPr>
            </w:pPr>
            <w:r>
              <w:rPr>
                <w:sz w:val="20"/>
                <w:szCs w:val="20"/>
                <w:rtl/>
              </w:rPr>
              <w:t>تكاليف المشروع المطلوبة من حيث المبدأ (بالدولار الأمريكي)</w:t>
            </w:r>
          </w:p>
        </w:tc>
        <w:tc>
          <w:tcPr>
            <w:tcW w:w="1269" w:type="dxa"/>
            <w:vMerge w:val="restart"/>
            <w:vAlign w:val="center"/>
          </w:tcPr>
          <w:p w14:paraId="3DC973E8" w14:textId="51862917" w:rsidR="00CB0432" w:rsidRPr="00BE38DF" w:rsidRDefault="0082554A">
            <w:pPr>
              <w:keepNext/>
              <w:spacing w:before="20" w:after="20"/>
              <w:rPr>
                <w:sz w:val="20"/>
                <w:szCs w:val="20"/>
              </w:rPr>
            </w:pPr>
            <w:r>
              <w:rPr>
                <w:sz w:val="20"/>
                <w:szCs w:val="20"/>
                <w:rtl/>
              </w:rPr>
              <w:t>اليونيب</w:t>
            </w:r>
          </w:p>
        </w:tc>
        <w:tc>
          <w:tcPr>
            <w:tcW w:w="1560" w:type="dxa"/>
            <w:vAlign w:val="center"/>
          </w:tcPr>
          <w:p w14:paraId="74705CBA" w14:textId="02B7A7C3" w:rsidR="00CB0432" w:rsidRPr="00BE38DF" w:rsidRDefault="0082554A">
            <w:pPr>
              <w:keepNext/>
              <w:spacing w:before="20" w:after="20"/>
              <w:rPr>
                <w:sz w:val="20"/>
                <w:szCs w:val="20"/>
              </w:rPr>
            </w:pPr>
            <w:r>
              <w:rPr>
                <w:sz w:val="20"/>
                <w:szCs w:val="20"/>
                <w:rtl/>
              </w:rPr>
              <w:t>تكاليف المشروع</w:t>
            </w:r>
          </w:p>
        </w:tc>
        <w:tc>
          <w:tcPr>
            <w:tcW w:w="1239" w:type="dxa"/>
            <w:vAlign w:val="center"/>
          </w:tcPr>
          <w:p w14:paraId="15A2366C" w14:textId="58DBCDB2" w:rsidR="00CB0432" w:rsidRPr="00BE38DF" w:rsidRDefault="0082554A" w:rsidP="00B80D18">
            <w:pPr>
              <w:keepNext/>
              <w:spacing w:before="20" w:after="20"/>
              <w:jc w:val="left"/>
              <w:rPr>
                <w:sz w:val="20"/>
                <w:szCs w:val="20"/>
              </w:rPr>
            </w:pPr>
            <w:r>
              <w:rPr>
                <w:sz w:val="20"/>
                <w:szCs w:val="20"/>
              </w:rPr>
              <w:t>74,500</w:t>
            </w:r>
          </w:p>
        </w:tc>
        <w:tc>
          <w:tcPr>
            <w:tcW w:w="1099" w:type="dxa"/>
            <w:vAlign w:val="center"/>
          </w:tcPr>
          <w:p w14:paraId="0B0E819D" w14:textId="405C4A58" w:rsidR="00CB0432" w:rsidRPr="00BE38DF" w:rsidRDefault="0082554A" w:rsidP="00B80D18">
            <w:pPr>
              <w:keepNext/>
              <w:spacing w:before="20" w:after="20"/>
              <w:jc w:val="left"/>
              <w:rPr>
                <w:sz w:val="20"/>
                <w:szCs w:val="20"/>
              </w:rPr>
            </w:pPr>
            <w:r>
              <w:rPr>
                <w:sz w:val="20"/>
                <w:szCs w:val="20"/>
              </w:rPr>
              <w:t>0</w:t>
            </w:r>
          </w:p>
        </w:tc>
        <w:tc>
          <w:tcPr>
            <w:tcW w:w="1099" w:type="dxa"/>
            <w:vAlign w:val="center"/>
          </w:tcPr>
          <w:p w14:paraId="468F163D" w14:textId="1B500962" w:rsidR="00CB0432" w:rsidRPr="00BE38DF" w:rsidRDefault="0082554A" w:rsidP="00B80D18">
            <w:pPr>
              <w:keepNext/>
              <w:spacing w:before="20" w:after="20"/>
              <w:jc w:val="left"/>
              <w:rPr>
                <w:sz w:val="20"/>
                <w:szCs w:val="20"/>
              </w:rPr>
            </w:pPr>
            <w:r>
              <w:rPr>
                <w:sz w:val="20"/>
                <w:szCs w:val="20"/>
              </w:rPr>
              <w:t>60,500</w:t>
            </w:r>
          </w:p>
        </w:tc>
        <w:tc>
          <w:tcPr>
            <w:tcW w:w="1099" w:type="dxa"/>
            <w:vAlign w:val="center"/>
          </w:tcPr>
          <w:p w14:paraId="7A54F075" w14:textId="4E136A59" w:rsidR="00CB0432" w:rsidRPr="00BE38DF" w:rsidRDefault="0082554A" w:rsidP="00B80D18">
            <w:pPr>
              <w:keepNext/>
              <w:spacing w:before="20" w:after="20"/>
              <w:jc w:val="left"/>
              <w:rPr>
                <w:sz w:val="20"/>
                <w:szCs w:val="20"/>
              </w:rPr>
            </w:pPr>
            <w:r>
              <w:rPr>
                <w:sz w:val="20"/>
                <w:szCs w:val="20"/>
              </w:rPr>
              <w:t>0</w:t>
            </w:r>
          </w:p>
        </w:tc>
        <w:tc>
          <w:tcPr>
            <w:tcW w:w="1097" w:type="dxa"/>
            <w:vAlign w:val="center"/>
          </w:tcPr>
          <w:p w14:paraId="2799B197" w14:textId="59E3C3EE" w:rsidR="00CB0432" w:rsidRPr="00BE38DF" w:rsidRDefault="0082554A" w:rsidP="00B80D18">
            <w:pPr>
              <w:keepNext/>
              <w:spacing w:before="20" w:after="20"/>
              <w:jc w:val="left"/>
              <w:rPr>
                <w:sz w:val="20"/>
                <w:szCs w:val="20"/>
              </w:rPr>
            </w:pPr>
            <w:r>
              <w:rPr>
                <w:sz w:val="20"/>
                <w:szCs w:val="20"/>
              </w:rPr>
              <w:t>135,000</w:t>
            </w:r>
          </w:p>
        </w:tc>
      </w:tr>
      <w:tr w:rsidR="00CB0432" w:rsidRPr="00BE38DF" w14:paraId="75B43E61" w14:textId="77777777" w:rsidTr="008F35FC">
        <w:trPr>
          <w:cantSplit/>
          <w:trHeight w:val="46"/>
          <w:jc w:val="center"/>
        </w:trPr>
        <w:tc>
          <w:tcPr>
            <w:tcW w:w="1561" w:type="dxa"/>
            <w:vMerge/>
            <w:vAlign w:val="center"/>
          </w:tcPr>
          <w:p w14:paraId="56CDE85F" w14:textId="77777777" w:rsidR="00CB0432" w:rsidRPr="00BE38DF" w:rsidRDefault="00CB0432">
            <w:pPr>
              <w:keepNext/>
              <w:rPr>
                <w:sz w:val="20"/>
                <w:szCs w:val="20"/>
              </w:rPr>
            </w:pPr>
          </w:p>
        </w:tc>
        <w:tc>
          <w:tcPr>
            <w:tcW w:w="1269" w:type="dxa"/>
            <w:vMerge/>
            <w:vAlign w:val="center"/>
          </w:tcPr>
          <w:p w14:paraId="34587BE0" w14:textId="77777777" w:rsidR="00CB0432" w:rsidRPr="00BE38DF" w:rsidRDefault="00CB0432">
            <w:pPr>
              <w:keepNext/>
              <w:spacing w:before="20" w:after="20"/>
              <w:rPr>
                <w:sz w:val="20"/>
                <w:szCs w:val="20"/>
              </w:rPr>
            </w:pPr>
          </w:p>
        </w:tc>
        <w:tc>
          <w:tcPr>
            <w:tcW w:w="1560" w:type="dxa"/>
            <w:vAlign w:val="center"/>
          </w:tcPr>
          <w:p w14:paraId="4195016A" w14:textId="6629F582" w:rsidR="00CB0432" w:rsidRPr="00BE38DF" w:rsidRDefault="0082554A">
            <w:pPr>
              <w:keepNext/>
              <w:spacing w:before="20" w:after="20"/>
              <w:rPr>
                <w:sz w:val="20"/>
                <w:szCs w:val="20"/>
              </w:rPr>
            </w:pPr>
            <w:r>
              <w:rPr>
                <w:sz w:val="20"/>
                <w:szCs w:val="20"/>
                <w:rtl/>
              </w:rPr>
              <w:t>تكاليف الدعم</w:t>
            </w:r>
          </w:p>
        </w:tc>
        <w:tc>
          <w:tcPr>
            <w:tcW w:w="1239" w:type="dxa"/>
            <w:vAlign w:val="center"/>
          </w:tcPr>
          <w:p w14:paraId="0C640C76" w14:textId="5E3B688F" w:rsidR="00CB0432" w:rsidRPr="00BE38DF" w:rsidRDefault="0082554A" w:rsidP="00B80D18">
            <w:pPr>
              <w:keepNext/>
              <w:spacing w:before="20" w:after="20"/>
              <w:jc w:val="left"/>
              <w:rPr>
                <w:sz w:val="20"/>
                <w:szCs w:val="20"/>
              </w:rPr>
            </w:pPr>
            <w:r>
              <w:rPr>
                <w:sz w:val="20"/>
                <w:szCs w:val="20"/>
              </w:rPr>
              <w:t>9,685</w:t>
            </w:r>
          </w:p>
        </w:tc>
        <w:tc>
          <w:tcPr>
            <w:tcW w:w="1099" w:type="dxa"/>
            <w:vAlign w:val="center"/>
          </w:tcPr>
          <w:p w14:paraId="753ED33F" w14:textId="06E51327" w:rsidR="00CB0432" w:rsidRPr="00BE38DF" w:rsidRDefault="0082554A" w:rsidP="00B80D18">
            <w:pPr>
              <w:keepNext/>
              <w:spacing w:before="20" w:after="20"/>
              <w:jc w:val="left"/>
              <w:rPr>
                <w:sz w:val="20"/>
                <w:szCs w:val="20"/>
              </w:rPr>
            </w:pPr>
            <w:r>
              <w:rPr>
                <w:sz w:val="20"/>
                <w:szCs w:val="20"/>
              </w:rPr>
              <w:t>0</w:t>
            </w:r>
          </w:p>
        </w:tc>
        <w:tc>
          <w:tcPr>
            <w:tcW w:w="1099" w:type="dxa"/>
            <w:vAlign w:val="center"/>
          </w:tcPr>
          <w:p w14:paraId="063B0390" w14:textId="1FDA0AF2" w:rsidR="00CB0432" w:rsidRPr="00BE38DF" w:rsidRDefault="00C907F2" w:rsidP="00B80D18">
            <w:pPr>
              <w:keepNext/>
              <w:spacing w:before="20" w:after="20"/>
              <w:jc w:val="left"/>
              <w:rPr>
                <w:sz w:val="20"/>
                <w:szCs w:val="20"/>
              </w:rPr>
            </w:pPr>
            <w:r>
              <w:rPr>
                <w:sz w:val="20"/>
                <w:szCs w:val="20"/>
              </w:rPr>
              <w:t>7,865</w:t>
            </w:r>
          </w:p>
        </w:tc>
        <w:tc>
          <w:tcPr>
            <w:tcW w:w="1099" w:type="dxa"/>
            <w:vAlign w:val="center"/>
          </w:tcPr>
          <w:p w14:paraId="21045F8A" w14:textId="65D08956" w:rsidR="00CB0432" w:rsidRPr="00BE38DF" w:rsidRDefault="0082554A" w:rsidP="00B80D18">
            <w:pPr>
              <w:keepNext/>
              <w:spacing w:before="20" w:after="20"/>
              <w:jc w:val="left"/>
              <w:rPr>
                <w:sz w:val="20"/>
                <w:szCs w:val="20"/>
              </w:rPr>
            </w:pPr>
            <w:r>
              <w:rPr>
                <w:sz w:val="20"/>
                <w:szCs w:val="20"/>
              </w:rPr>
              <w:t>0</w:t>
            </w:r>
          </w:p>
        </w:tc>
        <w:tc>
          <w:tcPr>
            <w:tcW w:w="1097" w:type="dxa"/>
            <w:vAlign w:val="center"/>
          </w:tcPr>
          <w:p w14:paraId="3FD1FBC3" w14:textId="66D03DD4" w:rsidR="00CB0432" w:rsidRPr="00BE38DF" w:rsidRDefault="0082554A" w:rsidP="00B80D18">
            <w:pPr>
              <w:keepNext/>
              <w:spacing w:before="20" w:after="20"/>
              <w:jc w:val="left"/>
              <w:rPr>
                <w:sz w:val="20"/>
                <w:szCs w:val="20"/>
              </w:rPr>
            </w:pPr>
            <w:r>
              <w:rPr>
                <w:sz w:val="20"/>
                <w:szCs w:val="20"/>
              </w:rPr>
              <w:t>17,550</w:t>
            </w:r>
          </w:p>
        </w:tc>
      </w:tr>
      <w:tr w:rsidR="00CB0432" w:rsidRPr="00BE38DF" w14:paraId="40A830F2" w14:textId="77777777" w:rsidTr="008F35FC">
        <w:trPr>
          <w:cantSplit/>
          <w:trHeight w:val="157"/>
          <w:jc w:val="center"/>
        </w:trPr>
        <w:tc>
          <w:tcPr>
            <w:tcW w:w="2830" w:type="dxa"/>
            <w:gridSpan w:val="2"/>
            <w:vMerge w:val="restart"/>
            <w:vAlign w:val="center"/>
          </w:tcPr>
          <w:p w14:paraId="744971F6" w14:textId="1344C9B5" w:rsidR="00CB0432" w:rsidRPr="00BE38DF" w:rsidRDefault="0082554A">
            <w:pPr>
              <w:keepNext/>
              <w:spacing w:before="20" w:after="20"/>
              <w:rPr>
                <w:sz w:val="20"/>
                <w:szCs w:val="20"/>
              </w:rPr>
            </w:pPr>
            <w:r>
              <w:rPr>
                <w:sz w:val="20"/>
                <w:szCs w:val="20"/>
                <w:rtl/>
              </w:rPr>
              <w:t>مجموع المبالغ الموصى بها من حيث المبدأ (بالدولار الأمريكي)</w:t>
            </w:r>
          </w:p>
        </w:tc>
        <w:tc>
          <w:tcPr>
            <w:tcW w:w="1560" w:type="dxa"/>
            <w:vAlign w:val="center"/>
          </w:tcPr>
          <w:p w14:paraId="40A5E493" w14:textId="418589C5" w:rsidR="00CB0432" w:rsidRPr="00BE38DF" w:rsidRDefault="0082554A">
            <w:pPr>
              <w:keepNext/>
              <w:spacing w:before="20" w:after="20"/>
              <w:rPr>
                <w:sz w:val="20"/>
                <w:szCs w:val="20"/>
              </w:rPr>
            </w:pPr>
            <w:r>
              <w:rPr>
                <w:sz w:val="20"/>
                <w:szCs w:val="20"/>
                <w:rtl/>
              </w:rPr>
              <w:t>تكاليف المشروع</w:t>
            </w:r>
          </w:p>
        </w:tc>
        <w:tc>
          <w:tcPr>
            <w:tcW w:w="1239" w:type="dxa"/>
            <w:vAlign w:val="center"/>
          </w:tcPr>
          <w:p w14:paraId="373EBF22" w14:textId="04B82452" w:rsidR="00CB0432" w:rsidRPr="00BE38DF" w:rsidRDefault="004617A1" w:rsidP="00B80D18">
            <w:pPr>
              <w:keepNext/>
              <w:spacing w:before="20" w:after="20"/>
              <w:jc w:val="left"/>
              <w:rPr>
                <w:sz w:val="20"/>
                <w:szCs w:val="20"/>
              </w:rPr>
            </w:pPr>
            <w:r>
              <w:rPr>
                <w:sz w:val="20"/>
                <w:szCs w:val="20"/>
              </w:rPr>
              <w:t>74,500</w:t>
            </w:r>
          </w:p>
        </w:tc>
        <w:tc>
          <w:tcPr>
            <w:tcW w:w="1099" w:type="dxa"/>
            <w:vAlign w:val="center"/>
          </w:tcPr>
          <w:p w14:paraId="7D374C1F" w14:textId="0CB7F4E6" w:rsidR="00CB0432" w:rsidRPr="00BE38DF" w:rsidRDefault="0082554A" w:rsidP="00B80D18">
            <w:pPr>
              <w:keepNext/>
              <w:spacing w:before="20" w:after="20"/>
              <w:jc w:val="left"/>
              <w:rPr>
                <w:sz w:val="20"/>
                <w:szCs w:val="20"/>
              </w:rPr>
            </w:pPr>
            <w:r>
              <w:rPr>
                <w:sz w:val="20"/>
                <w:szCs w:val="20"/>
              </w:rPr>
              <w:t>0</w:t>
            </w:r>
          </w:p>
        </w:tc>
        <w:tc>
          <w:tcPr>
            <w:tcW w:w="1099" w:type="dxa"/>
            <w:vAlign w:val="center"/>
          </w:tcPr>
          <w:p w14:paraId="4D703A1F" w14:textId="0D74A473" w:rsidR="00CB0432" w:rsidRPr="00BE38DF" w:rsidRDefault="004617A1" w:rsidP="00B80D18">
            <w:pPr>
              <w:keepNext/>
              <w:spacing w:before="20" w:after="20"/>
              <w:jc w:val="left"/>
              <w:rPr>
                <w:sz w:val="20"/>
                <w:szCs w:val="20"/>
              </w:rPr>
            </w:pPr>
            <w:r>
              <w:rPr>
                <w:sz w:val="20"/>
                <w:szCs w:val="20"/>
              </w:rPr>
              <w:t>60,500</w:t>
            </w:r>
          </w:p>
        </w:tc>
        <w:tc>
          <w:tcPr>
            <w:tcW w:w="1099" w:type="dxa"/>
            <w:vAlign w:val="center"/>
          </w:tcPr>
          <w:p w14:paraId="657290A6" w14:textId="603F6DA1" w:rsidR="00CB0432" w:rsidRPr="00BE38DF" w:rsidRDefault="0082554A" w:rsidP="00B80D18">
            <w:pPr>
              <w:keepNext/>
              <w:spacing w:before="20" w:after="20"/>
              <w:jc w:val="left"/>
              <w:rPr>
                <w:sz w:val="20"/>
                <w:szCs w:val="20"/>
              </w:rPr>
            </w:pPr>
            <w:r>
              <w:rPr>
                <w:sz w:val="20"/>
                <w:szCs w:val="20"/>
              </w:rPr>
              <w:t>0</w:t>
            </w:r>
          </w:p>
        </w:tc>
        <w:tc>
          <w:tcPr>
            <w:tcW w:w="1097" w:type="dxa"/>
            <w:vAlign w:val="center"/>
          </w:tcPr>
          <w:p w14:paraId="772424E4" w14:textId="31509C7E" w:rsidR="00CB0432" w:rsidRPr="00BE38DF" w:rsidRDefault="0082554A" w:rsidP="00B80D18">
            <w:pPr>
              <w:keepNext/>
              <w:spacing w:before="20" w:after="20"/>
              <w:jc w:val="left"/>
              <w:rPr>
                <w:sz w:val="20"/>
                <w:szCs w:val="20"/>
              </w:rPr>
            </w:pPr>
            <w:r>
              <w:rPr>
                <w:sz w:val="20"/>
                <w:szCs w:val="20"/>
              </w:rPr>
              <w:t>135,000</w:t>
            </w:r>
          </w:p>
        </w:tc>
      </w:tr>
      <w:tr w:rsidR="00CB0432" w:rsidRPr="00BE38DF" w14:paraId="55A82A64" w14:textId="77777777" w:rsidTr="008F35FC">
        <w:trPr>
          <w:cantSplit/>
          <w:trHeight w:val="201"/>
          <w:jc w:val="center"/>
        </w:trPr>
        <w:tc>
          <w:tcPr>
            <w:tcW w:w="2830" w:type="dxa"/>
            <w:gridSpan w:val="2"/>
            <w:vMerge/>
            <w:vAlign w:val="center"/>
          </w:tcPr>
          <w:p w14:paraId="0F6A7FF8" w14:textId="77777777" w:rsidR="00CB0432" w:rsidRPr="00BE38DF" w:rsidRDefault="00CB0432">
            <w:pPr>
              <w:keepNext/>
              <w:spacing w:before="20" w:after="20"/>
              <w:rPr>
                <w:sz w:val="20"/>
                <w:szCs w:val="20"/>
              </w:rPr>
            </w:pPr>
          </w:p>
        </w:tc>
        <w:tc>
          <w:tcPr>
            <w:tcW w:w="1560" w:type="dxa"/>
            <w:vAlign w:val="center"/>
          </w:tcPr>
          <w:p w14:paraId="03BC0E96" w14:textId="4A374B77" w:rsidR="00CB0432" w:rsidRPr="00BE38DF" w:rsidRDefault="0082554A">
            <w:pPr>
              <w:keepNext/>
              <w:spacing w:before="20" w:after="20"/>
              <w:rPr>
                <w:sz w:val="20"/>
                <w:szCs w:val="20"/>
              </w:rPr>
            </w:pPr>
            <w:r>
              <w:rPr>
                <w:sz w:val="20"/>
                <w:szCs w:val="20"/>
                <w:rtl/>
              </w:rPr>
              <w:t>تكاليف الدعم</w:t>
            </w:r>
          </w:p>
        </w:tc>
        <w:tc>
          <w:tcPr>
            <w:tcW w:w="1239" w:type="dxa"/>
            <w:vAlign w:val="center"/>
          </w:tcPr>
          <w:p w14:paraId="60883A86" w14:textId="08E83573" w:rsidR="00CB0432" w:rsidRPr="00BE38DF" w:rsidRDefault="0082554A" w:rsidP="00B80D18">
            <w:pPr>
              <w:keepNext/>
              <w:spacing w:before="20" w:after="20"/>
              <w:jc w:val="left"/>
              <w:rPr>
                <w:sz w:val="20"/>
                <w:szCs w:val="20"/>
              </w:rPr>
            </w:pPr>
            <w:r>
              <w:rPr>
                <w:sz w:val="20"/>
                <w:szCs w:val="20"/>
              </w:rPr>
              <w:t>9,685</w:t>
            </w:r>
          </w:p>
        </w:tc>
        <w:tc>
          <w:tcPr>
            <w:tcW w:w="1099" w:type="dxa"/>
            <w:vAlign w:val="center"/>
          </w:tcPr>
          <w:p w14:paraId="653A230F" w14:textId="137A1F60" w:rsidR="00CB0432" w:rsidRPr="00BE38DF" w:rsidRDefault="0082554A" w:rsidP="00B80D18">
            <w:pPr>
              <w:keepNext/>
              <w:spacing w:before="20" w:after="20"/>
              <w:jc w:val="left"/>
              <w:rPr>
                <w:sz w:val="20"/>
                <w:szCs w:val="20"/>
              </w:rPr>
            </w:pPr>
            <w:r>
              <w:rPr>
                <w:sz w:val="20"/>
                <w:szCs w:val="20"/>
              </w:rPr>
              <w:t>0</w:t>
            </w:r>
          </w:p>
        </w:tc>
        <w:tc>
          <w:tcPr>
            <w:tcW w:w="1099" w:type="dxa"/>
            <w:vAlign w:val="center"/>
          </w:tcPr>
          <w:p w14:paraId="025FE460" w14:textId="4D0870EC" w:rsidR="00CB0432" w:rsidRPr="00BE38DF" w:rsidRDefault="00C907F2" w:rsidP="00B80D18">
            <w:pPr>
              <w:keepNext/>
              <w:spacing w:before="20" w:after="20"/>
              <w:jc w:val="left"/>
              <w:rPr>
                <w:sz w:val="20"/>
                <w:szCs w:val="20"/>
              </w:rPr>
            </w:pPr>
            <w:r>
              <w:rPr>
                <w:sz w:val="20"/>
                <w:szCs w:val="20"/>
              </w:rPr>
              <w:t>7,865</w:t>
            </w:r>
          </w:p>
        </w:tc>
        <w:tc>
          <w:tcPr>
            <w:tcW w:w="1099" w:type="dxa"/>
            <w:vAlign w:val="center"/>
          </w:tcPr>
          <w:p w14:paraId="33C8D5E5" w14:textId="0B4091A9" w:rsidR="00CB0432" w:rsidRPr="00BE38DF" w:rsidRDefault="0082554A" w:rsidP="00B80D18">
            <w:pPr>
              <w:keepNext/>
              <w:spacing w:before="20" w:after="20"/>
              <w:jc w:val="left"/>
              <w:rPr>
                <w:sz w:val="20"/>
                <w:szCs w:val="20"/>
              </w:rPr>
            </w:pPr>
            <w:r>
              <w:rPr>
                <w:sz w:val="20"/>
                <w:szCs w:val="20"/>
              </w:rPr>
              <w:t>0</w:t>
            </w:r>
          </w:p>
        </w:tc>
        <w:tc>
          <w:tcPr>
            <w:tcW w:w="1097" w:type="dxa"/>
            <w:vAlign w:val="center"/>
          </w:tcPr>
          <w:p w14:paraId="3AC293AD" w14:textId="4E842DF5" w:rsidR="00CB0432" w:rsidRPr="00BE38DF" w:rsidRDefault="0082554A" w:rsidP="00B80D18">
            <w:pPr>
              <w:keepNext/>
              <w:spacing w:before="20" w:after="20"/>
              <w:jc w:val="left"/>
              <w:rPr>
                <w:sz w:val="20"/>
                <w:szCs w:val="20"/>
              </w:rPr>
            </w:pPr>
            <w:r>
              <w:rPr>
                <w:sz w:val="20"/>
                <w:szCs w:val="20"/>
              </w:rPr>
              <w:t>17,550</w:t>
            </w:r>
          </w:p>
        </w:tc>
      </w:tr>
      <w:tr w:rsidR="00CB0432" w:rsidRPr="00BE38DF" w14:paraId="359760E2" w14:textId="77777777" w:rsidTr="008F35FC">
        <w:trPr>
          <w:cantSplit/>
          <w:trHeight w:val="62"/>
          <w:jc w:val="center"/>
        </w:trPr>
        <w:tc>
          <w:tcPr>
            <w:tcW w:w="2830" w:type="dxa"/>
            <w:gridSpan w:val="2"/>
            <w:vMerge/>
            <w:vAlign w:val="center"/>
          </w:tcPr>
          <w:p w14:paraId="2F6F104D" w14:textId="77777777" w:rsidR="00CB0432" w:rsidRPr="00BE38DF" w:rsidRDefault="00CB0432">
            <w:pPr>
              <w:keepNext/>
              <w:spacing w:before="20" w:after="20"/>
              <w:rPr>
                <w:sz w:val="20"/>
                <w:szCs w:val="20"/>
              </w:rPr>
            </w:pPr>
          </w:p>
        </w:tc>
        <w:tc>
          <w:tcPr>
            <w:tcW w:w="1560" w:type="dxa"/>
            <w:vAlign w:val="center"/>
          </w:tcPr>
          <w:p w14:paraId="52D128DF" w14:textId="25389906" w:rsidR="00CB0432" w:rsidRPr="00BE38DF" w:rsidRDefault="0082554A">
            <w:pPr>
              <w:keepNext/>
              <w:spacing w:before="20" w:after="20"/>
              <w:rPr>
                <w:sz w:val="20"/>
                <w:szCs w:val="20"/>
              </w:rPr>
            </w:pPr>
            <w:r>
              <w:rPr>
                <w:sz w:val="20"/>
                <w:szCs w:val="20"/>
                <w:rtl/>
              </w:rPr>
              <w:t>مجموع الأموال</w:t>
            </w:r>
          </w:p>
        </w:tc>
        <w:tc>
          <w:tcPr>
            <w:tcW w:w="1239" w:type="dxa"/>
            <w:vAlign w:val="center"/>
          </w:tcPr>
          <w:p w14:paraId="3D19D71E" w14:textId="714D33EA" w:rsidR="00CB0432" w:rsidRPr="00BE38DF" w:rsidRDefault="00842241" w:rsidP="00B80D18">
            <w:pPr>
              <w:keepNext/>
              <w:spacing w:before="20" w:after="20"/>
              <w:jc w:val="left"/>
              <w:rPr>
                <w:sz w:val="20"/>
                <w:szCs w:val="20"/>
              </w:rPr>
            </w:pPr>
            <w:r>
              <w:rPr>
                <w:sz w:val="20"/>
                <w:szCs w:val="20"/>
              </w:rPr>
              <w:t>84,185</w:t>
            </w:r>
          </w:p>
        </w:tc>
        <w:tc>
          <w:tcPr>
            <w:tcW w:w="1099" w:type="dxa"/>
            <w:vAlign w:val="center"/>
          </w:tcPr>
          <w:p w14:paraId="235E6727" w14:textId="2FEA3AC8" w:rsidR="00CB0432" w:rsidRPr="00BE38DF" w:rsidRDefault="0082554A" w:rsidP="00B80D18">
            <w:pPr>
              <w:keepNext/>
              <w:spacing w:before="20" w:after="20"/>
              <w:jc w:val="left"/>
              <w:rPr>
                <w:sz w:val="20"/>
                <w:szCs w:val="20"/>
              </w:rPr>
            </w:pPr>
            <w:r>
              <w:rPr>
                <w:sz w:val="20"/>
                <w:szCs w:val="20"/>
              </w:rPr>
              <w:t>0</w:t>
            </w:r>
          </w:p>
        </w:tc>
        <w:tc>
          <w:tcPr>
            <w:tcW w:w="1099" w:type="dxa"/>
            <w:vAlign w:val="center"/>
          </w:tcPr>
          <w:p w14:paraId="77A8010E" w14:textId="1E34AA14" w:rsidR="00CB0432" w:rsidRPr="00BE38DF" w:rsidRDefault="00842241" w:rsidP="00B80D18">
            <w:pPr>
              <w:keepNext/>
              <w:spacing w:before="20" w:after="20"/>
              <w:jc w:val="left"/>
              <w:rPr>
                <w:sz w:val="20"/>
                <w:szCs w:val="20"/>
              </w:rPr>
            </w:pPr>
            <w:r>
              <w:rPr>
                <w:sz w:val="20"/>
                <w:szCs w:val="20"/>
              </w:rPr>
              <w:t>68,365</w:t>
            </w:r>
          </w:p>
        </w:tc>
        <w:tc>
          <w:tcPr>
            <w:tcW w:w="1099" w:type="dxa"/>
            <w:vAlign w:val="center"/>
          </w:tcPr>
          <w:p w14:paraId="033D77A4" w14:textId="05C5CCE3" w:rsidR="00CB0432" w:rsidRPr="00BE38DF" w:rsidRDefault="0082554A" w:rsidP="00B80D18">
            <w:pPr>
              <w:keepNext/>
              <w:spacing w:before="20" w:after="20"/>
              <w:jc w:val="left"/>
              <w:rPr>
                <w:sz w:val="20"/>
                <w:szCs w:val="20"/>
              </w:rPr>
            </w:pPr>
            <w:r>
              <w:rPr>
                <w:sz w:val="20"/>
                <w:szCs w:val="20"/>
              </w:rPr>
              <w:t>0</w:t>
            </w:r>
          </w:p>
        </w:tc>
        <w:tc>
          <w:tcPr>
            <w:tcW w:w="1097" w:type="dxa"/>
            <w:vAlign w:val="center"/>
          </w:tcPr>
          <w:p w14:paraId="6823844D" w14:textId="2D62370C" w:rsidR="00CB0432" w:rsidRPr="00BE38DF" w:rsidRDefault="0082554A" w:rsidP="00B80D18">
            <w:pPr>
              <w:keepNext/>
              <w:spacing w:before="20" w:after="20"/>
              <w:jc w:val="left"/>
              <w:rPr>
                <w:sz w:val="20"/>
                <w:szCs w:val="20"/>
              </w:rPr>
            </w:pPr>
            <w:r>
              <w:rPr>
                <w:sz w:val="20"/>
                <w:szCs w:val="20"/>
              </w:rPr>
              <w:t>152,550</w:t>
            </w:r>
          </w:p>
        </w:tc>
      </w:tr>
    </w:tbl>
    <w:p w14:paraId="0B6C7F98" w14:textId="77777777" w:rsidR="00CB0432" w:rsidRPr="00BE38DF" w:rsidRDefault="00CB0432" w:rsidP="00CB0432">
      <w:pPr>
        <w:spacing w:after="120"/>
        <w:ind w:left="-284" w:right="-561"/>
        <w:rPr>
          <w:sz w:val="20"/>
          <w:szCs w:val="20"/>
        </w:rPr>
      </w:pPr>
      <w:r>
        <w:rPr>
          <w:sz w:val="20"/>
          <w:szCs w:val="20"/>
          <w:rtl/>
        </w:rPr>
        <w:t>* موصى بالموافقة عليه في هذا الاجتماع</w:t>
      </w:r>
    </w:p>
    <w:tbl>
      <w:tblPr>
        <w:tblStyle w:val="TableGrid"/>
        <w:bidiVisual/>
        <w:tblW w:w="10023" w:type="dxa"/>
        <w:jc w:val="center"/>
        <w:tblLayout w:type="fixed"/>
        <w:tblLook w:val="04A0" w:firstRow="1" w:lastRow="0" w:firstColumn="1" w:lastColumn="0" w:noHBand="0" w:noVBand="1"/>
      </w:tblPr>
      <w:tblGrid>
        <w:gridCol w:w="7598"/>
        <w:gridCol w:w="2425"/>
      </w:tblGrid>
      <w:tr w:rsidR="00CB0432" w:rsidRPr="00BE38DF" w14:paraId="3DC1A969" w14:textId="77777777" w:rsidTr="005C4A56">
        <w:trPr>
          <w:cantSplit/>
          <w:jc w:val="center"/>
        </w:trPr>
        <w:tc>
          <w:tcPr>
            <w:tcW w:w="7598" w:type="dxa"/>
          </w:tcPr>
          <w:p w14:paraId="5C679441" w14:textId="77777777" w:rsidR="00CB0432" w:rsidRPr="00BE38DF" w:rsidRDefault="00CB0432">
            <w:pPr>
              <w:spacing w:before="20" w:after="20"/>
              <w:rPr>
                <w:sz w:val="20"/>
                <w:szCs w:val="20"/>
              </w:rPr>
            </w:pPr>
            <w:r>
              <w:rPr>
                <w:sz w:val="20"/>
                <w:szCs w:val="20"/>
                <w:rtl/>
              </w:rPr>
              <w:t>التخفيض من الاستهلاك المتبقي المؤهل للتمويل في المرحلة الأولى (طن من مكافئ ثاني أكسيد الكربون)</w:t>
            </w:r>
          </w:p>
        </w:tc>
        <w:tc>
          <w:tcPr>
            <w:tcW w:w="2425" w:type="dxa"/>
          </w:tcPr>
          <w:p w14:paraId="0CAF57A2" w14:textId="7192294C" w:rsidR="00CB0432" w:rsidRPr="00BE38DF" w:rsidRDefault="00D30874" w:rsidP="00016D21">
            <w:pPr>
              <w:spacing w:before="20" w:after="20"/>
              <w:jc w:val="center"/>
              <w:rPr>
                <w:kern w:val="2"/>
                <w:sz w:val="20"/>
                <w:szCs w:val="20"/>
                <w:lang w:eastAsia="en-CA"/>
                <w14:ligatures w14:val="standardContextual"/>
              </w:rPr>
            </w:pPr>
            <w:r>
              <w:rPr>
                <w:sz w:val="20"/>
                <w:szCs w:val="20"/>
                <w:rtl/>
              </w:rPr>
              <w:t>لا ينطبق</w:t>
            </w:r>
          </w:p>
        </w:tc>
      </w:tr>
    </w:tbl>
    <w:p w14:paraId="498CE687" w14:textId="77777777" w:rsidR="00CB0432" w:rsidRPr="00BE38DF" w:rsidRDefault="00CB0432" w:rsidP="00CB0432">
      <w:pPr>
        <w:ind w:left="-284" w:right="-279"/>
        <w:jc w:val="center"/>
        <w:rPr>
          <w:sz w:val="26"/>
          <w:szCs w:val="26"/>
        </w:rPr>
      </w:pPr>
    </w:p>
    <w:tbl>
      <w:tblPr>
        <w:tblStyle w:val="TableGrid"/>
        <w:bidiVisual/>
        <w:tblW w:w="10023" w:type="dxa"/>
        <w:jc w:val="center"/>
        <w:tblLayout w:type="fixed"/>
        <w:tblLook w:val="04A0" w:firstRow="1" w:lastRow="0" w:firstColumn="1" w:lastColumn="0" w:noHBand="0" w:noVBand="1"/>
      </w:tblPr>
      <w:tblGrid>
        <w:gridCol w:w="7598"/>
        <w:gridCol w:w="2425"/>
      </w:tblGrid>
      <w:tr w:rsidR="00CB0432" w:rsidRPr="00BE38DF" w14:paraId="13557B2B" w14:textId="77777777" w:rsidTr="005C4A56">
        <w:trPr>
          <w:cantSplit/>
          <w:jc w:val="center"/>
        </w:trPr>
        <w:tc>
          <w:tcPr>
            <w:tcW w:w="7598" w:type="dxa"/>
          </w:tcPr>
          <w:p w14:paraId="3D74AA86" w14:textId="77777777" w:rsidR="00CB0432" w:rsidRPr="00BE38DF" w:rsidRDefault="00CB0432">
            <w:pPr>
              <w:spacing w:before="20" w:after="20"/>
              <w:rPr>
                <w:b/>
                <w:color w:val="000000" w:themeColor="text1"/>
                <w:sz w:val="20"/>
                <w:szCs w:val="20"/>
              </w:rPr>
            </w:pPr>
            <w:r>
              <w:rPr>
                <w:b/>
                <w:bCs/>
                <w:color w:val="000000" w:themeColor="text1"/>
                <w:sz w:val="20"/>
                <w:szCs w:val="20"/>
                <w:rtl/>
              </w:rPr>
              <w:t>توصية الأمانة</w:t>
            </w:r>
          </w:p>
        </w:tc>
        <w:tc>
          <w:tcPr>
            <w:tcW w:w="2425" w:type="dxa"/>
          </w:tcPr>
          <w:p w14:paraId="3FBEBC95" w14:textId="77777777" w:rsidR="00CB0432" w:rsidRPr="00BE38DF" w:rsidRDefault="00CB0432">
            <w:pPr>
              <w:spacing w:before="20" w:after="20"/>
              <w:rPr>
                <w:color w:val="000000" w:themeColor="text1"/>
                <w:sz w:val="20"/>
                <w:szCs w:val="20"/>
              </w:rPr>
            </w:pPr>
            <w:r>
              <w:rPr>
                <w:color w:val="000000" w:themeColor="text1"/>
                <w:sz w:val="20"/>
                <w:szCs w:val="20"/>
                <w:rtl/>
              </w:rPr>
              <w:t>النظر بشكل فردي</w:t>
            </w:r>
          </w:p>
        </w:tc>
      </w:tr>
    </w:tbl>
    <w:p w14:paraId="2D72DBAB" w14:textId="77777777" w:rsidR="00E53A69" w:rsidRDefault="00E53A69" w:rsidP="00B80D18">
      <w:pPr>
        <w:jc w:val="center"/>
        <w:rPr>
          <w:b/>
          <w:bCs/>
          <w:sz w:val="26"/>
          <w:szCs w:val="26"/>
          <w:rtl/>
        </w:rPr>
      </w:pPr>
    </w:p>
    <w:p w14:paraId="5162EEB2" w14:textId="2A61FDCC" w:rsidR="00CB0432" w:rsidRDefault="00CB0432" w:rsidP="00B80D18">
      <w:pPr>
        <w:jc w:val="center"/>
        <w:rPr>
          <w:b/>
          <w:bCs/>
          <w:sz w:val="26"/>
          <w:szCs w:val="26"/>
        </w:rPr>
      </w:pPr>
      <w:r>
        <w:rPr>
          <w:b/>
          <w:bCs/>
          <w:sz w:val="26"/>
          <w:szCs w:val="26"/>
          <w:rtl/>
        </w:rPr>
        <w:lastRenderedPageBreak/>
        <w:t>وصف المشروع</w:t>
      </w:r>
    </w:p>
    <w:p w14:paraId="40049953" w14:textId="77777777" w:rsidR="00B80D18" w:rsidRPr="00BE38DF" w:rsidRDefault="00B80D18" w:rsidP="00B80D18">
      <w:pPr>
        <w:jc w:val="center"/>
        <w:rPr>
          <w:b/>
          <w:sz w:val="26"/>
          <w:szCs w:val="26"/>
        </w:rPr>
      </w:pPr>
    </w:p>
    <w:p w14:paraId="5B6C06D8" w14:textId="77777777" w:rsidR="00CB0432" w:rsidRPr="00BE38DF" w:rsidRDefault="00CB0432" w:rsidP="00CB0432">
      <w:pPr>
        <w:pStyle w:val="Heading1"/>
        <w:rPr>
          <w:sz w:val="26"/>
          <w:szCs w:val="26"/>
        </w:rPr>
      </w:pPr>
      <w:r>
        <w:rPr>
          <w:sz w:val="26"/>
          <w:szCs w:val="26"/>
          <w:rtl/>
        </w:rPr>
        <w:t>تتضمن هذه الوثيقة الفروع التالية:</w:t>
      </w:r>
    </w:p>
    <w:p w14:paraId="5A4F60B0"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أولاً</w:t>
      </w:r>
      <w:r>
        <w:rPr>
          <w:sz w:val="26"/>
          <w:szCs w:val="26"/>
          <w:rtl/>
        </w:rPr>
        <w:tab/>
        <w:t>موجز المقترح حسب ما قُدّم</w:t>
      </w:r>
    </w:p>
    <w:p w14:paraId="323D2012"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ثانياً</w:t>
      </w:r>
      <w:r>
        <w:rPr>
          <w:sz w:val="26"/>
          <w:szCs w:val="26"/>
          <w:rtl/>
        </w:rPr>
        <w:tab/>
        <w:t>الخلفية: حالة تنفيذ خطة إدارة إزالة المواد الهيدروكلوروفلوروكربونية والأنشطة السابقة المتعلقة بالمواد الهيدروفلوروكربونية</w:t>
      </w:r>
    </w:p>
    <w:p w14:paraId="6E042E19"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ثالثاً</w:t>
      </w:r>
      <w:r>
        <w:rPr>
          <w:sz w:val="26"/>
          <w:szCs w:val="26"/>
          <w:rtl/>
        </w:rPr>
        <w:tab/>
        <w:t>لمحة عامة عن استهلاك المواد الهيدروفلوروكربونية: مستويات استهلاك المواد الهيدروفلوروكربونية واتجاهاته والاستهلاك حسب القطاع</w:t>
      </w:r>
    </w:p>
    <w:p w14:paraId="316973F0"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رابعاً</w:t>
      </w:r>
      <w:r>
        <w:rPr>
          <w:sz w:val="26"/>
          <w:szCs w:val="26"/>
          <w:rtl/>
        </w:rPr>
        <w:tab/>
        <w:t>المرحلة الأولى من خطة التنفيذ المتعلقة بالمواد الهيدروفلوروكربونية بموجب تعديل كيغالي، حسب ما قُدّمت: الإطار التنظيمي، واستراتيجية التخفيض التدريجي، والتكلفة الإجمالية للمرحلة، وخطة تنفيذ الشريحة الأولى</w:t>
      </w:r>
    </w:p>
    <w:p w14:paraId="35918598"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خامساً</w:t>
      </w:r>
      <w:r>
        <w:rPr>
          <w:sz w:val="26"/>
          <w:szCs w:val="26"/>
          <w:rtl/>
        </w:rPr>
        <w:tab/>
        <w:t>تعليقات الأمانة، بما في ذلك التكلفة المتفق عليها للأنشطة</w:t>
      </w:r>
    </w:p>
    <w:p w14:paraId="2ABEF608" w14:textId="77777777" w:rsidR="00CB0432" w:rsidRPr="00BE38DF" w:rsidRDefault="00CB0432">
      <w:pPr>
        <w:pStyle w:val="ListParagraph"/>
        <w:tabs>
          <w:tab w:val="right" w:pos="1440"/>
        </w:tabs>
        <w:spacing w:before="240" w:after="240"/>
        <w:ind w:right="1440" w:hanging="720"/>
        <w:contextualSpacing w:val="0"/>
        <w:rPr>
          <w:sz w:val="26"/>
          <w:szCs w:val="26"/>
        </w:rPr>
      </w:pPr>
      <w:r>
        <w:rPr>
          <w:sz w:val="26"/>
          <w:szCs w:val="26"/>
          <w:rtl/>
        </w:rPr>
        <w:t>سادساً</w:t>
      </w:r>
      <w:r>
        <w:rPr>
          <w:sz w:val="26"/>
          <w:szCs w:val="26"/>
          <w:rtl/>
        </w:rPr>
        <w:tab/>
        <w:t>التوصية</w:t>
      </w:r>
    </w:p>
    <w:p w14:paraId="7AF15443" w14:textId="77777777" w:rsidR="00CB0432" w:rsidRPr="00BE38DF" w:rsidRDefault="00CB0432" w:rsidP="00CB0432">
      <w:pPr>
        <w:pStyle w:val="Heading1"/>
        <w:keepNext/>
        <w:numPr>
          <w:ilvl w:val="0"/>
          <w:numId w:val="0"/>
        </w:numPr>
        <w:rPr>
          <w:b/>
          <w:bCs/>
          <w:sz w:val="26"/>
          <w:szCs w:val="26"/>
        </w:rPr>
      </w:pPr>
      <w:r>
        <w:rPr>
          <w:b/>
          <w:bCs/>
          <w:sz w:val="26"/>
          <w:szCs w:val="26"/>
          <w:rtl/>
        </w:rPr>
        <w:t>أولاً</w:t>
      </w:r>
      <w:r>
        <w:rPr>
          <w:b/>
          <w:bCs/>
          <w:sz w:val="26"/>
          <w:szCs w:val="26"/>
          <w:rtl/>
        </w:rPr>
        <w:tab/>
        <w:t>موجز المقترح حسب ما قُدّم</w:t>
      </w:r>
    </w:p>
    <w:p w14:paraId="73D32FC7" w14:textId="348722AF" w:rsidR="00CF0E09" w:rsidRPr="00BE38DF" w:rsidRDefault="00CF0E09" w:rsidP="00CF0E09">
      <w:pPr>
        <w:pStyle w:val="Heading1"/>
        <w:rPr>
          <w:sz w:val="26"/>
          <w:szCs w:val="26"/>
          <w:lang w:eastAsia="en-CA"/>
          <w14:ligatures w14:val="standardContextual"/>
        </w:rPr>
      </w:pPr>
      <w:r>
        <w:rPr>
          <w:sz w:val="26"/>
          <w:szCs w:val="26"/>
          <w:rtl/>
        </w:rPr>
        <w:t>قدّم اليونيب، بصفته الوكالة المنفذة المعيّنة، نيابةً عن حكومة سان تومي وبرينسيبي، طلباً للمرحلة الأولى من خطة التنفيذ المتعلقة بالمواد الهيدروفلوروكربونية بموجب تعديل كيغالي، بمبلغ 135,000 دولار أمريكي، زائد تكاليف دعم الوكالة البالغة 17,550 دولاراً أمريكياً، حسب ما قُدّم في الأصل.</w:t>
      </w:r>
      <w:r>
        <w:rPr>
          <w:rStyle w:val="FootnoteReference"/>
          <w:sz w:val="26"/>
          <w:szCs w:val="26"/>
          <w:rtl/>
        </w:rPr>
        <w:footnoteReference w:id="5"/>
      </w:r>
    </w:p>
    <w:p w14:paraId="4AB50969" w14:textId="7544B7E6" w:rsidR="00CF0E09" w:rsidRPr="00BE38DF" w:rsidRDefault="00CF0E09" w:rsidP="00481C52">
      <w:pPr>
        <w:pStyle w:val="Heading1"/>
        <w:rPr>
          <w:sz w:val="26"/>
          <w:szCs w:val="26"/>
          <w:lang w:eastAsia="en-CA"/>
          <w14:ligatures w14:val="standardContextual"/>
        </w:rPr>
      </w:pPr>
      <w:r>
        <w:rPr>
          <w:sz w:val="26"/>
          <w:szCs w:val="26"/>
          <w:rtl/>
        </w:rPr>
        <w:t>وسيساعد تنفيذ المرحلة الأولى من خطة التنفيذ المتعلقة بالمواد الهيدروفلوروكربونية بموجب تعديل كيغالي حكومةَ سان تومي وبرينسيبي على الوفاء بالتزامها بخفض استهلاك المواد الهيدروفلوروكربونية بنسبة 50.64 في المائة من استهلاك خط الأساس للمواد الهيدروفلوروكربونية بحلول 1 كانون الثاني/يناير 2029.</w:t>
      </w:r>
    </w:p>
    <w:p w14:paraId="78A18C47" w14:textId="2665F5B8" w:rsidR="0048515A" w:rsidRPr="00BE38DF" w:rsidRDefault="0048515A" w:rsidP="0048515A">
      <w:pPr>
        <w:pStyle w:val="Heading1"/>
        <w:rPr>
          <w:sz w:val="26"/>
          <w:szCs w:val="26"/>
          <w:lang w:eastAsia="en-CA"/>
          <w14:ligatures w14:val="standardContextual"/>
        </w:rPr>
      </w:pPr>
      <w:r>
        <w:rPr>
          <w:sz w:val="26"/>
          <w:szCs w:val="26"/>
          <w:rtl/>
        </w:rPr>
        <w:t>وتبلغ الشريحة الأولى من المرحلة الأولى من خطة التنفيذ المتعلقة بالمواد الهيدروفلوروكربونية بموجب تعديل كيغالي المطلوبة في هذا الاجتماع 72,500 دولار أمريكي، زائد تكاليف دعم الوكالة البالغة 9,425 دولاراً أمريكياً لليونيب، حسب ما قُدّم في الأصل، للفترة من كانون الثاني/يناير 2027 إلى كانون الأول/ديسمبر 2029.</w:t>
      </w:r>
    </w:p>
    <w:p w14:paraId="58CFBEB6" w14:textId="56B8E520" w:rsidR="00CB0432" w:rsidRPr="00BE38DF" w:rsidRDefault="00CB0432" w:rsidP="00CB0432">
      <w:pPr>
        <w:keepNext/>
        <w:spacing w:after="240"/>
        <w:rPr>
          <w:b/>
          <w:sz w:val="26"/>
          <w:szCs w:val="26"/>
        </w:rPr>
      </w:pPr>
      <w:r>
        <w:rPr>
          <w:b/>
          <w:bCs/>
          <w:sz w:val="26"/>
          <w:szCs w:val="26"/>
          <w:rtl/>
        </w:rPr>
        <w:t>ثانياً</w:t>
      </w:r>
      <w:r>
        <w:rPr>
          <w:b/>
          <w:bCs/>
          <w:sz w:val="26"/>
          <w:szCs w:val="26"/>
          <w:rtl/>
        </w:rPr>
        <w:tab/>
      </w:r>
      <w:r w:rsidR="00016D21" w:rsidRPr="00016D21">
        <w:rPr>
          <w:b/>
          <w:bCs/>
          <w:sz w:val="26"/>
          <w:szCs w:val="26"/>
          <w:rtl/>
        </w:rPr>
        <w:t>معلومات أساسية</w:t>
      </w:r>
    </w:p>
    <w:p w14:paraId="34D4444E" w14:textId="77777777" w:rsidR="00CB0432" w:rsidRPr="00BE38DF" w:rsidRDefault="00CB0432" w:rsidP="00CB0432">
      <w:pPr>
        <w:keepNext/>
        <w:spacing w:after="240"/>
        <w:rPr>
          <w:bCs/>
          <w:sz w:val="26"/>
          <w:szCs w:val="26"/>
          <w:u w:val="single"/>
        </w:rPr>
      </w:pPr>
      <w:r>
        <w:rPr>
          <w:sz w:val="26"/>
          <w:szCs w:val="26"/>
          <w:u w:val="single"/>
          <w:rtl/>
        </w:rPr>
        <w:t>حالة تنفيذ خطة إدارة إزالة المواد الهيدروكلوروفلوروكربونية</w:t>
      </w:r>
    </w:p>
    <w:p w14:paraId="71F11B0F" w14:textId="33248A14" w:rsidR="00FD33D1" w:rsidRPr="00BE38DF" w:rsidRDefault="00FD33D1" w:rsidP="005C4A56">
      <w:pPr>
        <w:pStyle w:val="Heading1"/>
        <w:widowControl w:val="0"/>
        <w:rPr>
          <w:sz w:val="26"/>
          <w:szCs w:val="26"/>
          <w:lang w:eastAsia="en-CA"/>
          <w14:ligatures w14:val="standardContextual"/>
        </w:rPr>
      </w:pPr>
      <w:r>
        <w:rPr>
          <w:sz w:val="26"/>
          <w:szCs w:val="26"/>
          <w:rtl/>
        </w:rPr>
        <w:t>يعرض الجدول 4 معلومات عن خطة إدارة إزالة المواد الهيدروكلوروفلوروكربونية في سان تومي وبرينسيبي حتى آب/أغسطس 2026.</w:t>
      </w:r>
    </w:p>
    <w:p w14:paraId="74F69F49" w14:textId="0F1DE0F4" w:rsidR="00FD33D1" w:rsidRPr="00BE38DF" w:rsidRDefault="00FD33D1" w:rsidP="005C4A56">
      <w:pPr>
        <w:widowControl w:val="0"/>
        <w:rPr>
          <w:kern w:val="2"/>
          <w:sz w:val="26"/>
          <w:szCs w:val="26"/>
          <w:lang w:eastAsia="en-CA"/>
          <w14:ligatures w14:val="standardContextual"/>
        </w:rPr>
      </w:pPr>
      <w:r>
        <w:rPr>
          <w:b/>
          <w:bCs/>
          <w:sz w:val="26"/>
          <w:szCs w:val="26"/>
          <w:rtl/>
        </w:rPr>
        <w:t>الجدول 4. حالة تنفيذ خطة إدارة إزالة المواد الهيدروكلوروفلوروكربونية في سان تومي وبرينسيبي</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25"/>
        <w:gridCol w:w="2313"/>
        <w:gridCol w:w="1522"/>
      </w:tblGrid>
      <w:tr w:rsidR="00FD33D1" w:rsidRPr="00FC32FD" w14:paraId="4A6EC620" w14:textId="77777777" w:rsidTr="00FC32FD">
        <w:trPr>
          <w:cantSplit/>
          <w:tblHeader/>
          <w:jc w:val="center"/>
        </w:trPr>
        <w:tc>
          <w:tcPr>
            <w:tcW w:w="5525" w:type="dxa"/>
            <w:tcMar>
              <w:top w:w="0" w:type="dxa"/>
              <w:left w:w="108" w:type="dxa"/>
              <w:bottom w:w="0" w:type="dxa"/>
              <w:right w:w="108" w:type="dxa"/>
            </w:tcMar>
            <w:vAlign w:val="center"/>
            <w:hideMark/>
          </w:tcPr>
          <w:p w14:paraId="5A6680B8" w14:textId="718249C7" w:rsidR="00FD33D1" w:rsidRPr="00FC32FD" w:rsidRDefault="002200C5" w:rsidP="002200C5">
            <w:pPr>
              <w:widowControl w:val="0"/>
              <w:spacing w:before="20" w:after="20"/>
              <w:jc w:val="center"/>
              <w:rPr>
                <w:kern w:val="2"/>
                <w:sz w:val="18"/>
                <w:szCs w:val="18"/>
                <w:lang w:eastAsia="en-CA"/>
                <w14:ligatures w14:val="standardContextual"/>
              </w:rPr>
            </w:pPr>
            <w:r w:rsidRPr="00FC32FD">
              <w:rPr>
                <w:b/>
                <w:bCs/>
                <w:sz w:val="18"/>
                <w:szCs w:val="18"/>
                <w:rtl/>
              </w:rPr>
              <w:t>التفاصيل</w:t>
            </w:r>
          </w:p>
        </w:tc>
        <w:tc>
          <w:tcPr>
            <w:tcW w:w="2313" w:type="dxa"/>
            <w:tcMar>
              <w:top w:w="0" w:type="dxa"/>
              <w:left w:w="108" w:type="dxa"/>
              <w:bottom w:w="0" w:type="dxa"/>
              <w:right w:w="108" w:type="dxa"/>
            </w:tcMar>
            <w:vAlign w:val="center"/>
            <w:hideMark/>
          </w:tcPr>
          <w:p w14:paraId="2964F454" w14:textId="77777777" w:rsidR="00FD33D1" w:rsidRPr="00FC32FD" w:rsidRDefault="00FD33D1" w:rsidP="002200C5">
            <w:pPr>
              <w:widowControl w:val="0"/>
              <w:spacing w:before="20" w:after="20"/>
              <w:jc w:val="center"/>
              <w:rPr>
                <w:sz w:val="18"/>
                <w:szCs w:val="18"/>
              </w:rPr>
            </w:pPr>
            <w:r w:rsidRPr="00FC32FD">
              <w:rPr>
                <w:b/>
                <w:bCs/>
                <w:sz w:val="18"/>
                <w:szCs w:val="18"/>
                <w:rtl/>
              </w:rPr>
              <w:t>المرحلة الأولى</w:t>
            </w:r>
          </w:p>
        </w:tc>
        <w:tc>
          <w:tcPr>
            <w:tcW w:w="1522" w:type="dxa"/>
            <w:tcMar>
              <w:top w:w="0" w:type="dxa"/>
              <w:left w:w="108" w:type="dxa"/>
              <w:bottom w:w="0" w:type="dxa"/>
              <w:right w:w="108" w:type="dxa"/>
            </w:tcMar>
            <w:vAlign w:val="center"/>
            <w:hideMark/>
          </w:tcPr>
          <w:p w14:paraId="20FDFA0F" w14:textId="77777777" w:rsidR="00FD33D1" w:rsidRPr="00FC32FD" w:rsidRDefault="00FD33D1" w:rsidP="002200C5">
            <w:pPr>
              <w:widowControl w:val="0"/>
              <w:spacing w:before="20" w:after="20"/>
              <w:jc w:val="center"/>
              <w:rPr>
                <w:sz w:val="18"/>
                <w:szCs w:val="18"/>
              </w:rPr>
            </w:pPr>
            <w:r w:rsidRPr="00FC32FD">
              <w:rPr>
                <w:b/>
                <w:bCs/>
                <w:sz w:val="18"/>
                <w:szCs w:val="18"/>
                <w:rtl/>
              </w:rPr>
              <w:t>المرحلة الثانية</w:t>
            </w:r>
          </w:p>
        </w:tc>
      </w:tr>
      <w:tr w:rsidR="00FD33D1" w:rsidRPr="00FC32FD" w14:paraId="2C2BE518" w14:textId="77777777" w:rsidTr="00FC32FD">
        <w:trPr>
          <w:cantSplit/>
          <w:jc w:val="center"/>
        </w:trPr>
        <w:tc>
          <w:tcPr>
            <w:tcW w:w="5525" w:type="dxa"/>
            <w:tcMar>
              <w:top w:w="0" w:type="dxa"/>
              <w:left w:w="108" w:type="dxa"/>
              <w:bottom w:w="0" w:type="dxa"/>
              <w:right w:w="108" w:type="dxa"/>
            </w:tcMar>
            <w:vAlign w:val="center"/>
            <w:hideMark/>
          </w:tcPr>
          <w:p w14:paraId="16B387B4" w14:textId="77777777" w:rsidR="00FD33D1" w:rsidRPr="00FC32FD" w:rsidRDefault="00FD33D1" w:rsidP="005C4A56">
            <w:pPr>
              <w:widowControl w:val="0"/>
              <w:spacing w:before="20" w:after="20"/>
              <w:rPr>
                <w:sz w:val="18"/>
                <w:szCs w:val="18"/>
              </w:rPr>
            </w:pPr>
            <w:r w:rsidRPr="00FC32FD">
              <w:rPr>
                <w:sz w:val="18"/>
                <w:szCs w:val="18"/>
                <w:rtl/>
              </w:rPr>
              <w:t>الاجتماع الذي ووفق فيه على خطة إدارة إزالة المواد الهيدروكلوروفلوروكربونية أو حُدِّثت</w:t>
            </w:r>
          </w:p>
        </w:tc>
        <w:tc>
          <w:tcPr>
            <w:tcW w:w="2313" w:type="dxa"/>
            <w:tcMar>
              <w:top w:w="0" w:type="dxa"/>
              <w:left w:w="108" w:type="dxa"/>
              <w:bottom w:w="0" w:type="dxa"/>
              <w:right w:w="108" w:type="dxa"/>
            </w:tcMar>
            <w:vAlign w:val="center"/>
            <w:hideMark/>
          </w:tcPr>
          <w:p w14:paraId="0069C236" w14:textId="77777777" w:rsidR="00FD33D1" w:rsidRPr="00FC32FD" w:rsidRDefault="00FD33D1" w:rsidP="005C4A56">
            <w:pPr>
              <w:widowControl w:val="0"/>
              <w:spacing w:before="20" w:after="20"/>
              <w:rPr>
                <w:sz w:val="18"/>
                <w:szCs w:val="18"/>
              </w:rPr>
            </w:pPr>
            <w:r w:rsidRPr="00FC32FD">
              <w:rPr>
                <w:sz w:val="18"/>
                <w:szCs w:val="18"/>
                <w:rtl/>
              </w:rPr>
              <w:t>الثالث والستون</w:t>
            </w:r>
          </w:p>
        </w:tc>
        <w:tc>
          <w:tcPr>
            <w:tcW w:w="1522" w:type="dxa"/>
            <w:vMerge w:val="restart"/>
            <w:tcMar>
              <w:top w:w="0" w:type="dxa"/>
              <w:left w:w="108" w:type="dxa"/>
              <w:bottom w:w="0" w:type="dxa"/>
              <w:right w:w="108" w:type="dxa"/>
            </w:tcMar>
            <w:vAlign w:val="center"/>
            <w:hideMark/>
          </w:tcPr>
          <w:p w14:paraId="744C3F78" w14:textId="77777777" w:rsidR="00FD33D1" w:rsidRPr="00FC32FD" w:rsidRDefault="00FD33D1" w:rsidP="005C4A56">
            <w:pPr>
              <w:widowControl w:val="0"/>
              <w:spacing w:before="20" w:after="20"/>
              <w:rPr>
                <w:sz w:val="18"/>
                <w:szCs w:val="18"/>
              </w:rPr>
            </w:pPr>
            <w:r w:rsidRPr="00FC32FD">
              <w:rPr>
                <w:sz w:val="18"/>
                <w:szCs w:val="18"/>
                <w:rtl/>
              </w:rPr>
              <w:t>مقدمة إلى هذا الاجتماع</w:t>
            </w:r>
          </w:p>
        </w:tc>
      </w:tr>
      <w:tr w:rsidR="00FD33D1" w:rsidRPr="00FC32FD" w14:paraId="5F98695F" w14:textId="77777777" w:rsidTr="00FC32FD">
        <w:trPr>
          <w:cantSplit/>
          <w:jc w:val="center"/>
        </w:trPr>
        <w:tc>
          <w:tcPr>
            <w:tcW w:w="5525" w:type="dxa"/>
            <w:tcMar>
              <w:top w:w="0" w:type="dxa"/>
              <w:left w:w="108" w:type="dxa"/>
              <w:bottom w:w="0" w:type="dxa"/>
              <w:right w:w="108" w:type="dxa"/>
            </w:tcMar>
            <w:vAlign w:val="center"/>
            <w:hideMark/>
          </w:tcPr>
          <w:p w14:paraId="2B008D61" w14:textId="77777777" w:rsidR="00FD33D1" w:rsidRPr="00FC32FD" w:rsidRDefault="00FD33D1" w:rsidP="005C4A56">
            <w:pPr>
              <w:widowControl w:val="0"/>
              <w:spacing w:before="20" w:after="20"/>
              <w:rPr>
                <w:sz w:val="18"/>
                <w:szCs w:val="18"/>
              </w:rPr>
            </w:pPr>
            <w:r w:rsidRPr="00FC32FD">
              <w:rPr>
                <w:sz w:val="18"/>
                <w:szCs w:val="18"/>
                <w:rtl/>
              </w:rPr>
              <w:t>التخفيض من خط الأساس</w:t>
            </w:r>
          </w:p>
        </w:tc>
        <w:tc>
          <w:tcPr>
            <w:tcW w:w="2313" w:type="dxa"/>
            <w:tcMar>
              <w:top w:w="0" w:type="dxa"/>
              <w:left w:w="108" w:type="dxa"/>
              <w:bottom w:w="0" w:type="dxa"/>
              <w:right w:w="108" w:type="dxa"/>
            </w:tcMar>
            <w:vAlign w:val="center"/>
            <w:hideMark/>
          </w:tcPr>
          <w:p w14:paraId="4F3C9CE7" w14:textId="77777777" w:rsidR="00FD33D1" w:rsidRPr="00FC32FD" w:rsidRDefault="00FD33D1" w:rsidP="005C4A56">
            <w:pPr>
              <w:widowControl w:val="0"/>
              <w:spacing w:before="20" w:after="20"/>
              <w:rPr>
                <w:sz w:val="18"/>
                <w:szCs w:val="18"/>
              </w:rPr>
            </w:pPr>
            <w:r w:rsidRPr="00FC32FD">
              <w:rPr>
                <w:sz w:val="18"/>
                <w:szCs w:val="18"/>
                <w:rtl/>
              </w:rPr>
              <w:t>35% بحلول عام 2020</w:t>
            </w:r>
          </w:p>
        </w:tc>
        <w:tc>
          <w:tcPr>
            <w:tcW w:w="1522" w:type="dxa"/>
            <w:vMerge/>
            <w:tcMar>
              <w:top w:w="0" w:type="dxa"/>
              <w:left w:w="108" w:type="dxa"/>
              <w:bottom w:w="0" w:type="dxa"/>
              <w:right w:w="108" w:type="dxa"/>
            </w:tcMar>
            <w:vAlign w:val="center"/>
          </w:tcPr>
          <w:p w14:paraId="635C1B83" w14:textId="21EDF3E6" w:rsidR="00FD33D1" w:rsidRPr="00FC32FD" w:rsidRDefault="00FD33D1" w:rsidP="005C4A56">
            <w:pPr>
              <w:widowControl w:val="0"/>
              <w:spacing w:before="20" w:after="20"/>
              <w:rPr>
                <w:sz w:val="18"/>
                <w:szCs w:val="18"/>
              </w:rPr>
            </w:pPr>
          </w:p>
        </w:tc>
      </w:tr>
      <w:tr w:rsidR="00FD33D1" w:rsidRPr="00FC32FD" w14:paraId="624C68FB" w14:textId="77777777" w:rsidTr="00FC32FD">
        <w:trPr>
          <w:cantSplit/>
          <w:trHeight w:val="336"/>
          <w:jc w:val="center"/>
        </w:trPr>
        <w:tc>
          <w:tcPr>
            <w:tcW w:w="5525" w:type="dxa"/>
            <w:tcMar>
              <w:top w:w="0" w:type="dxa"/>
              <w:left w:w="108" w:type="dxa"/>
              <w:bottom w:w="0" w:type="dxa"/>
              <w:right w:w="108" w:type="dxa"/>
            </w:tcMar>
            <w:vAlign w:val="center"/>
            <w:hideMark/>
          </w:tcPr>
          <w:p w14:paraId="69050815" w14:textId="506F9F02" w:rsidR="00FD33D1" w:rsidRPr="00FC32FD" w:rsidRDefault="00FD33D1" w:rsidP="005C4A56">
            <w:pPr>
              <w:widowControl w:val="0"/>
              <w:spacing w:before="20" w:after="20"/>
              <w:rPr>
                <w:sz w:val="18"/>
                <w:szCs w:val="18"/>
              </w:rPr>
            </w:pPr>
            <w:r w:rsidRPr="00FC32FD">
              <w:rPr>
                <w:b/>
                <w:bCs/>
                <w:sz w:val="18"/>
                <w:szCs w:val="18"/>
                <w:rtl/>
              </w:rPr>
              <w:t>التكلفة الإجمالية للمرحلة (بالدولار الأمريكي)</w:t>
            </w:r>
          </w:p>
        </w:tc>
        <w:tc>
          <w:tcPr>
            <w:tcW w:w="2313" w:type="dxa"/>
            <w:tcMar>
              <w:top w:w="0" w:type="dxa"/>
              <w:left w:w="108" w:type="dxa"/>
              <w:bottom w:w="0" w:type="dxa"/>
              <w:right w:w="108" w:type="dxa"/>
            </w:tcMar>
            <w:vAlign w:val="center"/>
            <w:hideMark/>
          </w:tcPr>
          <w:p w14:paraId="011403A5" w14:textId="77777777" w:rsidR="00FD33D1" w:rsidRPr="00FC32FD" w:rsidRDefault="00FD33D1" w:rsidP="005C4A56">
            <w:pPr>
              <w:widowControl w:val="0"/>
              <w:spacing w:before="20" w:after="20"/>
              <w:rPr>
                <w:sz w:val="18"/>
                <w:szCs w:val="18"/>
              </w:rPr>
            </w:pPr>
            <w:r w:rsidRPr="00FC32FD">
              <w:rPr>
                <w:sz w:val="18"/>
                <w:szCs w:val="18"/>
              </w:rPr>
              <w:t>160,000</w:t>
            </w:r>
          </w:p>
        </w:tc>
        <w:tc>
          <w:tcPr>
            <w:tcW w:w="1522" w:type="dxa"/>
            <w:vMerge/>
            <w:tcMar>
              <w:top w:w="0" w:type="dxa"/>
              <w:left w:w="108" w:type="dxa"/>
              <w:bottom w:w="0" w:type="dxa"/>
              <w:right w:w="108" w:type="dxa"/>
            </w:tcMar>
            <w:vAlign w:val="center"/>
          </w:tcPr>
          <w:p w14:paraId="77DC87A3" w14:textId="40B29459" w:rsidR="00FD33D1" w:rsidRPr="00FC32FD" w:rsidRDefault="00FD33D1" w:rsidP="005C4A56">
            <w:pPr>
              <w:widowControl w:val="0"/>
              <w:spacing w:before="20" w:after="20"/>
              <w:rPr>
                <w:sz w:val="18"/>
                <w:szCs w:val="18"/>
              </w:rPr>
            </w:pPr>
          </w:p>
        </w:tc>
      </w:tr>
      <w:tr w:rsidR="00FD33D1" w:rsidRPr="00FC32FD" w14:paraId="19DCEC79" w14:textId="77777777" w:rsidTr="00FC32FD">
        <w:trPr>
          <w:cantSplit/>
          <w:jc w:val="center"/>
        </w:trPr>
        <w:tc>
          <w:tcPr>
            <w:tcW w:w="5525" w:type="dxa"/>
            <w:tcMar>
              <w:top w:w="0" w:type="dxa"/>
              <w:left w:w="108" w:type="dxa"/>
              <w:bottom w:w="0" w:type="dxa"/>
              <w:right w:w="108" w:type="dxa"/>
            </w:tcMar>
            <w:vAlign w:val="center"/>
            <w:hideMark/>
          </w:tcPr>
          <w:p w14:paraId="286458CD" w14:textId="77777777" w:rsidR="00FD33D1" w:rsidRPr="00FC32FD" w:rsidRDefault="00FD33D1" w:rsidP="005C4A56">
            <w:pPr>
              <w:widowControl w:val="0"/>
              <w:spacing w:before="20" w:after="20"/>
              <w:rPr>
                <w:sz w:val="18"/>
                <w:szCs w:val="18"/>
              </w:rPr>
            </w:pPr>
            <w:r w:rsidRPr="00FC32FD">
              <w:rPr>
                <w:b/>
                <w:bCs/>
                <w:sz w:val="18"/>
                <w:szCs w:val="18"/>
                <w:rtl/>
              </w:rPr>
              <w:lastRenderedPageBreak/>
              <w:t>تاريخ الإنجاز (الفعلي أو المقرر)</w:t>
            </w:r>
          </w:p>
        </w:tc>
        <w:tc>
          <w:tcPr>
            <w:tcW w:w="2313" w:type="dxa"/>
            <w:tcMar>
              <w:top w:w="0" w:type="dxa"/>
              <w:left w:w="108" w:type="dxa"/>
              <w:bottom w:w="0" w:type="dxa"/>
              <w:right w:w="108" w:type="dxa"/>
            </w:tcMar>
            <w:vAlign w:val="center"/>
            <w:hideMark/>
          </w:tcPr>
          <w:p w14:paraId="2CAF6E5D" w14:textId="77777777" w:rsidR="00FD33D1" w:rsidRPr="00FC32FD" w:rsidRDefault="00FD33D1" w:rsidP="005C4A56">
            <w:pPr>
              <w:widowControl w:val="0"/>
              <w:spacing w:before="20" w:after="20"/>
              <w:rPr>
                <w:sz w:val="18"/>
                <w:szCs w:val="18"/>
              </w:rPr>
            </w:pPr>
            <w:r w:rsidRPr="00FC32FD">
              <w:rPr>
                <w:sz w:val="18"/>
                <w:szCs w:val="18"/>
                <w:rtl/>
              </w:rPr>
              <w:t>31 كانون الأول/ديسمبر 2021</w:t>
            </w:r>
          </w:p>
        </w:tc>
        <w:tc>
          <w:tcPr>
            <w:tcW w:w="1522" w:type="dxa"/>
            <w:vMerge/>
            <w:tcMar>
              <w:top w:w="0" w:type="dxa"/>
              <w:left w:w="108" w:type="dxa"/>
              <w:bottom w:w="0" w:type="dxa"/>
              <w:right w:w="108" w:type="dxa"/>
            </w:tcMar>
            <w:vAlign w:val="center"/>
          </w:tcPr>
          <w:p w14:paraId="6129C0F9" w14:textId="1DF1F359" w:rsidR="00FD33D1" w:rsidRPr="00FC32FD" w:rsidRDefault="00FD33D1" w:rsidP="005C4A56">
            <w:pPr>
              <w:widowControl w:val="0"/>
              <w:spacing w:before="20" w:after="20"/>
              <w:rPr>
                <w:sz w:val="18"/>
                <w:szCs w:val="18"/>
              </w:rPr>
            </w:pPr>
          </w:p>
        </w:tc>
      </w:tr>
    </w:tbl>
    <w:p w14:paraId="328C0CDD" w14:textId="77777777" w:rsidR="00CB0432" w:rsidRPr="00BE38DF" w:rsidRDefault="00CB0432" w:rsidP="00CB0432">
      <w:pPr>
        <w:pStyle w:val="Heading1"/>
        <w:keepNext/>
        <w:numPr>
          <w:ilvl w:val="0"/>
          <w:numId w:val="0"/>
        </w:numPr>
        <w:tabs>
          <w:tab w:val="num" w:pos="709"/>
        </w:tabs>
        <w:spacing w:before="240"/>
        <w:rPr>
          <w:sz w:val="26"/>
          <w:szCs w:val="26"/>
        </w:rPr>
      </w:pPr>
      <w:r>
        <w:rPr>
          <w:sz w:val="26"/>
          <w:szCs w:val="26"/>
          <w:u w:val="single"/>
          <w:rtl/>
        </w:rPr>
        <w:t>حالة تنفيذ الأنشطة السابقة المتعلقة بالمواد الهيدروفلوروكربونية</w:t>
      </w:r>
    </w:p>
    <w:p w14:paraId="227C31E4" w14:textId="4358705F" w:rsidR="00FD33D1" w:rsidRPr="00BE38DF" w:rsidRDefault="00FD33D1" w:rsidP="00FD33D1">
      <w:pPr>
        <w:pStyle w:val="Heading1"/>
        <w:rPr>
          <w:sz w:val="26"/>
          <w:szCs w:val="26"/>
          <w:lang w:eastAsia="en-CA"/>
          <w14:ligatures w14:val="standardContextual"/>
        </w:rPr>
      </w:pPr>
      <w:r>
        <w:rPr>
          <w:sz w:val="26"/>
          <w:szCs w:val="26"/>
          <w:rtl/>
        </w:rPr>
        <w:t>يعرض الجدول 5 لمحة عامة عن الأنشطة المنفذة في سان تومي وبرينسيبي في سياق تعديل كيغالي والممولة من الصندوق المتعدد الأطراف.</w:t>
      </w:r>
    </w:p>
    <w:p w14:paraId="254B794A" w14:textId="5803AEA8" w:rsidR="00FD33D1" w:rsidRPr="00BE38DF" w:rsidRDefault="00FD33D1" w:rsidP="00FD33D1">
      <w:pPr>
        <w:pStyle w:val="Heading1"/>
        <w:keepNext/>
        <w:numPr>
          <w:ilvl w:val="0"/>
          <w:numId w:val="0"/>
        </w:numPr>
        <w:spacing w:after="0"/>
        <w:rPr>
          <w:kern w:val="36"/>
          <w:sz w:val="26"/>
          <w:szCs w:val="26"/>
          <w:lang w:eastAsia="en-CA"/>
          <w14:ligatures w14:val="standardContextual"/>
        </w:rPr>
      </w:pPr>
      <w:r>
        <w:rPr>
          <w:b/>
          <w:bCs/>
          <w:kern w:val="36"/>
          <w:sz w:val="26"/>
          <w:szCs w:val="26"/>
          <w:rtl/>
        </w:rPr>
        <w:t>الجدول 5. الأنشطة المتعلقة بالمواد الهيدروفلوروكربونية التي سبقت الموافقة عليها في سان تومي وبرينسيبي</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0"/>
        <w:gridCol w:w="3472"/>
        <w:gridCol w:w="1440"/>
        <w:gridCol w:w="1440"/>
        <w:gridCol w:w="1878"/>
      </w:tblGrid>
      <w:tr w:rsidR="00FD33D1" w:rsidRPr="00F43DAB" w14:paraId="31AD3366" w14:textId="77777777" w:rsidTr="00FC32FD">
        <w:trPr>
          <w:cantSplit/>
          <w:jc w:val="center"/>
        </w:trPr>
        <w:tc>
          <w:tcPr>
            <w:tcW w:w="1130" w:type="dxa"/>
            <w:tcMar>
              <w:top w:w="0" w:type="dxa"/>
              <w:left w:w="108" w:type="dxa"/>
              <w:bottom w:w="0" w:type="dxa"/>
              <w:right w:w="108" w:type="dxa"/>
            </w:tcMar>
            <w:vAlign w:val="center"/>
            <w:hideMark/>
          </w:tcPr>
          <w:p w14:paraId="1BB89B0F" w14:textId="77777777" w:rsidR="00FD33D1" w:rsidRPr="00F43DAB" w:rsidRDefault="00FD33D1" w:rsidP="00C00FFA">
            <w:pPr>
              <w:keepNext/>
              <w:spacing w:before="20" w:after="20"/>
              <w:jc w:val="center"/>
              <w:rPr>
                <w:kern w:val="2"/>
                <w:sz w:val="20"/>
                <w:szCs w:val="20"/>
                <w:lang w:eastAsia="en-CA"/>
                <w14:ligatures w14:val="standardContextual"/>
              </w:rPr>
            </w:pPr>
            <w:r w:rsidRPr="00F43DAB">
              <w:rPr>
                <w:b/>
                <w:bCs/>
                <w:sz w:val="20"/>
                <w:szCs w:val="20"/>
                <w:rtl/>
              </w:rPr>
              <w:t>اجتماع الموافقة</w:t>
            </w:r>
          </w:p>
        </w:tc>
        <w:tc>
          <w:tcPr>
            <w:tcW w:w="3472" w:type="dxa"/>
            <w:tcMar>
              <w:top w:w="0" w:type="dxa"/>
              <w:left w:w="108" w:type="dxa"/>
              <w:bottom w:w="0" w:type="dxa"/>
              <w:right w:w="108" w:type="dxa"/>
            </w:tcMar>
            <w:vAlign w:val="center"/>
            <w:hideMark/>
          </w:tcPr>
          <w:p w14:paraId="142148AC" w14:textId="77777777" w:rsidR="00FD33D1" w:rsidRPr="00F43DAB" w:rsidRDefault="00FD33D1" w:rsidP="00C00FFA">
            <w:pPr>
              <w:keepNext/>
              <w:spacing w:before="20" w:after="20"/>
              <w:jc w:val="center"/>
              <w:rPr>
                <w:sz w:val="20"/>
                <w:szCs w:val="20"/>
              </w:rPr>
            </w:pPr>
            <w:r w:rsidRPr="00F43DAB">
              <w:rPr>
                <w:b/>
                <w:bCs/>
                <w:sz w:val="20"/>
                <w:szCs w:val="20"/>
                <w:rtl/>
              </w:rPr>
              <w:t>عنوان المشروع</w:t>
            </w:r>
          </w:p>
        </w:tc>
        <w:tc>
          <w:tcPr>
            <w:tcW w:w="1440" w:type="dxa"/>
            <w:tcMar>
              <w:top w:w="0" w:type="dxa"/>
              <w:left w:w="108" w:type="dxa"/>
              <w:bottom w:w="0" w:type="dxa"/>
              <w:right w:w="108" w:type="dxa"/>
            </w:tcMar>
            <w:vAlign w:val="center"/>
            <w:hideMark/>
          </w:tcPr>
          <w:p w14:paraId="5BEDA721" w14:textId="77777777" w:rsidR="00FD33D1" w:rsidRPr="00F43DAB" w:rsidRDefault="00FD33D1" w:rsidP="00C00FFA">
            <w:pPr>
              <w:keepNext/>
              <w:spacing w:before="20" w:after="20"/>
              <w:jc w:val="center"/>
              <w:rPr>
                <w:sz w:val="20"/>
                <w:szCs w:val="20"/>
              </w:rPr>
            </w:pPr>
            <w:r w:rsidRPr="00F43DAB">
              <w:rPr>
                <w:b/>
                <w:bCs/>
                <w:sz w:val="20"/>
                <w:szCs w:val="20"/>
                <w:rtl/>
              </w:rPr>
              <w:t>الوكالة المنفذة</w:t>
            </w:r>
          </w:p>
        </w:tc>
        <w:tc>
          <w:tcPr>
            <w:tcW w:w="1440" w:type="dxa"/>
            <w:tcMar>
              <w:top w:w="0" w:type="dxa"/>
              <w:left w:w="108" w:type="dxa"/>
              <w:bottom w:w="0" w:type="dxa"/>
              <w:right w:w="108" w:type="dxa"/>
            </w:tcMar>
            <w:vAlign w:val="center"/>
            <w:hideMark/>
          </w:tcPr>
          <w:p w14:paraId="4731831E" w14:textId="77777777" w:rsidR="00FD33D1" w:rsidRPr="00F43DAB" w:rsidRDefault="00FD33D1" w:rsidP="00C00FFA">
            <w:pPr>
              <w:keepNext/>
              <w:spacing w:before="20" w:after="20"/>
              <w:jc w:val="center"/>
              <w:rPr>
                <w:sz w:val="20"/>
                <w:szCs w:val="20"/>
              </w:rPr>
            </w:pPr>
            <w:r w:rsidRPr="00F43DAB">
              <w:rPr>
                <w:b/>
                <w:bCs/>
                <w:sz w:val="20"/>
                <w:szCs w:val="20"/>
                <w:rtl/>
              </w:rPr>
              <w:t>التكلفة (بالدولار الأمريكي)</w:t>
            </w:r>
          </w:p>
        </w:tc>
        <w:tc>
          <w:tcPr>
            <w:tcW w:w="1878" w:type="dxa"/>
            <w:tcMar>
              <w:top w:w="0" w:type="dxa"/>
              <w:left w:w="108" w:type="dxa"/>
              <w:bottom w:w="0" w:type="dxa"/>
              <w:right w:w="108" w:type="dxa"/>
            </w:tcMar>
            <w:vAlign w:val="center"/>
            <w:hideMark/>
          </w:tcPr>
          <w:p w14:paraId="517FDF7A" w14:textId="77777777" w:rsidR="00FD33D1" w:rsidRPr="00F43DAB" w:rsidRDefault="00FD33D1" w:rsidP="00C00FFA">
            <w:pPr>
              <w:keepNext/>
              <w:spacing w:before="20" w:after="20"/>
              <w:jc w:val="center"/>
              <w:rPr>
                <w:sz w:val="20"/>
                <w:szCs w:val="20"/>
              </w:rPr>
            </w:pPr>
            <w:r w:rsidRPr="00F43DAB">
              <w:rPr>
                <w:b/>
                <w:bCs/>
                <w:sz w:val="20"/>
                <w:szCs w:val="20"/>
                <w:rtl/>
              </w:rPr>
              <w:t>تاريخ الإنجاز</w:t>
            </w:r>
          </w:p>
        </w:tc>
      </w:tr>
      <w:tr w:rsidR="00FD33D1" w:rsidRPr="00F43DAB" w14:paraId="07A0969A" w14:textId="77777777" w:rsidTr="00FC32FD">
        <w:trPr>
          <w:cantSplit/>
          <w:jc w:val="center"/>
        </w:trPr>
        <w:tc>
          <w:tcPr>
            <w:tcW w:w="1130" w:type="dxa"/>
            <w:tcMar>
              <w:top w:w="0" w:type="dxa"/>
              <w:left w:w="108" w:type="dxa"/>
              <w:bottom w:w="0" w:type="dxa"/>
              <w:right w:w="108" w:type="dxa"/>
            </w:tcMar>
            <w:hideMark/>
          </w:tcPr>
          <w:p w14:paraId="5C998EFE" w14:textId="77777777" w:rsidR="00FD33D1" w:rsidRPr="00F43DAB" w:rsidRDefault="00FD33D1" w:rsidP="00C00FFA">
            <w:pPr>
              <w:keepNext/>
              <w:spacing w:before="20" w:after="20"/>
              <w:jc w:val="center"/>
              <w:rPr>
                <w:sz w:val="20"/>
                <w:szCs w:val="20"/>
              </w:rPr>
            </w:pPr>
            <w:r w:rsidRPr="00F43DAB">
              <w:rPr>
                <w:sz w:val="20"/>
                <w:szCs w:val="20"/>
              </w:rPr>
              <w:t>74</w:t>
            </w:r>
          </w:p>
        </w:tc>
        <w:tc>
          <w:tcPr>
            <w:tcW w:w="3472" w:type="dxa"/>
            <w:tcMar>
              <w:top w:w="0" w:type="dxa"/>
              <w:left w:w="108" w:type="dxa"/>
              <w:bottom w:w="0" w:type="dxa"/>
              <w:right w:w="108" w:type="dxa"/>
            </w:tcMar>
            <w:hideMark/>
          </w:tcPr>
          <w:p w14:paraId="0A0F964B" w14:textId="77777777" w:rsidR="00FD33D1" w:rsidRPr="00F43DAB" w:rsidRDefault="00FD33D1">
            <w:pPr>
              <w:keepNext/>
              <w:spacing w:before="20" w:after="20"/>
              <w:rPr>
                <w:sz w:val="20"/>
                <w:szCs w:val="20"/>
              </w:rPr>
            </w:pPr>
            <w:r w:rsidRPr="00F43DAB">
              <w:rPr>
                <w:sz w:val="20"/>
                <w:szCs w:val="20"/>
                <w:rtl/>
              </w:rPr>
              <w:t>دراسة استقصائية لبدائل المواد المستنفدة للأوزون</w:t>
            </w:r>
          </w:p>
        </w:tc>
        <w:tc>
          <w:tcPr>
            <w:tcW w:w="1440" w:type="dxa"/>
            <w:tcMar>
              <w:top w:w="0" w:type="dxa"/>
              <w:left w:w="108" w:type="dxa"/>
              <w:bottom w:w="0" w:type="dxa"/>
              <w:right w:w="108" w:type="dxa"/>
            </w:tcMar>
            <w:hideMark/>
          </w:tcPr>
          <w:p w14:paraId="130583EE" w14:textId="77777777" w:rsidR="00FD33D1" w:rsidRPr="00F43DAB" w:rsidRDefault="00FD33D1" w:rsidP="00C00FFA">
            <w:pPr>
              <w:keepNext/>
              <w:spacing w:before="20" w:after="20"/>
              <w:jc w:val="center"/>
              <w:rPr>
                <w:sz w:val="20"/>
                <w:szCs w:val="20"/>
              </w:rPr>
            </w:pPr>
            <w:r w:rsidRPr="00F43DAB">
              <w:rPr>
                <w:sz w:val="20"/>
                <w:szCs w:val="20"/>
                <w:rtl/>
              </w:rPr>
              <w:t>اليونيب</w:t>
            </w:r>
          </w:p>
        </w:tc>
        <w:tc>
          <w:tcPr>
            <w:tcW w:w="1440" w:type="dxa"/>
            <w:tcMar>
              <w:top w:w="0" w:type="dxa"/>
              <w:left w:w="108" w:type="dxa"/>
              <w:bottom w:w="0" w:type="dxa"/>
              <w:right w:w="108" w:type="dxa"/>
            </w:tcMar>
            <w:hideMark/>
          </w:tcPr>
          <w:p w14:paraId="55A2FC47" w14:textId="77777777" w:rsidR="00FD33D1" w:rsidRPr="00F43DAB" w:rsidRDefault="00FD33D1">
            <w:pPr>
              <w:keepNext/>
              <w:spacing w:before="20" w:after="20"/>
              <w:rPr>
                <w:sz w:val="20"/>
                <w:szCs w:val="20"/>
              </w:rPr>
            </w:pPr>
            <w:r w:rsidRPr="00F43DAB">
              <w:rPr>
                <w:sz w:val="20"/>
                <w:szCs w:val="20"/>
              </w:rPr>
              <w:t>40,000</w:t>
            </w:r>
          </w:p>
        </w:tc>
        <w:tc>
          <w:tcPr>
            <w:tcW w:w="1878" w:type="dxa"/>
            <w:tcMar>
              <w:top w:w="0" w:type="dxa"/>
              <w:left w:w="108" w:type="dxa"/>
              <w:bottom w:w="0" w:type="dxa"/>
              <w:right w:w="108" w:type="dxa"/>
            </w:tcMar>
            <w:hideMark/>
          </w:tcPr>
          <w:p w14:paraId="68B5202F" w14:textId="77777777" w:rsidR="00FD33D1" w:rsidRPr="00F43DAB" w:rsidRDefault="00FD33D1">
            <w:pPr>
              <w:keepNext/>
              <w:spacing w:before="20" w:after="20"/>
              <w:rPr>
                <w:sz w:val="20"/>
                <w:szCs w:val="20"/>
              </w:rPr>
            </w:pPr>
            <w:r w:rsidRPr="00F43DAB">
              <w:rPr>
                <w:sz w:val="20"/>
                <w:szCs w:val="20"/>
                <w:rtl/>
              </w:rPr>
              <w:t>كانون الثاني/يناير 2017</w:t>
            </w:r>
          </w:p>
        </w:tc>
      </w:tr>
      <w:tr w:rsidR="00FD33D1" w:rsidRPr="00F43DAB" w14:paraId="5334276B" w14:textId="77777777" w:rsidTr="00FC32FD">
        <w:trPr>
          <w:cantSplit/>
          <w:jc w:val="center"/>
        </w:trPr>
        <w:tc>
          <w:tcPr>
            <w:tcW w:w="1130" w:type="dxa"/>
            <w:tcMar>
              <w:top w:w="0" w:type="dxa"/>
              <w:left w:w="108" w:type="dxa"/>
              <w:bottom w:w="0" w:type="dxa"/>
              <w:right w:w="108" w:type="dxa"/>
            </w:tcMar>
            <w:hideMark/>
          </w:tcPr>
          <w:p w14:paraId="36BE3829" w14:textId="77777777" w:rsidR="00FD33D1" w:rsidRPr="00F43DAB" w:rsidRDefault="00FD33D1" w:rsidP="00C00FFA">
            <w:pPr>
              <w:spacing w:before="20" w:after="20"/>
              <w:jc w:val="center"/>
              <w:rPr>
                <w:sz w:val="20"/>
                <w:szCs w:val="20"/>
              </w:rPr>
            </w:pPr>
            <w:r w:rsidRPr="00F43DAB">
              <w:rPr>
                <w:sz w:val="20"/>
                <w:szCs w:val="20"/>
              </w:rPr>
              <w:t>81</w:t>
            </w:r>
          </w:p>
        </w:tc>
        <w:tc>
          <w:tcPr>
            <w:tcW w:w="3472" w:type="dxa"/>
            <w:tcMar>
              <w:top w:w="0" w:type="dxa"/>
              <w:left w:w="108" w:type="dxa"/>
              <w:bottom w:w="0" w:type="dxa"/>
              <w:right w:w="108" w:type="dxa"/>
            </w:tcMar>
            <w:hideMark/>
          </w:tcPr>
          <w:p w14:paraId="3A7D48CC" w14:textId="77777777" w:rsidR="00FD33D1" w:rsidRPr="00F43DAB" w:rsidRDefault="00FD33D1">
            <w:pPr>
              <w:spacing w:before="20" w:after="20"/>
              <w:rPr>
                <w:sz w:val="20"/>
                <w:szCs w:val="20"/>
              </w:rPr>
            </w:pPr>
            <w:r w:rsidRPr="00F43DAB">
              <w:rPr>
                <w:sz w:val="20"/>
                <w:szCs w:val="20"/>
                <w:rtl/>
              </w:rPr>
              <w:t>الأنشطة التمكينية للتخفيض التدريجي للمواد الهيدروفلوروكربونية</w:t>
            </w:r>
          </w:p>
        </w:tc>
        <w:tc>
          <w:tcPr>
            <w:tcW w:w="1440" w:type="dxa"/>
            <w:tcMar>
              <w:top w:w="0" w:type="dxa"/>
              <w:left w:w="108" w:type="dxa"/>
              <w:bottom w:w="0" w:type="dxa"/>
              <w:right w:w="108" w:type="dxa"/>
            </w:tcMar>
            <w:hideMark/>
          </w:tcPr>
          <w:p w14:paraId="735E9405" w14:textId="77777777" w:rsidR="00FD33D1" w:rsidRPr="00F43DAB" w:rsidRDefault="00FD33D1" w:rsidP="00C00FFA">
            <w:pPr>
              <w:spacing w:before="20" w:after="20"/>
              <w:jc w:val="center"/>
              <w:rPr>
                <w:sz w:val="20"/>
                <w:szCs w:val="20"/>
              </w:rPr>
            </w:pPr>
            <w:r w:rsidRPr="00F43DAB">
              <w:rPr>
                <w:sz w:val="20"/>
                <w:szCs w:val="20"/>
                <w:rtl/>
              </w:rPr>
              <w:t>اليونيب</w:t>
            </w:r>
          </w:p>
        </w:tc>
        <w:tc>
          <w:tcPr>
            <w:tcW w:w="1440" w:type="dxa"/>
            <w:tcMar>
              <w:top w:w="0" w:type="dxa"/>
              <w:left w:w="108" w:type="dxa"/>
              <w:bottom w:w="0" w:type="dxa"/>
              <w:right w:w="108" w:type="dxa"/>
            </w:tcMar>
            <w:hideMark/>
          </w:tcPr>
          <w:p w14:paraId="0E6182D3" w14:textId="77777777" w:rsidR="00FD33D1" w:rsidRPr="00F43DAB" w:rsidRDefault="00FD33D1">
            <w:pPr>
              <w:spacing w:before="20" w:after="20"/>
              <w:rPr>
                <w:sz w:val="20"/>
                <w:szCs w:val="20"/>
              </w:rPr>
            </w:pPr>
            <w:r w:rsidRPr="00F43DAB">
              <w:rPr>
                <w:sz w:val="20"/>
                <w:szCs w:val="20"/>
              </w:rPr>
              <w:t>95,000</w:t>
            </w:r>
          </w:p>
        </w:tc>
        <w:tc>
          <w:tcPr>
            <w:tcW w:w="1878" w:type="dxa"/>
            <w:tcMar>
              <w:top w:w="0" w:type="dxa"/>
              <w:left w:w="108" w:type="dxa"/>
              <w:bottom w:w="0" w:type="dxa"/>
              <w:right w:w="108" w:type="dxa"/>
            </w:tcMar>
            <w:hideMark/>
          </w:tcPr>
          <w:p w14:paraId="4DE487A2" w14:textId="77777777" w:rsidR="00FD33D1" w:rsidRPr="00F43DAB" w:rsidRDefault="00FD33D1">
            <w:pPr>
              <w:spacing w:before="20" w:after="20"/>
              <w:rPr>
                <w:sz w:val="20"/>
                <w:szCs w:val="20"/>
              </w:rPr>
            </w:pPr>
            <w:r w:rsidRPr="00F43DAB">
              <w:rPr>
                <w:sz w:val="20"/>
                <w:szCs w:val="20"/>
                <w:rtl/>
              </w:rPr>
              <w:t>كانون الثاني/يناير 2022</w:t>
            </w:r>
          </w:p>
        </w:tc>
      </w:tr>
    </w:tbl>
    <w:p w14:paraId="1652633A" w14:textId="77777777" w:rsidR="00CB0432" w:rsidRPr="00BE38DF" w:rsidRDefault="00CB0432" w:rsidP="00CB0432">
      <w:pPr>
        <w:keepNext/>
        <w:spacing w:before="240" w:after="240"/>
        <w:outlineLvl w:val="0"/>
        <w:rPr>
          <w:b/>
          <w:bCs/>
          <w:sz w:val="26"/>
          <w:szCs w:val="26"/>
        </w:rPr>
      </w:pPr>
      <w:r>
        <w:rPr>
          <w:b/>
          <w:bCs/>
          <w:sz w:val="26"/>
          <w:szCs w:val="26"/>
          <w:rtl/>
        </w:rPr>
        <w:t>ثالثاً</w:t>
      </w:r>
      <w:r>
        <w:rPr>
          <w:b/>
          <w:bCs/>
          <w:sz w:val="26"/>
          <w:szCs w:val="26"/>
          <w:rtl/>
        </w:rPr>
        <w:tab/>
        <w:t>لمحة عامة عن استهلاك المواد الهيدروفلوروكربونية</w:t>
      </w:r>
    </w:p>
    <w:p w14:paraId="71B55F71" w14:textId="77777777" w:rsidR="00CB0432" w:rsidRPr="00BE38DF" w:rsidRDefault="00CB0432" w:rsidP="00CB0432">
      <w:pPr>
        <w:keepNext/>
        <w:spacing w:before="240" w:after="240"/>
        <w:outlineLvl w:val="0"/>
        <w:rPr>
          <w:sz w:val="26"/>
          <w:szCs w:val="26"/>
          <w:u w:val="single"/>
        </w:rPr>
      </w:pPr>
      <w:r>
        <w:rPr>
          <w:sz w:val="26"/>
          <w:szCs w:val="26"/>
          <w:u w:val="single"/>
          <w:rtl/>
        </w:rPr>
        <w:t>مستويات استهلاك المواد الهيدروفلوروكربونية</w:t>
      </w:r>
    </w:p>
    <w:p w14:paraId="701A286F" w14:textId="7ED2F422" w:rsidR="00FD33D1" w:rsidRPr="00BE38DF" w:rsidRDefault="00FD33D1" w:rsidP="00FD33D1">
      <w:pPr>
        <w:pStyle w:val="Heading1"/>
        <w:rPr>
          <w:sz w:val="26"/>
          <w:szCs w:val="26"/>
          <w:lang w:eastAsia="en-CA"/>
          <w14:ligatures w14:val="standardContextual"/>
        </w:rPr>
      </w:pPr>
      <w:r>
        <w:rPr>
          <w:sz w:val="26"/>
          <w:szCs w:val="26"/>
          <w:rtl/>
        </w:rPr>
        <w:t>تستورد سان تومي وبرينسيبي المواد الهيدروفلوروكربونية (ولا تنتجها) لاستخدامها في قطاع خدمة أجهزة التبريد وتكييف الهواء فقط. وكانت أكثر المواد استهلاكاً في عام 2025 هي R</w:t>
      </w:r>
      <w:r>
        <w:rPr>
          <w:sz w:val="26"/>
          <w:szCs w:val="26"/>
          <w:rtl/>
        </w:rPr>
        <w:noBreakHyphen/>
        <w:t>404A (40.3 في المائة من مجموع استهلاك المواد الهيدروفلوروكربونية بالطن من مكافئ ثاني أكسيد الكربون)، وR</w:t>
      </w:r>
      <w:r>
        <w:rPr>
          <w:sz w:val="26"/>
          <w:szCs w:val="26"/>
          <w:rtl/>
        </w:rPr>
        <w:noBreakHyphen/>
        <w:t>410A (35.0 في المائة)، والهيدروفلوروكربون</w:t>
      </w:r>
      <w:r>
        <w:rPr>
          <w:sz w:val="26"/>
          <w:szCs w:val="26"/>
          <w:rtl/>
        </w:rPr>
        <w:noBreakHyphen/>
        <w:t>134a (16.4 في المائة)، وR</w:t>
      </w:r>
      <w:r>
        <w:rPr>
          <w:sz w:val="26"/>
          <w:szCs w:val="26"/>
          <w:rtl/>
        </w:rPr>
        <w:noBreakHyphen/>
        <w:t>407C (8.3 في المائة). ويعرض الجدول 6 استهلاك البلد من المواد الهيدروفلوروكربونية حسب ما أُبلغت به أمانة الأوزون بموجب المادة 7 من بروتوكول مونتريال، وخط أساس المواد الهيدروفلوروكربونية للبلد.</w:t>
      </w:r>
    </w:p>
    <w:p w14:paraId="3649A44C" w14:textId="5E0335DD" w:rsidR="00FD33D1" w:rsidRPr="00BE38DF" w:rsidRDefault="00FD33D1" w:rsidP="00FD33D1">
      <w:pPr>
        <w:pStyle w:val="Heading1"/>
        <w:keepNext/>
        <w:numPr>
          <w:ilvl w:val="0"/>
          <w:numId w:val="0"/>
        </w:numPr>
        <w:spacing w:before="240" w:after="0"/>
        <w:rPr>
          <w:kern w:val="36"/>
          <w:sz w:val="26"/>
          <w:szCs w:val="26"/>
          <w:lang w:eastAsia="en-CA"/>
          <w14:ligatures w14:val="standardContextual"/>
        </w:rPr>
      </w:pPr>
      <w:r>
        <w:rPr>
          <w:b/>
          <w:bCs/>
          <w:kern w:val="36"/>
          <w:sz w:val="26"/>
          <w:szCs w:val="26"/>
          <w:rtl/>
        </w:rPr>
        <w:t>الجدول 6. استهلاك المواد الهيدروفلوروكربونية وخط الأساس لسان تومي وبرينسيبي للفترة 2020–2025 (بيانات المادة 7)</w:t>
      </w:r>
    </w:p>
    <w:tbl>
      <w:tblPr>
        <w:bidiVisual/>
        <w:tblW w:w="9360" w:type="dxa"/>
        <w:jc w:val="center"/>
        <w:tblLayout w:type="fixed"/>
        <w:tblLook w:val="04A0" w:firstRow="1" w:lastRow="0" w:firstColumn="1" w:lastColumn="0" w:noHBand="0" w:noVBand="1"/>
      </w:tblPr>
      <w:tblGrid>
        <w:gridCol w:w="1989"/>
        <w:gridCol w:w="1365"/>
        <w:gridCol w:w="1002"/>
        <w:gridCol w:w="1001"/>
        <w:gridCol w:w="1001"/>
        <w:gridCol w:w="1001"/>
        <w:gridCol w:w="501"/>
        <w:gridCol w:w="501"/>
        <w:gridCol w:w="999"/>
      </w:tblGrid>
      <w:tr w:rsidR="00FD33D1" w:rsidRPr="00BE38DF" w14:paraId="49B9FC2D" w14:textId="77777777" w:rsidTr="00096E92">
        <w:trPr>
          <w:cantSplit/>
          <w:tblHeader/>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779BE320" w14:textId="77777777" w:rsidR="00FD33D1" w:rsidRPr="0064286B" w:rsidRDefault="00FD33D1" w:rsidP="00096E92">
            <w:pPr>
              <w:keepNext/>
              <w:jc w:val="center"/>
              <w:rPr>
                <w:kern w:val="2"/>
                <w:sz w:val="20"/>
                <w:szCs w:val="20"/>
                <w:lang w:eastAsia="en-CA"/>
                <w14:ligatures w14:val="standardContextual"/>
              </w:rPr>
            </w:pPr>
            <w:r>
              <w:rPr>
                <w:b/>
                <w:bCs/>
                <w:sz w:val="20"/>
                <w:szCs w:val="20"/>
                <w:rtl/>
              </w:rPr>
              <w:t>المادة الهيدروفلوروكربونية</w:t>
            </w:r>
          </w:p>
        </w:tc>
        <w:tc>
          <w:tcPr>
            <w:tcW w:w="1365" w:type="dxa"/>
            <w:tcBorders>
              <w:top w:val="outset" w:sz="6" w:space="0" w:color="auto"/>
              <w:left w:val="outset" w:sz="6" w:space="0" w:color="auto"/>
              <w:bottom w:val="outset" w:sz="6" w:space="0" w:color="auto"/>
              <w:right w:val="outset" w:sz="6" w:space="0" w:color="auto"/>
            </w:tcBorders>
            <w:vAlign w:val="center"/>
            <w:hideMark/>
          </w:tcPr>
          <w:p w14:paraId="3265423B" w14:textId="77777777" w:rsidR="00FD33D1" w:rsidRPr="0064286B" w:rsidRDefault="00FD33D1" w:rsidP="00096E92">
            <w:pPr>
              <w:keepNext/>
              <w:jc w:val="center"/>
              <w:rPr>
                <w:sz w:val="20"/>
                <w:szCs w:val="20"/>
              </w:rPr>
            </w:pPr>
            <w:r>
              <w:rPr>
                <w:b/>
                <w:bCs/>
                <w:sz w:val="20"/>
                <w:szCs w:val="20"/>
                <w:rtl/>
              </w:rPr>
              <w:t>إمكانية الاحترار العالمي</w:t>
            </w:r>
          </w:p>
        </w:tc>
        <w:tc>
          <w:tcPr>
            <w:tcW w:w="1002" w:type="dxa"/>
            <w:tcBorders>
              <w:top w:val="outset" w:sz="6" w:space="0" w:color="auto"/>
              <w:left w:val="outset" w:sz="6" w:space="0" w:color="auto"/>
              <w:bottom w:val="outset" w:sz="6" w:space="0" w:color="auto"/>
              <w:right w:val="outset" w:sz="6" w:space="0" w:color="auto"/>
            </w:tcBorders>
            <w:vAlign w:val="center"/>
            <w:hideMark/>
          </w:tcPr>
          <w:p w14:paraId="71AA91CB" w14:textId="77777777" w:rsidR="00FD33D1" w:rsidRPr="0064286B" w:rsidRDefault="00FD33D1" w:rsidP="00096E92">
            <w:pPr>
              <w:keepNext/>
              <w:jc w:val="center"/>
              <w:rPr>
                <w:sz w:val="20"/>
                <w:szCs w:val="20"/>
              </w:rPr>
            </w:pPr>
            <w:r>
              <w:rPr>
                <w:b/>
                <w:bCs/>
                <w:sz w:val="20"/>
                <w:szCs w:val="20"/>
              </w:rPr>
              <w:t>2020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7A81A13" w14:textId="77777777" w:rsidR="00FD33D1" w:rsidRPr="0064286B" w:rsidRDefault="00FD33D1" w:rsidP="00096E92">
            <w:pPr>
              <w:keepNext/>
              <w:jc w:val="center"/>
              <w:rPr>
                <w:sz w:val="20"/>
                <w:szCs w:val="20"/>
              </w:rPr>
            </w:pPr>
            <w:r>
              <w:rPr>
                <w:b/>
                <w:bCs/>
                <w:sz w:val="20"/>
                <w:szCs w:val="20"/>
              </w:rPr>
              <w:t>2021</w:t>
            </w:r>
          </w:p>
        </w:tc>
        <w:tc>
          <w:tcPr>
            <w:tcW w:w="1001" w:type="dxa"/>
            <w:tcBorders>
              <w:top w:val="outset" w:sz="6" w:space="0" w:color="auto"/>
              <w:left w:val="outset" w:sz="6" w:space="0" w:color="auto"/>
              <w:bottom w:val="outset" w:sz="6" w:space="0" w:color="auto"/>
              <w:right w:val="outset" w:sz="6" w:space="0" w:color="auto"/>
            </w:tcBorders>
            <w:vAlign w:val="center"/>
            <w:hideMark/>
          </w:tcPr>
          <w:p w14:paraId="46FD1229" w14:textId="77777777" w:rsidR="00FD33D1" w:rsidRPr="0064286B" w:rsidRDefault="00FD33D1" w:rsidP="00096E92">
            <w:pPr>
              <w:keepNext/>
              <w:jc w:val="center"/>
              <w:rPr>
                <w:sz w:val="20"/>
                <w:szCs w:val="20"/>
              </w:rPr>
            </w:pPr>
            <w:r>
              <w:rPr>
                <w:b/>
                <w:bCs/>
                <w:sz w:val="20"/>
                <w:szCs w:val="20"/>
              </w:rPr>
              <w:t>2022</w:t>
            </w:r>
          </w:p>
        </w:tc>
        <w:tc>
          <w:tcPr>
            <w:tcW w:w="1001" w:type="dxa"/>
            <w:tcBorders>
              <w:top w:val="outset" w:sz="6" w:space="0" w:color="auto"/>
              <w:left w:val="outset" w:sz="6" w:space="0" w:color="auto"/>
              <w:bottom w:val="outset" w:sz="6" w:space="0" w:color="auto"/>
              <w:right w:val="outset" w:sz="6" w:space="0" w:color="auto"/>
            </w:tcBorders>
            <w:vAlign w:val="center"/>
            <w:hideMark/>
          </w:tcPr>
          <w:p w14:paraId="75AE7EC4" w14:textId="77777777" w:rsidR="00FD33D1" w:rsidRPr="0064286B" w:rsidRDefault="00FD33D1" w:rsidP="00096E92">
            <w:pPr>
              <w:keepNext/>
              <w:jc w:val="center"/>
              <w:rPr>
                <w:sz w:val="20"/>
                <w:szCs w:val="20"/>
              </w:rPr>
            </w:pPr>
            <w:r>
              <w:rPr>
                <w:b/>
                <w:bCs/>
                <w:sz w:val="20"/>
                <w:szCs w:val="20"/>
              </w:rPr>
              <w:t>2023</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4242172B" w14:textId="77777777" w:rsidR="00FD33D1" w:rsidRPr="0064286B" w:rsidRDefault="00FD33D1" w:rsidP="00096E92">
            <w:pPr>
              <w:keepNext/>
              <w:jc w:val="center"/>
              <w:rPr>
                <w:sz w:val="20"/>
                <w:szCs w:val="20"/>
              </w:rPr>
            </w:pPr>
            <w:r>
              <w:rPr>
                <w:b/>
                <w:bCs/>
                <w:sz w:val="20"/>
                <w:szCs w:val="20"/>
              </w:rPr>
              <w:t>2024</w:t>
            </w:r>
          </w:p>
        </w:tc>
        <w:tc>
          <w:tcPr>
            <w:tcW w:w="999" w:type="dxa"/>
            <w:tcBorders>
              <w:top w:val="outset" w:sz="6" w:space="0" w:color="auto"/>
              <w:left w:val="outset" w:sz="6" w:space="0" w:color="auto"/>
              <w:bottom w:val="outset" w:sz="6" w:space="0" w:color="auto"/>
              <w:right w:val="outset" w:sz="6" w:space="0" w:color="auto"/>
            </w:tcBorders>
            <w:vAlign w:val="center"/>
            <w:hideMark/>
          </w:tcPr>
          <w:p w14:paraId="7C7FB119" w14:textId="77777777" w:rsidR="00FD33D1" w:rsidRPr="0064286B" w:rsidRDefault="00FD33D1" w:rsidP="00096E92">
            <w:pPr>
              <w:keepNext/>
              <w:jc w:val="center"/>
              <w:rPr>
                <w:sz w:val="20"/>
                <w:szCs w:val="20"/>
              </w:rPr>
            </w:pPr>
            <w:r>
              <w:rPr>
                <w:b/>
                <w:bCs/>
                <w:sz w:val="20"/>
                <w:szCs w:val="20"/>
              </w:rPr>
              <w:t>2025</w:t>
            </w:r>
          </w:p>
        </w:tc>
      </w:tr>
      <w:tr w:rsidR="00FD33D1" w:rsidRPr="00BE38DF" w14:paraId="0E4E28B3" w14:textId="77777777" w:rsidTr="006141A1">
        <w:trPr>
          <w:cantSplit/>
          <w:jc w:val="center"/>
        </w:trPr>
        <w:tc>
          <w:tcPr>
            <w:tcW w:w="9360" w:type="dxa"/>
            <w:gridSpan w:val="9"/>
            <w:tcBorders>
              <w:top w:val="outset" w:sz="6" w:space="0" w:color="auto"/>
              <w:left w:val="outset" w:sz="6" w:space="0" w:color="auto"/>
              <w:bottom w:val="outset" w:sz="6" w:space="0" w:color="auto"/>
              <w:right w:val="outset" w:sz="6" w:space="0" w:color="auto"/>
            </w:tcBorders>
            <w:vAlign w:val="center"/>
            <w:hideMark/>
          </w:tcPr>
          <w:p w14:paraId="7F0C19FE" w14:textId="77777777" w:rsidR="00FD33D1" w:rsidRPr="0064286B" w:rsidRDefault="00FD33D1">
            <w:pPr>
              <w:keepNext/>
              <w:rPr>
                <w:sz w:val="20"/>
                <w:szCs w:val="20"/>
              </w:rPr>
            </w:pPr>
            <w:r>
              <w:rPr>
                <w:b/>
                <w:bCs/>
                <w:sz w:val="20"/>
                <w:szCs w:val="20"/>
                <w:rtl/>
              </w:rPr>
              <w:t>طن متري</w:t>
            </w:r>
          </w:p>
        </w:tc>
      </w:tr>
      <w:tr w:rsidR="00FD33D1" w:rsidRPr="00BE38DF" w14:paraId="28ED153B"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677C2594" w14:textId="77777777" w:rsidR="00FD33D1" w:rsidRPr="0064286B" w:rsidRDefault="00FD33D1" w:rsidP="00FC32FD">
            <w:pPr>
              <w:keepNext/>
              <w:jc w:val="left"/>
              <w:rPr>
                <w:sz w:val="20"/>
                <w:szCs w:val="20"/>
              </w:rPr>
            </w:pPr>
            <w:r>
              <w:rPr>
                <w:sz w:val="20"/>
                <w:szCs w:val="20"/>
                <w:rtl/>
              </w:rPr>
              <w:t>الهيدروفلوروكربون</w:t>
            </w:r>
            <w:r>
              <w:rPr>
                <w:sz w:val="20"/>
                <w:szCs w:val="20"/>
                <w:rtl/>
              </w:rPr>
              <w:noBreakHyphen/>
              <w:t>134a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20BA94B4" w14:textId="77777777" w:rsidR="00FD33D1" w:rsidRPr="0064286B" w:rsidRDefault="00FD33D1" w:rsidP="00FC32FD">
            <w:pPr>
              <w:keepNext/>
              <w:jc w:val="left"/>
              <w:rPr>
                <w:sz w:val="20"/>
                <w:szCs w:val="20"/>
              </w:rPr>
            </w:pPr>
            <w:r>
              <w:rPr>
                <w:sz w:val="20"/>
                <w:szCs w:val="20"/>
              </w:rPr>
              <w:t>1,430</w:t>
            </w:r>
          </w:p>
        </w:tc>
        <w:tc>
          <w:tcPr>
            <w:tcW w:w="1002" w:type="dxa"/>
            <w:tcBorders>
              <w:top w:val="outset" w:sz="6" w:space="0" w:color="auto"/>
              <w:left w:val="outset" w:sz="6" w:space="0" w:color="auto"/>
              <w:bottom w:val="outset" w:sz="6" w:space="0" w:color="auto"/>
              <w:right w:val="outset" w:sz="6" w:space="0" w:color="auto"/>
            </w:tcBorders>
            <w:vAlign w:val="center"/>
            <w:hideMark/>
          </w:tcPr>
          <w:p w14:paraId="30E7937C" w14:textId="5D5B1456" w:rsidR="00FD33D1" w:rsidRPr="0064286B" w:rsidRDefault="00FD33D1" w:rsidP="00FC32FD">
            <w:pPr>
              <w:keepNext/>
              <w:jc w:val="left"/>
              <w:rPr>
                <w:sz w:val="20"/>
                <w:szCs w:val="20"/>
              </w:rPr>
            </w:pPr>
            <w:r>
              <w:rPr>
                <w:sz w:val="20"/>
                <w:szCs w:val="20"/>
              </w:rPr>
              <w:t>2.00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F11CA92" w14:textId="4A35C373" w:rsidR="00FD33D1" w:rsidRPr="0064286B" w:rsidRDefault="00FD33D1" w:rsidP="00FC32FD">
            <w:pPr>
              <w:keepNext/>
              <w:jc w:val="left"/>
              <w:rPr>
                <w:sz w:val="20"/>
                <w:szCs w:val="20"/>
              </w:rPr>
            </w:pPr>
            <w:r>
              <w:rPr>
                <w:sz w:val="20"/>
                <w:szCs w:val="20"/>
              </w:rPr>
              <w:t>3.00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28952AAB" w14:textId="6B42A067" w:rsidR="00FD33D1" w:rsidRPr="0064286B" w:rsidRDefault="00FD33D1" w:rsidP="00FC32FD">
            <w:pPr>
              <w:keepNext/>
              <w:jc w:val="left"/>
              <w:rPr>
                <w:sz w:val="20"/>
                <w:szCs w:val="20"/>
              </w:rPr>
            </w:pPr>
            <w:r>
              <w:rPr>
                <w:sz w:val="20"/>
                <w:szCs w:val="20"/>
              </w:rPr>
              <w:t>3.20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7D929D9C" w14:textId="0757851D" w:rsidR="00FD33D1" w:rsidRPr="0064286B" w:rsidRDefault="00FD33D1" w:rsidP="00FC32FD">
            <w:pPr>
              <w:keepNext/>
              <w:jc w:val="left"/>
              <w:rPr>
                <w:sz w:val="20"/>
                <w:szCs w:val="20"/>
              </w:rPr>
            </w:pPr>
            <w:r>
              <w:rPr>
                <w:sz w:val="20"/>
                <w:szCs w:val="20"/>
              </w:rPr>
              <w:t>3.00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7CB5726A" w14:textId="127EE467" w:rsidR="00FD33D1" w:rsidRPr="0064286B" w:rsidRDefault="00FD33D1" w:rsidP="00FC32FD">
            <w:pPr>
              <w:keepNext/>
              <w:jc w:val="left"/>
              <w:rPr>
                <w:sz w:val="20"/>
                <w:szCs w:val="20"/>
              </w:rPr>
            </w:pPr>
            <w:r>
              <w:rPr>
                <w:sz w:val="20"/>
                <w:szCs w:val="20"/>
              </w:rPr>
              <w:t>3.60</w:t>
            </w:r>
          </w:p>
        </w:tc>
        <w:tc>
          <w:tcPr>
            <w:tcW w:w="999" w:type="dxa"/>
            <w:tcBorders>
              <w:top w:val="outset" w:sz="6" w:space="0" w:color="auto"/>
              <w:left w:val="outset" w:sz="6" w:space="0" w:color="auto"/>
              <w:bottom w:val="outset" w:sz="6" w:space="0" w:color="auto"/>
              <w:right w:val="outset" w:sz="6" w:space="0" w:color="auto"/>
            </w:tcBorders>
            <w:vAlign w:val="center"/>
            <w:hideMark/>
          </w:tcPr>
          <w:p w14:paraId="57F33961" w14:textId="105F0540" w:rsidR="00FD33D1" w:rsidRPr="0064286B" w:rsidRDefault="00FD33D1" w:rsidP="00FC32FD">
            <w:pPr>
              <w:keepNext/>
              <w:jc w:val="left"/>
              <w:rPr>
                <w:sz w:val="20"/>
                <w:szCs w:val="20"/>
              </w:rPr>
            </w:pPr>
            <w:r>
              <w:rPr>
                <w:sz w:val="20"/>
                <w:szCs w:val="20"/>
              </w:rPr>
              <w:t>3.90</w:t>
            </w:r>
          </w:p>
        </w:tc>
      </w:tr>
      <w:tr w:rsidR="00FD33D1" w:rsidRPr="00BE38DF" w14:paraId="3A372231"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2A544DDA" w14:textId="77777777" w:rsidR="00FD33D1" w:rsidRPr="0064286B" w:rsidRDefault="00FD33D1" w:rsidP="00FC32FD">
            <w:pPr>
              <w:keepNext/>
              <w:jc w:val="left"/>
              <w:rPr>
                <w:sz w:val="20"/>
                <w:szCs w:val="20"/>
              </w:rPr>
            </w:pPr>
            <w:r>
              <w:rPr>
                <w:sz w:val="20"/>
                <w:szCs w:val="20"/>
                <w:rtl/>
              </w:rPr>
              <w:t>R</w:t>
            </w:r>
            <w:r>
              <w:rPr>
                <w:sz w:val="20"/>
                <w:szCs w:val="20"/>
                <w:rtl/>
              </w:rPr>
              <w:noBreakHyphen/>
              <w:t>404A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7F3B80BA" w14:textId="77777777" w:rsidR="00FD33D1" w:rsidRPr="0064286B" w:rsidRDefault="00FD33D1" w:rsidP="00FC32FD">
            <w:pPr>
              <w:keepNext/>
              <w:jc w:val="left"/>
              <w:rPr>
                <w:sz w:val="20"/>
                <w:szCs w:val="20"/>
              </w:rPr>
            </w:pPr>
            <w:r>
              <w:rPr>
                <w:sz w:val="20"/>
                <w:szCs w:val="20"/>
              </w:rPr>
              <w:t>3,921.6</w:t>
            </w:r>
          </w:p>
        </w:tc>
        <w:tc>
          <w:tcPr>
            <w:tcW w:w="1002" w:type="dxa"/>
            <w:tcBorders>
              <w:top w:val="outset" w:sz="6" w:space="0" w:color="auto"/>
              <w:left w:val="outset" w:sz="6" w:space="0" w:color="auto"/>
              <w:bottom w:val="outset" w:sz="6" w:space="0" w:color="auto"/>
              <w:right w:val="outset" w:sz="6" w:space="0" w:color="auto"/>
            </w:tcBorders>
            <w:vAlign w:val="center"/>
            <w:hideMark/>
          </w:tcPr>
          <w:p w14:paraId="28C66C4A" w14:textId="3FD8721C" w:rsidR="00FD33D1" w:rsidRPr="0064286B" w:rsidRDefault="00FD33D1" w:rsidP="00FC32FD">
            <w:pPr>
              <w:keepNext/>
              <w:jc w:val="left"/>
              <w:rPr>
                <w:sz w:val="20"/>
                <w:szCs w:val="20"/>
              </w:rPr>
            </w:pPr>
            <w:r>
              <w:rPr>
                <w:sz w:val="20"/>
                <w:szCs w:val="20"/>
              </w:rPr>
              <w:t>2.00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5F350B27" w14:textId="3B0DEC80" w:rsidR="00FD33D1" w:rsidRPr="0064286B" w:rsidRDefault="00FD33D1" w:rsidP="00FC32FD">
            <w:pPr>
              <w:keepNext/>
              <w:jc w:val="left"/>
              <w:rPr>
                <w:sz w:val="20"/>
                <w:szCs w:val="20"/>
              </w:rPr>
            </w:pPr>
            <w:r>
              <w:rPr>
                <w:sz w:val="20"/>
                <w:szCs w:val="20"/>
              </w:rPr>
              <w:t>3.00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10F9C0D2" w14:textId="1D9005E3" w:rsidR="00FD33D1" w:rsidRPr="0064286B" w:rsidRDefault="00FD33D1" w:rsidP="00FC32FD">
            <w:pPr>
              <w:keepNext/>
              <w:jc w:val="left"/>
              <w:rPr>
                <w:sz w:val="20"/>
                <w:szCs w:val="20"/>
              </w:rPr>
            </w:pPr>
            <w:r>
              <w:rPr>
                <w:sz w:val="20"/>
                <w:szCs w:val="20"/>
              </w:rPr>
              <w:t>3.00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5866F01C" w14:textId="396211D1" w:rsidR="00FD33D1" w:rsidRPr="0064286B" w:rsidRDefault="00FD33D1" w:rsidP="00FC32FD">
            <w:pPr>
              <w:keepNext/>
              <w:jc w:val="left"/>
              <w:rPr>
                <w:sz w:val="20"/>
                <w:szCs w:val="20"/>
              </w:rPr>
            </w:pPr>
            <w:r>
              <w:rPr>
                <w:sz w:val="20"/>
                <w:szCs w:val="20"/>
              </w:rPr>
              <w:t>3.00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00164861" w14:textId="6A363BE0" w:rsidR="00FD33D1" w:rsidRPr="0064286B" w:rsidRDefault="00FD33D1" w:rsidP="00FC32FD">
            <w:pPr>
              <w:keepNext/>
              <w:jc w:val="left"/>
              <w:rPr>
                <w:sz w:val="20"/>
                <w:szCs w:val="20"/>
              </w:rPr>
            </w:pPr>
            <w:r>
              <w:rPr>
                <w:sz w:val="20"/>
                <w:szCs w:val="20"/>
              </w:rPr>
              <w:t>3.20</w:t>
            </w:r>
          </w:p>
        </w:tc>
        <w:tc>
          <w:tcPr>
            <w:tcW w:w="999" w:type="dxa"/>
            <w:tcBorders>
              <w:top w:val="outset" w:sz="6" w:space="0" w:color="auto"/>
              <w:left w:val="outset" w:sz="6" w:space="0" w:color="auto"/>
              <w:bottom w:val="outset" w:sz="6" w:space="0" w:color="auto"/>
              <w:right w:val="outset" w:sz="6" w:space="0" w:color="auto"/>
            </w:tcBorders>
            <w:vAlign w:val="center"/>
            <w:hideMark/>
          </w:tcPr>
          <w:p w14:paraId="71E35B6C" w14:textId="0853D672" w:rsidR="00FD33D1" w:rsidRPr="0064286B" w:rsidRDefault="00FD33D1" w:rsidP="00FC32FD">
            <w:pPr>
              <w:keepNext/>
              <w:jc w:val="left"/>
              <w:rPr>
                <w:sz w:val="20"/>
                <w:szCs w:val="20"/>
              </w:rPr>
            </w:pPr>
            <w:r>
              <w:rPr>
                <w:sz w:val="20"/>
                <w:szCs w:val="20"/>
              </w:rPr>
              <w:t>3.50</w:t>
            </w:r>
          </w:p>
        </w:tc>
      </w:tr>
      <w:tr w:rsidR="00FD33D1" w:rsidRPr="00BE38DF" w14:paraId="0F0F5CF0"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70277EE6" w14:textId="77777777" w:rsidR="00FD33D1" w:rsidRPr="0064286B" w:rsidRDefault="00FD33D1" w:rsidP="00FC32FD">
            <w:pPr>
              <w:keepNext/>
              <w:jc w:val="left"/>
              <w:rPr>
                <w:sz w:val="20"/>
                <w:szCs w:val="20"/>
              </w:rPr>
            </w:pPr>
            <w:r>
              <w:rPr>
                <w:sz w:val="20"/>
                <w:szCs w:val="20"/>
                <w:rtl/>
              </w:rPr>
              <w:t>R</w:t>
            </w:r>
            <w:r>
              <w:rPr>
                <w:sz w:val="20"/>
                <w:szCs w:val="20"/>
                <w:rtl/>
              </w:rPr>
              <w:noBreakHyphen/>
              <w:t>407C</w:t>
            </w:r>
          </w:p>
        </w:tc>
        <w:tc>
          <w:tcPr>
            <w:tcW w:w="1365" w:type="dxa"/>
            <w:tcBorders>
              <w:top w:val="outset" w:sz="6" w:space="0" w:color="auto"/>
              <w:left w:val="outset" w:sz="6" w:space="0" w:color="auto"/>
              <w:bottom w:val="outset" w:sz="6" w:space="0" w:color="auto"/>
              <w:right w:val="outset" w:sz="6" w:space="0" w:color="auto"/>
            </w:tcBorders>
            <w:vAlign w:val="center"/>
            <w:hideMark/>
          </w:tcPr>
          <w:p w14:paraId="363C3A3C" w14:textId="77777777" w:rsidR="00FD33D1" w:rsidRPr="0064286B" w:rsidRDefault="00FD33D1" w:rsidP="00FC32FD">
            <w:pPr>
              <w:keepNext/>
              <w:jc w:val="left"/>
              <w:rPr>
                <w:sz w:val="20"/>
                <w:szCs w:val="20"/>
              </w:rPr>
            </w:pPr>
            <w:r>
              <w:rPr>
                <w:sz w:val="20"/>
                <w:szCs w:val="20"/>
              </w:rPr>
              <w:t>1,773.85</w:t>
            </w:r>
          </w:p>
        </w:tc>
        <w:tc>
          <w:tcPr>
            <w:tcW w:w="1002" w:type="dxa"/>
            <w:tcBorders>
              <w:top w:val="outset" w:sz="6" w:space="0" w:color="auto"/>
              <w:left w:val="outset" w:sz="6" w:space="0" w:color="auto"/>
              <w:bottom w:val="outset" w:sz="6" w:space="0" w:color="auto"/>
              <w:right w:val="outset" w:sz="6" w:space="0" w:color="auto"/>
            </w:tcBorders>
            <w:vAlign w:val="center"/>
            <w:hideMark/>
          </w:tcPr>
          <w:p w14:paraId="3F92F33A" w14:textId="2CAFA7CA" w:rsidR="00FD33D1" w:rsidRPr="0064286B" w:rsidRDefault="00FD33D1" w:rsidP="00FC32FD">
            <w:pPr>
              <w:keepNext/>
              <w:jc w:val="left"/>
              <w:rPr>
                <w:sz w:val="20"/>
                <w:szCs w:val="20"/>
              </w:rPr>
            </w:pPr>
            <w:r>
              <w:rPr>
                <w:sz w:val="20"/>
                <w:szCs w:val="20"/>
              </w:rPr>
              <w:t>1.00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389D356" w14:textId="57499E9F" w:rsidR="00FD33D1" w:rsidRPr="0064286B" w:rsidRDefault="00FD33D1" w:rsidP="00FC32FD">
            <w:pPr>
              <w:keepNext/>
              <w:jc w:val="left"/>
              <w:rPr>
                <w:sz w:val="20"/>
                <w:szCs w:val="20"/>
              </w:rPr>
            </w:pPr>
            <w:r>
              <w:rPr>
                <w:sz w:val="20"/>
                <w:szCs w:val="20"/>
              </w:rPr>
              <w:t>1.20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597D46DC" w14:textId="638D2999" w:rsidR="00FD33D1" w:rsidRPr="0064286B" w:rsidRDefault="00FD33D1" w:rsidP="00FC32FD">
            <w:pPr>
              <w:keepNext/>
              <w:jc w:val="left"/>
              <w:rPr>
                <w:sz w:val="20"/>
                <w:szCs w:val="20"/>
              </w:rPr>
            </w:pPr>
            <w:r>
              <w:rPr>
                <w:sz w:val="20"/>
                <w:szCs w:val="20"/>
              </w:rPr>
              <w:t>1.20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6143DBD" w14:textId="1AB3D224" w:rsidR="00FD33D1" w:rsidRPr="0064286B" w:rsidRDefault="00FD33D1" w:rsidP="00FC32FD">
            <w:pPr>
              <w:keepNext/>
              <w:jc w:val="left"/>
              <w:rPr>
                <w:sz w:val="20"/>
                <w:szCs w:val="20"/>
              </w:rPr>
            </w:pPr>
            <w:r>
              <w:rPr>
                <w:sz w:val="20"/>
                <w:szCs w:val="20"/>
              </w:rPr>
              <w:t>1.40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41915101" w14:textId="1F8ACED7" w:rsidR="00FD33D1" w:rsidRPr="0064286B" w:rsidRDefault="00FD33D1" w:rsidP="00FC32FD">
            <w:pPr>
              <w:keepNext/>
              <w:jc w:val="left"/>
              <w:rPr>
                <w:sz w:val="20"/>
                <w:szCs w:val="20"/>
              </w:rPr>
            </w:pPr>
            <w:r>
              <w:rPr>
                <w:sz w:val="20"/>
                <w:szCs w:val="20"/>
              </w:rPr>
              <w:t>1.70</w:t>
            </w:r>
          </w:p>
        </w:tc>
        <w:tc>
          <w:tcPr>
            <w:tcW w:w="999" w:type="dxa"/>
            <w:tcBorders>
              <w:top w:val="outset" w:sz="6" w:space="0" w:color="auto"/>
              <w:left w:val="outset" w:sz="6" w:space="0" w:color="auto"/>
              <w:bottom w:val="outset" w:sz="6" w:space="0" w:color="auto"/>
              <w:right w:val="outset" w:sz="6" w:space="0" w:color="auto"/>
            </w:tcBorders>
            <w:vAlign w:val="center"/>
            <w:hideMark/>
          </w:tcPr>
          <w:p w14:paraId="7EDD68EE" w14:textId="453A30BE" w:rsidR="00FD33D1" w:rsidRPr="0064286B" w:rsidRDefault="00FD33D1" w:rsidP="00FC32FD">
            <w:pPr>
              <w:keepNext/>
              <w:jc w:val="left"/>
              <w:rPr>
                <w:sz w:val="20"/>
                <w:szCs w:val="20"/>
              </w:rPr>
            </w:pPr>
            <w:r>
              <w:rPr>
                <w:sz w:val="20"/>
                <w:szCs w:val="20"/>
              </w:rPr>
              <w:t>1.60</w:t>
            </w:r>
          </w:p>
        </w:tc>
      </w:tr>
      <w:tr w:rsidR="00FD33D1" w:rsidRPr="00BE38DF" w14:paraId="74EB859C"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5B6D1B02" w14:textId="77777777" w:rsidR="00FD33D1" w:rsidRPr="0064286B" w:rsidRDefault="00FD33D1" w:rsidP="00FC32FD">
            <w:pPr>
              <w:keepNext/>
              <w:jc w:val="left"/>
              <w:rPr>
                <w:sz w:val="20"/>
                <w:szCs w:val="20"/>
              </w:rPr>
            </w:pPr>
            <w:r>
              <w:rPr>
                <w:sz w:val="20"/>
                <w:szCs w:val="20"/>
                <w:rtl/>
              </w:rPr>
              <w:t>R</w:t>
            </w:r>
            <w:r>
              <w:rPr>
                <w:sz w:val="20"/>
                <w:szCs w:val="20"/>
                <w:rtl/>
              </w:rPr>
              <w:noBreakHyphen/>
              <w:t>410A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03B201EF" w14:textId="77777777" w:rsidR="00FD33D1" w:rsidRPr="0064286B" w:rsidRDefault="00FD33D1" w:rsidP="00FC32FD">
            <w:pPr>
              <w:keepNext/>
              <w:jc w:val="left"/>
              <w:rPr>
                <w:sz w:val="20"/>
                <w:szCs w:val="20"/>
              </w:rPr>
            </w:pPr>
            <w:r>
              <w:rPr>
                <w:sz w:val="20"/>
                <w:szCs w:val="20"/>
              </w:rPr>
              <w:t>2,087.5</w:t>
            </w:r>
          </w:p>
        </w:tc>
        <w:tc>
          <w:tcPr>
            <w:tcW w:w="1002" w:type="dxa"/>
            <w:tcBorders>
              <w:top w:val="outset" w:sz="6" w:space="0" w:color="auto"/>
              <w:left w:val="outset" w:sz="6" w:space="0" w:color="auto"/>
              <w:bottom w:val="outset" w:sz="6" w:space="0" w:color="auto"/>
              <w:right w:val="outset" w:sz="6" w:space="0" w:color="auto"/>
            </w:tcBorders>
            <w:vAlign w:val="center"/>
            <w:hideMark/>
          </w:tcPr>
          <w:p w14:paraId="5F00D802" w14:textId="54DA002F" w:rsidR="00FD33D1" w:rsidRPr="0064286B" w:rsidRDefault="00FD33D1" w:rsidP="00FC32FD">
            <w:pPr>
              <w:keepNext/>
              <w:jc w:val="left"/>
              <w:rPr>
                <w:sz w:val="20"/>
                <w:szCs w:val="20"/>
              </w:rPr>
            </w:pPr>
            <w:r>
              <w:rPr>
                <w:sz w:val="20"/>
                <w:szCs w:val="20"/>
              </w:rPr>
              <w:t>2.50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E6BA8AE" w14:textId="2004B2D7" w:rsidR="00FD33D1" w:rsidRPr="0064286B" w:rsidRDefault="00FD33D1" w:rsidP="00FC32FD">
            <w:pPr>
              <w:keepNext/>
              <w:jc w:val="left"/>
              <w:rPr>
                <w:sz w:val="20"/>
                <w:szCs w:val="20"/>
              </w:rPr>
            </w:pPr>
            <w:r>
              <w:rPr>
                <w:sz w:val="20"/>
                <w:szCs w:val="20"/>
              </w:rPr>
              <w:t>5.20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433300E4" w14:textId="2BF135A9" w:rsidR="00FD33D1" w:rsidRPr="0064286B" w:rsidRDefault="00FD33D1" w:rsidP="00FC32FD">
            <w:pPr>
              <w:keepNext/>
              <w:jc w:val="left"/>
              <w:rPr>
                <w:sz w:val="20"/>
                <w:szCs w:val="20"/>
              </w:rPr>
            </w:pPr>
            <w:r>
              <w:rPr>
                <w:sz w:val="20"/>
                <w:szCs w:val="20"/>
              </w:rPr>
              <w:t>5.00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16B5F0F7" w14:textId="7556FF84" w:rsidR="00FD33D1" w:rsidRPr="0064286B" w:rsidRDefault="00FD33D1" w:rsidP="00FC32FD">
            <w:pPr>
              <w:keepNext/>
              <w:jc w:val="left"/>
              <w:rPr>
                <w:sz w:val="20"/>
                <w:szCs w:val="20"/>
              </w:rPr>
            </w:pPr>
            <w:r>
              <w:rPr>
                <w:sz w:val="20"/>
                <w:szCs w:val="20"/>
              </w:rPr>
              <w:t>5.00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5CE9E7CE" w14:textId="75F6E375" w:rsidR="00FD33D1" w:rsidRPr="0064286B" w:rsidRDefault="00FD33D1" w:rsidP="00FC32FD">
            <w:pPr>
              <w:keepNext/>
              <w:jc w:val="left"/>
              <w:rPr>
                <w:sz w:val="20"/>
                <w:szCs w:val="20"/>
              </w:rPr>
            </w:pPr>
            <w:r>
              <w:rPr>
                <w:sz w:val="20"/>
                <w:szCs w:val="20"/>
              </w:rPr>
              <w:t>5.40</w:t>
            </w:r>
          </w:p>
        </w:tc>
        <w:tc>
          <w:tcPr>
            <w:tcW w:w="999" w:type="dxa"/>
            <w:tcBorders>
              <w:top w:val="outset" w:sz="6" w:space="0" w:color="auto"/>
              <w:left w:val="outset" w:sz="6" w:space="0" w:color="auto"/>
              <w:bottom w:val="outset" w:sz="6" w:space="0" w:color="auto"/>
              <w:right w:val="outset" w:sz="6" w:space="0" w:color="auto"/>
            </w:tcBorders>
            <w:vAlign w:val="center"/>
            <w:hideMark/>
          </w:tcPr>
          <w:p w14:paraId="146EACE5" w14:textId="791431C4" w:rsidR="00FD33D1" w:rsidRPr="0064286B" w:rsidRDefault="00FD33D1" w:rsidP="00FC32FD">
            <w:pPr>
              <w:keepNext/>
              <w:jc w:val="left"/>
              <w:rPr>
                <w:sz w:val="20"/>
                <w:szCs w:val="20"/>
              </w:rPr>
            </w:pPr>
            <w:r>
              <w:rPr>
                <w:sz w:val="20"/>
                <w:szCs w:val="20"/>
              </w:rPr>
              <w:t>5.70</w:t>
            </w:r>
          </w:p>
        </w:tc>
      </w:tr>
      <w:tr w:rsidR="00FD33D1" w:rsidRPr="00BE38DF" w14:paraId="631D369F" w14:textId="77777777" w:rsidTr="006141A1">
        <w:trPr>
          <w:cantSplit/>
          <w:jc w:val="center"/>
        </w:trPr>
        <w:tc>
          <w:tcPr>
            <w:tcW w:w="3354" w:type="dxa"/>
            <w:gridSpan w:val="2"/>
            <w:tcBorders>
              <w:top w:val="outset" w:sz="6" w:space="0" w:color="auto"/>
              <w:left w:val="outset" w:sz="6" w:space="0" w:color="auto"/>
              <w:bottom w:val="outset" w:sz="6" w:space="0" w:color="auto"/>
              <w:right w:val="outset" w:sz="6" w:space="0" w:color="auto"/>
            </w:tcBorders>
            <w:vAlign w:val="center"/>
            <w:hideMark/>
          </w:tcPr>
          <w:p w14:paraId="0A71A943" w14:textId="77777777" w:rsidR="00FD33D1" w:rsidRPr="0064286B" w:rsidRDefault="00FD33D1" w:rsidP="00FC32FD">
            <w:pPr>
              <w:keepNext/>
              <w:jc w:val="left"/>
              <w:rPr>
                <w:sz w:val="20"/>
                <w:szCs w:val="20"/>
              </w:rPr>
            </w:pPr>
            <w:r>
              <w:rPr>
                <w:b/>
                <w:bCs/>
                <w:sz w:val="20"/>
                <w:szCs w:val="20"/>
                <w:rtl/>
              </w:rPr>
              <w:t>المجموع (طن متري)</w:t>
            </w:r>
          </w:p>
        </w:tc>
        <w:tc>
          <w:tcPr>
            <w:tcW w:w="1002" w:type="dxa"/>
            <w:tcBorders>
              <w:top w:val="outset" w:sz="6" w:space="0" w:color="auto"/>
              <w:left w:val="outset" w:sz="6" w:space="0" w:color="auto"/>
              <w:bottom w:val="outset" w:sz="6" w:space="0" w:color="auto"/>
              <w:right w:val="outset" w:sz="6" w:space="0" w:color="auto"/>
            </w:tcBorders>
            <w:vAlign w:val="center"/>
            <w:hideMark/>
          </w:tcPr>
          <w:p w14:paraId="45771EEB" w14:textId="1D6E5C54" w:rsidR="00FD33D1" w:rsidRPr="0064286B" w:rsidRDefault="00FD33D1" w:rsidP="00FC32FD">
            <w:pPr>
              <w:keepNext/>
              <w:jc w:val="left"/>
              <w:rPr>
                <w:sz w:val="20"/>
                <w:szCs w:val="20"/>
              </w:rPr>
            </w:pPr>
            <w:r>
              <w:rPr>
                <w:b/>
                <w:bCs/>
                <w:sz w:val="20"/>
                <w:szCs w:val="20"/>
              </w:rPr>
              <w:t>7.50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5EA0454" w14:textId="1ED4DC02" w:rsidR="00FD33D1" w:rsidRPr="0064286B" w:rsidRDefault="00FD33D1" w:rsidP="00FC32FD">
            <w:pPr>
              <w:keepNext/>
              <w:jc w:val="left"/>
              <w:rPr>
                <w:sz w:val="20"/>
                <w:szCs w:val="20"/>
              </w:rPr>
            </w:pPr>
            <w:r>
              <w:rPr>
                <w:b/>
                <w:bCs/>
                <w:sz w:val="20"/>
                <w:szCs w:val="20"/>
              </w:rPr>
              <w:t>12.40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7DB4ADA7" w14:textId="260C354B" w:rsidR="00FD33D1" w:rsidRPr="0064286B" w:rsidRDefault="00FD33D1" w:rsidP="00FC32FD">
            <w:pPr>
              <w:keepNext/>
              <w:jc w:val="left"/>
              <w:rPr>
                <w:sz w:val="20"/>
                <w:szCs w:val="20"/>
              </w:rPr>
            </w:pPr>
            <w:r>
              <w:rPr>
                <w:b/>
                <w:bCs/>
                <w:sz w:val="20"/>
                <w:szCs w:val="20"/>
              </w:rPr>
              <w:t>12.40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1776E724" w14:textId="6BC25BEB" w:rsidR="00FD33D1" w:rsidRPr="0064286B" w:rsidRDefault="00FD33D1" w:rsidP="00FC32FD">
            <w:pPr>
              <w:keepNext/>
              <w:jc w:val="left"/>
              <w:rPr>
                <w:sz w:val="20"/>
                <w:szCs w:val="20"/>
              </w:rPr>
            </w:pPr>
            <w:r>
              <w:rPr>
                <w:b/>
                <w:bCs/>
                <w:sz w:val="20"/>
                <w:szCs w:val="20"/>
              </w:rPr>
              <w:t>12.40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478E1324" w14:textId="7794110E" w:rsidR="00FD33D1" w:rsidRPr="0064286B" w:rsidRDefault="00FD33D1" w:rsidP="00FC32FD">
            <w:pPr>
              <w:keepNext/>
              <w:jc w:val="left"/>
              <w:rPr>
                <w:sz w:val="20"/>
                <w:szCs w:val="20"/>
              </w:rPr>
            </w:pPr>
            <w:r>
              <w:rPr>
                <w:b/>
                <w:bCs/>
                <w:sz w:val="20"/>
                <w:szCs w:val="20"/>
              </w:rPr>
              <w:t>13.90</w:t>
            </w:r>
          </w:p>
        </w:tc>
        <w:tc>
          <w:tcPr>
            <w:tcW w:w="999" w:type="dxa"/>
            <w:tcBorders>
              <w:top w:val="outset" w:sz="6" w:space="0" w:color="auto"/>
              <w:left w:val="outset" w:sz="6" w:space="0" w:color="auto"/>
              <w:bottom w:val="outset" w:sz="6" w:space="0" w:color="auto"/>
              <w:right w:val="outset" w:sz="6" w:space="0" w:color="auto"/>
            </w:tcBorders>
            <w:vAlign w:val="center"/>
            <w:hideMark/>
          </w:tcPr>
          <w:p w14:paraId="3081155C" w14:textId="7764290D" w:rsidR="00FD33D1" w:rsidRPr="0064286B" w:rsidRDefault="00FD33D1" w:rsidP="00FC32FD">
            <w:pPr>
              <w:keepNext/>
              <w:jc w:val="left"/>
              <w:rPr>
                <w:sz w:val="20"/>
                <w:szCs w:val="20"/>
              </w:rPr>
            </w:pPr>
            <w:r>
              <w:rPr>
                <w:b/>
                <w:bCs/>
                <w:sz w:val="20"/>
                <w:szCs w:val="20"/>
              </w:rPr>
              <w:t>14.70</w:t>
            </w:r>
          </w:p>
        </w:tc>
      </w:tr>
      <w:tr w:rsidR="00FD33D1" w:rsidRPr="00BE38DF" w14:paraId="1A225462" w14:textId="77777777" w:rsidTr="006141A1">
        <w:trPr>
          <w:cantSplit/>
          <w:jc w:val="center"/>
        </w:trPr>
        <w:tc>
          <w:tcPr>
            <w:tcW w:w="9360" w:type="dxa"/>
            <w:gridSpan w:val="9"/>
            <w:tcBorders>
              <w:top w:val="outset" w:sz="6" w:space="0" w:color="auto"/>
              <w:left w:val="outset" w:sz="6" w:space="0" w:color="auto"/>
              <w:bottom w:val="outset" w:sz="6" w:space="0" w:color="auto"/>
              <w:right w:val="outset" w:sz="6" w:space="0" w:color="auto"/>
            </w:tcBorders>
            <w:vAlign w:val="center"/>
            <w:hideMark/>
          </w:tcPr>
          <w:p w14:paraId="72C5678C" w14:textId="77777777" w:rsidR="00FD33D1" w:rsidRPr="0064286B" w:rsidRDefault="00FD33D1" w:rsidP="00FC32FD">
            <w:pPr>
              <w:keepNext/>
              <w:jc w:val="left"/>
              <w:rPr>
                <w:sz w:val="20"/>
                <w:szCs w:val="20"/>
              </w:rPr>
            </w:pPr>
            <w:r>
              <w:rPr>
                <w:b/>
                <w:bCs/>
                <w:sz w:val="20"/>
                <w:szCs w:val="20"/>
                <w:rtl/>
              </w:rPr>
              <w:t>طن من مكافئ ثاني أكسيد الكربون</w:t>
            </w:r>
          </w:p>
        </w:tc>
      </w:tr>
      <w:tr w:rsidR="00FD33D1" w:rsidRPr="00BE38DF" w14:paraId="693C605D"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320BE415" w14:textId="77777777" w:rsidR="00FD33D1" w:rsidRPr="0064286B" w:rsidRDefault="00FD33D1" w:rsidP="00FC32FD">
            <w:pPr>
              <w:keepNext/>
              <w:jc w:val="left"/>
              <w:rPr>
                <w:sz w:val="20"/>
                <w:szCs w:val="20"/>
              </w:rPr>
            </w:pPr>
            <w:r>
              <w:rPr>
                <w:sz w:val="20"/>
                <w:szCs w:val="20"/>
                <w:rtl/>
              </w:rPr>
              <w:t>الهيدروفلوروكربون</w:t>
            </w:r>
            <w:r>
              <w:rPr>
                <w:sz w:val="20"/>
                <w:szCs w:val="20"/>
                <w:rtl/>
              </w:rPr>
              <w:noBreakHyphen/>
              <w:t>134a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0D39C11D" w14:textId="77777777" w:rsidR="00FD33D1" w:rsidRPr="0064286B" w:rsidRDefault="00FD33D1" w:rsidP="00FC32FD">
            <w:pPr>
              <w:keepNext/>
              <w:jc w:val="left"/>
              <w:rPr>
                <w:sz w:val="20"/>
                <w:szCs w:val="20"/>
              </w:rPr>
            </w:pPr>
            <w:r>
              <w:rPr>
                <w:sz w:val="20"/>
                <w:szCs w:val="20"/>
              </w:rPr>
              <w:t>1,430</w:t>
            </w:r>
          </w:p>
        </w:tc>
        <w:tc>
          <w:tcPr>
            <w:tcW w:w="1002" w:type="dxa"/>
            <w:tcBorders>
              <w:top w:val="outset" w:sz="6" w:space="0" w:color="auto"/>
              <w:left w:val="outset" w:sz="6" w:space="0" w:color="auto"/>
              <w:bottom w:val="outset" w:sz="6" w:space="0" w:color="auto"/>
              <w:right w:val="outset" w:sz="6" w:space="0" w:color="auto"/>
            </w:tcBorders>
            <w:vAlign w:val="center"/>
            <w:hideMark/>
          </w:tcPr>
          <w:p w14:paraId="7BB233F2" w14:textId="77777777" w:rsidR="00FD33D1" w:rsidRPr="0064286B" w:rsidRDefault="00FD33D1" w:rsidP="00FC32FD">
            <w:pPr>
              <w:keepNext/>
              <w:jc w:val="left"/>
              <w:rPr>
                <w:sz w:val="20"/>
                <w:szCs w:val="20"/>
              </w:rPr>
            </w:pPr>
            <w:r>
              <w:rPr>
                <w:sz w:val="20"/>
                <w:szCs w:val="20"/>
              </w:rPr>
              <w:t>2,860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7E7FD6E0" w14:textId="77777777" w:rsidR="00FD33D1" w:rsidRPr="0064286B" w:rsidRDefault="00FD33D1" w:rsidP="00FC32FD">
            <w:pPr>
              <w:keepNext/>
              <w:jc w:val="left"/>
              <w:rPr>
                <w:sz w:val="20"/>
                <w:szCs w:val="20"/>
              </w:rPr>
            </w:pPr>
            <w:r>
              <w:rPr>
                <w:sz w:val="20"/>
                <w:szCs w:val="20"/>
              </w:rPr>
              <w:t>4,290</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9635B45" w14:textId="77777777" w:rsidR="00FD33D1" w:rsidRPr="0064286B" w:rsidRDefault="00FD33D1" w:rsidP="00FC32FD">
            <w:pPr>
              <w:keepNext/>
              <w:jc w:val="left"/>
              <w:rPr>
                <w:sz w:val="20"/>
                <w:szCs w:val="20"/>
              </w:rPr>
            </w:pPr>
            <w:r>
              <w:rPr>
                <w:sz w:val="20"/>
                <w:szCs w:val="20"/>
              </w:rPr>
              <w:t>4,576</w:t>
            </w:r>
          </w:p>
        </w:tc>
        <w:tc>
          <w:tcPr>
            <w:tcW w:w="1001" w:type="dxa"/>
            <w:tcBorders>
              <w:top w:val="outset" w:sz="6" w:space="0" w:color="auto"/>
              <w:left w:val="outset" w:sz="6" w:space="0" w:color="auto"/>
              <w:bottom w:val="outset" w:sz="6" w:space="0" w:color="auto"/>
              <w:right w:val="outset" w:sz="6" w:space="0" w:color="auto"/>
            </w:tcBorders>
            <w:vAlign w:val="center"/>
            <w:hideMark/>
          </w:tcPr>
          <w:p w14:paraId="43B11E56" w14:textId="77777777" w:rsidR="00FD33D1" w:rsidRPr="0064286B" w:rsidRDefault="00FD33D1" w:rsidP="00FC32FD">
            <w:pPr>
              <w:keepNext/>
              <w:jc w:val="left"/>
              <w:rPr>
                <w:sz w:val="20"/>
                <w:szCs w:val="20"/>
              </w:rPr>
            </w:pPr>
            <w:r>
              <w:rPr>
                <w:sz w:val="20"/>
                <w:szCs w:val="20"/>
              </w:rPr>
              <w:t>4,290</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7CE5B2E3" w14:textId="77777777" w:rsidR="00FD33D1" w:rsidRPr="0064286B" w:rsidRDefault="00FD33D1" w:rsidP="00FC32FD">
            <w:pPr>
              <w:keepNext/>
              <w:jc w:val="left"/>
              <w:rPr>
                <w:sz w:val="20"/>
                <w:szCs w:val="20"/>
              </w:rPr>
            </w:pPr>
            <w:r>
              <w:rPr>
                <w:sz w:val="20"/>
                <w:szCs w:val="20"/>
              </w:rPr>
              <w:t>5,148</w:t>
            </w:r>
          </w:p>
        </w:tc>
        <w:tc>
          <w:tcPr>
            <w:tcW w:w="999" w:type="dxa"/>
            <w:tcBorders>
              <w:top w:val="outset" w:sz="6" w:space="0" w:color="auto"/>
              <w:left w:val="outset" w:sz="6" w:space="0" w:color="auto"/>
              <w:bottom w:val="outset" w:sz="6" w:space="0" w:color="auto"/>
              <w:right w:val="outset" w:sz="6" w:space="0" w:color="auto"/>
            </w:tcBorders>
            <w:vAlign w:val="center"/>
            <w:hideMark/>
          </w:tcPr>
          <w:p w14:paraId="130CB304" w14:textId="77777777" w:rsidR="00FD33D1" w:rsidRPr="0064286B" w:rsidRDefault="00FD33D1" w:rsidP="00FC32FD">
            <w:pPr>
              <w:keepNext/>
              <w:jc w:val="left"/>
              <w:rPr>
                <w:sz w:val="20"/>
                <w:szCs w:val="20"/>
              </w:rPr>
            </w:pPr>
            <w:r>
              <w:rPr>
                <w:sz w:val="20"/>
                <w:szCs w:val="20"/>
              </w:rPr>
              <w:t>5,577</w:t>
            </w:r>
          </w:p>
        </w:tc>
      </w:tr>
      <w:tr w:rsidR="00FD33D1" w:rsidRPr="00BE38DF" w14:paraId="354A0E2D"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4C49CDAA" w14:textId="77777777" w:rsidR="00FD33D1" w:rsidRPr="0064286B" w:rsidRDefault="00FD33D1" w:rsidP="00FC32FD">
            <w:pPr>
              <w:keepNext/>
              <w:jc w:val="left"/>
              <w:rPr>
                <w:sz w:val="20"/>
                <w:szCs w:val="20"/>
              </w:rPr>
            </w:pPr>
            <w:r>
              <w:rPr>
                <w:sz w:val="20"/>
                <w:szCs w:val="20"/>
                <w:rtl/>
              </w:rPr>
              <w:t>R</w:t>
            </w:r>
            <w:r>
              <w:rPr>
                <w:sz w:val="20"/>
                <w:szCs w:val="20"/>
                <w:rtl/>
              </w:rPr>
              <w:noBreakHyphen/>
              <w:t>404A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4663D297" w14:textId="77777777" w:rsidR="00FD33D1" w:rsidRPr="0064286B" w:rsidRDefault="00FD33D1" w:rsidP="00FC32FD">
            <w:pPr>
              <w:keepNext/>
              <w:jc w:val="left"/>
              <w:rPr>
                <w:sz w:val="20"/>
                <w:szCs w:val="20"/>
              </w:rPr>
            </w:pPr>
            <w:r>
              <w:rPr>
                <w:sz w:val="20"/>
                <w:szCs w:val="20"/>
              </w:rPr>
              <w:t>3,921.6</w:t>
            </w:r>
          </w:p>
        </w:tc>
        <w:tc>
          <w:tcPr>
            <w:tcW w:w="1002" w:type="dxa"/>
            <w:tcBorders>
              <w:top w:val="outset" w:sz="6" w:space="0" w:color="auto"/>
              <w:left w:val="outset" w:sz="6" w:space="0" w:color="auto"/>
              <w:bottom w:val="outset" w:sz="6" w:space="0" w:color="auto"/>
              <w:right w:val="outset" w:sz="6" w:space="0" w:color="auto"/>
            </w:tcBorders>
            <w:vAlign w:val="center"/>
            <w:hideMark/>
          </w:tcPr>
          <w:p w14:paraId="7E92D0E8" w14:textId="77777777" w:rsidR="00FD33D1" w:rsidRPr="0064286B" w:rsidRDefault="00FD33D1" w:rsidP="00FC32FD">
            <w:pPr>
              <w:keepNext/>
              <w:jc w:val="left"/>
              <w:rPr>
                <w:sz w:val="20"/>
                <w:szCs w:val="20"/>
              </w:rPr>
            </w:pPr>
            <w:r>
              <w:rPr>
                <w:sz w:val="20"/>
                <w:szCs w:val="20"/>
              </w:rPr>
              <w:t>7,843</w:t>
            </w:r>
          </w:p>
        </w:tc>
        <w:tc>
          <w:tcPr>
            <w:tcW w:w="1001" w:type="dxa"/>
            <w:tcBorders>
              <w:top w:val="outset" w:sz="6" w:space="0" w:color="auto"/>
              <w:left w:val="outset" w:sz="6" w:space="0" w:color="auto"/>
              <w:bottom w:val="outset" w:sz="6" w:space="0" w:color="auto"/>
              <w:right w:val="outset" w:sz="6" w:space="0" w:color="auto"/>
            </w:tcBorders>
            <w:vAlign w:val="center"/>
            <w:hideMark/>
          </w:tcPr>
          <w:p w14:paraId="61653D41" w14:textId="77777777" w:rsidR="00FD33D1" w:rsidRPr="0064286B" w:rsidRDefault="00FD33D1" w:rsidP="00FC32FD">
            <w:pPr>
              <w:keepNext/>
              <w:jc w:val="left"/>
              <w:rPr>
                <w:sz w:val="20"/>
                <w:szCs w:val="20"/>
              </w:rPr>
            </w:pPr>
            <w:r>
              <w:rPr>
                <w:sz w:val="20"/>
                <w:szCs w:val="20"/>
              </w:rPr>
              <w:t>11,765</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3EBD2E3" w14:textId="77777777" w:rsidR="00FD33D1" w:rsidRPr="0064286B" w:rsidRDefault="00FD33D1" w:rsidP="00FC32FD">
            <w:pPr>
              <w:keepNext/>
              <w:jc w:val="left"/>
              <w:rPr>
                <w:sz w:val="20"/>
                <w:szCs w:val="20"/>
              </w:rPr>
            </w:pPr>
            <w:r>
              <w:rPr>
                <w:sz w:val="20"/>
                <w:szCs w:val="20"/>
              </w:rPr>
              <w:t>11,765</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9061401" w14:textId="77777777" w:rsidR="00FD33D1" w:rsidRPr="0064286B" w:rsidRDefault="00FD33D1" w:rsidP="00FC32FD">
            <w:pPr>
              <w:keepNext/>
              <w:jc w:val="left"/>
              <w:rPr>
                <w:sz w:val="20"/>
                <w:szCs w:val="20"/>
              </w:rPr>
            </w:pPr>
            <w:r>
              <w:rPr>
                <w:sz w:val="20"/>
                <w:szCs w:val="20"/>
              </w:rPr>
              <w:t>11,765</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493A0D0E" w14:textId="77777777" w:rsidR="00FD33D1" w:rsidRPr="0064286B" w:rsidRDefault="00FD33D1" w:rsidP="00FC32FD">
            <w:pPr>
              <w:keepNext/>
              <w:jc w:val="left"/>
              <w:rPr>
                <w:sz w:val="20"/>
                <w:szCs w:val="20"/>
              </w:rPr>
            </w:pPr>
            <w:r>
              <w:rPr>
                <w:sz w:val="20"/>
                <w:szCs w:val="20"/>
              </w:rPr>
              <w:t>12,549</w:t>
            </w:r>
          </w:p>
        </w:tc>
        <w:tc>
          <w:tcPr>
            <w:tcW w:w="999" w:type="dxa"/>
            <w:tcBorders>
              <w:top w:val="outset" w:sz="6" w:space="0" w:color="auto"/>
              <w:left w:val="outset" w:sz="6" w:space="0" w:color="auto"/>
              <w:bottom w:val="outset" w:sz="6" w:space="0" w:color="auto"/>
              <w:right w:val="outset" w:sz="6" w:space="0" w:color="auto"/>
            </w:tcBorders>
            <w:vAlign w:val="center"/>
            <w:hideMark/>
          </w:tcPr>
          <w:p w14:paraId="5313AFBF" w14:textId="77777777" w:rsidR="00FD33D1" w:rsidRPr="0064286B" w:rsidRDefault="00FD33D1" w:rsidP="00FC32FD">
            <w:pPr>
              <w:keepNext/>
              <w:jc w:val="left"/>
              <w:rPr>
                <w:sz w:val="20"/>
                <w:szCs w:val="20"/>
              </w:rPr>
            </w:pPr>
            <w:r>
              <w:rPr>
                <w:sz w:val="20"/>
                <w:szCs w:val="20"/>
              </w:rPr>
              <w:t>13,726</w:t>
            </w:r>
          </w:p>
        </w:tc>
      </w:tr>
      <w:tr w:rsidR="00FD33D1" w:rsidRPr="00BE38DF" w14:paraId="65EE4182"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750E9B60" w14:textId="77777777" w:rsidR="00FD33D1" w:rsidRPr="0064286B" w:rsidRDefault="00FD33D1" w:rsidP="00FC32FD">
            <w:pPr>
              <w:keepNext/>
              <w:jc w:val="left"/>
              <w:rPr>
                <w:sz w:val="20"/>
                <w:szCs w:val="20"/>
              </w:rPr>
            </w:pPr>
            <w:r>
              <w:rPr>
                <w:sz w:val="20"/>
                <w:szCs w:val="20"/>
                <w:rtl/>
              </w:rPr>
              <w:t>R</w:t>
            </w:r>
            <w:r>
              <w:rPr>
                <w:sz w:val="20"/>
                <w:szCs w:val="20"/>
                <w:rtl/>
              </w:rPr>
              <w:noBreakHyphen/>
              <w:t>407C</w:t>
            </w:r>
          </w:p>
        </w:tc>
        <w:tc>
          <w:tcPr>
            <w:tcW w:w="1365" w:type="dxa"/>
            <w:tcBorders>
              <w:top w:val="outset" w:sz="6" w:space="0" w:color="auto"/>
              <w:left w:val="outset" w:sz="6" w:space="0" w:color="auto"/>
              <w:bottom w:val="outset" w:sz="6" w:space="0" w:color="auto"/>
              <w:right w:val="outset" w:sz="6" w:space="0" w:color="auto"/>
            </w:tcBorders>
            <w:vAlign w:val="center"/>
            <w:hideMark/>
          </w:tcPr>
          <w:p w14:paraId="4C6BB992" w14:textId="77777777" w:rsidR="00FD33D1" w:rsidRPr="0064286B" w:rsidRDefault="00FD33D1" w:rsidP="00FC32FD">
            <w:pPr>
              <w:keepNext/>
              <w:jc w:val="left"/>
              <w:rPr>
                <w:sz w:val="20"/>
                <w:szCs w:val="20"/>
              </w:rPr>
            </w:pPr>
            <w:r>
              <w:rPr>
                <w:sz w:val="20"/>
                <w:szCs w:val="20"/>
              </w:rPr>
              <w:t>1,773.85</w:t>
            </w:r>
          </w:p>
        </w:tc>
        <w:tc>
          <w:tcPr>
            <w:tcW w:w="1002" w:type="dxa"/>
            <w:tcBorders>
              <w:top w:val="outset" w:sz="6" w:space="0" w:color="auto"/>
              <w:left w:val="outset" w:sz="6" w:space="0" w:color="auto"/>
              <w:bottom w:val="outset" w:sz="6" w:space="0" w:color="auto"/>
              <w:right w:val="outset" w:sz="6" w:space="0" w:color="auto"/>
            </w:tcBorders>
            <w:vAlign w:val="center"/>
            <w:hideMark/>
          </w:tcPr>
          <w:p w14:paraId="5BBAEE14" w14:textId="77777777" w:rsidR="00FD33D1" w:rsidRPr="0064286B" w:rsidRDefault="00FD33D1" w:rsidP="00FC32FD">
            <w:pPr>
              <w:keepNext/>
              <w:jc w:val="left"/>
              <w:rPr>
                <w:sz w:val="20"/>
                <w:szCs w:val="20"/>
              </w:rPr>
            </w:pPr>
            <w:r>
              <w:rPr>
                <w:sz w:val="20"/>
                <w:szCs w:val="20"/>
              </w:rPr>
              <w:t>1,774</w:t>
            </w:r>
          </w:p>
        </w:tc>
        <w:tc>
          <w:tcPr>
            <w:tcW w:w="1001" w:type="dxa"/>
            <w:tcBorders>
              <w:top w:val="outset" w:sz="6" w:space="0" w:color="auto"/>
              <w:left w:val="outset" w:sz="6" w:space="0" w:color="auto"/>
              <w:bottom w:val="outset" w:sz="6" w:space="0" w:color="auto"/>
              <w:right w:val="outset" w:sz="6" w:space="0" w:color="auto"/>
            </w:tcBorders>
            <w:vAlign w:val="center"/>
            <w:hideMark/>
          </w:tcPr>
          <w:p w14:paraId="2D4C5F84" w14:textId="77777777" w:rsidR="00FD33D1" w:rsidRPr="0064286B" w:rsidRDefault="00FD33D1" w:rsidP="00FC32FD">
            <w:pPr>
              <w:keepNext/>
              <w:jc w:val="left"/>
              <w:rPr>
                <w:sz w:val="20"/>
                <w:szCs w:val="20"/>
              </w:rPr>
            </w:pPr>
            <w:r>
              <w:rPr>
                <w:sz w:val="20"/>
                <w:szCs w:val="20"/>
              </w:rPr>
              <w:t>2,129</w:t>
            </w:r>
          </w:p>
        </w:tc>
        <w:tc>
          <w:tcPr>
            <w:tcW w:w="1001" w:type="dxa"/>
            <w:tcBorders>
              <w:top w:val="outset" w:sz="6" w:space="0" w:color="auto"/>
              <w:left w:val="outset" w:sz="6" w:space="0" w:color="auto"/>
              <w:bottom w:val="outset" w:sz="6" w:space="0" w:color="auto"/>
              <w:right w:val="outset" w:sz="6" w:space="0" w:color="auto"/>
            </w:tcBorders>
            <w:vAlign w:val="center"/>
            <w:hideMark/>
          </w:tcPr>
          <w:p w14:paraId="65F91428" w14:textId="77777777" w:rsidR="00FD33D1" w:rsidRPr="0064286B" w:rsidRDefault="00FD33D1" w:rsidP="00FC32FD">
            <w:pPr>
              <w:keepNext/>
              <w:jc w:val="left"/>
              <w:rPr>
                <w:sz w:val="20"/>
                <w:szCs w:val="20"/>
              </w:rPr>
            </w:pPr>
            <w:r>
              <w:rPr>
                <w:sz w:val="20"/>
                <w:szCs w:val="20"/>
              </w:rPr>
              <w:t>2,129</w:t>
            </w:r>
          </w:p>
        </w:tc>
        <w:tc>
          <w:tcPr>
            <w:tcW w:w="1001" w:type="dxa"/>
            <w:tcBorders>
              <w:top w:val="outset" w:sz="6" w:space="0" w:color="auto"/>
              <w:left w:val="outset" w:sz="6" w:space="0" w:color="auto"/>
              <w:bottom w:val="outset" w:sz="6" w:space="0" w:color="auto"/>
              <w:right w:val="outset" w:sz="6" w:space="0" w:color="auto"/>
            </w:tcBorders>
            <w:vAlign w:val="center"/>
            <w:hideMark/>
          </w:tcPr>
          <w:p w14:paraId="1F872E21" w14:textId="77777777" w:rsidR="00FD33D1" w:rsidRPr="0064286B" w:rsidRDefault="00FD33D1" w:rsidP="00FC32FD">
            <w:pPr>
              <w:keepNext/>
              <w:jc w:val="left"/>
              <w:rPr>
                <w:sz w:val="20"/>
                <w:szCs w:val="20"/>
              </w:rPr>
            </w:pPr>
            <w:r>
              <w:rPr>
                <w:sz w:val="20"/>
                <w:szCs w:val="20"/>
              </w:rPr>
              <w:t>2,483</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20017B89" w14:textId="77777777" w:rsidR="00FD33D1" w:rsidRPr="0064286B" w:rsidRDefault="00FD33D1" w:rsidP="00FC32FD">
            <w:pPr>
              <w:keepNext/>
              <w:jc w:val="left"/>
              <w:rPr>
                <w:sz w:val="20"/>
                <w:szCs w:val="20"/>
              </w:rPr>
            </w:pPr>
            <w:r>
              <w:rPr>
                <w:sz w:val="20"/>
                <w:szCs w:val="20"/>
              </w:rPr>
              <w:t>3,016</w:t>
            </w:r>
          </w:p>
        </w:tc>
        <w:tc>
          <w:tcPr>
            <w:tcW w:w="999" w:type="dxa"/>
            <w:tcBorders>
              <w:top w:val="outset" w:sz="6" w:space="0" w:color="auto"/>
              <w:left w:val="outset" w:sz="6" w:space="0" w:color="auto"/>
              <w:bottom w:val="outset" w:sz="6" w:space="0" w:color="auto"/>
              <w:right w:val="outset" w:sz="6" w:space="0" w:color="auto"/>
            </w:tcBorders>
            <w:vAlign w:val="center"/>
            <w:hideMark/>
          </w:tcPr>
          <w:p w14:paraId="73ECFE8C" w14:textId="77777777" w:rsidR="00FD33D1" w:rsidRPr="0064286B" w:rsidRDefault="00FD33D1" w:rsidP="00FC32FD">
            <w:pPr>
              <w:keepNext/>
              <w:jc w:val="left"/>
              <w:rPr>
                <w:sz w:val="20"/>
                <w:szCs w:val="20"/>
              </w:rPr>
            </w:pPr>
            <w:r>
              <w:rPr>
                <w:sz w:val="20"/>
                <w:szCs w:val="20"/>
              </w:rPr>
              <w:t>2,838</w:t>
            </w:r>
          </w:p>
        </w:tc>
      </w:tr>
      <w:tr w:rsidR="00FD33D1" w:rsidRPr="00BE38DF" w14:paraId="4DFB782D" w14:textId="77777777" w:rsidTr="00096E92">
        <w:trPr>
          <w:cantSplit/>
          <w:jc w:val="center"/>
        </w:trPr>
        <w:tc>
          <w:tcPr>
            <w:tcW w:w="1989" w:type="dxa"/>
            <w:tcBorders>
              <w:top w:val="outset" w:sz="6" w:space="0" w:color="auto"/>
              <w:left w:val="outset" w:sz="6" w:space="0" w:color="auto"/>
              <w:bottom w:val="outset" w:sz="6" w:space="0" w:color="auto"/>
              <w:right w:val="outset" w:sz="6" w:space="0" w:color="auto"/>
            </w:tcBorders>
            <w:vAlign w:val="center"/>
            <w:hideMark/>
          </w:tcPr>
          <w:p w14:paraId="005413CA" w14:textId="77777777" w:rsidR="00FD33D1" w:rsidRPr="0064286B" w:rsidRDefault="00FD33D1" w:rsidP="00FC32FD">
            <w:pPr>
              <w:keepNext/>
              <w:jc w:val="left"/>
              <w:rPr>
                <w:sz w:val="20"/>
                <w:szCs w:val="20"/>
              </w:rPr>
            </w:pPr>
            <w:r>
              <w:rPr>
                <w:sz w:val="20"/>
                <w:szCs w:val="20"/>
                <w:rtl/>
              </w:rPr>
              <w:t>R</w:t>
            </w:r>
            <w:r>
              <w:rPr>
                <w:sz w:val="20"/>
                <w:szCs w:val="20"/>
                <w:rtl/>
              </w:rPr>
              <w:noBreakHyphen/>
              <w:t>410A</w:t>
            </w:r>
          </w:p>
        </w:tc>
        <w:tc>
          <w:tcPr>
            <w:tcW w:w="1365" w:type="dxa"/>
            <w:tcBorders>
              <w:top w:val="outset" w:sz="6" w:space="0" w:color="auto"/>
              <w:left w:val="outset" w:sz="6" w:space="0" w:color="auto"/>
              <w:bottom w:val="outset" w:sz="6" w:space="0" w:color="auto"/>
              <w:right w:val="outset" w:sz="6" w:space="0" w:color="auto"/>
            </w:tcBorders>
            <w:vAlign w:val="center"/>
            <w:hideMark/>
          </w:tcPr>
          <w:p w14:paraId="3487CDA7" w14:textId="77777777" w:rsidR="00FD33D1" w:rsidRPr="0064286B" w:rsidRDefault="00FD33D1" w:rsidP="00FC32FD">
            <w:pPr>
              <w:keepNext/>
              <w:jc w:val="left"/>
              <w:rPr>
                <w:sz w:val="20"/>
                <w:szCs w:val="20"/>
              </w:rPr>
            </w:pPr>
            <w:r>
              <w:rPr>
                <w:sz w:val="20"/>
                <w:szCs w:val="20"/>
              </w:rPr>
              <w:t>2,087.5</w:t>
            </w:r>
          </w:p>
        </w:tc>
        <w:tc>
          <w:tcPr>
            <w:tcW w:w="1002" w:type="dxa"/>
            <w:tcBorders>
              <w:top w:val="outset" w:sz="6" w:space="0" w:color="auto"/>
              <w:left w:val="outset" w:sz="6" w:space="0" w:color="auto"/>
              <w:bottom w:val="outset" w:sz="6" w:space="0" w:color="auto"/>
              <w:right w:val="outset" w:sz="6" w:space="0" w:color="auto"/>
            </w:tcBorders>
            <w:vAlign w:val="center"/>
            <w:hideMark/>
          </w:tcPr>
          <w:p w14:paraId="58E94C05" w14:textId="77777777" w:rsidR="00FD33D1" w:rsidRPr="0064286B" w:rsidRDefault="00FD33D1" w:rsidP="00FC32FD">
            <w:pPr>
              <w:keepNext/>
              <w:jc w:val="left"/>
              <w:rPr>
                <w:sz w:val="20"/>
                <w:szCs w:val="20"/>
              </w:rPr>
            </w:pPr>
            <w:r>
              <w:rPr>
                <w:sz w:val="20"/>
                <w:szCs w:val="20"/>
              </w:rPr>
              <w:t>5,219</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9164791" w14:textId="77777777" w:rsidR="00FD33D1" w:rsidRPr="0064286B" w:rsidRDefault="00FD33D1" w:rsidP="00FC32FD">
            <w:pPr>
              <w:keepNext/>
              <w:jc w:val="left"/>
              <w:rPr>
                <w:sz w:val="20"/>
                <w:szCs w:val="20"/>
              </w:rPr>
            </w:pPr>
            <w:r>
              <w:rPr>
                <w:sz w:val="20"/>
                <w:szCs w:val="20"/>
              </w:rPr>
              <w:t>10,855</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6C440CC" w14:textId="77777777" w:rsidR="00FD33D1" w:rsidRPr="0064286B" w:rsidRDefault="00FD33D1" w:rsidP="00FC32FD">
            <w:pPr>
              <w:keepNext/>
              <w:jc w:val="left"/>
              <w:rPr>
                <w:sz w:val="20"/>
                <w:szCs w:val="20"/>
              </w:rPr>
            </w:pPr>
            <w:r>
              <w:rPr>
                <w:sz w:val="20"/>
                <w:szCs w:val="20"/>
              </w:rPr>
              <w:t>10,438</w:t>
            </w:r>
          </w:p>
        </w:tc>
        <w:tc>
          <w:tcPr>
            <w:tcW w:w="1001" w:type="dxa"/>
            <w:tcBorders>
              <w:top w:val="outset" w:sz="6" w:space="0" w:color="auto"/>
              <w:left w:val="outset" w:sz="6" w:space="0" w:color="auto"/>
              <w:bottom w:val="outset" w:sz="6" w:space="0" w:color="auto"/>
              <w:right w:val="outset" w:sz="6" w:space="0" w:color="auto"/>
            </w:tcBorders>
            <w:vAlign w:val="center"/>
            <w:hideMark/>
          </w:tcPr>
          <w:p w14:paraId="21F691A7" w14:textId="77777777" w:rsidR="00FD33D1" w:rsidRPr="0064286B" w:rsidRDefault="00FD33D1" w:rsidP="00FC32FD">
            <w:pPr>
              <w:keepNext/>
              <w:jc w:val="left"/>
              <w:rPr>
                <w:sz w:val="20"/>
                <w:szCs w:val="20"/>
              </w:rPr>
            </w:pPr>
            <w:r>
              <w:rPr>
                <w:sz w:val="20"/>
                <w:szCs w:val="20"/>
              </w:rPr>
              <w:t>10,438</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0B3E6859" w14:textId="77777777" w:rsidR="00FD33D1" w:rsidRPr="0064286B" w:rsidRDefault="00FD33D1" w:rsidP="00FC32FD">
            <w:pPr>
              <w:keepNext/>
              <w:jc w:val="left"/>
              <w:rPr>
                <w:sz w:val="20"/>
                <w:szCs w:val="20"/>
              </w:rPr>
            </w:pPr>
            <w:r>
              <w:rPr>
                <w:sz w:val="20"/>
                <w:szCs w:val="20"/>
              </w:rPr>
              <w:t>11,273</w:t>
            </w:r>
          </w:p>
        </w:tc>
        <w:tc>
          <w:tcPr>
            <w:tcW w:w="999" w:type="dxa"/>
            <w:tcBorders>
              <w:top w:val="outset" w:sz="6" w:space="0" w:color="auto"/>
              <w:left w:val="outset" w:sz="6" w:space="0" w:color="auto"/>
              <w:bottom w:val="outset" w:sz="6" w:space="0" w:color="auto"/>
              <w:right w:val="outset" w:sz="6" w:space="0" w:color="auto"/>
            </w:tcBorders>
            <w:vAlign w:val="center"/>
            <w:hideMark/>
          </w:tcPr>
          <w:p w14:paraId="7435C60B" w14:textId="77777777" w:rsidR="00FD33D1" w:rsidRPr="0064286B" w:rsidRDefault="00FD33D1" w:rsidP="00FC32FD">
            <w:pPr>
              <w:keepNext/>
              <w:jc w:val="left"/>
              <w:rPr>
                <w:sz w:val="20"/>
                <w:szCs w:val="20"/>
              </w:rPr>
            </w:pPr>
            <w:r>
              <w:rPr>
                <w:sz w:val="20"/>
                <w:szCs w:val="20"/>
              </w:rPr>
              <w:t>11,899</w:t>
            </w:r>
          </w:p>
        </w:tc>
      </w:tr>
      <w:tr w:rsidR="00FD33D1" w:rsidRPr="00BE38DF" w14:paraId="2460F509" w14:textId="77777777" w:rsidTr="006141A1">
        <w:trPr>
          <w:cantSplit/>
          <w:jc w:val="center"/>
        </w:trPr>
        <w:tc>
          <w:tcPr>
            <w:tcW w:w="3354" w:type="dxa"/>
            <w:gridSpan w:val="2"/>
            <w:tcBorders>
              <w:top w:val="outset" w:sz="6" w:space="0" w:color="auto"/>
              <w:left w:val="outset" w:sz="6" w:space="0" w:color="auto"/>
              <w:bottom w:val="outset" w:sz="6" w:space="0" w:color="auto"/>
              <w:right w:val="outset" w:sz="6" w:space="0" w:color="auto"/>
            </w:tcBorders>
            <w:vAlign w:val="center"/>
            <w:hideMark/>
          </w:tcPr>
          <w:p w14:paraId="433E2AA4" w14:textId="77777777" w:rsidR="00FD33D1" w:rsidRPr="0064286B" w:rsidRDefault="00FD33D1" w:rsidP="00FC32FD">
            <w:pPr>
              <w:keepNext/>
              <w:jc w:val="left"/>
              <w:rPr>
                <w:sz w:val="20"/>
                <w:szCs w:val="20"/>
              </w:rPr>
            </w:pPr>
            <w:r>
              <w:rPr>
                <w:b/>
                <w:bCs/>
                <w:sz w:val="20"/>
                <w:szCs w:val="20"/>
                <w:rtl/>
              </w:rPr>
              <w:t>المجموع (طن من مكافئ ثاني أكسيد الكربون)</w:t>
            </w:r>
          </w:p>
        </w:tc>
        <w:tc>
          <w:tcPr>
            <w:tcW w:w="1002" w:type="dxa"/>
            <w:tcBorders>
              <w:top w:val="outset" w:sz="6" w:space="0" w:color="auto"/>
              <w:left w:val="outset" w:sz="6" w:space="0" w:color="auto"/>
              <w:bottom w:val="outset" w:sz="6" w:space="0" w:color="auto"/>
              <w:right w:val="outset" w:sz="6" w:space="0" w:color="auto"/>
            </w:tcBorders>
            <w:vAlign w:val="center"/>
            <w:hideMark/>
          </w:tcPr>
          <w:p w14:paraId="42F6BCAE" w14:textId="77777777" w:rsidR="00FD33D1" w:rsidRPr="0064286B" w:rsidRDefault="00FD33D1" w:rsidP="00FC32FD">
            <w:pPr>
              <w:keepNext/>
              <w:jc w:val="left"/>
              <w:rPr>
                <w:sz w:val="20"/>
                <w:szCs w:val="20"/>
              </w:rPr>
            </w:pPr>
            <w:r>
              <w:rPr>
                <w:b/>
                <w:bCs/>
                <w:sz w:val="20"/>
                <w:szCs w:val="20"/>
              </w:rPr>
              <w:t>17,696</w:t>
            </w:r>
          </w:p>
        </w:tc>
        <w:tc>
          <w:tcPr>
            <w:tcW w:w="1001" w:type="dxa"/>
            <w:tcBorders>
              <w:top w:val="outset" w:sz="6" w:space="0" w:color="auto"/>
              <w:left w:val="outset" w:sz="6" w:space="0" w:color="auto"/>
              <w:bottom w:val="outset" w:sz="6" w:space="0" w:color="auto"/>
              <w:right w:val="outset" w:sz="6" w:space="0" w:color="auto"/>
            </w:tcBorders>
            <w:vAlign w:val="center"/>
            <w:hideMark/>
          </w:tcPr>
          <w:p w14:paraId="0EB136A8" w14:textId="77777777" w:rsidR="00FD33D1" w:rsidRPr="0064286B" w:rsidRDefault="00FD33D1" w:rsidP="00FC32FD">
            <w:pPr>
              <w:keepNext/>
              <w:jc w:val="left"/>
              <w:rPr>
                <w:sz w:val="20"/>
                <w:szCs w:val="20"/>
              </w:rPr>
            </w:pPr>
            <w:r>
              <w:rPr>
                <w:b/>
                <w:bCs/>
                <w:sz w:val="20"/>
                <w:szCs w:val="20"/>
              </w:rPr>
              <w:t>29,038</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F8A7D89" w14:textId="77777777" w:rsidR="00FD33D1" w:rsidRPr="0064286B" w:rsidRDefault="00FD33D1" w:rsidP="00FC32FD">
            <w:pPr>
              <w:keepNext/>
              <w:jc w:val="left"/>
              <w:rPr>
                <w:sz w:val="20"/>
                <w:szCs w:val="20"/>
              </w:rPr>
            </w:pPr>
            <w:r>
              <w:rPr>
                <w:b/>
                <w:bCs/>
                <w:sz w:val="20"/>
                <w:szCs w:val="20"/>
              </w:rPr>
              <w:t>28,907</w:t>
            </w:r>
          </w:p>
        </w:tc>
        <w:tc>
          <w:tcPr>
            <w:tcW w:w="1001" w:type="dxa"/>
            <w:tcBorders>
              <w:top w:val="outset" w:sz="6" w:space="0" w:color="auto"/>
              <w:left w:val="outset" w:sz="6" w:space="0" w:color="auto"/>
              <w:bottom w:val="outset" w:sz="6" w:space="0" w:color="auto"/>
              <w:right w:val="outset" w:sz="6" w:space="0" w:color="auto"/>
            </w:tcBorders>
            <w:vAlign w:val="center"/>
            <w:hideMark/>
          </w:tcPr>
          <w:p w14:paraId="3EFEB494" w14:textId="77777777" w:rsidR="00FD33D1" w:rsidRPr="0064286B" w:rsidRDefault="00FD33D1" w:rsidP="00FC32FD">
            <w:pPr>
              <w:keepNext/>
              <w:jc w:val="left"/>
              <w:rPr>
                <w:sz w:val="20"/>
                <w:szCs w:val="20"/>
              </w:rPr>
            </w:pPr>
            <w:r>
              <w:rPr>
                <w:b/>
                <w:bCs/>
                <w:sz w:val="20"/>
                <w:szCs w:val="20"/>
              </w:rPr>
              <w:t>28,976</w:t>
            </w:r>
          </w:p>
        </w:tc>
        <w:tc>
          <w:tcPr>
            <w:tcW w:w="1002" w:type="dxa"/>
            <w:gridSpan w:val="2"/>
            <w:tcBorders>
              <w:top w:val="outset" w:sz="6" w:space="0" w:color="auto"/>
              <w:left w:val="outset" w:sz="6" w:space="0" w:color="auto"/>
              <w:bottom w:val="outset" w:sz="6" w:space="0" w:color="auto"/>
              <w:right w:val="outset" w:sz="6" w:space="0" w:color="auto"/>
            </w:tcBorders>
            <w:vAlign w:val="center"/>
            <w:hideMark/>
          </w:tcPr>
          <w:p w14:paraId="4C627A5D" w14:textId="77777777" w:rsidR="00FD33D1" w:rsidRPr="0064286B" w:rsidRDefault="00FD33D1" w:rsidP="00FC32FD">
            <w:pPr>
              <w:keepNext/>
              <w:jc w:val="left"/>
              <w:rPr>
                <w:sz w:val="20"/>
                <w:szCs w:val="20"/>
              </w:rPr>
            </w:pPr>
            <w:r>
              <w:rPr>
                <w:b/>
                <w:bCs/>
                <w:sz w:val="20"/>
                <w:szCs w:val="20"/>
              </w:rPr>
              <w:t>31,985</w:t>
            </w:r>
          </w:p>
        </w:tc>
        <w:tc>
          <w:tcPr>
            <w:tcW w:w="999" w:type="dxa"/>
            <w:tcBorders>
              <w:top w:val="outset" w:sz="6" w:space="0" w:color="auto"/>
              <w:left w:val="outset" w:sz="6" w:space="0" w:color="auto"/>
              <w:bottom w:val="outset" w:sz="6" w:space="0" w:color="auto"/>
              <w:right w:val="outset" w:sz="6" w:space="0" w:color="auto"/>
            </w:tcBorders>
            <w:vAlign w:val="center"/>
            <w:hideMark/>
          </w:tcPr>
          <w:p w14:paraId="78FD3180" w14:textId="77777777" w:rsidR="00FD33D1" w:rsidRPr="0064286B" w:rsidRDefault="00FD33D1" w:rsidP="00FC32FD">
            <w:pPr>
              <w:keepNext/>
              <w:jc w:val="left"/>
              <w:rPr>
                <w:sz w:val="20"/>
                <w:szCs w:val="20"/>
              </w:rPr>
            </w:pPr>
            <w:r>
              <w:rPr>
                <w:b/>
                <w:bCs/>
                <w:sz w:val="20"/>
                <w:szCs w:val="20"/>
              </w:rPr>
              <w:t>34,040</w:t>
            </w:r>
          </w:p>
        </w:tc>
      </w:tr>
      <w:tr w:rsidR="00FD33D1" w:rsidRPr="00BE38DF" w14:paraId="16ECAE15" w14:textId="77777777" w:rsidTr="006141A1">
        <w:trPr>
          <w:cantSplit/>
          <w:jc w:val="center"/>
        </w:trPr>
        <w:tc>
          <w:tcPr>
            <w:tcW w:w="9360" w:type="dxa"/>
            <w:gridSpan w:val="9"/>
            <w:tcBorders>
              <w:top w:val="outset" w:sz="6" w:space="0" w:color="auto"/>
              <w:left w:val="outset" w:sz="6" w:space="0" w:color="auto"/>
              <w:bottom w:val="outset" w:sz="6" w:space="0" w:color="auto"/>
              <w:right w:val="outset" w:sz="6" w:space="0" w:color="auto"/>
            </w:tcBorders>
            <w:vAlign w:val="center"/>
            <w:hideMark/>
          </w:tcPr>
          <w:p w14:paraId="3B35B850" w14:textId="77777777" w:rsidR="00FD33D1" w:rsidRPr="0064286B" w:rsidRDefault="00FD33D1" w:rsidP="00FC32FD">
            <w:pPr>
              <w:keepNext/>
              <w:jc w:val="left"/>
              <w:rPr>
                <w:kern w:val="2"/>
                <w:sz w:val="20"/>
                <w:szCs w:val="20"/>
                <w:lang w:eastAsia="en-CA"/>
                <w14:ligatures w14:val="standardContextual"/>
              </w:rPr>
            </w:pPr>
            <w:r>
              <w:rPr>
                <w:b/>
                <w:bCs/>
                <w:sz w:val="20"/>
                <w:szCs w:val="20"/>
                <w:rtl/>
              </w:rPr>
              <w:t>حساب خط أساس المواد الهيدروفلوروكربونية (طن من مكافئ ثاني أكسيد الكربون)</w:t>
            </w:r>
          </w:p>
        </w:tc>
      </w:tr>
      <w:tr w:rsidR="00FD33D1" w:rsidRPr="00BE38DF" w14:paraId="098EABE3" w14:textId="77777777" w:rsidTr="006141A1">
        <w:trPr>
          <w:cantSplit/>
          <w:jc w:val="center"/>
        </w:trPr>
        <w:tc>
          <w:tcPr>
            <w:tcW w:w="7860" w:type="dxa"/>
            <w:gridSpan w:val="7"/>
            <w:tcBorders>
              <w:top w:val="outset" w:sz="6" w:space="0" w:color="auto"/>
              <w:left w:val="outset" w:sz="6" w:space="0" w:color="auto"/>
              <w:bottom w:val="outset" w:sz="6" w:space="0" w:color="auto"/>
              <w:right w:val="outset" w:sz="6" w:space="0" w:color="auto"/>
            </w:tcBorders>
            <w:vAlign w:val="center"/>
            <w:hideMark/>
          </w:tcPr>
          <w:p w14:paraId="10DF0704" w14:textId="77777777" w:rsidR="00FD33D1" w:rsidRPr="0064286B" w:rsidRDefault="00FD33D1" w:rsidP="00FC32FD">
            <w:pPr>
              <w:keepNext/>
              <w:jc w:val="left"/>
              <w:rPr>
                <w:sz w:val="20"/>
                <w:szCs w:val="20"/>
              </w:rPr>
            </w:pPr>
            <w:r>
              <w:rPr>
                <w:sz w:val="20"/>
                <w:szCs w:val="20"/>
                <w:rtl/>
              </w:rPr>
              <w:t>متوسط استهلاك المواد الهيدروفلوروكربونية في الفترة 2020–2022</w:t>
            </w:r>
          </w:p>
        </w:tc>
        <w:tc>
          <w:tcPr>
            <w:tcW w:w="1500" w:type="dxa"/>
            <w:gridSpan w:val="2"/>
            <w:tcBorders>
              <w:top w:val="outset" w:sz="6" w:space="0" w:color="auto"/>
              <w:left w:val="outset" w:sz="6" w:space="0" w:color="auto"/>
              <w:bottom w:val="outset" w:sz="6" w:space="0" w:color="auto"/>
              <w:right w:val="outset" w:sz="6" w:space="0" w:color="auto"/>
            </w:tcBorders>
            <w:vAlign w:val="center"/>
            <w:hideMark/>
          </w:tcPr>
          <w:p w14:paraId="571CDE72" w14:textId="77777777" w:rsidR="00FD33D1" w:rsidRPr="0064286B" w:rsidRDefault="00FD33D1" w:rsidP="00FC32FD">
            <w:pPr>
              <w:keepNext/>
              <w:jc w:val="left"/>
              <w:rPr>
                <w:sz w:val="20"/>
                <w:szCs w:val="20"/>
              </w:rPr>
            </w:pPr>
            <w:r>
              <w:rPr>
                <w:sz w:val="20"/>
                <w:szCs w:val="20"/>
              </w:rPr>
              <w:t>25,214</w:t>
            </w:r>
          </w:p>
        </w:tc>
      </w:tr>
      <w:tr w:rsidR="00FD33D1" w:rsidRPr="00BE38DF" w14:paraId="5F2A8B1B" w14:textId="77777777" w:rsidTr="006141A1">
        <w:trPr>
          <w:cantSplit/>
          <w:jc w:val="center"/>
        </w:trPr>
        <w:tc>
          <w:tcPr>
            <w:tcW w:w="7860" w:type="dxa"/>
            <w:gridSpan w:val="7"/>
            <w:tcBorders>
              <w:top w:val="outset" w:sz="6" w:space="0" w:color="auto"/>
              <w:left w:val="outset" w:sz="6" w:space="0" w:color="auto"/>
              <w:bottom w:val="outset" w:sz="6" w:space="0" w:color="auto"/>
              <w:right w:val="outset" w:sz="6" w:space="0" w:color="auto"/>
            </w:tcBorders>
            <w:vAlign w:val="center"/>
            <w:hideMark/>
          </w:tcPr>
          <w:p w14:paraId="4164C93B" w14:textId="77777777" w:rsidR="00FD33D1" w:rsidRPr="0064286B" w:rsidRDefault="00FD33D1" w:rsidP="00FC32FD">
            <w:pPr>
              <w:keepNext/>
              <w:jc w:val="left"/>
              <w:rPr>
                <w:sz w:val="20"/>
                <w:szCs w:val="20"/>
              </w:rPr>
            </w:pPr>
            <w:r>
              <w:rPr>
                <w:sz w:val="20"/>
                <w:szCs w:val="20"/>
                <w:rtl/>
              </w:rPr>
              <w:t>خط أساس المواد الهيدروكلوروفلوروكربونية (65%)</w:t>
            </w:r>
          </w:p>
        </w:tc>
        <w:tc>
          <w:tcPr>
            <w:tcW w:w="1500" w:type="dxa"/>
            <w:gridSpan w:val="2"/>
            <w:tcBorders>
              <w:top w:val="outset" w:sz="6" w:space="0" w:color="auto"/>
              <w:left w:val="outset" w:sz="6" w:space="0" w:color="auto"/>
              <w:bottom w:val="outset" w:sz="6" w:space="0" w:color="auto"/>
              <w:right w:val="outset" w:sz="6" w:space="0" w:color="auto"/>
            </w:tcBorders>
            <w:vAlign w:val="center"/>
            <w:hideMark/>
          </w:tcPr>
          <w:p w14:paraId="5288A4E3" w14:textId="77777777" w:rsidR="00FD33D1" w:rsidRPr="0064286B" w:rsidRDefault="00FD33D1" w:rsidP="00FC32FD">
            <w:pPr>
              <w:keepNext/>
              <w:jc w:val="left"/>
              <w:rPr>
                <w:sz w:val="20"/>
                <w:szCs w:val="20"/>
              </w:rPr>
            </w:pPr>
            <w:r>
              <w:rPr>
                <w:sz w:val="20"/>
                <w:szCs w:val="20"/>
              </w:rPr>
              <w:t>45,825</w:t>
            </w:r>
          </w:p>
        </w:tc>
      </w:tr>
      <w:tr w:rsidR="00FD33D1" w:rsidRPr="00BE38DF" w14:paraId="7D441A3C" w14:textId="77777777" w:rsidTr="006141A1">
        <w:trPr>
          <w:cantSplit/>
          <w:jc w:val="center"/>
        </w:trPr>
        <w:tc>
          <w:tcPr>
            <w:tcW w:w="7860" w:type="dxa"/>
            <w:gridSpan w:val="7"/>
            <w:tcBorders>
              <w:top w:val="outset" w:sz="6" w:space="0" w:color="auto"/>
              <w:left w:val="outset" w:sz="6" w:space="0" w:color="auto"/>
              <w:bottom w:val="outset" w:sz="6" w:space="0" w:color="auto"/>
              <w:right w:val="outset" w:sz="6" w:space="0" w:color="auto"/>
            </w:tcBorders>
            <w:vAlign w:val="center"/>
            <w:hideMark/>
          </w:tcPr>
          <w:p w14:paraId="7E276133" w14:textId="77777777" w:rsidR="00FD33D1" w:rsidRPr="0064286B" w:rsidRDefault="00FD33D1" w:rsidP="00FC32FD">
            <w:pPr>
              <w:jc w:val="left"/>
              <w:rPr>
                <w:sz w:val="20"/>
                <w:szCs w:val="20"/>
              </w:rPr>
            </w:pPr>
            <w:r>
              <w:rPr>
                <w:b/>
                <w:bCs/>
                <w:sz w:val="20"/>
                <w:szCs w:val="20"/>
                <w:rtl/>
              </w:rPr>
              <w:t>خط أساس المواد الهيدروفلوروكربونية</w:t>
            </w:r>
          </w:p>
        </w:tc>
        <w:tc>
          <w:tcPr>
            <w:tcW w:w="1500" w:type="dxa"/>
            <w:gridSpan w:val="2"/>
            <w:tcBorders>
              <w:top w:val="outset" w:sz="6" w:space="0" w:color="auto"/>
              <w:left w:val="outset" w:sz="6" w:space="0" w:color="auto"/>
              <w:bottom w:val="outset" w:sz="6" w:space="0" w:color="auto"/>
              <w:right w:val="outset" w:sz="6" w:space="0" w:color="auto"/>
            </w:tcBorders>
            <w:vAlign w:val="center"/>
            <w:hideMark/>
          </w:tcPr>
          <w:p w14:paraId="47C8CBED" w14:textId="77777777" w:rsidR="00FD33D1" w:rsidRPr="0064286B" w:rsidRDefault="00FD33D1" w:rsidP="00FC32FD">
            <w:pPr>
              <w:jc w:val="left"/>
              <w:rPr>
                <w:sz w:val="20"/>
                <w:szCs w:val="20"/>
              </w:rPr>
            </w:pPr>
            <w:r>
              <w:rPr>
                <w:sz w:val="20"/>
                <w:szCs w:val="20"/>
              </w:rPr>
              <w:t>71,039</w:t>
            </w:r>
          </w:p>
        </w:tc>
      </w:tr>
    </w:tbl>
    <w:p w14:paraId="28089458" w14:textId="77777777" w:rsidR="003D5200" w:rsidRDefault="003D5200" w:rsidP="007C0965">
      <w:pPr>
        <w:pStyle w:val="Heading1"/>
        <w:widowControl w:val="0"/>
        <w:numPr>
          <w:ilvl w:val="0"/>
          <w:numId w:val="0"/>
        </w:numPr>
        <w:spacing w:after="0"/>
        <w:rPr>
          <w:sz w:val="26"/>
          <w:szCs w:val="26"/>
        </w:rPr>
      </w:pPr>
    </w:p>
    <w:p w14:paraId="43D62AB3" w14:textId="2427DAFB" w:rsidR="00CB0432" w:rsidRPr="00BE38DF" w:rsidRDefault="00CB0432" w:rsidP="00CB0432">
      <w:pPr>
        <w:keepNext/>
        <w:spacing w:before="240" w:after="240"/>
        <w:rPr>
          <w:i/>
          <w:sz w:val="26"/>
          <w:szCs w:val="26"/>
        </w:rPr>
      </w:pPr>
      <w:r>
        <w:rPr>
          <w:i/>
          <w:sz w:val="26"/>
          <w:szCs w:val="26"/>
          <w:rtl/>
        </w:rPr>
        <w:lastRenderedPageBreak/>
        <w:t>تقرير تنفيذ البرنامج القطري</w:t>
      </w:r>
    </w:p>
    <w:p w14:paraId="39E9AA4E" w14:textId="65C77840" w:rsidR="00AA1B45" w:rsidRPr="00BE38DF" w:rsidRDefault="00AA1B45" w:rsidP="00AA1B45">
      <w:pPr>
        <w:pStyle w:val="Heading1"/>
        <w:rPr>
          <w:sz w:val="26"/>
          <w:szCs w:val="26"/>
          <w:lang w:eastAsia="en-CA"/>
          <w14:ligatures w14:val="standardContextual"/>
        </w:rPr>
      </w:pPr>
      <w:r>
        <w:rPr>
          <w:sz w:val="26"/>
          <w:szCs w:val="26"/>
          <w:rtl/>
        </w:rPr>
        <w:t>تتسق بيانات الاستهلاك القطاعي للمواد الهيدروفلوروكربونية التي قدمتها حكومة سان تومي وبرينسيبي في تقرير تنفيذ البرنامج القطري لعام 2025 مع البيانات المبلغ عنها بموجب المادة 7 من بروتوكول مونتريال.</w:t>
      </w:r>
    </w:p>
    <w:p w14:paraId="12768A41" w14:textId="77777777" w:rsidR="00CB0432" w:rsidRPr="00BE38DF" w:rsidRDefault="00CB0432" w:rsidP="00CB0432">
      <w:pPr>
        <w:keepNext/>
        <w:spacing w:before="240" w:after="240"/>
        <w:outlineLvl w:val="0"/>
        <w:rPr>
          <w:sz w:val="26"/>
          <w:szCs w:val="26"/>
          <w:u w:val="single"/>
        </w:rPr>
      </w:pPr>
      <w:r>
        <w:rPr>
          <w:sz w:val="26"/>
          <w:szCs w:val="26"/>
          <w:u w:val="single"/>
          <w:rtl/>
        </w:rPr>
        <w:t>اتجاهات استهلاك المواد الهيدروفلوروكربونية</w:t>
      </w:r>
    </w:p>
    <w:p w14:paraId="5A1E188C" w14:textId="11F38AC6" w:rsidR="007133ED" w:rsidRDefault="00E752A1" w:rsidP="007232E9">
      <w:pPr>
        <w:pStyle w:val="Heading1"/>
        <w:rPr>
          <w:sz w:val="26"/>
          <w:szCs w:val="26"/>
        </w:rPr>
      </w:pPr>
      <w:r>
        <w:rPr>
          <w:sz w:val="26"/>
          <w:szCs w:val="26"/>
          <w:rtl/>
        </w:rPr>
        <w:t>انخفض استهلاك المواد الهيدروفلوروكربونية في عام 2020 بسبب جائحة كوفيد</w:t>
      </w:r>
      <w:r>
        <w:rPr>
          <w:sz w:val="26"/>
          <w:szCs w:val="26"/>
          <w:rtl/>
        </w:rPr>
        <w:noBreakHyphen/>
        <w:t>19 العالمية، وارتفعت الواردات في عام 2021 مع استئناف النشاط الاقتصادي. وما فتئ استهلاك المواد الهيدروفلوروكربونية يتزايد بانتظام منذ عام 2022، إذ ارتفع بنسبة 10 في المائة و6 في المائة في عامي 2024 و2025، على التوالي. ويُعزى هذا الارتفاع جزئياً إلى نمو السياحة: فبعد تباطؤ مؤقت بسبب الجائحة، بلغ عدد الزوار الدوليين مستويات قياسية في عامي 2024 و2025. وقد أدت زيادة عدد السياح وطول مدة إقامتهم إلى زيادة الطلب على معدات التبريد وتكييف الهواء في الفنادق ودور الضيافة والمطاعم والمتاجر الكبرى وغيرها من المرافق السياحية، مما أدى بدوره إلى ارتفاع استهلاك المواد الهيدروفلوروكربونية.</w:t>
      </w:r>
    </w:p>
    <w:p w14:paraId="417E592E" w14:textId="54EE6ED1" w:rsidR="00CB0432" w:rsidRPr="00281412" w:rsidRDefault="00CB0432" w:rsidP="00753B95">
      <w:pPr>
        <w:pStyle w:val="Heading1"/>
        <w:keepNext/>
        <w:numPr>
          <w:ilvl w:val="0"/>
          <w:numId w:val="0"/>
        </w:numPr>
        <w:spacing w:before="240"/>
        <w:rPr>
          <w:sz w:val="26"/>
          <w:szCs w:val="26"/>
          <w:u w:val="single"/>
        </w:rPr>
      </w:pPr>
      <w:r>
        <w:rPr>
          <w:sz w:val="26"/>
          <w:szCs w:val="26"/>
          <w:u w:val="single"/>
          <w:rtl/>
        </w:rPr>
        <w:t>استهلاك المواد الهيدروفلوروكربونية حسب القطاع</w:t>
      </w:r>
    </w:p>
    <w:p w14:paraId="28C8E63A" w14:textId="744899D9" w:rsidR="00AA331C" w:rsidRPr="00BE38DF" w:rsidRDefault="00AA331C" w:rsidP="00AA331C">
      <w:pPr>
        <w:pStyle w:val="Heading1"/>
        <w:rPr>
          <w:sz w:val="26"/>
          <w:szCs w:val="26"/>
          <w:lang w:eastAsia="en-CA"/>
          <w14:ligatures w14:val="standardContextual"/>
        </w:rPr>
      </w:pPr>
      <w:r>
        <w:rPr>
          <w:sz w:val="26"/>
          <w:szCs w:val="26"/>
          <w:rtl/>
        </w:rPr>
        <w:t>تُستهلك المواد الهيدروفلوروكربونية أساساً في خدمة أجهزة تكييف الهواء السكنية (38.5 في المائة بالطن المتري و33.0 في المائة بالطن من مكافئ ثاني أكسيد الكربون)، يليها التبريد التجاري (36.4 في المائة بالطن المتري و51.5 في المائة بالطن من مكافئ ثاني أكسيد الكربون)، ثم أجهزة تكييف الهواء المتنقلة (18.5 في المائة بالطن المتري و10.9 في المائة بالطن من مكافئ ثاني أكسيد الكربون)، وغيرها من القطاعات الفرعية، على النحو المبين في الجدولين 7 و8.</w:t>
      </w:r>
    </w:p>
    <w:p w14:paraId="11BA0584" w14:textId="555BF182" w:rsidR="00AA331C" w:rsidRPr="00BE38DF" w:rsidRDefault="00AA331C" w:rsidP="00F43DAB">
      <w:pPr>
        <w:pStyle w:val="Heading1"/>
        <w:widowControl w:val="0"/>
        <w:numPr>
          <w:ilvl w:val="0"/>
          <w:numId w:val="0"/>
        </w:numPr>
        <w:spacing w:before="240" w:after="0"/>
        <w:rPr>
          <w:kern w:val="36"/>
          <w:sz w:val="26"/>
          <w:szCs w:val="26"/>
          <w:lang w:eastAsia="en-CA"/>
          <w14:ligatures w14:val="standardContextual"/>
        </w:rPr>
      </w:pPr>
      <w:r>
        <w:rPr>
          <w:b/>
          <w:bCs/>
          <w:kern w:val="36"/>
          <w:sz w:val="26"/>
          <w:szCs w:val="26"/>
          <w:rtl/>
        </w:rPr>
        <w:t>الجدول 7. استهلاك المواد الهيدروفلوروكربونية في سان تومي وبرينسيبي في عام 2025 في القطاعات الفرعية للخدمة (طن متري)</w:t>
      </w:r>
    </w:p>
    <w:tbl>
      <w:tblPr>
        <w:bidiVisual/>
        <w:tblW w:w="9360" w:type="dxa"/>
        <w:jc w:val="center"/>
        <w:tblLayout w:type="fixed"/>
        <w:tblLook w:val="04A0" w:firstRow="1" w:lastRow="0" w:firstColumn="1" w:lastColumn="0" w:noHBand="0" w:noVBand="1"/>
      </w:tblPr>
      <w:tblGrid>
        <w:gridCol w:w="3109"/>
        <w:gridCol w:w="1400"/>
        <w:gridCol w:w="735"/>
        <w:gridCol w:w="1030"/>
        <w:gridCol w:w="1028"/>
        <w:gridCol w:w="1028"/>
        <w:gridCol w:w="1030"/>
      </w:tblGrid>
      <w:tr w:rsidR="00AA331C" w:rsidRPr="00F43DAB" w14:paraId="1C572206" w14:textId="77777777" w:rsidTr="00F133F9">
        <w:trPr>
          <w:cantSplit/>
          <w:tblHeader/>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8726036" w14:textId="54E1F928" w:rsidR="00AA331C" w:rsidRPr="00F43DAB" w:rsidRDefault="00E7758E" w:rsidP="00F43DAB">
            <w:pPr>
              <w:widowControl w:val="0"/>
              <w:rPr>
                <w:kern w:val="2"/>
                <w:sz w:val="19"/>
                <w:szCs w:val="19"/>
                <w:lang w:eastAsia="en-CA"/>
                <w14:ligatures w14:val="standardContextual"/>
              </w:rPr>
            </w:pPr>
            <w:r w:rsidRPr="00F43DAB">
              <w:rPr>
                <w:b/>
                <w:bCs/>
                <w:sz w:val="19"/>
                <w:szCs w:val="19"/>
                <w:rtl/>
              </w:rPr>
              <w:t xml:space="preserve">القطاع </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6E1C77E" w14:textId="6987DFEC" w:rsidR="00AA331C" w:rsidRPr="00F43DAB" w:rsidRDefault="00AA331C" w:rsidP="007C5895">
            <w:pPr>
              <w:widowControl w:val="0"/>
              <w:jc w:val="center"/>
              <w:rPr>
                <w:sz w:val="19"/>
                <w:szCs w:val="19"/>
              </w:rPr>
            </w:pPr>
            <w:r w:rsidRPr="00F43DAB">
              <w:rPr>
                <w:b/>
                <w:bCs/>
                <w:sz w:val="19"/>
                <w:szCs w:val="19"/>
                <w:rtl/>
              </w:rPr>
              <w:t>الهيدروفلوروكربون</w:t>
            </w:r>
            <w:r w:rsidRPr="00F43DAB">
              <w:rPr>
                <w:b/>
                <w:bCs/>
                <w:sz w:val="19"/>
                <w:szCs w:val="19"/>
                <w:rtl/>
              </w:rPr>
              <w:noBreakHyphen/>
              <w:t>134a</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EAEF860"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404A</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97B5F47"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407C</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D030FEC"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410A</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9867E37" w14:textId="77777777" w:rsidR="00AA331C" w:rsidRPr="00F43DAB" w:rsidRDefault="00AA331C" w:rsidP="007C5895">
            <w:pPr>
              <w:widowControl w:val="0"/>
              <w:jc w:val="center"/>
              <w:rPr>
                <w:sz w:val="19"/>
                <w:szCs w:val="19"/>
              </w:rPr>
            </w:pPr>
            <w:r w:rsidRPr="00F43DAB">
              <w:rPr>
                <w:b/>
                <w:bCs/>
                <w:sz w:val="19"/>
                <w:szCs w:val="19"/>
                <w:rtl/>
              </w:rPr>
              <w:t>المجموع</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7A4E7A3" w14:textId="77777777" w:rsidR="00AA331C" w:rsidRPr="00F43DAB" w:rsidRDefault="00AA331C" w:rsidP="007C5895">
            <w:pPr>
              <w:widowControl w:val="0"/>
              <w:jc w:val="center"/>
              <w:rPr>
                <w:sz w:val="19"/>
                <w:szCs w:val="19"/>
              </w:rPr>
            </w:pPr>
            <w:r w:rsidRPr="00F43DAB">
              <w:rPr>
                <w:b/>
                <w:bCs/>
                <w:sz w:val="19"/>
                <w:szCs w:val="19"/>
                <w:rtl/>
              </w:rPr>
              <w:t>الحصة من المجموع (%)</w:t>
            </w:r>
          </w:p>
        </w:tc>
      </w:tr>
      <w:tr w:rsidR="00AA331C" w:rsidRPr="00F43DAB" w14:paraId="0E52F67F"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5C0F06F" w14:textId="77777777" w:rsidR="00AA331C" w:rsidRPr="00F43DAB" w:rsidRDefault="00AA331C" w:rsidP="00B35FF7">
            <w:pPr>
              <w:widowControl w:val="0"/>
              <w:ind w:firstLine="84"/>
              <w:rPr>
                <w:sz w:val="19"/>
                <w:szCs w:val="19"/>
              </w:rPr>
            </w:pPr>
            <w:r w:rsidRPr="00F43DAB">
              <w:rPr>
                <w:sz w:val="19"/>
                <w:szCs w:val="19"/>
                <w:rtl/>
              </w:rPr>
              <w:t>التبريد المنزلي</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5D4AB43" w14:textId="77777777" w:rsidR="00AA331C" w:rsidRPr="00F43DAB" w:rsidRDefault="00AA331C" w:rsidP="00FC32FD">
            <w:pPr>
              <w:widowControl w:val="0"/>
              <w:ind w:firstLine="35"/>
              <w:jc w:val="left"/>
              <w:rPr>
                <w:sz w:val="19"/>
                <w:szCs w:val="19"/>
              </w:rPr>
            </w:pPr>
            <w:r w:rsidRPr="00F43DAB">
              <w:rPr>
                <w:sz w:val="19"/>
                <w:szCs w:val="19"/>
              </w:rPr>
              <w:t>0.36</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ABB1A7C" w14:textId="77777777" w:rsidR="00AA331C" w:rsidRPr="00F43DAB" w:rsidRDefault="00AA331C" w:rsidP="00FC32FD">
            <w:pPr>
              <w:widowControl w:val="0"/>
              <w:ind w:firstLine="35"/>
              <w:jc w:val="left"/>
              <w:rPr>
                <w:sz w:val="19"/>
                <w:szCs w:val="19"/>
              </w:rPr>
            </w:pPr>
            <w:r w:rsidRPr="00F43DAB">
              <w:rPr>
                <w:sz w:val="19"/>
                <w:szCs w:val="19"/>
              </w:rPr>
              <w:t>0.00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6F3C529"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0DFA5FD"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EEFAA90" w14:textId="77777777" w:rsidR="00AA331C" w:rsidRPr="00F43DAB" w:rsidRDefault="00AA331C" w:rsidP="00FC32FD">
            <w:pPr>
              <w:widowControl w:val="0"/>
              <w:ind w:firstLine="35"/>
              <w:jc w:val="left"/>
              <w:rPr>
                <w:sz w:val="19"/>
                <w:szCs w:val="19"/>
              </w:rPr>
            </w:pPr>
            <w:r w:rsidRPr="00F43DAB">
              <w:rPr>
                <w:sz w:val="19"/>
                <w:szCs w:val="19"/>
              </w:rPr>
              <w:t>0.36</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B6F0D03" w14:textId="1036201F" w:rsidR="00AA331C" w:rsidRPr="00F43DAB" w:rsidRDefault="00AA331C" w:rsidP="00FC32FD">
            <w:pPr>
              <w:widowControl w:val="0"/>
              <w:ind w:firstLine="35"/>
              <w:jc w:val="left"/>
              <w:rPr>
                <w:sz w:val="19"/>
                <w:szCs w:val="19"/>
              </w:rPr>
            </w:pPr>
            <w:r w:rsidRPr="00F43DAB">
              <w:rPr>
                <w:sz w:val="19"/>
                <w:szCs w:val="19"/>
              </w:rPr>
              <w:t>2.52</w:t>
            </w:r>
          </w:p>
        </w:tc>
      </w:tr>
      <w:tr w:rsidR="00AA331C" w:rsidRPr="00F43DAB" w14:paraId="443F64C0"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FC727C7" w14:textId="77777777" w:rsidR="00AA331C" w:rsidRPr="00F43DAB" w:rsidRDefault="00AA331C" w:rsidP="00B35FF7">
            <w:pPr>
              <w:widowControl w:val="0"/>
              <w:ind w:firstLine="84"/>
              <w:rPr>
                <w:sz w:val="19"/>
                <w:szCs w:val="19"/>
              </w:rPr>
            </w:pPr>
            <w:r w:rsidRPr="00F43DAB">
              <w:rPr>
                <w:sz w:val="19"/>
                <w:szCs w:val="19"/>
                <w:rtl/>
              </w:rPr>
              <w:t>التبريد التجاري</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64DB544" w14:textId="77777777" w:rsidR="00AA331C" w:rsidRPr="00F43DAB" w:rsidRDefault="00AA331C" w:rsidP="00FC32FD">
            <w:pPr>
              <w:widowControl w:val="0"/>
              <w:ind w:firstLine="35"/>
              <w:jc w:val="left"/>
              <w:rPr>
                <w:sz w:val="19"/>
                <w:szCs w:val="19"/>
              </w:rPr>
            </w:pPr>
            <w:r w:rsidRPr="00F43DAB">
              <w:rPr>
                <w:sz w:val="19"/>
                <w:szCs w:val="19"/>
              </w:rPr>
              <w:t>1.00</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E2FBF7A" w14:textId="77777777" w:rsidR="00AA331C" w:rsidRPr="00F43DAB" w:rsidRDefault="00AA331C" w:rsidP="00FC32FD">
            <w:pPr>
              <w:widowControl w:val="0"/>
              <w:ind w:firstLine="35"/>
              <w:jc w:val="left"/>
              <w:rPr>
                <w:sz w:val="19"/>
                <w:szCs w:val="19"/>
              </w:rPr>
            </w:pPr>
            <w:r w:rsidRPr="00F43DAB">
              <w:rPr>
                <w:sz w:val="19"/>
                <w:szCs w:val="19"/>
              </w:rPr>
              <w:t>4.20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8D199FD"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C0D639D"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8B35CAC" w14:textId="77777777" w:rsidR="00AA331C" w:rsidRPr="00F43DAB" w:rsidRDefault="00AA331C" w:rsidP="00FC32FD">
            <w:pPr>
              <w:widowControl w:val="0"/>
              <w:ind w:firstLine="35"/>
              <w:jc w:val="left"/>
              <w:rPr>
                <w:sz w:val="19"/>
                <w:szCs w:val="19"/>
              </w:rPr>
            </w:pPr>
            <w:r w:rsidRPr="00F43DAB">
              <w:rPr>
                <w:sz w:val="19"/>
                <w:szCs w:val="19"/>
              </w:rPr>
              <w:t>5.20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3F6F5C5" w14:textId="2D74377B" w:rsidR="00AA331C" w:rsidRPr="00F43DAB" w:rsidRDefault="00AA331C" w:rsidP="00FC32FD">
            <w:pPr>
              <w:widowControl w:val="0"/>
              <w:ind w:firstLine="35"/>
              <w:jc w:val="left"/>
              <w:rPr>
                <w:sz w:val="19"/>
                <w:szCs w:val="19"/>
              </w:rPr>
            </w:pPr>
            <w:r w:rsidRPr="00F43DAB">
              <w:rPr>
                <w:sz w:val="19"/>
                <w:szCs w:val="19"/>
              </w:rPr>
              <w:t>36.41</w:t>
            </w:r>
          </w:p>
        </w:tc>
      </w:tr>
      <w:tr w:rsidR="00AA331C" w:rsidRPr="00F43DAB" w14:paraId="747515F9"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F08FFF4" w14:textId="77777777" w:rsidR="00AA331C" w:rsidRPr="00F43DAB" w:rsidRDefault="00AA331C" w:rsidP="00B35FF7">
            <w:pPr>
              <w:widowControl w:val="0"/>
              <w:ind w:firstLine="84"/>
              <w:rPr>
                <w:sz w:val="19"/>
                <w:szCs w:val="19"/>
              </w:rPr>
            </w:pPr>
            <w:r w:rsidRPr="00F43DAB">
              <w:rPr>
                <w:sz w:val="19"/>
                <w:szCs w:val="19"/>
                <w:rtl/>
              </w:rPr>
              <w:t>أجهزة التبريد المركزية (المبرّدات)</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7500431" w14:textId="77777777" w:rsidR="00AA331C" w:rsidRPr="00F43DAB" w:rsidRDefault="00AA331C" w:rsidP="00FC32FD">
            <w:pPr>
              <w:widowControl w:val="0"/>
              <w:ind w:firstLine="35"/>
              <w:jc w:val="left"/>
              <w:rPr>
                <w:sz w:val="19"/>
                <w:szCs w:val="19"/>
              </w:rPr>
            </w:pPr>
            <w:r w:rsidRPr="00F43DAB">
              <w:rPr>
                <w:sz w:val="19"/>
                <w:szCs w:val="19"/>
              </w:rPr>
              <w:t>0.19</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3BD8964" w14:textId="77777777" w:rsidR="00AA331C" w:rsidRPr="00F43DAB" w:rsidRDefault="00AA331C" w:rsidP="00FC32FD">
            <w:pPr>
              <w:widowControl w:val="0"/>
              <w:ind w:firstLine="35"/>
              <w:jc w:val="left"/>
              <w:rPr>
                <w:sz w:val="19"/>
                <w:szCs w:val="19"/>
              </w:rPr>
            </w:pPr>
            <w:r w:rsidRPr="00F43DAB">
              <w:rPr>
                <w:sz w:val="19"/>
                <w:szCs w:val="19"/>
              </w:rPr>
              <w:t>0.00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94CA701" w14:textId="77777777" w:rsidR="00AA331C" w:rsidRPr="00F43DAB" w:rsidRDefault="00AA331C" w:rsidP="00FC32FD">
            <w:pPr>
              <w:widowControl w:val="0"/>
              <w:ind w:firstLine="35"/>
              <w:jc w:val="left"/>
              <w:rPr>
                <w:sz w:val="19"/>
                <w:szCs w:val="19"/>
              </w:rPr>
            </w:pPr>
            <w:r w:rsidRPr="00F43DAB">
              <w:rPr>
                <w:sz w:val="19"/>
                <w:szCs w:val="19"/>
              </w:rPr>
              <w:t>0.11</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CAFBDDB"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D137B5D" w14:textId="77777777" w:rsidR="00AA331C" w:rsidRPr="00F43DAB" w:rsidRDefault="00AA331C" w:rsidP="00FC32FD">
            <w:pPr>
              <w:widowControl w:val="0"/>
              <w:ind w:firstLine="35"/>
              <w:jc w:val="left"/>
              <w:rPr>
                <w:sz w:val="19"/>
                <w:szCs w:val="19"/>
              </w:rPr>
            </w:pPr>
            <w:r w:rsidRPr="00F43DAB">
              <w:rPr>
                <w:sz w:val="19"/>
                <w:szCs w:val="19"/>
              </w:rPr>
              <w:t>0.30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F705B8D" w14:textId="46A72843" w:rsidR="00AA331C" w:rsidRPr="00F43DAB" w:rsidRDefault="00AA331C" w:rsidP="00FC32FD">
            <w:pPr>
              <w:widowControl w:val="0"/>
              <w:ind w:firstLine="35"/>
              <w:jc w:val="left"/>
              <w:rPr>
                <w:sz w:val="19"/>
                <w:szCs w:val="19"/>
              </w:rPr>
            </w:pPr>
            <w:r w:rsidRPr="00F43DAB">
              <w:rPr>
                <w:sz w:val="19"/>
                <w:szCs w:val="19"/>
              </w:rPr>
              <w:t>2.11</w:t>
            </w:r>
          </w:p>
        </w:tc>
      </w:tr>
      <w:tr w:rsidR="00AA331C" w:rsidRPr="00F43DAB" w14:paraId="787B297F"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AD8E4EC" w14:textId="77777777" w:rsidR="00AA331C" w:rsidRPr="00F43DAB" w:rsidRDefault="00AA331C" w:rsidP="00B35FF7">
            <w:pPr>
              <w:widowControl w:val="0"/>
              <w:ind w:firstLine="84"/>
              <w:rPr>
                <w:sz w:val="19"/>
                <w:szCs w:val="19"/>
              </w:rPr>
            </w:pPr>
            <w:r w:rsidRPr="00F43DAB">
              <w:rPr>
                <w:sz w:val="19"/>
                <w:szCs w:val="19"/>
                <w:rtl/>
              </w:rPr>
              <w:t>التبريد في وسائل النقل</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DD30820" w14:textId="77777777" w:rsidR="00AA331C" w:rsidRPr="00F43DAB" w:rsidRDefault="00AA331C" w:rsidP="00FC32FD">
            <w:pPr>
              <w:widowControl w:val="0"/>
              <w:ind w:firstLine="35"/>
              <w:jc w:val="left"/>
              <w:rPr>
                <w:sz w:val="19"/>
                <w:szCs w:val="19"/>
              </w:rPr>
            </w:pPr>
            <w:r w:rsidRPr="00F43DAB">
              <w:rPr>
                <w:sz w:val="19"/>
                <w:szCs w:val="19"/>
              </w:rPr>
              <w:t>0.03</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3EB9E06" w14:textId="77777777" w:rsidR="00AA331C" w:rsidRPr="00F43DAB" w:rsidRDefault="00AA331C" w:rsidP="00FC32FD">
            <w:pPr>
              <w:widowControl w:val="0"/>
              <w:ind w:firstLine="35"/>
              <w:jc w:val="left"/>
              <w:rPr>
                <w:sz w:val="19"/>
                <w:szCs w:val="19"/>
              </w:rPr>
            </w:pPr>
            <w:r w:rsidRPr="00F43DAB">
              <w:rPr>
                <w:sz w:val="19"/>
                <w:szCs w:val="19"/>
              </w:rPr>
              <w:t>0.03</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11A2353"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2C9E426"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64233BD" w14:textId="77777777" w:rsidR="00AA331C" w:rsidRPr="00F43DAB" w:rsidRDefault="00AA331C" w:rsidP="00FC32FD">
            <w:pPr>
              <w:widowControl w:val="0"/>
              <w:ind w:firstLine="35"/>
              <w:jc w:val="left"/>
              <w:rPr>
                <w:sz w:val="19"/>
                <w:szCs w:val="19"/>
              </w:rPr>
            </w:pPr>
            <w:r w:rsidRPr="00F43DAB">
              <w:rPr>
                <w:sz w:val="19"/>
                <w:szCs w:val="19"/>
              </w:rPr>
              <w:t>0.06</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4C79A68" w14:textId="5477148F" w:rsidR="00AA331C" w:rsidRPr="00F43DAB" w:rsidRDefault="00AA331C" w:rsidP="00FC32FD">
            <w:pPr>
              <w:widowControl w:val="0"/>
              <w:ind w:firstLine="35"/>
              <w:jc w:val="left"/>
              <w:rPr>
                <w:sz w:val="19"/>
                <w:szCs w:val="19"/>
              </w:rPr>
            </w:pPr>
            <w:r w:rsidRPr="00F43DAB">
              <w:rPr>
                <w:sz w:val="19"/>
                <w:szCs w:val="19"/>
              </w:rPr>
              <w:t>0.42</w:t>
            </w:r>
          </w:p>
        </w:tc>
      </w:tr>
      <w:tr w:rsidR="00AA331C" w:rsidRPr="00F43DAB" w14:paraId="32939ADF"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7F3E34D" w14:textId="3BB3A235" w:rsidR="00AA331C" w:rsidRPr="00F43DAB" w:rsidRDefault="00AA331C" w:rsidP="00B35FF7">
            <w:pPr>
              <w:widowControl w:val="0"/>
              <w:ind w:firstLine="84"/>
              <w:rPr>
                <w:sz w:val="19"/>
                <w:szCs w:val="19"/>
              </w:rPr>
            </w:pPr>
            <w:r w:rsidRPr="00F43DAB">
              <w:rPr>
                <w:sz w:val="19"/>
                <w:szCs w:val="19"/>
                <w:rtl/>
              </w:rPr>
              <w:t>أجهزة تكييف الهواء السكنية</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263C5AE" w14:textId="77777777" w:rsidR="00AA331C" w:rsidRPr="00F43DAB" w:rsidRDefault="00AA331C" w:rsidP="00FC32FD">
            <w:pPr>
              <w:widowControl w:val="0"/>
              <w:ind w:firstLine="35"/>
              <w:jc w:val="left"/>
              <w:rPr>
                <w:sz w:val="19"/>
                <w:szCs w:val="19"/>
              </w:rPr>
            </w:pPr>
            <w:r w:rsidRPr="00F43DAB">
              <w:rPr>
                <w:sz w:val="19"/>
                <w:szCs w:val="19"/>
              </w:rPr>
              <w:t>0.00</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8A393B4" w14:textId="77777777" w:rsidR="00AA331C" w:rsidRPr="00F43DAB" w:rsidRDefault="00AA331C" w:rsidP="00FC32FD">
            <w:pPr>
              <w:widowControl w:val="0"/>
              <w:ind w:firstLine="35"/>
              <w:jc w:val="left"/>
              <w:rPr>
                <w:sz w:val="19"/>
                <w:szCs w:val="19"/>
              </w:rPr>
            </w:pPr>
            <w:r w:rsidRPr="00F43DAB">
              <w:rPr>
                <w:sz w:val="19"/>
                <w:szCs w:val="19"/>
              </w:rPr>
              <w:t>0.00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6664506"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C72A87B" w14:textId="77777777" w:rsidR="00AA331C" w:rsidRPr="00F43DAB" w:rsidRDefault="00AA331C" w:rsidP="00FC32FD">
            <w:pPr>
              <w:widowControl w:val="0"/>
              <w:ind w:firstLine="35"/>
              <w:jc w:val="left"/>
              <w:rPr>
                <w:sz w:val="19"/>
                <w:szCs w:val="19"/>
              </w:rPr>
            </w:pPr>
            <w:r w:rsidRPr="00F43DAB">
              <w:rPr>
                <w:sz w:val="19"/>
                <w:szCs w:val="19"/>
              </w:rPr>
              <w:t>5.49</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5B66475" w14:textId="77777777" w:rsidR="00AA331C" w:rsidRPr="00F43DAB" w:rsidRDefault="00AA331C" w:rsidP="00FC32FD">
            <w:pPr>
              <w:widowControl w:val="0"/>
              <w:ind w:firstLine="35"/>
              <w:jc w:val="left"/>
              <w:rPr>
                <w:sz w:val="19"/>
                <w:szCs w:val="19"/>
              </w:rPr>
            </w:pPr>
            <w:r w:rsidRPr="00F43DAB">
              <w:rPr>
                <w:sz w:val="19"/>
                <w:szCs w:val="19"/>
              </w:rPr>
              <w:t>5.49</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1389407" w14:textId="777A6330" w:rsidR="00AA331C" w:rsidRPr="00F43DAB" w:rsidRDefault="00AA331C" w:rsidP="00FC32FD">
            <w:pPr>
              <w:widowControl w:val="0"/>
              <w:ind w:firstLine="35"/>
              <w:jc w:val="left"/>
              <w:rPr>
                <w:sz w:val="19"/>
                <w:szCs w:val="19"/>
              </w:rPr>
            </w:pPr>
            <w:r w:rsidRPr="00F43DAB">
              <w:rPr>
                <w:sz w:val="19"/>
                <w:szCs w:val="19"/>
              </w:rPr>
              <w:t>38.45</w:t>
            </w:r>
          </w:p>
        </w:tc>
      </w:tr>
      <w:tr w:rsidR="00AA331C" w:rsidRPr="00F43DAB" w14:paraId="4240A347"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3A93E0B" w14:textId="4E04283E" w:rsidR="00AA331C" w:rsidRPr="00F43DAB" w:rsidRDefault="00AA331C" w:rsidP="00B35FF7">
            <w:pPr>
              <w:widowControl w:val="0"/>
              <w:ind w:firstLine="84"/>
              <w:rPr>
                <w:sz w:val="19"/>
                <w:szCs w:val="19"/>
              </w:rPr>
            </w:pPr>
            <w:r w:rsidRPr="00F43DAB">
              <w:rPr>
                <w:sz w:val="19"/>
                <w:szCs w:val="19"/>
                <w:rtl/>
              </w:rPr>
              <w:t>أجهزة تكييف الهواء التجارية</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EBE0E73" w14:textId="77777777" w:rsidR="00AA331C" w:rsidRPr="00F43DAB" w:rsidRDefault="00AA331C" w:rsidP="00FC32FD">
            <w:pPr>
              <w:widowControl w:val="0"/>
              <w:ind w:firstLine="35"/>
              <w:jc w:val="left"/>
              <w:rPr>
                <w:sz w:val="19"/>
                <w:szCs w:val="19"/>
              </w:rPr>
            </w:pPr>
            <w:r w:rsidRPr="00F43DAB">
              <w:rPr>
                <w:sz w:val="19"/>
                <w:szCs w:val="19"/>
              </w:rPr>
              <w:t>0.00</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C3D458C" w14:textId="77777777" w:rsidR="00AA331C" w:rsidRPr="00F43DAB" w:rsidRDefault="00AA331C" w:rsidP="00FC32FD">
            <w:pPr>
              <w:widowControl w:val="0"/>
              <w:ind w:firstLine="35"/>
              <w:jc w:val="left"/>
              <w:rPr>
                <w:sz w:val="19"/>
                <w:szCs w:val="19"/>
              </w:rPr>
            </w:pPr>
            <w:r w:rsidRPr="00F43DAB">
              <w:rPr>
                <w:sz w:val="19"/>
                <w:szCs w:val="19"/>
              </w:rPr>
              <w:t>0.00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5A1B166" w14:textId="77777777" w:rsidR="00AA331C" w:rsidRPr="00F43DAB" w:rsidRDefault="00AA331C" w:rsidP="00FC32FD">
            <w:pPr>
              <w:widowControl w:val="0"/>
              <w:ind w:firstLine="35"/>
              <w:jc w:val="left"/>
              <w:rPr>
                <w:sz w:val="19"/>
                <w:szCs w:val="19"/>
              </w:rPr>
            </w:pPr>
            <w:r w:rsidRPr="00F43DAB">
              <w:rPr>
                <w:sz w:val="19"/>
                <w:szCs w:val="19"/>
              </w:rPr>
              <w:t>0.06</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71F6FF8" w14:textId="77777777" w:rsidR="00AA331C" w:rsidRPr="00F43DAB" w:rsidRDefault="00AA331C" w:rsidP="00FC32FD">
            <w:pPr>
              <w:widowControl w:val="0"/>
              <w:ind w:firstLine="35"/>
              <w:jc w:val="left"/>
              <w:rPr>
                <w:sz w:val="19"/>
                <w:szCs w:val="19"/>
              </w:rPr>
            </w:pPr>
            <w:r w:rsidRPr="00F43DAB">
              <w:rPr>
                <w:sz w:val="19"/>
                <w:szCs w:val="19"/>
              </w:rPr>
              <w:t>0.17</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C1755BD" w14:textId="77777777" w:rsidR="00AA331C" w:rsidRPr="00F43DAB" w:rsidRDefault="00AA331C" w:rsidP="00FC32FD">
            <w:pPr>
              <w:widowControl w:val="0"/>
              <w:ind w:firstLine="35"/>
              <w:jc w:val="left"/>
              <w:rPr>
                <w:sz w:val="19"/>
                <w:szCs w:val="19"/>
              </w:rPr>
            </w:pPr>
            <w:r w:rsidRPr="00F43DAB">
              <w:rPr>
                <w:sz w:val="19"/>
                <w:szCs w:val="19"/>
              </w:rPr>
              <w:t>0.23</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640E291" w14:textId="76747E65" w:rsidR="00AA331C" w:rsidRPr="00F43DAB" w:rsidRDefault="00AA331C" w:rsidP="00FC32FD">
            <w:pPr>
              <w:widowControl w:val="0"/>
              <w:ind w:firstLine="35"/>
              <w:jc w:val="left"/>
              <w:rPr>
                <w:sz w:val="19"/>
                <w:szCs w:val="19"/>
              </w:rPr>
            </w:pPr>
            <w:r w:rsidRPr="00F43DAB">
              <w:rPr>
                <w:sz w:val="19"/>
                <w:szCs w:val="19"/>
              </w:rPr>
              <w:t>1.61</w:t>
            </w:r>
          </w:p>
        </w:tc>
      </w:tr>
      <w:tr w:rsidR="00AA331C" w:rsidRPr="00F43DAB" w14:paraId="0D6D3FEB"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4C4A306" w14:textId="20834F83" w:rsidR="00AA331C" w:rsidRPr="00F43DAB" w:rsidRDefault="00AA331C" w:rsidP="00B35FF7">
            <w:pPr>
              <w:widowControl w:val="0"/>
              <w:ind w:firstLine="84"/>
              <w:rPr>
                <w:sz w:val="19"/>
                <w:szCs w:val="19"/>
              </w:rPr>
            </w:pPr>
            <w:r w:rsidRPr="00F43DAB">
              <w:rPr>
                <w:sz w:val="19"/>
                <w:szCs w:val="19"/>
                <w:rtl/>
              </w:rPr>
              <w:t>أجهزة تكييف الهواء المتنقلة</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6AEFAEA" w14:textId="77777777" w:rsidR="00AA331C" w:rsidRPr="00F43DAB" w:rsidRDefault="00AA331C" w:rsidP="00FC32FD">
            <w:pPr>
              <w:widowControl w:val="0"/>
              <w:ind w:firstLine="35"/>
              <w:jc w:val="left"/>
              <w:rPr>
                <w:sz w:val="19"/>
                <w:szCs w:val="19"/>
              </w:rPr>
            </w:pPr>
            <w:r w:rsidRPr="00F43DAB">
              <w:rPr>
                <w:sz w:val="19"/>
                <w:szCs w:val="19"/>
              </w:rPr>
              <w:t>2.64</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1DCC5C3" w14:textId="77777777" w:rsidR="00AA331C" w:rsidRPr="00F43DAB" w:rsidRDefault="00AA331C" w:rsidP="00FC32FD">
            <w:pPr>
              <w:widowControl w:val="0"/>
              <w:ind w:firstLine="35"/>
              <w:jc w:val="left"/>
              <w:rPr>
                <w:sz w:val="19"/>
                <w:szCs w:val="19"/>
              </w:rPr>
            </w:pPr>
            <w:r w:rsidRPr="00F43DAB">
              <w:rPr>
                <w:sz w:val="19"/>
                <w:szCs w:val="19"/>
              </w:rPr>
              <w:t>0.00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D9BB31D"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933413D" w14:textId="77777777" w:rsidR="00AA331C" w:rsidRPr="00F43DAB" w:rsidRDefault="00AA331C" w:rsidP="00FC32FD">
            <w:pPr>
              <w:widowControl w:val="0"/>
              <w:ind w:firstLine="35"/>
              <w:jc w:val="left"/>
              <w:rPr>
                <w:sz w:val="19"/>
                <w:szCs w:val="19"/>
              </w:rPr>
            </w:pPr>
            <w:r w:rsidRPr="00F43DAB">
              <w:rPr>
                <w:sz w:val="19"/>
                <w:szCs w:val="19"/>
              </w:rPr>
              <w:t>0.00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E5ABBF7" w14:textId="77777777" w:rsidR="00AA331C" w:rsidRPr="00F43DAB" w:rsidRDefault="00AA331C" w:rsidP="00FC32FD">
            <w:pPr>
              <w:widowControl w:val="0"/>
              <w:ind w:firstLine="35"/>
              <w:jc w:val="left"/>
              <w:rPr>
                <w:sz w:val="19"/>
                <w:szCs w:val="19"/>
              </w:rPr>
            </w:pPr>
            <w:r w:rsidRPr="00F43DAB">
              <w:rPr>
                <w:sz w:val="19"/>
                <w:szCs w:val="19"/>
              </w:rPr>
              <w:t>2.64</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9E9E7C5" w14:textId="1C34B360" w:rsidR="00AA331C" w:rsidRPr="00F43DAB" w:rsidRDefault="00AA331C" w:rsidP="00FC32FD">
            <w:pPr>
              <w:widowControl w:val="0"/>
              <w:ind w:firstLine="35"/>
              <w:jc w:val="left"/>
              <w:rPr>
                <w:sz w:val="19"/>
                <w:szCs w:val="19"/>
              </w:rPr>
            </w:pPr>
            <w:r w:rsidRPr="00F43DAB">
              <w:rPr>
                <w:sz w:val="19"/>
                <w:szCs w:val="19"/>
              </w:rPr>
              <w:t>18.48</w:t>
            </w:r>
          </w:p>
        </w:tc>
      </w:tr>
      <w:tr w:rsidR="00AA331C" w:rsidRPr="00F43DAB" w14:paraId="39EB8402" w14:textId="77777777" w:rsidTr="00F133F9">
        <w:trPr>
          <w:cantSplit/>
          <w:jc w:val="center"/>
        </w:trPr>
        <w:tc>
          <w:tcPr>
            <w:tcW w:w="310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339DB8F" w14:textId="77777777" w:rsidR="00AA331C" w:rsidRPr="00F43DAB" w:rsidRDefault="00AA331C" w:rsidP="00B35FF7">
            <w:pPr>
              <w:widowControl w:val="0"/>
              <w:ind w:firstLine="84"/>
              <w:rPr>
                <w:sz w:val="19"/>
                <w:szCs w:val="19"/>
              </w:rPr>
            </w:pPr>
            <w:r w:rsidRPr="00F43DAB">
              <w:rPr>
                <w:b/>
                <w:bCs/>
                <w:sz w:val="19"/>
                <w:szCs w:val="19"/>
                <w:rtl/>
              </w:rPr>
              <w:t>المجموع</w:t>
            </w:r>
          </w:p>
        </w:tc>
        <w:tc>
          <w:tcPr>
            <w:tcW w:w="140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DA8D7D6" w14:textId="77777777" w:rsidR="00AA331C" w:rsidRPr="00FC32FD" w:rsidRDefault="00AA331C" w:rsidP="00FC32FD">
            <w:pPr>
              <w:widowControl w:val="0"/>
              <w:ind w:firstLine="35"/>
              <w:jc w:val="left"/>
              <w:rPr>
                <w:b/>
                <w:bCs/>
                <w:sz w:val="19"/>
                <w:szCs w:val="19"/>
              </w:rPr>
            </w:pPr>
            <w:r w:rsidRPr="00F43DAB">
              <w:rPr>
                <w:b/>
                <w:bCs/>
                <w:sz w:val="19"/>
                <w:szCs w:val="19"/>
              </w:rPr>
              <w:t>4.22</w:t>
            </w:r>
          </w:p>
        </w:tc>
        <w:tc>
          <w:tcPr>
            <w:tcW w:w="735"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16D133E" w14:textId="77777777" w:rsidR="00AA331C" w:rsidRPr="00FC32FD" w:rsidRDefault="00AA331C" w:rsidP="00FC32FD">
            <w:pPr>
              <w:widowControl w:val="0"/>
              <w:ind w:firstLine="35"/>
              <w:jc w:val="left"/>
              <w:rPr>
                <w:b/>
                <w:bCs/>
                <w:sz w:val="19"/>
                <w:szCs w:val="19"/>
              </w:rPr>
            </w:pPr>
            <w:r w:rsidRPr="00F43DAB">
              <w:rPr>
                <w:b/>
                <w:bCs/>
                <w:sz w:val="19"/>
                <w:szCs w:val="19"/>
              </w:rPr>
              <w:t>4.23</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0881DF2" w14:textId="77777777" w:rsidR="00AA331C" w:rsidRPr="00FC32FD" w:rsidRDefault="00AA331C" w:rsidP="00FC32FD">
            <w:pPr>
              <w:widowControl w:val="0"/>
              <w:ind w:firstLine="35"/>
              <w:jc w:val="left"/>
              <w:rPr>
                <w:b/>
                <w:bCs/>
                <w:sz w:val="19"/>
                <w:szCs w:val="19"/>
              </w:rPr>
            </w:pPr>
            <w:r w:rsidRPr="00F43DAB">
              <w:rPr>
                <w:b/>
                <w:bCs/>
                <w:sz w:val="19"/>
                <w:szCs w:val="19"/>
              </w:rPr>
              <w:t>0.17</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0F1A062" w14:textId="77777777" w:rsidR="00AA331C" w:rsidRPr="00FC32FD" w:rsidRDefault="00AA331C" w:rsidP="00FC32FD">
            <w:pPr>
              <w:widowControl w:val="0"/>
              <w:ind w:firstLine="35"/>
              <w:jc w:val="left"/>
              <w:rPr>
                <w:b/>
                <w:bCs/>
                <w:sz w:val="19"/>
                <w:szCs w:val="19"/>
              </w:rPr>
            </w:pPr>
            <w:r w:rsidRPr="00F43DAB">
              <w:rPr>
                <w:b/>
                <w:bCs/>
                <w:sz w:val="19"/>
                <w:szCs w:val="19"/>
              </w:rPr>
              <w:t>5.66</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0A2B6C8" w14:textId="1E0F25FD" w:rsidR="00AA331C" w:rsidRPr="00FC32FD" w:rsidRDefault="00F133F9" w:rsidP="00FC32FD">
            <w:pPr>
              <w:widowControl w:val="0"/>
              <w:ind w:firstLine="35"/>
              <w:jc w:val="left"/>
              <w:rPr>
                <w:b/>
                <w:bCs/>
                <w:sz w:val="19"/>
                <w:szCs w:val="19"/>
              </w:rPr>
            </w:pPr>
            <w:r>
              <w:rPr>
                <w:b/>
                <w:bCs/>
                <w:sz w:val="19"/>
                <w:szCs w:val="19"/>
              </w:rPr>
              <w:t>*</w:t>
            </w:r>
            <w:r w:rsidR="008659C4" w:rsidRPr="00F43DAB">
              <w:rPr>
                <w:b/>
                <w:bCs/>
                <w:sz w:val="19"/>
                <w:szCs w:val="19"/>
              </w:rPr>
              <w:t>14.28</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D4ACEC6" w14:textId="77777777" w:rsidR="00AA331C" w:rsidRPr="00F43DAB" w:rsidRDefault="00AA331C" w:rsidP="00FC32FD">
            <w:pPr>
              <w:widowControl w:val="0"/>
              <w:ind w:firstLine="35"/>
              <w:jc w:val="left"/>
              <w:rPr>
                <w:sz w:val="19"/>
                <w:szCs w:val="19"/>
              </w:rPr>
            </w:pPr>
            <w:r w:rsidRPr="00F43DAB">
              <w:rPr>
                <w:b/>
                <w:bCs/>
                <w:sz w:val="19"/>
                <w:szCs w:val="19"/>
              </w:rPr>
              <w:t>100</w:t>
            </w:r>
          </w:p>
        </w:tc>
      </w:tr>
    </w:tbl>
    <w:p w14:paraId="1B340C55" w14:textId="482D6394" w:rsidR="00AA331C" w:rsidRPr="00BE38DF" w:rsidRDefault="00AA331C" w:rsidP="00F43DAB">
      <w:pPr>
        <w:pStyle w:val="Heading1"/>
        <w:widowControl w:val="0"/>
        <w:numPr>
          <w:ilvl w:val="0"/>
          <w:numId w:val="0"/>
        </w:numPr>
        <w:spacing w:before="240" w:after="0"/>
        <w:rPr>
          <w:kern w:val="36"/>
          <w:sz w:val="26"/>
          <w:szCs w:val="26"/>
          <w:lang w:eastAsia="en-CA"/>
          <w14:ligatures w14:val="standardContextual"/>
        </w:rPr>
      </w:pPr>
      <w:r>
        <w:rPr>
          <w:b/>
          <w:bCs/>
          <w:kern w:val="36"/>
          <w:sz w:val="26"/>
          <w:szCs w:val="26"/>
          <w:rtl/>
        </w:rPr>
        <w:t>الجدول 8. استهلاك المواد الهيدروفلوروكربونية في سان تومي وبرينسيبي في عام 2025 في القطاعات الفرعية للخدمة (طن من مكافئ ثاني أكسيد الكربون)</w:t>
      </w:r>
    </w:p>
    <w:tbl>
      <w:tblPr>
        <w:bidiVisual/>
        <w:tblW w:w="9360" w:type="dxa"/>
        <w:jc w:val="center"/>
        <w:tblLayout w:type="fixed"/>
        <w:tblLook w:val="04A0" w:firstRow="1" w:lastRow="0" w:firstColumn="1" w:lastColumn="0" w:noHBand="0" w:noVBand="1"/>
      </w:tblPr>
      <w:tblGrid>
        <w:gridCol w:w="3110"/>
        <w:gridCol w:w="1399"/>
        <w:gridCol w:w="736"/>
        <w:gridCol w:w="1028"/>
        <w:gridCol w:w="1030"/>
        <w:gridCol w:w="1030"/>
        <w:gridCol w:w="1027"/>
      </w:tblGrid>
      <w:tr w:rsidR="00AA331C" w:rsidRPr="00F43DAB" w14:paraId="43F4D2A3" w14:textId="77777777" w:rsidTr="00F133F9">
        <w:trPr>
          <w:cantSplit/>
          <w:tblHeader/>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6C9D6EC" w14:textId="3F217FA5" w:rsidR="00AA331C" w:rsidRPr="00F43DAB" w:rsidRDefault="00E7758E" w:rsidP="00F43DAB">
            <w:pPr>
              <w:widowControl w:val="0"/>
              <w:rPr>
                <w:kern w:val="2"/>
                <w:sz w:val="19"/>
                <w:szCs w:val="19"/>
                <w:lang w:eastAsia="en-CA"/>
                <w14:ligatures w14:val="standardContextual"/>
              </w:rPr>
            </w:pPr>
            <w:r w:rsidRPr="00F43DAB">
              <w:rPr>
                <w:b/>
                <w:bCs/>
                <w:sz w:val="19"/>
                <w:szCs w:val="19"/>
                <w:rtl/>
              </w:rPr>
              <w:t>القطاع</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846DE7E" w14:textId="4F128581" w:rsidR="00AA331C" w:rsidRPr="00F43DAB" w:rsidRDefault="00AA331C" w:rsidP="007C5895">
            <w:pPr>
              <w:widowControl w:val="0"/>
              <w:jc w:val="center"/>
              <w:rPr>
                <w:sz w:val="19"/>
                <w:szCs w:val="19"/>
              </w:rPr>
            </w:pPr>
            <w:r w:rsidRPr="00F43DAB">
              <w:rPr>
                <w:b/>
                <w:bCs/>
                <w:sz w:val="19"/>
                <w:szCs w:val="19"/>
                <w:rtl/>
              </w:rPr>
              <w:t>الهيدروفلوروكربون</w:t>
            </w:r>
            <w:r w:rsidRPr="00F43DAB">
              <w:rPr>
                <w:b/>
                <w:bCs/>
                <w:sz w:val="19"/>
                <w:szCs w:val="19"/>
                <w:rtl/>
              </w:rPr>
              <w:noBreakHyphen/>
              <w:t>134a</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1D281E8"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404A</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3CE7E1F"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407C</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3C920C2" w14:textId="77777777" w:rsidR="00AA331C" w:rsidRPr="00F43DAB" w:rsidRDefault="00AA331C" w:rsidP="007C5895">
            <w:pPr>
              <w:widowControl w:val="0"/>
              <w:jc w:val="center"/>
              <w:rPr>
                <w:sz w:val="19"/>
                <w:szCs w:val="19"/>
              </w:rPr>
            </w:pPr>
            <w:r w:rsidRPr="00F43DAB">
              <w:rPr>
                <w:b/>
                <w:bCs/>
                <w:sz w:val="19"/>
                <w:szCs w:val="19"/>
                <w:rtl/>
              </w:rPr>
              <w:t>R</w:t>
            </w:r>
            <w:r w:rsidRPr="00F43DAB">
              <w:rPr>
                <w:b/>
                <w:bCs/>
                <w:sz w:val="19"/>
                <w:szCs w:val="19"/>
                <w:rtl/>
              </w:rPr>
              <w:noBreakHyphen/>
              <w:t>410A</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5FAA6D8" w14:textId="77777777" w:rsidR="00AA331C" w:rsidRPr="00F43DAB" w:rsidRDefault="00AA331C" w:rsidP="007C5895">
            <w:pPr>
              <w:widowControl w:val="0"/>
              <w:jc w:val="center"/>
              <w:rPr>
                <w:sz w:val="19"/>
                <w:szCs w:val="19"/>
              </w:rPr>
            </w:pPr>
            <w:r w:rsidRPr="00F43DAB">
              <w:rPr>
                <w:b/>
                <w:bCs/>
                <w:sz w:val="19"/>
                <w:szCs w:val="19"/>
                <w:rtl/>
              </w:rPr>
              <w:t>المجموع</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BDF6363" w14:textId="77777777" w:rsidR="00AA331C" w:rsidRPr="00F43DAB" w:rsidRDefault="00AA331C" w:rsidP="007C5895">
            <w:pPr>
              <w:widowControl w:val="0"/>
              <w:jc w:val="center"/>
              <w:rPr>
                <w:sz w:val="19"/>
                <w:szCs w:val="19"/>
              </w:rPr>
            </w:pPr>
            <w:r w:rsidRPr="00F43DAB">
              <w:rPr>
                <w:b/>
                <w:bCs/>
                <w:sz w:val="19"/>
                <w:szCs w:val="19"/>
                <w:rtl/>
              </w:rPr>
              <w:t>الحصة من المجموع (%)</w:t>
            </w:r>
          </w:p>
        </w:tc>
      </w:tr>
      <w:tr w:rsidR="00AA331C" w:rsidRPr="00F43DAB" w14:paraId="338C9BB6"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24192DB" w14:textId="77777777" w:rsidR="00AA331C" w:rsidRPr="00F43DAB" w:rsidRDefault="00AA331C" w:rsidP="00B35FF7">
            <w:pPr>
              <w:widowControl w:val="0"/>
              <w:ind w:firstLine="84"/>
              <w:rPr>
                <w:sz w:val="19"/>
                <w:szCs w:val="19"/>
              </w:rPr>
            </w:pPr>
            <w:r w:rsidRPr="00F43DAB">
              <w:rPr>
                <w:sz w:val="19"/>
                <w:szCs w:val="19"/>
                <w:rtl/>
              </w:rPr>
              <w:t>التبريد المنزلي</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8AB94A7" w14:textId="77777777" w:rsidR="00AA331C" w:rsidRPr="00F43DAB" w:rsidRDefault="00AA331C" w:rsidP="00FC32FD">
            <w:pPr>
              <w:widowControl w:val="0"/>
              <w:ind w:firstLine="35"/>
              <w:jc w:val="left"/>
              <w:rPr>
                <w:sz w:val="19"/>
                <w:szCs w:val="19"/>
              </w:rPr>
            </w:pPr>
            <w:r w:rsidRPr="00F43DAB">
              <w:rPr>
                <w:sz w:val="19"/>
                <w:szCs w:val="19"/>
              </w:rPr>
              <w:t>515</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972B43D" w14:textId="77777777" w:rsidR="00AA331C" w:rsidRPr="00F43DAB" w:rsidRDefault="00AA331C" w:rsidP="00FC32FD">
            <w:pPr>
              <w:widowControl w:val="0"/>
              <w:ind w:firstLine="35"/>
              <w:jc w:val="left"/>
              <w:rPr>
                <w:sz w:val="19"/>
                <w:szCs w:val="19"/>
              </w:rPr>
            </w:pPr>
            <w:r w:rsidRPr="00F43DAB">
              <w:rPr>
                <w:sz w:val="19"/>
                <w:szCs w:val="19"/>
              </w:rPr>
              <w:t>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07985BE"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10C8DFD"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9AFCCB9" w14:textId="77777777" w:rsidR="00AA331C" w:rsidRPr="00F43DAB" w:rsidRDefault="00AA331C" w:rsidP="00FC32FD">
            <w:pPr>
              <w:widowControl w:val="0"/>
              <w:ind w:firstLine="35"/>
              <w:jc w:val="left"/>
              <w:rPr>
                <w:sz w:val="19"/>
                <w:szCs w:val="19"/>
              </w:rPr>
            </w:pPr>
            <w:r w:rsidRPr="00F43DAB">
              <w:rPr>
                <w:sz w:val="19"/>
                <w:szCs w:val="19"/>
              </w:rPr>
              <w:t>515</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84D9652" w14:textId="4D84705B" w:rsidR="00AA331C" w:rsidRPr="00F43DAB" w:rsidRDefault="00AA331C" w:rsidP="00FC32FD">
            <w:pPr>
              <w:widowControl w:val="0"/>
              <w:ind w:firstLine="35"/>
              <w:jc w:val="left"/>
              <w:rPr>
                <w:sz w:val="19"/>
                <w:szCs w:val="19"/>
              </w:rPr>
            </w:pPr>
            <w:r w:rsidRPr="00F43DAB">
              <w:rPr>
                <w:sz w:val="19"/>
                <w:szCs w:val="19"/>
              </w:rPr>
              <w:t>1.48</w:t>
            </w:r>
          </w:p>
        </w:tc>
      </w:tr>
      <w:tr w:rsidR="00AA331C" w:rsidRPr="00F43DAB" w14:paraId="2D2A58A7"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43E5961" w14:textId="77777777" w:rsidR="00AA331C" w:rsidRPr="00F43DAB" w:rsidRDefault="00AA331C" w:rsidP="00B35FF7">
            <w:pPr>
              <w:widowControl w:val="0"/>
              <w:ind w:firstLine="84"/>
              <w:rPr>
                <w:sz w:val="19"/>
                <w:szCs w:val="19"/>
              </w:rPr>
            </w:pPr>
            <w:r w:rsidRPr="00F43DAB">
              <w:rPr>
                <w:sz w:val="19"/>
                <w:szCs w:val="19"/>
                <w:rtl/>
              </w:rPr>
              <w:t>التبريد التجاري</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6F7A3EC" w14:textId="77777777" w:rsidR="00AA331C" w:rsidRPr="00F43DAB" w:rsidRDefault="00AA331C" w:rsidP="00FC32FD">
            <w:pPr>
              <w:widowControl w:val="0"/>
              <w:ind w:firstLine="35"/>
              <w:jc w:val="left"/>
              <w:rPr>
                <w:sz w:val="19"/>
                <w:szCs w:val="19"/>
              </w:rPr>
            </w:pPr>
            <w:r w:rsidRPr="00F43DAB">
              <w:rPr>
                <w:sz w:val="19"/>
                <w:szCs w:val="19"/>
              </w:rPr>
              <w:t>1,430</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5586BB9" w14:textId="77777777" w:rsidR="00AA331C" w:rsidRPr="00F43DAB" w:rsidRDefault="00AA331C" w:rsidP="00FC32FD">
            <w:pPr>
              <w:widowControl w:val="0"/>
              <w:ind w:firstLine="35"/>
              <w:jc w:val="left"/>
              <w:rPr>
                <w:sz w:val="19"/>
                <w:szCs w:val="19"/>
              </w:rPr>
            </w:pPr>
            <w:r w:rsidRPr="00F43DAB">
              <w:rPr>
                <w:sz w:val="19"/>
                <w:szCs w:val="19"/>
              </w:rPr>
              <w:t>16,471</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C2993FD"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21F2D72"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11F54C4" w14:textId="77777777" w:rsidR="00AA331C" w:rsidRPr="00F43DAB" w:rsidRDefault="00AA331C" w:rsidP="00FC32FD">
            <w:pPr>
              <w:widowControl w:val="0"/>
              <w:ind w:firstLine="35"/>
              <w:jc w:val="left"/>
              <w:rPr>
                <w:sz w:val="19"/>
                <w:szCs w:val="19"/>
              </w:rPr>
            </w:pPr>
            <w:r w:rsidRPr="00F43DAB">
              <w:rPr>
                <w:sz w:val="19"/>
                <w:szCs w:val="19"/>
              </w:rPr>
              <w:t>17,901</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A03C1AF" w14:textId="316D795E" w:rsidR="00AA331C" w:rsidRPr="00F43DAB" w:rsidRDefault="00AA331C" w:rsidP="00FC32FD">
            <w:pPr>
              <w:widowControl w:val="0"/>
              <w:ind w:firstLine="35"/>
              <w:jc w:val="left"/>
              <w:rPr>
                <w:sz w:val="19"/>
                <w:szCs w:val="19"/>
              </w:rPr>
            </w:pPr>
            <w:r w:rsidRPr="00F43DAB">
              <w:rPr>
                <w:sz w:val="19"/>
                <w:szCs w:val="19"/>
              </w:rPr>
              <w:t>51.53</w:t>
            </w:r>
          </w:p>
        </w:tc>
      </w:tr>
      <w:tr w:rsidR="00AA331C" w:rsidRPr="00F43DAB" w14:paraId="3E11D818"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C97BEBB" w14:textId="77777777" w:rsidR="00AA331C" w:rsidRPr="00F43DAB" w:rsidRDefault="00AA331C" w:rsidP="00B35FF7">
            <w:pPr>
              <w:widowControl w:val="0"/>
              <w:ind w:firstLine="84"/>
              <w:rPr>
                <w:sz w:val="19"/>
                <w:szCs w:val="19"/>
              </w:rPr>
            </w:pPr>
            <w:r w:rsidRPr="00F43DAB">
              <w:rPr>
                <w:sz w:val="19"/>
                <w:szCs w:val="19"/>
                <w:rtl/>
              </w:rPr>
              <w:t>أجهزة التبريد المركزية (المبرّدات)</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47CF162" w14:textId="77777777" w:rsidR="00AA331C" w:rsidRPr="00F43DAB" w:rsidRDefault="00AA331C" w:rsidP="00FC32FD">
            <w:pPr>
              <w:widowControl w:val="0"/>
              <w:ind w:firstLine="35"/>
              <w:jc w:val="left"/>
              <w:rPr>
                <w:sz w:val="19"/>
                <w:szCs w:val="19"/>
              </w:rPr>
            </w:pPr>
            <w:r w:rsidRPr="00F43DAB">
              <w:rPr>
                <w:sz w:val="19"/>
                <w:szCs w:val="19"/>
              </w:rPr>
              <w:t>272</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8453A8E" w14:textId="77777777" w:rsidR="00AA331C" w:rsidRPr="00F43DAB" w:rsidRDefault="00AA331C" w:rsidP="00FC32FD">
            <w:pPr>
              <w:widowControl w:val="0"/>
              <w:ind w:firstLine="35"/>
              <w:jc w:val="left"/>
              <w:rPr>
                <w:sz w:val="19"/>
                <w:szCs w:val="19"/>
              </w:rPr>
            </w:pPr>
            <w:r w:rsidRPr="00F43DAB">
              <w:rPr>
                <w:sz w:val="19"/>
                <w:szCs w:val="19"/>
              </w:rPr>
              <w:t>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2E44077" w14:textId="77777777" w:rsidR="00AA331C" w:rsidRPr="00F43DAB" w:rsidRDefault="00AA331C" w:rsidP="00FC32FD">
            <w:pPr>
              <w:widowControl w:val="0"/>
              <w:ind w:firstLine="35"/>
              <w:jc w:val="left"/>
              <w:rPr>
                <w:sz w:val="19"/>
                <w:szCs w:val="19"/>
              </w:rPr>
            </w:pPr>
            <w:r w:rsidRPr="00F43DAB">
              <w:rPr>
                <w:sz w:val="19"/>
                <w:szCs w:val="19"/>
              </w:rPr>
              <w:t>195</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989D7D7"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82A3F4E" w14:textId="77777777" w:rsidR="00AA331C" w:rsidRPr="00F43DAB" w:rsidRDefault="00AA331C" w:rsidP="00FC32FD">
            <w:pPr>
              <w:widowControl w:val="0"/>
              <w:ind w:firstLine="35"/>
              <w:jc w:val="left"/>
              <w:rPr>
                <w:sz w:val="19"/>
                <w:szCs w:val="19"/>
              </w:rPr>
            </w:pPr>
            <w:r w:rsidRPr="00F43DAB">
              <w:rPr>
                <w:sz w:val="19"/>
                <w:szCs w:val="19"/>
              </w:rPr>
              <w:t>467</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7CB51E7" w14:textId="5662C609" w:rsidR="00AA331C" w:rsidRPr="00F43DAB" w:rsidRDefault="00AA331C" w:rsidP="00FC32FD">
            <w:pPr>
              <w:widowControl w:val="0"/>
              <w:ind w:firstLine="35"/>
              <w:jc w:val="left"/>
              <w:rPr>
                <w:sz w:val="19"/>
                <w:szCs w:val="19"/>
              </w:rPr>
            </w:pPr>
            <w:r w:rsidRPr="00F43DAB">
              <w:rPr>
                <w:sz w:val="19"/>
                <w:szCs w:val="19"/>
              </w:rPr>
              <w:t>1.34</w:t>
            </w:r>
          </w:p>
        </w:tc>
      </w:tr>
      <w:tr w:rsidR="00AA331C" w:rsidRPr="00F43DAB" w14:paraId="0A5AC62D"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D9BEE01" w14:textId="77777777" w:rsidR="00AA331C" w:rsidRPr="00F43DAB" w:rsidRDefault="00AA331C" w:rsidP="00B35FF7">
            <w:pPr>
              <w:widowControl w:val="0"/>
              <w:ind w:firstLine="84"/>
              <w:rPr>
                <w:sz w:val="19"/>
                <w:szCs w:val="19"/>
              </w:rPr>
            </w:pPr>
            <w:r w:rsidRPr="00F43DAB">
              <w:rPr>
                <w:sz w:val="19"/>
                <w:szCs w:val="19"/>
                <w:rtl/>
              </w:rPr>
              <w:t>التبريد في وسائل النقل</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2067BAB" w14:textId="77777777" w:rsidR="00AA331C" w:rsidRPr="00F43DAB" w:rsidRDefault="00AA331C" w:rsidP="00FC32FD">
            <w:pPr>
              <w:widowControl w:val="0"/>
              <w:ind w:firstLine="35"/>
              <w:jc w:val="left"/>
              <w:rPr>
                <w:sz w:val="19"/>
                <w:szCs w:val="19"/>
              </w:rPr>
            </w:pPr>
            <w:r w:rsidRPr="00F43DAB">
              <w:rPr>
                <w:sz w:val="19"/>
                <w:szCs w:val="19"/>
              </w:rPr>
              <w:t>43</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DC3511E" w14:textId="77777777" w:rsidR="00AA331C" w:rsidRPr="00F43DAB" w:rsidRDefault="00AA331C" w:rsidP="00FC32FD">
            <w:pPr>
              <w:widowControl w:val="0"/>
              <w:ind w:firstLine="35"/>
              <w:jc w:val="left"/>
              <w:rPr>
                <w:sz w:val="19"/>
                <w:szCs w:val="19"/>
              </w:rPr>
            </w:pPr>
            <w:r w:rsidRPr="00F43DAB">
              <w:rPr>
                <w:sz w:val="19"/>
                <w:szCs w:val="19"/>
              </w:rPr>
              <w:t>118</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90BF1CC"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A47E95C"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3D06ED9" w14:textId="77777777" w:rsidR="00AA331C" w:rsidRPr="00F43DAB" w:rsidRDefault="00AA331C" w:rsidP="00FC32FD">
            <w:pPr>
              <w:widowControl w:val="0"/>
              <w:ind w:firstLine="35"/>
              <w:jc w:val="left"/>
              <w:rPr>
                <w:sz w:val="19"/>
                <w:szCs w:val="19"/>
              </w:rPr>
            </w:pPr>
            <w:r w:rsidRPr="00F43DAB">
              <w:rPr>
                <w:sz w:val="19"/>
                <w:szCs w:val="19"/>
              </w:rPr>
              <w:t>161</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E396169" w14:textId="0510FAA4" w:rsidR="00AA331C" w:rsidRPr="00F43DAB" w:rsidRDefault="00AA331C" w:rsidP="00FC32FD">
            <w:pPr>
              <w:widowControl w:val="0"/>
              <w:ind w:firstLine="35"/>
              <w:jc w:val="left"/>
              <w:rPr>
                <w:sz w:val="19"/>
                <w:szCs w:val="19"/>
              </w:rPr>
            </w:pPr>
            <w:r w:rsidRPr="00F43DAB">
              <w:rPr>
                <w:sz w:val="19"/>
                <w:szCs w:val="19"/>
              </w:rPr>
              <w:t>0.46</w:t>
            </w:r>
          </w:p>
        </w:tc>
      </w:tr>
      <w:tr w:rsidR="00AA331C" w:rsidRPr="00F43DAB" w14:paraId="49F513B2"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7715555" w14:textId="4631613A" w:rsidR="00AA331C" w:rsidRPr="00F43DAB" w:rsidRDefault="00AA331C" w:rsidP="00B35FF7">
            <w:pPr>
              <w:widowControl w:val="0"/>
              <w:ind w:firstLine="84"/>
              <w:rPr>
                <w:sz w:val="19"/>
                <w:szCs w:val="19"/>
              </w:rPr>
            </w:pPr>
            <w:r w:rsidRPr="00F43DAB">
              <w:rPr>
                <w:sz w:val="19"/>
                <w:szCs w:val="19"/>
                <w:rtl/>
              </w:rPr>
              <w:t>أجهزة تكييف الهواء السكنية</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1E3856E" w14:textId="77777777" w:rsidR="00AA331C" w:rsidRPr="00F43DAB" w:rsidRDefault="00AA331C" w:rsidP="00FC32FD">
            <w:pPr>
              <w:widowControl w:val="0"/>
              <w:ind w:firstLine="35"/>
              <w:jc w:val="left"/>
              <w:rPr>
                <w:sz w:val="19"/>
                <w:szCs w:val="19"/>
              </w:rPr>
            </w:pPr>
            <w:r w:rsidRPr="00F43DAB">
              <w:rPr>
                <w:sz w:val="19"/>
                <w:szCs w:val="19"/>
              </w:rPr>
              <w:t>0</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082A7DA" w14:textId="77777777" w:rsidR="00AA331C" w:rsidRPr="00F43DAB" w:rsidRDefault="00AA331C" w:rsidP="00FC32FD">
            <w:pPr>
              <w:widowControl w:val="0"/>
              <w:ind w:firstLine="35"/>
              <w:jc w:val="left"/>
              <w:rPr>
                <w:sz w:val="19"/>
                <w:szCs w:val="19"/>
              </w:rPr>
            </w:pPr>
            <w:r w:rsidRPr="00F43DAB">
              <w:rPr>
                <w:sz w:val="19"/>
                <w:szCs w:val="19"/>
              </w:rPr>
              <w:t>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F6E1656"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D5BA74E" w14:textId="6C38B74B" w:rsidR="00AA331C" w:rsidRPr="00F43DAB" w:rsidRDefault="00AA331C" w:rsidP="00FC32FD">
            <w:pPr>
              <w:widowControl w:val="0"/>
              <w:ind w:firstLine="35"/>
              <w:jc w:val="left"/>
              <w:rPr>
                <w:sz w:val="19"/>
                <w:szCs w:val="19"/>
              </w:rPr>
            </w:pPr>
            <w:r w:rsidRPr="00F43DAB">
              <w:rPr>
                <w:sz w:val="19"/>
                <w:szCs w:val="19"/>
              </w:rPr>
              <w:t>11,460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02E13F2" w14:textId="6BFECC8F" w:rsidR="00AA331C" w:rsidRPr="00F43DAB" w:rsidRDefault="00AA331C" w:rsidP="00FC32FD">
            <w:pPr>
              <w:widowControl w:val="0"/>
              <w:ind w:firstLine="35"/>
              <w:jc w:val="left"/>
              <w:rPr>
                <w:sz w:val="19"/>
                <w:szCs w:val="19"/>
              </w:rPr>
            </w:pPr>
            <w:r w:rsidRPr="00F43DAB">
              <w:rPr>
                <w:sz w:val="19"/>
                <w:szCs w:val="19"/>
              </w:rPr>
              <w:t>11,460</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2BFFA5F" w14:textId="4F600DCD" w:rsidR="00AA331C" w:rsidRPr="00F43DAB" w:rsidRDefault="00AA331C" w:rsidP="00FC32FD">
            <w:pPr>
              <w:widowControl w:val="0"/>
              <w:ind w:firstLine="35"/>
              <w:jc w:val="left"/>
              <w:rPr>
                <w:sz w:val="19"/>
                <w:szCs w:val="19"/>
              </w:rPr>
            </w:pPr>
            <w:r w:rsidRPr="00F43DAB">
              <w:rPr>
                <w:sz w:val="19"/>
                <w:szCs w:val="19"/>
              </w:rPr>
              <w:t>32.99</w:t>
            </w:r>
          </w:p>
        </w:tc>
      </w:tr>
      <w:tr w:rsidR="00AA331C" w:rsidRPr="00F43DAB" w14:paraId="24225F6D"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A017B97" w14:textId="76755CD7" w:rsidR="00AA331C" w:rsidRPr="00F43DAB" w:rsidRDefault="00AA331C" w:rsidP="00B35FF7">
            <w:pPr>
              <w:widowControl w:val="0"/>
              <w:ind w:firstLine="84"/>
              <w:rPr>
                <w:sz w:val="19"/>
                <w:szCs w:val="19"/>
              </w:rPr>
            </w:pPr>
            <w:r w:rsidRPr="00F43DAB">
              <w:rPr>
                <w:sz w:val="19"/>
                <w:szCs w:val="19"/>
                <w:rtl/>
              </w:rPr>
              <w:t>أجهزة تكييف الهواء التجارية</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5EF273A" w14:textId="77777777" w:rsidR="00AA331C" w:rsidRPr="00F43DAB" w:rsidRDefault="00AA331C" w:rsidP="00FC32FD">
            <w:pPr>
              <w:widowControl w:val="0"/>
              <w:ind w:firstLine="35"/>
              <w:jc w:val="left"/>
              <w:rPr>
                <w:sz w:val="19"/>
                <w:szCs w:val="19"/>
              </w:rPr>
            </w:pPr>
            <w:r w:rsidRPr="00F43DAB">
              <w:rPr>
                <w:sz w:val="19"/>
                <w:szCs w:val="19"/>
              </w:rPr>
              <w:t>0</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2C0879B" w14:textId="77777777" w:rsidR="00AA331C" w:rsidRPr="00F43DAB" w:rsidRDefault="00AA331C" w:rsidP="00FC32FD">
            <w:pPr>
              <w:widowControl w:val="0"/>
              <w:ind w:firstLine="35"/>
              <w:jc w:val="left"/>
              <w:rPr>
                <w:sz w:val="19"/>
                <w:szCs w:val="19"/>
              </w:rPr>
            </w:pPr>
            <w:r w:rsidRPr="00F43DAB">
              <w:rPr>
                <w:sz w:val="19"/>
                <w:szCs w:val="19"/>
              </w:rPr>
              <w:t>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F1F0D3D" w14:textId="77777777" w:rsidR="00AA331C" w:rsidRPr="00F43DAB" w:rsidRDefault="00AA331C" w:rsidP="00FC32FD">
            <w:pPr>
              <w:widowControl w:val="0"/>
              <w:ind w:firstLine="35"/>
              <w:jc w:val="left"/>
              <w:rPr>
                <w:sz w:val="19"/>
                <w:szCs w:val="19"/>
              </w:rPr>
            </w:pPr>
            <w:r w:rsidRPr="00F43DAB">
              <w:rPr>
                <w:sz w:val="19"/>
                <w:szCs w:val="19"/>
              </w:rPr>
              <w:t>106</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54BC563" w14:textId="77777777" w:rsidR="00AA331C" w:rsidRPr="00F43DAB" w:rsidRDefault="00AA331C" w:rsidP="00FC32FD">
            <w:pPr>
              <w:widowControl w:val="0"/>
              <w:ind w:firstLine="35"/>
              <w:jc w:val="left"/>
              <w:rPr>
                <w:sz w:val="19"/>
                <w:szCs w:val="19"/>
              </w:rPr>
            </w:pPr>
            <w:r w:rsidRPr="00F43DAB">
              <w:rPr>
                <w:sz w:val="19"/>
                <w:szCs w:val="19"/>
              </w:rPr>
              <w:t>355</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6E033EB" w14:textId="77777777" w:rsidR="00AA331C" w:rsidRPr="00F43DAB" w:rsidRDefault="00AA331C" w:rsidP="00FC32FD">
            <w:pPr>
              <w:widowControl w:val="0"/>
              <w:ind w:firstLine="35"/>
              <w:jc w:val="left"/>
              <w:rPr>
                <w:sz w:val="19"/>
                <w:szCs w:val="19"/>
              </w:rPr>
            </w:pPr>
            <w:r w:rsidRPr="00F43DAB">
              <w:rPr>
                <w:sz w:val="19"/>
                <w:szCs w:val="19"/>
              </w:rPr>
              <w:t>461</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23486C1" w14:textId="38DD458B" w:rsidR="00AA331C" w:rsidRPr="00F43DAB" w:rsidRDefault="00AA331C" w:rsidP="00FC32FD">
            <w:pPr>
              <w:widowControl w:val="0"/>
              <w:ind w:firstLine="35"/>
              <w:jc w:val="left"/>
              <w:rPr>
                <w:sz w:val="19"/>
                <w:szCs w:val="19"/>
              </w:rPr>
            </w:pPr>
            <w:r w:rsidRPr="00F43DAB">
              <w:rPr>
                <w:sz w:val="19"/>
                <w:szCs w:val="19"/>
              </w:rPr>
              <w:t>1.32</w:t>
            </w:r>
          </w:p>
        </w:tc>
      </w:tr>
      <w:tr w:rsidR="00AA331C" w:rsidRPr="00F43DAB" w14:paraId="053DEC7B"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55B38CBF" w14:textId="14DA252F" w:rsidR="00AA331C" w:rsidRPr="00F43DAB" w:rsidRDefault="00AA331C" w:rsidP="00B35FF7">
            <w:pPr>
              <w:widowControl w:val="0"/>
              <w:ind w:firstLine="84"/>
              <w:rPr>
                <w:sz w:val="19"/>
                <w:szCs w:val="19"/>
              </w:rPr>
            </w:pPr>
            <w:r w:rsidRPr="00F43DAB">
              <w:rPr>
                <w:sz w:val="19"/>
                <w:szCs w:val="19"/>
                <w:rtl/>
              </w:rPr>
              <w:t>أجهزة تكييف الهواء المتنقلة</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42B6569" w14:textId="77777777" w:rsidR="00AA331C" w:rsidRPr="00F43DAB" w:rsidRDefault="00AA331C" w:rsidP="00FC32FD">
            <w:pPr>
              <w:widowControl w:val="0"/>
              <w:ind w:firstLine="35"/>
              <w:jc w:val="left"/>
              <w:rPr>
                <w:sz w:val="19"/>
                <w:szCs w:val="19"/>
              </w:rPr>
            </w:pPr>
            <w:r w:rsidRPr="00F43DAB">
              <w:rPr>
                <w:sz w:val="19"/>
                <w:szCs w:val="19"/>
              </w:rPr>
              <w:t>3,775</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FDE47CE" w14:textId="77777777" w:rsidR="00AA331C" w:rsidRPr="00F43DAB" w:rsidRDefault="00AA331C" w:rsidP="00FC32FD">
            <w:pPr>
              <w:widowControl w:val="0"/>
              <w:ind w:firstLine="35"/>
              <w:jc w:val="left"/>
              <w:rPr>
                <w:sz w:val="19"/>
                <w:szCs w:val="19"/>
              </w:rPr>
            </w:pPr>
            <w:r w:rsidRPr="00F43DAB">
              <w:rPr>
                <w:sz w:val="19"/>
                <w:szCs w:val="19"/>
              </w:rPr>
              <w:t>0</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D75A1CC"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64CCE19A" w14:textId="77777777" w:rsidR="00AA331C" w:rsidRPr="00F43DAB" w:rsidRDefault="00AA331C" w:rsidP="00FC32FD">
            <w:pPr>
              <w:widowControl w:val="0"/>
              <w:ind w:firstLine="35"/>
              <w:jc w:val="left"/>
              <w:rPr>
                <w:sz w:val="19"/>
                <w:szCs w:val="19"/>
              </w:rPr>
            </w:pPr>
            <w:r w:rsidRPr="00F43DAB">
              <w:rPr>
                <w:sz w:val="19"/>
                <w:szCs w:val="19"/>
              </w:rPr>
              <w:t>0</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22F7D0A0" w14:textId="77777777" w:rsidR="00AA331C" w:rsidRPr="00F43DAB" w:rsidRDefault="00AA331C" w:rsidP="00FC32FD">
            <w:pPr>
              <w:widowControl w:val="0"/>
              <w:ind w:firstLine="35"/>
              <w:jc w:val="left"/>
              <w:rPr>
                <w:sz w:val="19"/>
                <w:szCs w:val="19"/>
              </w:rPr>
            </w:pPr>
            <w:r w:rsidRPr="00F43DAB">
              <w:rPr>
                <w:sz w:val="19"/>
                <w:szCs w:val="19"/>
              </w:rPr>
              <w:t>3,775</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80B5162" w14:textId="2E4A8DC2" w:rsidR="00AA331C" w:rsidRPr="00F43DAB" w:rsidRDefault="00AA331C" w:rsidP="00FC32FD">
            <w:pPr>
              <w:widowControl w:val="0"/>
              <w:ind w:firstLine="35"/>
              <w:jc w:val="left"/>
              <w:rPr>
                <w:sz w:val="19"/>
                <w:szCs w:val="19"/>
              </w:rPr>
            </w:pPr>
            <w:r w:rsidRPr="00F43DAB">
              <w:rPr>
                <w:sz w:val="19"/>
                <w:szCs w:val="19"/>
              </w:rPr>
              <w:t>10.88</w:t>
            </w:r>
          </w:p>
        </w:tc>
      </w:tr>
      <w:tr w:rsidR="00AA331C" w:rsidRPr="00F43DAB" w14:paraId="400B060C" w14:textId="77777777" w:rsidTr="00F133F9">
        <w:trPr>
          <w:cantSplit/>
          <w:jc w:val="center"/>
        </w:trPr>
        <w:tc>
          <w:tcPr>
            <w:tcW w:w="311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3A5CFED" w14:textId="77777777" w:rsidR="00AA331C" w:rsidRPr="00F43DAB" w:rsidRDefault="00AA331C" w:rsidP="00B35FF7">
            <w:pPr>
              <w:widowControl w:val="0"/>
              <w:ind w:firstLine="84"/>
              <w:rPr>
                <w:sz w:val="19"/>
                <w:szCs w:val="19"/>
              </w:rPr>
            </w:pPr>
            <w:r w:rsidRPr="00F43DAB">
              <w:rPr>
                <w:b/>
                <w:bCs/>
                <w:sz w:val="19"/>
                <w:szCs w:val="19"/>
                <w:rtl/>
              </w:rPr>
              <w:t>المجموع</w:t>
            </w:r>
          </w:p>
        </w:tc>
        <w:tc>
          <w:tcPr>
            <w:tcW w:w="1399"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7B267523" w14:textId="371B11EB" w:rsidR="00AA331C" w:rsidRPr="00FC32FD" w:rsidRDefault="002E7013" w:rsidP="00FC32FD">
            <w:pPr>
              <w:widowControl w:val="0"/>
              <w:ind w:firstLine="35"/>
              <w:jc w:val="left"/>
              <w:rPr>
                <w:b/>
                <w:bCs/>
                <w:sz w:val="19"/>
                <w:szCs w:val="19"/>
              </w:rPr>
            </w:pPr>
            <w:r w:rsidRPr="00F43DAB">
              <w:rPr>
                <w:b/>
                <w:bCs/>
                <w:sz w:val="19"/>
                <w:szCs w:val="19"/>
              </w:rPr>
              <w:t>6,035</w:t>
            </w:r>
          </w:p>
        </w:tc>
        <w:tc>
          <w:tcPr>
            <w:tcW w:w="736"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D68A8D8" w14:textId="7FB9D235" w:rsidR="00AA331C" w:rsidRPr="00FC32FD" w:rsidRDefault="00D50B7B" w:rsidP="00FC32FD">
            <w:pPr>
              <w:widowControl w:val="0"/>
              <w:ind w:firstLine="35"/>
              <w:jc w:val="left"/>
              <w:rPr>
                <w:b/>
                <w:bCs/>
                <w:sz w:val="19"/>
                <w:szCs w:val="19"/>
              </w:rPr>
            </w:pPr>
            <w:r w:rsidRPr="00F43DAB">
              <w:rPr>
                <w:b/>
                <w:bCs/>
                <w:sz w:val="19"/>
                <w:szCs w:val="19"/>
              </w:rPr>
              <w:t>16,589</w:t>
            </w:r>
          </w:p>
        </w:tc>
        <w:tc>
          <w:tcPr>
            <w:tcW w:w="1028"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032213F4" w14:textId="67E115A4" w:rsidR="00AA331C" w:rsidRPr="00FC32FD" w:rsidRDefault="00D50B7B" w:rsidP="00FC32FD">
            <w:pPr>
              <w:widowControl w:val="0"/>
              <w:ind w:firstLine="35"/>
              <w:jc w:val="left"/>
              <w:rPr>
                <w:b/>
                <w:bCs/>
                <w:sz w:val="19"/>
                <w:szCs w:val="19"/>
              </w:rPr>
            </w:pPr>
            <w:r w:rsidRPr="00F43DAB">
              <w:rPr>
                <w:b/>
                <w:bCs/>
                <w:sz w:val="19"/>
                <w:szCs w:val="19"/>
              </w:rPr>
              <w:t>301</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4D6434EE" w14:textId="5B1CECD9" w:rsidR="00AA331C" w:rsidRPr="00FC32FD" w:rsidRDefault="00D50B7B" w:rsidP="00FC32FD">
            <w:pPr>
              <w:widowControl w:val="0"/>
              <w:ind w:firstLine="35"/>
              <w:jc w:val="left"/>
              <w:rPr>
                <w:b/>
                <w:bCs/>
                <w:sz w:val="19"/>
                <w:szCs w:val="19"/>
              </w:rPr>
            </w:pPr>
            <w:r w:rsidRPr="00F43DAB">
              <w:rPr>
                <w:b/>
                <w:bCs/>
                <w:sz w:val="19"/>
                <w:szCs w:val="19"/>
              </w:rPr>
              <w:t>11,815</w:t>
            </w:r>
          </w:p>
        </w:tc>
        <w:tc>
          <w:tcPr>
            <w:tcW w:w="1030"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184F7EA2" w14:textId="3900AA7A" w:rsidR="00AA331C" w:rsidRPr="00FC32FD" w:rsidRDefault="00FC32FD" w:rsidP="00FC32FD">
            <w:pPr>
              <w:widowControl w:val="0"/>
              <w:ind w:firstLine="35"/>
              <w:jc w:val="left"/>
              <w:rPr>
                <w:b/>
                <w:bCs/>
                <w:sz w:val="19"/>
                <w:szCs w:val="19"/>
              </w:rPr>
            </w:pPr>
            <w:r>
              <w:rPr>
                <w:b/>
                <w:bCs/>
                <w:sz w:val="19"/>
                <w:szCs w:val="19"/>
              </w:rPr>
              <w:t>*</w:t>
            </w:r>
            <w:r w:rsidR="00D50B7B" w:rsidRPr="00F43DAB">
              <w:rPr>
                <w:b/>
                <w:bCs/>
                <w:sz w:val="19"/>
                <w:szCs w:val="19"/>
              </w:rPr>
              <w:t>34,740</w:t>
            </w:r>
          </w:p>
        </w:tc>
        <w:tc>
          <w:tcPr>
            <w:tcW w:w="1027" w:type="dxa"/>
            <w:tcBorders>
              <w:top w:val="outset" w:sz="6" w:space="0" w:color="auto"/>
              <w:left w:val="outset" w:sz="6" w:space="0" w:color="auto"/>
              <w:bottom w:val="outset" w:sz="6" w:space="0" w:color="auto"/>
              <w:right w:val="outset" w:sz="6" w:space="0" w:color="auto"/>
            </w:tcBorders>
            <w:tcMar>
              <w:left w:w="108" w:type="dxa"/>
              <w:right w:w="0" w:type="dxa"/>
            </w:tcMar>
            <w:vAlign w:val="center"/>
            <w:hideMark/>
          </w:tcPr>
          <w:p w14:paraId="3CB9D41C" w14:textId="4C0A778B" w:rsidR="00AA331C" w:rsidRPr="00FC32FD" w:rsidRDefault="00C81B3A" w:rsidP="00FC32FD">
            <w:pPr>
              <w:widowControl w:val="0"/>
              <w:ind w:firstLine="35"/>
              <w:jc w:val="left"/>
              <w:rPr>
                <w:b/>
                <w:bCs/>
                <w:sz w:val="19"/>
                <w:szCs w:val="19"/>
              </w:rPr>
            </w:pPr>
            <w:r w:rsidRPr="00F43DAB">
              <w:rPr>
                <w:b/>
                <w:bCs/>
                <w:sz w:val="19"/>
                <w:szCs w:val="19"/>
              </w:rPr>
              <w:t>100</w:t>
            </w:r>
          </w:p>
        </w:tc>
      </w:tr>
    </w:tbl>
    <w:p w14:paraId="1B463866" w14:textId="66064574" w:rsidR="004105AB" w:rsidRPr="004105AB" w:rsidRDefault="004105AB" w:rsidP="00F43DAB">
      <w:pPr>
        <w:pStyle w:val="Heading1"/>
        <w:widowControl w:val="0"/>
        <w:numPr>
          <w:ilvl w:val="0"/>
          <w:numId w:val="0"/>
        </w:numPr>
        <w:rPr>
          <w:sz w:val="20"/>
          <w:szCs w:val="20"/>
        </w:rPr>
      </w:pPr>
      <w:r>
        <w:rPr>
          <w:i/>
          <w:iCs/>
          <w:sz w:val="20"/>
          <w:szCs w:val="20"/>
          <w:rtl/>
        </w:rPr>
        <w:t>* يُعزى الفرق الطفيف بين الاستهلاك حسب القطاعات والاستهلاك المبلغ عنه إلى استخدام كميات متاحة من المواد من السنوات السابقة.</w:t>
      </w:r>
    </w:p>
    <w:p w14:paraId="095737C1" w14:textId="40872293" w:rsidR="00CB0432" w:rsidRPr="00BE38DF" w:rsidRDefault="00CB0432" w:rsidP="00CB0432">
      <w:pPr>
        <w:pStyle w:val="Heading1"/>
        <w:keepNext/>
        <w:numPr>
          <w:ilvl w:val="0"/>
          <w:numId w:val="0"/>
        </w:numPr>
        <w:spacing w:before="240"/>
        <w:rPr>
          <w:i/>
          <w:iCs/>
          <w:sz w:val="26"/>
          <w:szCs w:val="26"/>
        </w:rPr>
      </w:pPr>
      <w:r>
        <w:rPr>
          <w:i/>
          <w:iCs/>
          <w:sz w:val="26"/>
          <w:szCs w:val="26"/>
          <w:rtl/>
        </w:rPr>
        <w:lastRenderedPageBreak/>
        <w:t>قطاع خدمة أجهزة التبريد وتكييف الهواء</w:t>
      </w:r>
    </w:p>
    <w:p w14:paraId="3A6CB991" w14:textId="0DA85811" w:rsidR="00CA7695" w:rsidRPr="00BE38DF" w:rsidRDefault="002F274F" w:rsidP="002F274F">
      <w:pPr>
        <w:pStyle w:val="Heading1"/>
        <w:rPr>
          <w:sz w:val="26"/>
          <w:szCs w:val="26"/>
        </w:rPr>
      </w:pPr>
      <w:r>
        <w:rPr>
          <w:sz w:val="26"/>
          <w:szCs w:val="26"/>
          <w:rtl/>
        </w:rPr>
        <w:t>يوجد في سان تومي وبرينسيبي نحو 110 فنيين في مجال خدمة أجهزة التبريد وتكييف الهواء (من بينهم أربع نساء) و34 ورشة لخدمة أجهزة التبريد وتكييف الهواء. وبالإضافة إلى ذلك، يوجد في البلد نحو 30 فنياً في مجال أجهزة تكييف الهواء المتنقلة و12 ورشة لأجهزة تكييف الهواء المتنقلة. ويتألف القطاع في معظمه من فنيين مستقلين وورش صغيرة، بما فيها ورش غير رسمية. ولم يُنشأ بعدُ نظام لإصدار الشهادات لفنيي التبريد وتكييف الهواء، ولكن من المقرر إنشاؤه في إطار المرحلة الثانية من خطة إدارة إزالة المواد الهيدروكلوروفلوروكربونية، المقترحة في هذا الاجتماع.</w:t>
      </w:r>
    </w:p>
    <w:p w14:paraId="72DD225D" w14:textId="0EA63EA5" w:rsidR="00EC5054" w:rsidRPr="00BE38DF" w:rsidRDefault="00EC5054" w:rsidP="00EC5054">
      <w:pPr>
        <w:pStyle w:val="Heading1"/>
        <w:rPr>
          <w:sz w:val="26"/>
          <w:szCs w:val="26"/>
        </w:rPr>
      </w:pPr>
      <w:r>
        <w:rPr>
          <w:sz w:val="26"/>
          <w:szCs w:val="26"/>
          <w:rtl/>
        </w:rPr>
        <w:t>يوجد مركزان للتدريب المهني يقدمان التدريب في مجال التبريد وتكييف الهواء. فمركز التدريب المهني في سان تومي وبرينسيبي، التابع لوزارة العمل والتضامن والضمان الاجتماعي، يقدم برنامجاً مدته سنة واحدة في مجال التبريد وتكييف الهواء يُتوَّج بشهادة مزدوجة، من خلال شراكة مع معهد العمالة والتدريب المهني في البرتغال. وفي عام 2025، التحق بالبرنامج 20 طالباً، من بينهم امرأة واحدة. ويحصل الخريجون على شهادة تأهيل مهني بوصفهم فنيين في مجال التبريد وتكييف الهواء، مما يمكّنهم من العمل لحسابهم الخاص أو إنشاء مشاريع تجارية، مع تطبيق ممارسات سليمة بيئياً في إدارة المواد المستنفدة للأوزون والمواد الهيدروفلوروكربونية. أما مركز التدريب المهني البرازيل – سان تومي وبرينسيبي، الذي أُنشئ في عام 2014 بالتعاون مع البرازيل وتديره وزارة التعليم والثقافة والعلوم والتعليم العالي، فيقدم دورات قصيرة الأجل في مجال التبريد وتكييف الهواء وبرنامجاً للتأهيل التقني مدته ثلاث سنوات يستقبل 12 طالباً سنوياً. وقد تخرج منه ستة طلاب في عام 2023 وسبعة في عام 2024، مع مشاركة محدودة للنساء.</w:t>
      </w:r>
    </w:p>
    <w:p w14:paraId="0E091B52" w14:textId="4A8D5C4B" w:rsidR="00CA7695" w:rsidRPr="00BE38DF" w:rsidRDefault="00CA7695" w:rsidP="00D23404">
      <w:pPr>
        <w:pStyle w:val="Heading1"/>
        <w:keepNext/>
        <w:numPr>
          <w:ilvl w:val="0"/>
          <w:numId w:val="0"/>
        </w:numPr>
        <w:rPr>
          <w:kern w:val="36"/>
          <w:sz w:val="26"/>
          <w:szCs w:val="26"/>
          <w:lang w:eastAsia="en-CA"/>
          <w14:ligatures w14:val="standardContextual"/>
        </w:rPr>
      </w:pPr>
      <w:r>
        <w:rPr>
          <w:i/>
          <w:iCs/>
          <w:kern w:val="36"/>
          <w:sz w:val="26"/>
          <w:szCs w:val="26"/>
          <w:u w:val="single"/>
          <w:rtl/>
        </w:rPr>
        <w:t>خدمة أجهزة التبريد المنزلية والتجارية والصناعية وأجهزة التبريد في وسائل النقل</w:t>
      </w:r>
    </w:p>
    <w:p w14:paraId="359115CA" w14:textId="19357762" w:rsidR="007B17FA" w:rsidRPr="00BE38DF" w:rsidRDefault="007B17FA" w:rsidP="00D23404">
      <w:pPr>
        <w:pStyle w:val="Heading1"/>
        <w:keepNext/>
        <w:rPr>
          <w:kern w:val="2"/>
          <w:sz w:val="26"/>
          <w:szCs w:val="26"/>
          <w:lang w:eastAsia="en-CA"/>
          <w14:ligatures w14:val="standardContextual"/>
        </w:rPr>
      </w:pPr>
      <w:r>
        <w:rPr>
          <w:sz w:val="26"/>
          <w:szCs w:val="26"/>
          <w:rtl/>
        </w:rPr>
        <w:t>تشمل خدمة أجهزة التبريد المنزلية ما يقدر بنحو 51,000 وحدة تستخدم الهيدروفلوروكربون</w:t>
      </w:r>
      <w:r>
        <w:rPr>
          <w:sz w:val="26"/>
          <w:szCs w:val="26"/>
          <w:rtl/>
        </w:rPr>
        <w:noBreakHyphen/>
        <w:t>134a حصراً. وتُستخدم في خدمة أجهزة التبريد التجارية مادتا الهيدروفلوروكربون</w:t>
      </w:r>
      <w:r>
        <w:rPr>
          <w:sz w:val="26"/>
          <w:szCs w:val="26"/>
          <w:rtl/>
        </w:rPr>
        <w:noBreakHyphen/>
        <w:t>134a وR</w:t>
      </w:r>
      <w:r>
        <w:rPr>
          <w:sz w:val="26"/>
          <w:szCs w:val="26"/>
          <w:rtl/>
        </w:rPr>
        <w:noBreakHyphen/>
        <w:t>404A في ما يقدر بنحو 550 وحدة، في حين يستخدم ما يقدر بنحو 40 جهازاً من أجهزة التبريد المركزية (المبرّدات) الهيدروفلوروكربون</w:t>
      </w:r>
      <w:r>
        <w:rPr>
          <w:sz w:val="26"/>
          <w:szCs w:val="26"/>
          <w:rtl/>
        </w:rPr>
        <w:noBreakHyphen/>
        <w:t>134a وR</w:t>
      </w:r>
      <w:r>
        <w:rPr>
          <w:sz w:val="26"/>
          <w:szCs w:val="26"/>
          <w:rtl/>
        </w:rPr>
        <w:noBreakHyphen/>
        <w:t>407C، ويستخدم التبريد في وسائل النقل الهيدروفلوروكربون</w:t>
      </w:r>
      <w:r>
        <w:rPr>
          <w:sz w:val="26"/>
          <w:szCs w:val="26"/>
          <w:rtl/>
        </w:rPr>
        <w:noBreakHyphen/>
        <w:t>134a وR</w:t>
      </w:r>
      <w:r>
        <w:rPr>
          <w:sz w:val="26"/>
          <w:szCs w:val="26"/>
          <w:rtl/>
        </w:rPr>
        <w:noBreakHyphen/>
        <w:t>404A في ما يقدر بنحو 40 وحدة. ولا تزال البدائل المنخفضة إمكانية الاحترار العالمي محدودة، إذ تُستخدم مادة R</w:t>
      </w:r>
      <w:r>
        <w:rPr>
          <w:sz w:val="26"/>
          <w:szCs w:val="26"/>
          <w:rtl/>
        </w:rPr>
        <w:noBreakHyphen/>
        <w:t>600a بكميات صغيرة في التبريد المنزلي، وهناك عدد قليل من النظم التجارية القائمة على مادة R</w:t>
      </w:r>
      <w:r>
        <w:rPr>
          <w:sz w:val="26"/>
          <w:szCs w:val="26"/>
          <w:rtl/>
        </w:rPr>
        <w:noBreakHyphen/>
        <w:t>290.</w:t>
      </w:r>
    </w:p>
    <w:p w14:paraId="43704A4F" w14:textId="66106C8C" w:rsidR="00CA7695" w:rsidRPr="00BE38DF" w:rsidRDefault="00CA7695" w:rsidP="006F7AEC">
      <w:pPr>
        <w:keepNext/>
        <w:spacing w:after="240"/>
        <w:rPr>
          <w:kern w:val="2"/>
          <w:sz w:val="26"/>
          <w:szCs w:val="26"/>
          <w:lang w:eastAsia="en-CA"/>
          <w14:ligatures w14:val="standardContextual"/>
        </w:rPr>
      </w:pPr>
      <w:r>
        <w:rPr>
          <w:i/>
          <w:iCs/>
          <w:sz w:val="26"/>
          <w:szCs w:val="26"/>
          <w:u w:val="single"/>
          <w:rtl/>
        </w:rPr>
        <w:t>خدمة أجهزة تكييف الهواء السكنية والتجارية</w:t>
      </w:r>
    </w:p>
    <w:p w14:paraId="4516107F" w14:textId="79E1F7CE" w:rsidR="007B17FA" w:rsidRPr="00BE38DF" w:rsidRDefault="007B17FA" w:rsidP="006F7AEC">
      <w:pPr>
        <w:pStyle w:val="Heading1"/>
        <w:keepNext/>
        <w:rPr>
          <w:kern w:val="2"/>
          <w:sz w:val="26"/>
          <w:szCs w:val="26"/>
          <w:lang w:eastAsia="en-CA"/>
          <w14:ligatures w14:val="standardContextual"/>
        </w:rPr>
      </w:pPr>
      <w:r>
        <w:rPr>
          <w:sz w:val="26"/>
          <w:szCs w:val="26"/>
          <w:rtl/>
        </w:rPr>
        <w:t>تمثل أجهزة تكييف الهواء السكنية أكبر طلب بالطن المتري، وتستخدم أساساً مادة R</w:t>
      </w:r>
      <w:r>
        <w:rPr>
          <w:sz w:val="26"/>
          <w:szCs w:val="26"/>
          <w:rtl/>
        </w:rPr>
        <w:noBreakHyphen/>
        <w:t>410A في ما يقدر بنحو 22,500 وحدة. ويستخدم القطاع الفرعي لأجهزة تكييف الهواء التجارية مادتي R</w:t>
      </w:r>
      <w:r>
        <w:rPr>
          <w:sz w:val="26"/>
          <w:szCs w:val="26"/>
          <w:rtl/>
        </w:rPr>
        <w:noBreakHyphen/>
        <w:t>410A وR</w:t>
      </w:r>
      <w:r>
        <w:rPr>
          <w:sz w:val="26"/>
          <w:szCs w:val="26"/>
          <w:rtl/>
        </w:rPr>
        <w:noBreakHyphen/>
        <w:t>407C في ما يقدر بنحو 650 وحدة. وقد استُورد نحو 280 جهازاً لتكييف الهواء السكني تستخدم الهيدروفلوروكربون</w:t>
      </w:r>
      <w:r>
        <w:rPr>
          <w:sz w:val="26"/>
          <w:szCs w:val="26"/>
          <w:rtl/>
        </w:rPr>
        <w:noBreakHyphen/>
        <w:t>32 في السنوات الأخيرة، ولكنها لم تحتج بعدُ إلى الخدمة؛ ولذلك لم يُبلَّغ حتى الآن عن أي واردات من الهيدروفلوروكربون</w:t>
      </w:r>
      <w:r>
        <w:rPr>
          <w:sz w:val="26"/>
          <w:szCs w:val="26"/>
          <w:rtl/>
        </w:rPr>
        <w:noBreakHyphen/>
        <w:t>32 لأغراض الخدمة.</w:t>
      </w:r>
    </w:p>
    <w:p w14:paraId="5509FBD5" w14:textId="6C425FDB" w:rsidR="00CA7695" w:rsidRPr="00BE38DF" w:rsidRDefault="00CA7695">
      <w:pPr>
        <w:spacing w:after="240"/>
        <w:rPr>
          <w:kern w:val="2"/>
          <w:sz w:val="26"/>
          <w:szCs w:val="26"/>
          <w:lang w:eastAsia="en-CA"/>
          <w14:ligatures w14:val="standardContextual"/>
        </w:rPr>
      </w:pPr>
      <w:r>
        <w:rPr>
          <w:i/>
          <w:iCs/>
          <w:sz w:val="26"/>
          <w:szCs w:val="26"/>
          <w:u w:val="single"/>
          <w:rtl/>
        </w:rPr>
        <w:t>خدمة أجهزة تكييف الهواء المتنقلة</w:t>
      </w:r>
    </w:p>
    <w:p w14:paraId="33319868" w14:textId="4885E9E3" w:rsidR="007B17FA" w:rsidRPr="00BE38DF" w:rsidRDefault="007B17FA" w:rsidP="007B17FA">
      <w:pPr>
        <w:pStyle w:val="Heading1"/>
        <w:rPr>
          <w:sz w:val="26"/>
          <w:szCs w:val="26"/>
          <w:lang w:eastAsia="en-CA"/>
          <w14:ligatures w14:val="standardContextual"/>
        </w:rPr>
      </w:pPr>
      <w:r>
        <w:rPr>
          <w:sz w:val="26"/>
          <w:szCs w:val="26"/>
          <w:rtl/>
        </w:rPr>
        <w:t>تشمل خدمة أجهزة تكييف الهواء المتنقلة ما يقدر بنحو 33,000 سيارة وشاحنة صغيرة تستخدم الهيدروفلوروكربون</w:t>
      </w:r>
      <w:r>
        <w:rPr>
          <w:sz w:val="26"/>
          <w:szCs w:val="26"/>
          <w:rtl/>
        </w:rPr>
        <w:noBreakHyphen/>
        <w:t>134a. ويستأثر هذا القطاع الفرعي بـ 2.64 طن متري من احتياجات الخدمة في عام 2025، أي ما يعادل 18.4 في المائة من مجموع احتياجات الخدمة من المواد الهيدروفلوروكربونية.</w:t>
      </w:r>
    </w:p>
    <w:p w14:paraId="41664972" w14:textId="77777777" w:rsidR="00CB0432" w:rsidRPr="00BE38DF" w:rsidRDefault="00CB0432" w:rsidP="00CB0432">
      <w:pPr>
        <w:pStyle w:val="Heading1"/>
        <w:keepNext/>
        <w:numPr>
          <w:ilvl w:val="0"/>
          <w:numId w:val="0"/>
        </w:numPr>
        <w:rPr>
          <w:b/>
          <w:bCs/>
          <w:sz w:val="26"/>
          <w:szCs w:val="26"/>
        </w:rPr>
      </w:pPr>
      <w:r>
        <w:rPr>
          <w:b/>
          <w:bCs/>
          <w:sz w:val="26"/>
          <w:szCs w:val="26"/>
          <w:rtl/>
        </w:rPr>
        <w:lastRenderedPageBreak/>
        <w:t>رابعاً</w:t>
      </w:r>
      <w:r>
        <w:rPr>
          <w:b/>
          <w:bCs/>
          <w:sz w:val="26"/>
          <w:szCs w:val="26"/>
          <w:rtl/>
        </w:rPr>
        <w:tab/>
        <w:t>المرحلة الأولى من خطة التنفيذ المتعلقة بالمواد الهيدروفلوروكربونية بموجب تعديل كيغالي حسب ما قُدّمت</w:t>
      </w:r>
    </w:p>
    <w:p w14:paraId="0C1C6C64" w14:textId="77777777" w:rsidR="00CB0432" w:rsidRPr="00BE38DF" w:rsidRDefault="00CB0432" w:rsidP="00CB0432">
      <w:pPr>
        <w:keepNext/>
        <w:spacing w:after="240"/>
        <w:rPr>
          <w:sz w:val="26"/>
          <w:szCs w:val="26"/>
          <w:u w:val="single"/>
        </w:rPr>
      </w:pPr>
      <w:r>
        <w:rPr>
          <w:sz w:val="26"/>
          <w:szCs w:val="26"/>
          <w:u w:val="single"/>
          <w:rtl/>
        </w:rPr>
        <w:t>الإطار المؤسسي والسياساتي والتنظيمي</w:t>
      </w:r>
    </w:p>
    <w:p w14:paraId="74115EDB" w14:textId="789765D5" w:rsidR="00411822" w:rsidRPr="00BE38DF" w:rsidRDefault="00BF4C5F">
      <w:pPr>
        <w:pStyle w:val="Heading1"/>
        <w:keepNext/>
        <w:suppressAutoHyphens/>
        <w:spacing w:before="240"/>
        <w:rPr>
          <w:sz w:val="26"/>
          <w:szCs w:val="26"/>
          <w:u w:val="single"/>
        </w:rPr>
      </w:pPr>
      <w:r>
        <w:rPr>
          <w:sz w:val="26"/>
          <w:szCs w:val="26"/>
          <w:rtl/>
        </w:rPr>
        <w:t>تضطلع وزارة البيئة والشباب والسياحة المستدامة بدور السلطة الوطنية المعيّنة لبروتوكول مونتريال. وتتبع وحدة الأوزون الوطنية مديرية التفتيش والشؤون القانونية وتقييم الأثر البيئي التابعة للوزارة، ضمن المديرية العامة للبيئة والعمل المناخي. وأُنشئت لجنة الأوزون الوطنية بوصفها هيئة استشارية لدعم وحدة الأوزون الوطنية، وهي تضم وزارة البيئة والشباب والسياحة المستدامة، ووزارة التجارة، ومديرية الجمارك، والشرطة الضريبية، والمعهد الوطني للإحصاء، وجمعيات التبريد وتكييف الهواء، وشركة الموانئ، ومعهد الطيران المدني، والشركة الوطنية للوقود. وتظل المسؤولية العامة عن السياسات واللوائح التنظيمية منوطة بوزارة البيئة والشباب والسياحة المستدامة، من خلال وحدة الأوزون الوطنية. وتقدم لجنة الأوزون الوطنية التوجيه في مجال السياسات، وتدعم وضع اللوائح التنظيمية، وتشرف على إصدار التراخيص والحصص، وتعمل منبراً للتشاور مع أصحاب المصلحة. وتخضع المواد الهيدروفلوروكربونية حالياً للقواعد القائمة المتعلقة بالمواد المستنفدة للأوزون بعد توسيع نطاقها، ولم يُعتمد حتى الآن أي مرسوم خاص بالمواد الهيدروفلوروكربونية. وتتولى وزارة التجارة إصدار التراخيص بالاشتراك مع وزارة البيئة، وتدعم لجنة الأوزون الوطنية تحديد الحصص وتوزيعها، وتتولى الجمارك والشرطة الضريبية إنفاذ الرقابة على الحدود، ويتحمل المستوردون مسؤولية تقديم طلبات الحصول على التراخيص والحصص والإبلاغ عن الواردات.</w:t>
      </w:r>
    </w:p>
    <w:p w14:paraId="209D6264" w14:textId="659DDC18" w:rsidR="00CB0432" w:rsidRPr="00BE38DF" w:rsidRDefault="00CB0432" w:rsidP="00411822">
      <w:pPr>
        <w:pStyle w:val="Heading1"/>
        <w:keepNext/>
        <w:numPr>
          <w:ilvl w:val="0"/>
          <w:numId w:val="0"/>
        </w:numPr>
        <w:suppressAutoHyphens/>
        <w:spacing w:before="240"/>
        <w:rPr>
          <w:sz w:val="26"/>
          <w:szCs w:val="26"/>
          <w:u w:val="single"/>
        </w:rPr>
      </w:pPr>
      <w:r>
        <w:rPr>
          <w:sz w:val="26"/>
          <w:szCs w:val="26"/>
          <w:u w:val="single"/>
          <w:rtl/>
        </w:rPr>
        <w:t>استراتيجية التخفيض التدريجي للمرحلة الأولى من خطة التنفيذ المتعلقة بالمواد الهيدروفلوروكربونية بموجب تعديل كيغالي</w:t>
      </w:r>
    </w:p>
    <w:p w14:paraId="50D46394" w14:textId="77777777" w:rsidR="00CB0432" w:rsidRPr="00BE38DF" w:rsidRDefault="00CB0432" w:rsidP="00CB0432">
      <w:pPr>
        <w:keepNext/>
        <w:shd w:val="clear" w:color="auto" w:fill="FFFFFF" w:themeFill="background1"/>
        <w:suppressAutoHyphens/>
        <w:spacing w:before="240" w:after="240"/>
        <w:outlineLvl w:val="0"/>
        <w:rPr>
          <w:i/>
          <w:iCs/>
          <w:sz w:val="26"/>
          <w:szCs w:val="26"/>
        </w:rPr>
      </w:pPr>
      <w:r>
        <w:rPr>
          <w:i/>
          <w:iCs/>
          <w:sz w:val="26"/>
          <w:szCs w:val="26"/>
          <w:rtl/>
        </w:rPr>
        <w:t>الاستراتيجية الشاملة</w:t>
      </w:r>
    </w:p>
    <w:p w14:paraId="02BB19EB" w14:textId="3439803D" w:rsidR="003E3B78" w:rsidRPr="00BE38DF" w:rsidRDefault="003E3B78" w:rsidP="003E3B78">
      <w:pPr>
        <w:pStyle w:val="Heading1"/>
        <w:rPr>
          <w:sz w:val="26"/>
          <w:szCs w:val="26"/>
          <w:lang w:eastAsia="en-CA"/>
          <w14:ligatures w14:val="standardContextual"/>
        </w:rPr>
      </w:pPr>
      <w:r>
        <w:rPr>
          <w:sz w:val="26"/>
          <w:szCs w:val="26"/>
          <w:rtl/>
        </w:rPr>
        <w:t>تتمثل الاستراتيجية الشاملة للمرحلة الأولى من خطة التنفيذ المتعلقة بالمواد الهيدروفلوروكربونية بموجب تعديل كيغالي في خفض استهلاك المواد الهيدروفلوروكربونية في سان تومي وبرينسيبي بصورة مستدامة من خلال التركيز على قطاع خدمة أجهزة التبريد وتكييف الهواء، مع استكمال الأنشطة الجارية في إطار المرحلة الثانية من خطة إدارة إزالة المواد الهيدروكلوروفلوروكربونية. وتعتزم المرحلة الأولى خفض استهلاك المواد الهيدروفلوروكربونية بنسبة 50.64 في المائة من خط أساس المواد الهيدروفلوروكربونية بحلول عام 2029. وتعطي الاستراتيجية الأولوية لتعزيز الإطار القانوني والتنظيمي من خلال إصدار مرسوم بشأن المواد الهيدروفلوروكربونية، وإدخال تحسينات على نظام إصدار التراخيص والحصص، والنظر في فرض حظر على الاستيراد وقيود على تركيب معدات مختارة قائمة على المواد الهيدروفلوروكربونية، ووضع معايير وبروتوكولات للاستخدام الآمن لمواد التبريد القابلة للاشتعال والسامة. وتشمل الاستراتيجية أيضاً أنشطة موجهة للتوعية وبناء القدرات لفائدة فنيي الخدمة وموظفي الجمارك وموظفي الإنفاذ، مع إيلاء اهتمام خاص للبدائل المنخفضة إمكانية الاحترار العالمي، والممارسات الجيدة في الخدمة، والحد من التسرب.</w:t>
      </w:r>
    </w:p>
    <w:p w14:paraId="4C4FE001" w14:textId="77777777" w:rsidR="00CB0432" w:rsidRDefault="00CB0432" w:rsidP="00CB0432">
      <w:pPr>
        <w:pStyle w:val="Heading1"/>
        <w:keepNext/>
        <w:numPr>
          <w:ilvl w:val="0"/>
          <w:numId w:val="0"/>
        </w:numPr>
        <w:spacing w:before="240"/>
        <w:rPr>
          <w:i/>
          <w:iCs/>
          <w:sz w:val="26"/>
          <w:szCs w:val="26"/>
        </w:rPr>
      </w:pPr>
      <w:r>
        <w:rPr>
          <w:i/>
          <w:iCs/>
          <w:sz w:val="26"/>
          <w:szCs w:val="26"/>
          <w:rtl/>
        </w:rPr>
        <w:t>التخفيضات المقترحة</w:t>
      </w:r>
    </w:p>
    <w:p w14:paraId="412B03B5" w14:textId="192989C0" w:rsidR="00AE2C46" w:rsidRPr="003D5200" w:rsidRDefault="00AE2C46" w:rsidP="00FF309B">
      <w:pPr>
        <w:pStyle w:val="Heading1"/>
        <w:spacing w:after="0"/>
        <w:rPr>
          <w:sz w:val="26"/>
          <w:szCs w:val="26"/>
        </w:rPr>
      </w:pPr>
      <w:r>
        <w:rPr>
          <w:sz w:val="26"/>
          <w:szCs w:val="26"/>
          <w:rtl/>
        </w:rPr>
        <w:t>يبلغ خط أساس المواد الهيدروفلوروكربونية المحدد 71,039 طناً من مكافئ ثاني أكسيد الكربون، بما في ذلك عنصر المواد الهيدروكلوروفلوروكربونية البالغ 45,825 طناً من مكافئ ثاني أكسيد الكربون. غير أن البلد أشار إلى أن خط أساس المواد الهيدروكلوروفلوروكربونية قد قُدِّر بأعلى من قيمته الفعلية، وأن نقطة البدء لخطة إدارة إزالة المواد الهيدروكلوروفلوروكربونية قد صُحِّحت عند تقديم المرحلة الأولى من الخطة والموافقة عليها في الاجتماع الثالث والستين. وفي ضوء هذا التصحيح، اقترح البلد حداً أقصى مسموحاً به لاستهلاك المواد الهيدروفلوروكربونية قدره 38,962 طناً من مكافئ ثاني أكسيد الكربون للفترة من 2026 إلى 2028، و35,066 طناً من مكافئ ثاني أكسيد الكربون لعام 2029. ويمثل مستوى عام 2029 تخفيضاً بنسبة 50.64 في المائة من خط أساس المواد الهيدروفلوروكربونية المحدد.</w:t>
      </w:r>
    </w:p>
    <w:p w14:paraId="3DDF71BE" w14:textId="77777777" w:rsidR="00AE2C46" w:rsidRPr="00FF309B" w:rsidRDefault="00AE2C46" w:rsidP="00FF309B">
      <w:pPr>
        <w:rPr>
          <w:sz w:val="26"/>
          <w:szCs w:val="26"/>
        </w:rPr>
      </w:pPr>
    </w:p>
    <w:p w14:paraId="2F516274" w14:textId="6996383B" w:rsidR="00CB0432" w:rsidRPr="00BE38DF" w:rsidRDefault="0065086F" w:rsidP="00CB0432">
      <w:pPr>
        <w:pStyle w:val="Heading1"/>
        <w:rPr>
          <w:sz w:val="26"/>
          <w:szCs w:val="26"/>
          <w:lang w:eastAsia="en-CA"/>
        </w:rPr>
      </w:pPr>
      <w:r>
        <w:rPr>
          <w:sz w:val="26"/>
          <w:szCs w:val="26"/>
          <w:rtl/>
        </w:rPr>
        <w:lastRenderedPageBreak/>
        <w:t>وقد وضعت حكومة سان تومي وبرينسيبي واليونيب توقعات لاستهلاك المواد الهيدروفلوروكربونية في إطار سيناريو العمل المعتاد، على النحو المبين في الجدول 9 أدناه.</w:t>
      </w:r>
    </w:p>
    <w:p w14:paraId="603AB8AE" w14:textId="76F083A9" w:rsidR="00CB0432" w:rsidRPr="00BE38DF" w:rsidRDefault="00CB0432" w:rsidP="00CB0432">
      <w:pPr>
        <w:keepNext/>
        <w:rPr>
          <w:b/>
          <w:bCs/>
          <w:sz w:val="26"/>
          <w:szCs w:val="26"/>
        </w:rPr>
      </w:pPr>
      <w:r>
        <w:rPr>
          <w:b/>
          <w:bCs/>
          <w:sz w:val="26"/>
          <w:szCs w:val="26"/>
          <w:rtl/>
        </w:rPr>
        <w:t>الجدول 9. توقعات استهلاك المواد الهيدروفلوروكربونية في إطار السيناريو غير المقيد، وحدود بروتوكول مونتريال، والتخفيضات المقترحة في المواد الهيدروفلوروكربونية في إطار المرحلة الأولى (طن من مكافئ ثاني أكسيد الكربون)</w:t>
      </w:r>
    </w:p>
    <w:tbl>
      <w:tblPr>
        <w:bidiVisual/>
        <w:tblW w:w="9360" w:type="dxa"/>
        <w:jc w:val="center"/>
        <w:tblLayout w:type="fixed"/>
        <w:tblLook w:val="04A0" w:firstRow="1" w:lastRow="0" w:firstColumn="1" w:lastColumn="0" w:noHBand="0" w:noVBand="1"/>
      </w:tblPr>
      <w:tblGrid>
        <w:gridCol w:w="4119"/>
        <w:gridCol w:w="1310"/>
        <w:gridCol w:w="1310"/>
        <w:gridCol w:w="1310"/>
        <w:gridCol w:w="1311"/>
      </w:tblGrid>
      <w:tr w:rsidR="0065086F" w:rsidRPr="00BE38DF" w14:paraId="28780C1E" w14:textId="77777777" w:rsidTr="00FC48DA">
        <w:trPr>
          <w:cantSplit/>
          <w:tblHeader/>
          <w:jc w:val="center"/>
        </w:trPr>
        <w:tc>
          <w:tcPr>
            <w:tcW w:w="4119" w:type="dxa"/>
            <w:tcBorders>
              <w:top w:val="outset" w:sz="6" w:space="0" w:color="auto"/>
              <w:left w:val="outset" w:sz="6" w:space="0" w:color="auto"/>
              <w:bottom w:val="outset" w:sz="6" w:space="0" w:color="auto"/>
              <w:right w:val="outset" w:sz="6" w:space="0" w:color="auto"/>
            </w:tcBorders>
            <w:vAlign w:val="center"/>
            <w:hideMark/>
          </w:tcPr>
          <w:p w14:paraId="293A4A22" w14:textId="77777777" w:rsidR="0065086F" w:rsidRPr="00FC48DA" w:rsidRDefault="0065086F">
            <w:pPr>
              <w:keepNext/>
              <w:rPr>
                <w:kern w:val="2"/>
                <w:lang w:eastAsia="en-CA"/>
                <w14:ligatures w14:val="standardContextual"/>
              </w:rPr>
            </w:pPr>
            <w:r>
              <w:rPr>
                <w:b/>
                <w:bCs/>
                <w:rtl/>
              </w:rPr>
              <w:t xml:space="preserve"> </w:t>
            </w:r>
          </w:p>
        </w:tc>
        <w:tc>
          <w:tcPr>
            <w:tcW w:w="1310" w:type="dxa"/>
            <w:tcBorders>
              <w:top w:val="outset" w:sz="6" w:space="0" w:color="auto"/>
              <w:left w:val="outset" w:sz="6" w:space="0" w:color="auto"/>
              <w:bottom w:val="outset" w:sz="6" w:space="0" w:color="auto"/>
              <w:right w:val="outset" w:sz="6" w:space="0" w:color="auto"/>
            </w:tcBorders>
            <w:vAlign w:val="center"/>
            <w:hideMark/>
          </w:tcPr>
          <w:p w14:paraId="3C3AC5A8" w14:textId="77777777" w:rsidR="0065086F" w:rsidRPr="00FC48DA" w:rsidRDefault="0065086F" w:rsidP="00D2498A">
            <w:pPr>
              <w:keepNext/>
              <w:jc w:val="center"/>
            </w:pPr>
            <w:r>
              <w:rPr>
                <w:b/>
                <w:bCs/>
              </w:rPr>
              <w:t>2026</w:t>
            </w:r>
          </w:p>
        </w:tc>
        <w:tc>
          <w:tcPr>
            <w:tcW w:w="1310" w:type="dxa"/>
            <w:tcBorders>
              <w:top w:val="outset" w:sz="6" w:space="0" w:color="auto"/>
              <w:left w:val="outset" w:sz="6" w:space="0" w:color="auto"/>
              <w:bottom w:val="outset" w:sz="6" w:space="0" w:color="auto"/>
              <w:right w:val="outset" w:sz="6" w:space="0" w:color="auto"/>
            </w:tcBorders>
            <w:vAlign w:val="center"/>
            <w:hideMark/>
          </w:tcPr>
          <w:p w14:paraId="35BD8690" w14:textId="77777777" w:rsidR="0065086F" w:rsidRPr="00FC48DA" w:rsidRDefault="0065086F" w:rsidP="00D2498A">
            <w:pPr>
              <w:keepNext/>
              <w:jc w:val="center"/>
            </w:pPr>
            <w:r>
              <w:rPr>
                <w:b/>
                <w:bCs/>
              </w:rPr>
              <w:t>2027</w:t>
            </w:r>
          </w:p>
        </w:tc>
        <w:tc>
          <w:tcPr>
            <w:tcW w:w="1310" w:type="dxa"/>
            <w:tcBorders>
              <w:top w:val="outset" w:sz="6" w:space="0" w:color="auto"/>
              <w:left w:val="outset" w:sz="6" w:space="0" w:color="auto"/>
              <w:bottom w:val="outset" w:sz="6" w:space="0" w:color="auto"/>
              <w:right w:val="outset" w:sz="6" w:space="0" w:color="auto"/>
            </w:tcBorders>
            <w:vAlign w:val="center"/>
            <w:hideMark/>
          </w:tcPr>
          <w:p w14:paraId="42E0158F" w14:textId="77777777" w:rsidR="0065086F" w:rsidRPr="00FC48DA" w:rsidRDefault="0065086F" w:rsidP="00D2498A">
            <w:pPr>
              <w:keepNext/>
              <w:jc w:val="center"/>
            </w:pPr>
            <w:r>
              <w:rPr>
                <w:b/>
                <w:bCs/>
              </w:rPr>
              <w:t>2028</w:t>
            </w:r>
          </w:p>
        </w:tc>
        <w:tc>
          <w:tcPr>
            <w:tcW w:w="1311" w:type="dxa"/>
            <w:tcBorders>
              <w:top w:val="outset" w:sz="6" w:space="0" w:color="auto"/>
              <w:left w:val="outset" w:sz="6" w:space="0" w:color="auto"/>
              <w:bottom w:val="outset" w:sz="6" w:space="0" w:color="auto"/>
              <w:right w:val="outset" w:sz="6" w:space="0" w:color="auto"/>
            </w:tcBorders>
            <w:vAlign w:val="center"/>
            <w:hideMark/>
          </w:tcPr>
          <w:p w14:paraId="29A7E139" w14:textId="77777777" w:rsidR="0065086F" w:rsidRPr="00FC48DA" w:rsidRDefault="0065086F" w:rsidP="00D2498A">
            <w:pPr>
              <w:keepNext/>
              <w:jc w:val="center"/>
            </w:pPr>
            <w:r>
              <w:rPr>
                <w:b/>
                <w:bCs/>
              </w:rPr>
              <w:t>2029</w:t>
            </w:r>
          </w:p>
        </w:tc>
      </w:tr>
      <w:tr w:rsidR="0065086F" w:rsidRPr="00BE38DF" w14:paraId="375D79BF" w14:textId="77777777" w:rsidTr="00FC48DA">
        <w:trPr>
          <w:cantSplit/>
          <w:jc w:val="center"/>
        </w:trPr>
        <w:tc>
          <w:tcPr>
            <w:tcW w:w="4119" w:type="dxa"/>
            <w:tcBorders>
              <w:top w:val="outset" w:sz="6" w:space="0" w:color="auto"/>
              <w:left w:val="outset" w:sz="6" w:space="0" w:color="auto"/>
              <w:bottom w:val="outset" w:sz="6" w:space="0" w:color="auto"/>
              <w:right w:val="outset" w:sz="6" w:space="0" w:color="auto"/>
            </w:tcBorders>
            <w:vAlign w:val="center"/>
            <w:hideMark/>
          </w:tcPr>
          <w:p w14:paraId="2075AE85" w14:textId="40B2F8BC" w:rsidR="0065086F" w:rsidRPr="00FC48DA" w:rsidRDefault="0065086F" w:rsidP="002A58BF">
            <w:pPr>
              <w:keepNext/>
            </w:pPr>
            <w:r>
              <w:rPr>
                <w:rtl/>
              </w:rPr>
              <w:t>توقعات استهلاك المواد الهيدروفلوروكربونية بمعدل نمو سنوي قدره 8%*</w:t>
            </w:r>
          </w:p>
        </w:tc>
        <w:tc>
          <w:tcPr>
            <w:tcW w:w="1310" w:type="dxa"/>
            <w:tcBorders>
              <w:top w:val="outset" w:sz="6" w:space="0" w:color="auto"/>
              <w:left w:val="outset" w:sz="6" w:space="0" w:color="auto"/>
              <w:bottom w:val="outset" w:sz="6" w:space="0" w:color="auto"/>
              <w:right w:val="outset" w:sz="6" w:space="0" w:color="auto"/>
            </w:tcBorders>
            <w:vAlign w:val="center"/>
            <w:hideMark/>
          </w:tcPr>
          <w:p w14:paraId="5DB4F311" w14:textId="77777777" w:rsidR="0065086F" w:rsidRPr="00FC48DA" w:rsidRDefault="0065086F" w:rsidP="00B35FF7">
            <w:pPr>
              <w:keepNext/>
              <w:jc w:val="left"/>
            </w:pPr>
            <w:r>
              <w:t>36,763</w:t>
            </w:r>
          </w:p>
        </w:tc>
        <w:tc>
          <w:tcPr>
            <w:tcW w:w="1310" w:type="dxa"/>
            <w:tcBorders>
              <w:top w:val="outset" w:sz="6" w:space="0" w:color="auto"/>
              <w:left w:val="outset" w:sz="6" w:space="0" w:color="auto"/>
              <w:bottom w:val="outset" w:sz="6" w:space="0" w:color="auto"/>
              <w:right w:val="outset" w:sz="6" w:space="0" w:color="auto"/>
            </w:tcBorders>
            <w:vAlign w:val="center"/>
            <w:hideMark/>
          </w:tcPr>
          <w:p w14:paraId="01DDA959" w14:textId="77777777" w:rsidR="0065086F" w:rsidRPr="00FC48DA" w:rsidRDefault="0065086F" w:rsidP="00B35FF7">
            <w:pPr>
              <w:keepNext/>
              <w:jc w:val="left"/>
            </w:pPr>
            <w:r>
              <w:t>39,704</w:t>
            </w:r>
          </w:p>
        </w:tc>
        <w:tc>
          <w:tcPr>
            <w:tcW w:w="1310" w:type="dxa"/>
            <w:tcBorders>
              <w:top w:val="outset" w:sz="6" w:space="0" w:color="auto"/>
              <w:left w:val="outset" w:sz="6" w:space="0" w:color="auto"/>
              <w:bottom w:val="outset" w:sz="6" w:space="0" w:color="auto"/>
              <w:right w:val="outset" w:sz="6" w:space="0" w:color="auto"/>
            </w:tcBorders>
            <w:vAlign w:val="center"/>
            <w:hideMark/>
          </w:tcPr>
          <w:p w14:paraId="2FB66A77" w14:textId="77777777" w:rsidR="0065086F" w:rsidRPr="00FC48DA" w:rsidRDefault="0065086F" w:rsidP="00B35FF7">
            <w:pPr>
              <w:keepNext/>
              <w:jc w:val="left"/>
            </w:pPr>
            <w:r>
              <w:t>42,881</w:t>
            </w:r>
          </w:p>
        </w:tc>
        <w:tc>
          <w:tcPr>
            <w:tcW w:w="1311" w:type="dxa"/>
            <w:tcBorders>
              <w:top w:val="outset" w:sz="6" w:space="0" w:color="auto"/>
              <w:left w:val="outset" w:sz="6" w:space="0" w:color="auto"/>
              <w:bottom w:val="outset" w:sz="6" w:space="0" w:color="auto"/>
              <w:right w:val="outset" w:sz="6" w:space="0" w:color="auto"/>
            </w:tcBorders>
            <w:vAlign w:val="center"/>
            <w:hideMark/>
          </w:tcPr>
          <w:p w14:paraId="041F1461" w14:textId="77777777" w:rsidR="0065086F" w:rsidRPr="00FC48DA" w:rsidRDefault="0065086F" w:rsidP="00B35FF7">
            <w:pPr>
              <w:keepNext/>
              <w:jc w:val="left"/>
            </w:pPr>
            <w:r>
              <w:t>46,311</w:t>
            </w:r>
          </w:p>
        </w:tc>
      </w:tr>
      <w:tr w:rsidR="0065086F" w:rsidRPr="00BE38DF" w14:paraId="09183B7F" w14:textId="77777777" w:rsidTr="00FC48DA">
        <w:trPr>
          <w:cantSplit/>
          <w:jc w:val="center"/>
        </w:trPr>
        <w:tc>
          <w:tcPr>
            <w:tcW w:w="4119" w:type="dxa"/>
            <w:tcBorders>
              <w:top w:val="outset" w:sz="6" w:space="0" w:color="auto"/>
              <w:left w:val="outset" w:sz="6" w:space="0" w:color="auto"/>
              <w:bottom w:val="outset" w:sz="6" w:space="0" w:color="auto"/>
              <w:right w:val="outset" w:sz="6" w:space="0" w:color="auto"/>
            </w:tcBorders>
            <w:vAlign w:val="center"/>
            <w:hideMark/>
          </w:tcPr>
          <w:p w14:paraId="18146A2F" w14:textId="77777777" w:rsidR="0065086F" w:rsidRPr="00FC48DA" w:rsidRDefault="0065086F" w:rsidP="002A58BF">
            <w:pPr>
              <w:keepNext/>
            </w:pPr>
            <w:r>
              <w:rPr>
                <w:rtl/>
              </w:rPr>
              <w:t>حدود استهلاك المواد الهيدروفلوروكربونية بموجب بروتوكول مونتريال</w:t>
            </w:r>
          </w:p>
        </w:tc>
        <w:tc>
          <w:tcPr>
            <w:tcW w:w="1310" w:type="dxa"/>
            <w:tcBorders>
              <w:top w:val="outset" w:sz="6" w:space="0" w:color="auto"/>
              <w:left w:val="outset" w:sz="6" w:space="0" w:color="auto"/>
              <w:bottom w:val="outset" w:sz="6" w:space="0" w:color="auto"/>
              <w:right w:val="outset" w:sz="6" w:space="0" w:color="auto"/>
            </w:tcBorders>
            <w:vAlign w:val="center"/>
            <w:hideMark/>
          </w:tcPr>
          <w:p w14:paraId="623A3FB9" w14:textId="77777777" w:rsidR="0065086F" w:rsidRPr="00FC48DA" w:rsidRDefault="0065086F" w:rsidP="00B35FF7">
            <w:pPr>
              <w:keepNext/>
              <w:jc w:val="left"/>
            </w:pPr>
            <w:r>
              <w:t>71,039</w:t>
            </w:r>
          </w:p>
        </w:tc>
        <w:tc>
          <w:tcPr>
            <w:tcW w:w="1310" w:type="dxa"/>
            <w:tcBorders>
              <w:top w:val="outset" w:sz="6" w:space="0" w:color="auto"/>
              <w:left w:val="outset" w:sz="6" w:space="0" w:color="auto"/>
              <w:bottom w:val="outset" w:sz="6" w:space="0" w:color="auto"/>
              <w:right w:val="outset" w:sz="6" w:space="0" w:color="auto"/>
            </w:tcBorders>
            <w:vAlign w:val="center"/>
            <w:hideMark/>
          </w:tcPr>
          <w:p w14:paraId="6FAB9451" w14:textId="77777777" w:rsidR="0065086F" w:rsidRPr="00FC48DA" w:rsidRDefault="0065086F" w:rsidP="00B35FF7">
            <w:pPr>
              <w:keepNext/>
              <w:jc w:val="left"/>
            </w:pPr>
            <w:r>
              <w:t>71,039</w:t>
            </w:r>
          </w:p>
        </w:tc>
        <w:tc>
          <w:tcPr>
            <w:tcW w:w="1310" w:type="dxa"/>
            <w:tcBorders>
              <w:top w:val="outset" w:sz="6" w:space="0" w:color="auto"/>
              <w:left w:val="outset" w:sz="6" w:space="0" w:color="auto"/>
              <w:bottom w:val="outset" w:sz="6" w:space="0" w:color="auto"/>
              <w:right w:val="outset" w:sz="6" w:space="0" w:color="auto"/>
            </w:tcBorders>
            <w:vAlign w:val="center"/>
            <w:hideMark/>
          </w:tcPr>
          <w:p w14:paraId="2465C7C9" w14:textId="77777777" w:rsidR="0065086F" w:rsidRPr="00FC48DA" w:rsidRDefault="0065086F" w:rsidP="00B35FF7">
            <w:pPr>
              <w:keepNext/>
              <w:jc w:val="left"/>
            </w:pPr>
            <w:r>
              <w:t>71,039</w:t>
            </w:r>
          </w:p>
        </w:tc>
        <w:tc>
          <w:tcPr>
            <w:tcW w:w="1311" w:type="dxa"/>
            <w:tcBorders>
              <w:top w:val="outset" w:sz="6" w:space="0" w:color="auto"/>
              <w:left w:val="outset" w:sz="6" w:space="0" w:color="auto"/>
              <w:bottom w:val="outset" w:sz="6" w:space="0" w:color="auto"/>
              <w:right w:val="outset" w:sz="6" w:space="0" w:color="auto"/>
            </w:tcBorders>
            <w:vAlign w:val="center"/>
            <w:hideMark/>
          </w:tcPr>
          <w:p w14:paraId="6FAE3445" w14:textId="77777777" w:rsidR="0065086F" w:rsidRPr="00FC48DA" w:rsidRDefault="0065086F" w:rsidP="00B35FF7">
            <w:pPr>
              <w:keepNext/>
              <w:jc w:val="left"/>
            </w:pPr>
            <w:r>
              <w:t>63,935</w:t>
            </w:r>
          </w:p>
        </w:tc>
      </w:tr>
      <w:tr w:rsidR="0065086F" w:rsidRPr="00BE38DF" w14:paraId="46B08490" w14:textId="77777777" w:rsidTr="00FC48DA">
        <w:trPr>
          <w:cantSplit/>
          <w:jc w:val="center"/>
        </w:trPr>
        <w:tc>
          <w:tcPr>
            <w:tcW w:w="4119" w:type="dxa"/>
            <w:tcBorders>
              <w:top w:val="outset" w:sz="6" w:space="0" w:color="auto"/>
              <w:left w:val="outset" w:sz="6" w:space="0" w:color="auto"/>
              <w:bottom w:val="outset" w:sz="6" w:space="0" w:color="auto"/>
              <w:right w:val="outset" w:sz="6" w:space="0" w:color="auto"/>
            </w:tcBorders>
            <w:vAlign w:val="center"/>
            <w:hideMark/>
          </w:tcPr>
          <w:p w14:paraId="01AF3781" w14:textId="77777777" w:rsidR="0065086F" w:rsidRPr="00FC48DA" w:rsidRDefault="0065086F" w:rsidP="002A58BF">
            <w:pPr>
              <w:keepNext/>
            </w:pPr>
            <w:r>
              <w:rPr>
                <w:rtl/>
              </w:rPr>
              <w:t>مستويات استهلاك المواد الهيدروفلوروكربونية المقترحة في إطار خطة التنفيذ المتعلقة بالمواد الهيدروفلوروكربونية بموجب تعديل كيغالي</w:t>
            </w:r>
          </w:p>
        </w:tc>
        <w:tc>
          <w:tcPr>
            <w:tcW w:w="1310" w:type="dxa"/>
            <w:tcBorders>
              <w:top w:val="outset" w:sz="6" w:space="0" w:color="auto"/>
              <w:left w:val="outset" w:sz="6" w:space="0" w:color="auto"/>
              <w:bottom w:val="outset" w:sz="6" w:space="0" w:color="auto"/>
              <w:right w:val="outset" w:sz="6" w:space="0" w:color="auto"/>
            </w:tcBorders>
            <w:vAlign w:val="center"/>
            <w:hideMark/>
          </w:tcPr>
          <w:p w14:paraId="39F10477" w14:textId="77777777" w:rsidR="0065086F" w:rsidRPr="00FC48DA" w:rsidRDefault="0065086F" w:rsidP="00B35FF7">
            <w:pPr>
              <w:keepNext/>
              <w:jc w:val="left"/>
            </w:pPr>
            <w:r>
              <w:t>38,962</w:t>
            </w:r>
          </w:p>
        </w:tc>
        <w:tc>
          <w:tcPr>
            <w:tcW w:w="1310" w:type="dxa"/>
            <w:tcBorders>
              <w:top w:val="outset" w:sz="6" w:space="0" w:color="auto"/>
              <w:left w:val="outset" w:sz="6" w:space="0" w:color="auto"/>
              <w:bottom w:val="outset" w:sz="6" w:space="0" w:color="auto"/>
              <w:right w:val="outset" w:sz="6" w:space="0" w:color="auto"/>
            </w:tcBorders>
            <w:vAlign w:val="center"/>
            <w:hideMark/>
          </w:tcPr>
          <w:p w14:paraId="6E451056" w14:textId="77777777" w:rsidR="0065086F" w:rsidRPr="00FC48DA" w:rsidRDefault="0065086F" w:rsidP="00B35FF7">
            <w:pPr>
              <w:keepNext/>
              <w:jc w:val="left"/>
            </w:pPr>
            <w:r>
              <w:t>38,962</w:t>
            </w:r>
          </w:p>
        </w:tc>
        <w:tc>
          <w:tcPr>
            <w:tcW w:w="1310" w:type="dxa"/>
            <w:tcBorders>
              <w:top w:val="outset" w:sz="6" w:space="0" w:color="auto"/>
              <w:left w:val="outset" w:sz="6" w:space="0" w:color="auto"/>
              <w:bottom w:val="outset" w:sz="6" w:space="0" w:color="auto"/>
              <w:right w:val="outset" w:sz="6" w:space="0" w:color="auto"/>
            </w:tcBorders>
            <w:vAlign w:val="center"/>
            <w:hideMark/>
          </w:tcPr>
          <w:p w14:paraId="6A90B28B" w14:textId="77777777" w:rsidR="0065086F" w:rsidRPr="00FC48DA" w:rsidRDefault="0065086F" w:rsidP="00B35FF7">
            <w:pPr>
              <w:keepNext/>
              <w:jc w:val="left"/>
            </w:pPr>
            <w:r>
              <w:t>38,962</w:t>
            </w:r>
          </w:p>
        </w:tc>
        <w:tc>
          <w:tcPr>
            <w:tcW w:w="1311" w:type="dxa"/>
            <w:tcBorders>
              <w:top w:val="outset" w:sz="6" w:space="0" w:color="auto"/>
              <w:left w:val="outset" w:sz="6" w:space="0" w:color="auto"/>
              <w:bottom w:val="outset" w:sz="6" w:space="0" w:color="auto"/>
              <w:right w:val="outset" w:sz="6" w:space="0" w:color="auto"/>
            </w:tcBorders>
            <w:vAlign w:val="center"/>
            <w:hideMark/>
          </w:tcPr>
          <w:p w14:paraId="4C1E6FB6" w14:textId="77777777" w:rsidR="0065086F" w:rsidRPr="00FC48DA" w:rsidRDefault="0065086F" w:rsidP="00B35FF7">
            <w:pPr>
              <w:keepNext/>
              <w:jc w:val="left"/>
            </w:pPr>
            <w:r>
              <w:t>35,066</w:t>
            </w:r>
          </w:p>
        </w:tc>
      </w:tr>
      <w:tr w:rsidR="0065086F" w:rsidRPr="00BE38DF" w14:paraId="61CAB678" w14:textId="77777777" w:rsidTr="00FC48DA">
        <w:trPr>
          <w:cantSplit/>
          <w:trHeight w:val="72"/>
          <w:jc w:val="center"/>
        </w:trPr>
        <w:tc>
          <w:tcPr>
            <w:tcW w:w="4119" w:type="dxa"/>
            <w:tcBorders>
              <w:top w:val="outset" w:sz="6" w:space="0" w:color="auto"/>
              <w:left w:val="outset" w:sz="6" w:space="0" w:color="auto"/>
              <w:bottom w:val="outset" w:sz="6" w:space="0" w:color="auto"/>
              <w:right w:val="outset" w:sz="6" w:space="0" w:color="auto"/>
            </w:tcBorders>
            <w:vAlign w:val="center"/>
            <w:hideMark/>
          </w:tcPr>
          <w:p w14:paraId="7CDA7448" w14:textId="77777777" w:rsidR="0065086F" w:rsidRPr="00FC48DA" w:rsidRDefault="0065086F" w:rsidP="005F3FA6">
            <w:pPr>
              <w:keepNext/>
            </w:pPr>
            <w:r>
              <w:rPr>
                <w:rtl/>
              </w:rPr>
              <w:t>التخفيضات المقترحة من خط أساس استهلاك المواد الهيدروفلوروكربونية (%)</w:t>
            </w:r>
          </w:p>
        </w:tc>
        <w:tc>
          <w:tcPr>
            <w:tcW w:w="1310" w:type="dxa"/>
            <w:tcBorders>
              <w:top w:val="outset" w:sz="6" w:space="0" w:color="auto"/>
              <w:left w:val="outset" w:sz="6" w:space="0" w:color="auto"/>
              <w:bottom w:val="outset" w:sz="6" w:space="0" w:color="auto"/>
              <w:right w:val="outset" w:sz="6" w:space="0" w:color="auto"/>
            </w:tcBorders>
            <w:vAlign w:val="center"/>
            <w:hideMark/>
          </w:tcPr>
          <w:p w14:paraId="63ABE48B" w14:textId="77777777" w:rsidR="0065086F" w:rsidRPr="00FC48DA" w:rsidRDefault="0065086F" w:rsidP="00B35FF7">
            <w:pPr>
              <w:keepNext/>
              <w:jc w:val="left"/>
            </w:pPr>
            <w:r>
              <w:t>45.15</w:t>
            </w:r>
          </w:p>
        </w:tc>
        <w:tc>
          <w:tcPr>
            <w:tcW w:w="1310" w:type="dxa"/>
            <w:tcBorders>
              <w:top w:val="outset" w:sz="6" w:space="0" w:color="auto"/>
              <w:left w:val="outset" w:sz="6" w:space="0" w:color="auto"/>
              <w:bottom w:val="outset" w:sz="6" w:space="0" w:color="auto"/>
              <w:right w:val="outset" w:sz="6" w:space="0" w:color="auto"/>
            </w:tcBorders>
            <w:vAlign w:val="center"/>
            <w:hideMark/>
          </w:tcPr>
          <w:p w14:paraId="546B8209" w14:textId="77777777" w:rsidR="0065086F" w:rsidRPr="00FC48DA" w:rsidRDefault="0065086F" w:rsidP="00B35FF7">
            <w:pPr>
              <w:keepNext/>
              <w:jc w:val="left"/>
            </w:pPr>
            <w:r>
              <w:t>45.15</w:t>
            </w:r>
          </w:p>
        </w:tc>
        <w:tc>
          <w:tcPr>
            <w:tcW w:w="1310" w:type="dxa"/>
            <w:tcBorders>
              <w:top w:val="outset" w:sz="6" w:space="0" w:color="auto"/>
              <w:left w:val="outset" w:sz="6" w:space="0" w:color="auto"/>
              <w:bottom w:val="outset" w:sz="6" w:space="0" w:color="auto"/>
              <w:right w:val="outset" w:sz="6" w:space="0" w:color="auto"/>
            </w:tcBorders>
            <w:vAlign w:val="center"/>
            <w:hideMark/>
          </w:tcPr>
          <w:p w14:paraId="3B686F6F" w14:textId="77777777" w:rsidR="0065086F" w:rsidRPr="00FC48DA" w:rsidRDefault="0065086F" w:rsidP="00B35FF7">
            <w:pPr>
              <w:keepNext/>
              <w:jc w:val="left"/>
            </w:pPr>
            <w:r>
              <w:t>45.15</w:t>
            </w:r>
          </w:p>
        </w:tc>
        <w:tc>
          <w:tcPr>
            <w:tcW w:w="1311" w:type="dxa"/>
            <w:tcBorders>
              <w:top w:val="outset" w:sz="6" w:space="0" w:color="auto"/>
              <w:left w:val="outset" w:sz="6" w:space="0" w:color="auto"/>
              <w:bottom w:val="outset" w:sz="6" w:space="0" w:color="auto"/>
              <w:right w:val="outset" w:sz="6" w:space="0" w:color="auto"/>
            </w:tcBorders>
            <w:vAlign w:val="center"/>
            <w:hideMark/>
          </w:tcPr>
          <w:p w14:paraId="3087B8D6" w14:textId="77777777" w:rsidR="0065086F" w:rsidRPr="00FC48DA" w:rsidRDefault="0065086F" w:rsidP="00B35FF7">
            <w:pPr>
              <w:keepNext/>
              <w:jc w:val="left"/>
            </w:pPr>
            <w:r>
              <w:t>50.64</w:t>
            </w:r>
          </w:p>
        </w:tc>
      </w:tr>
    </w:tbl>
    <w:p w14:paraId="3A1491BC" w14:textId="4704C6FC" w:rsidR="0065086F" w:rsidRPr="00BE38DF" w:rsidRDefault="0065086F">
      <w:pPr>
        <w:rPr>
          <w:kern w:val="2"/>
          <w:sz w:val="20"/>
          <w:szCs w:val="20"/>
          <w:lang w:eastAsia="en-CA"/>
          <w14:ligatures w14:val="standardContextual"/>
        </w:rPr>
      </w:pPr>
      <w:r>
        <w:rPr>
          <w:sz w:val="20"/>
          <w:szCs w:val="20"/>
          <w:rtl/>
        </w:rPr>
        <w:t>* حُسبت على أساس زيادة بنسبة 8 في المائة اعتباراً من عام 2025 لتعكس النمو المتوقع في القطاع</w:t>
      </w:r>
    </w:p>
    <w:p w14:paraId="3D7D92B5" w14:textId="77777777" w:rsidR="00CB0432" w:rsidRPr="00BE38DF" w:rsidRDefault="00CB0432" w:rsidP="00CB0432">
      <w:pPr>
        <w:pStyle w:val="Heading1"/>
        <w:keepNext/>
        <w:numPr>
          <w:ilvl w:val="0"/>
          <w:numId w:val="0"/>
        </w:numPr>
        <w:spacing w:before="240"/>
        <w:rPr>
          <w:i/>
          <w:iCs/>
          <w:sz w:val="26"/>
          <w:szCs w:val="26"/>
        </w:rPr>
      </w:pPr>
      <w:r>
        <w:rPr>
          <w:i/>
          <w:iCs/>
          <w:sz w:val="26"/>
          <w:szCs w:val="26"/>
          <w:rtl/>
        </w:rPr>
        <w:t>الأنشطة المقترحة</w:t>
      </w:r>
    </w:p>
    <w:p w14:paraId="67BC1AB3" w14:textId="738419C5" w:rsidR="00CB0432" w:rsidRPr="00BE38DF" w:rsidRDefault="00CB0432" w:rsidP="00CB0432">
      <w:pPr>
        <w:pStyle w:val="Heading1"/>
        <w:shd w:val="clear" w:color="auto" w:fill="FFFFFF" w:themeFill="background1"/>
        <w:rPr>
          <w:sz w:val="26"/>
          <w:szCs w:val="26"/>
        </w:rPr>
      </w:pPr>
      <w:r>
        <w:rPr>
          <w:sz w:val="26"/>
          <w:szCs w:val="26"/>
          <w:rtl/>
        </w:rPr>
        <w:t>يعرض الجدول 10 الأنشطة المقترح تنفيذها في قطاع الخدمة في إطار المرحلة الأولى وفي الشريحة الأولى وتوزيع تكاليفها.</w:t>
      </w:r>
    </w:p>
    <w:p w14:paraId="3F859AC4" w14:textId="0D772F4A" w:rsidR="009D4096" w:rsidRPr="00BE38DF" w:rsidRDefault="009D4096">
      <w:pPr>
        <w:keepNext/>
        <w:rPr>
          <w:kern w:val="2"/>
          <w:sz w:val="26"/>
          <w:szCs w:val="26"/>
          <w:lang w:eastAsia="en-CA"/>
          <w14:ligatures w14:val="standardContextual"/>
        </w:rPr>
      </w:pPr>
      <w:r>
        <w:rPr>
          <w:b/>
          <w:bCs/>
          <w:sz w:val="26"/>
          <w:szCs w:val="26"/>
          <w:rtl/>
        </w:rPr>
        <w:t>الجدول 10. أنشطة قطاع الخدمة وتكاليفها في المرحلة الأولى وفي الشريحة الأولى من المرحلة الأولى من خطة التنفيذ المتعلقة بالمواد الهيدروفلوروكربونية بموجب تعديل كيغالي لسان تومي وبرينسيبي، حسب ما قُدّمت</w:t>
      </w:r>
    </w:p>
    <w:tbl>
      <w:tblPr>
        <w:bidiVisual/>
        <w:tblW w:w="9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552"/>
        <w:gridCol w:w="1404"/>
        <w:gridCol w:w="1404"/>
      </w:tblGrid>
      <w:tr w:rsidR="006079E0" w:rsidRPr="0069632B" w14:paraId="6B380700" w14:textId="77777777" w:rsidTr="004A4EF5">
        <w:trPr>
          <w:cantSplit/>
          <w:trHeight w:val="606"/>
          <w:tblHeader/>
          <w:jc w:val="center"/>
        </w:trPr>
        <w:tc>
          <w:tcPr>
            <w:tcW w:w="6552" w:type="dxa"/>
            <w:vAlign w:val="center"/>
            <w:hideMark/>
          </w:tcPr>
          <w:p w14:paraId="515300FC" w14:textId="77777777" w:rsidR="006079E0" w:rsidRPr="0069632B" w:rsidRDefault="006079E0" w:rsidP="00D2498A">
            <w:pPr>
              <w:jc w:val="center"/>
              <w:rPr>
                <w:kern w:val="2"/>
                <w:sz w:val="20"/>
                <w:szCs w:val="20"/>
                <w:lang w:eastAsia="en-CA"/>
                <w14:ligatures w14:val="standardContextual"/>
              </w:rPr>
            </w:pPr>
            <w:r w:rsidRPr="0069632B">
              <w:rPr>
                <w:b/>
                <w:bCs/>
                <w:sz w:val="20"/>
                <w:szCs w:val="20"/>
                <w:rtl/>
              </w:rPr>
              <w:t>النشاط</w:t>
            </w:r>
          </w:p>
        </w:tc>
        <w:tc>
          <w:tcPr>
            <w:tcW w:w="1404" w:type="dxa"/>
            <w:vAlign w:val="center"/>
            <w:hideMark/>
          </w:tcPr>
          <w:p w14:paraId="78599391" w14:textId="77777777" w:rsidR="006079E0" w:rsidRPr="0069632B" w:rsidRDefault="006079E0" w:rsidP="00D2498A">
            <w:pPr>
              <w:jc w:val="center"/>
              <w:rPr>
                <w:sz w:val="20"/>
                <w:szCs w:val="20"/>
              </w:rPr>
            </w:pPr>
            <w:r w:rsidRPr="0069632B">
              <w:rPr>
                <w:b/>
                <w:bCs/>
                <w:sz w:val="20"/>
                <w:szCs w:val="20"/>
                <w:rtl/>
              </w:rPr>
              <w:t>تكلفة المرحلة الأولى (بالدولار الأمريكي)</w:t>
            </w:r>
          </w:p>
        </w:tc>
        <w:tc>
          <w:tcPr>
            <w:tcW w:w="1404" w:type="dxa"/>
            <w:vAlign w:val="center"/>
            <w:hideMark/>
          </w:tcPr>
          <w:p w14:paraId="1F7F2195" w14:textId="77777777" w:rsidR="006079E0" w:rsidRPr="0069632B" w:rsidRDefault="006079E0" w:rsidP="00D2498A">
            <w:pPr>
              <w:jc w:val="center"/>
              <w:rPr>
                <w:sz w:val="20"/>
                <w:szCs w:val="20"/>
              </w:rPr>
            </w:pPr>
            <w:r w:rsidRPr="0069632B">
              <w:rPr>
                <w:b/>
                <w:bCs/>
                <w:sz w:val="20"/>
                <w:szCs w:val="20"/>
                <w:rtl/>
              </w:rPr>
              <w:t>تكلفة الشريحة الأولى (بالدولار الأمريكي)</w:t>
            </w:r>
          </w:p>
        </w:tc>
      </w:tr>
      <w:tr w:rsidR="006079E0" w:rsidRPr="0069632B" w14:paraId="1FA8D63A" w14:textId="77777777" w:rsidTr="004A4EF5">
        <w:trPr>
          <w:cantSplit/>
          <w:jc w:val="center"/>
        </w:trPr>
        <w:tc>
          <w:tcPr>
            <w:tcW w:w="9360" w:type="dxa"/>
            <w:gridSpan w:val="3"/>
            <w:vAlign w:val="center"/>
            <w:hideMark/>
          </w:tcPr>
          <w:p w14:paraId="5F717BD7" w14:textId="2C4B8EA2" w:rsidR="006079E0" w:rsidRPr="0069632B" w:rsidRDefault="006079E0">
            <w:pPr>
              <w:rPr>
                <w:sz w:val="20"/>
                <w:szCs w:val="20"/>
              </w:rPr>
            </w:pPr>
            <w:r w:rsidRPr="0069632B">
              <w:rPr>
                <w:b/>
                <w:bCs/>
                <w:sz w:val="20"/>
                <w:szCs w:val="20"/>
                <w:rtl/>
              </w:rPr>
              <w:t xml:space="preserve">1. تعزيز الإطار القانوني والتنظيمي </w:t>
            </w:r>
          </w:p>
        </w:tc>
      </w:tr>
      <w:tr w:rsidR="006079E0" w:rsidRPr="0069632B" w14:paraId="006A1F11" w14:textId="77777777" w:rsidTr="004A4EF5">
        <w:trPr>
          <w:cantSplit/>
          <w:jc w:val="center"/>
        </w:trPr>
        <w:tc>
          <w:tcPr>
            <w:tcW w:w="6552" w:type="dxa"/>
            <w:vAlign w:val="center"/>
            <w:hideMark/>
          </w:tcPr>
          <w:p w14:paraId="2B2F30DC" w14:textId="23BD1B7C" w:rsidR="006079E0" w:rsidRPr="0069632B" w:rsidRDefault="006079E0">
            <w:pPr>
              <w:rPr>
                <w:sz w:val="20"/>
                <w:szCs w:val="20"/>
              </w:rPr>
            </w:pPr>
            <w:r w:rsidRPr="0069632B">
              <w:rPr>
                <w:sz w:val="20"/>
                <w:szCs w:val="20"/>
                <w:rtl/>
              </w:rPr>
              <w:t>1.1. وضع المرسوم المتعلق بالمواد الهيدروفلوروكربونية واعتماده؛ وعقد حلقة عمل واحدة لأصحاب المصلحة قبل الاعتماد بشأن نطاق العمل لـ 100 مشارك؛ وحلقة عمل واحدة للتوعية بعد وضع المرسوم بشأن تنفيذه لـ 100 مشارك</w:t>
            </w:r>
          </w:p>
        </w:tc>
        <w:tc>
          <w:tcPr>
            <w:tcW w:w="1404" w:type="dxa"/>
            <w:vAlign w:val="center"/>
            <w:hideMark/>
          </w:tcPr>
          <w:p w14:paraId="4C722DD4" w14:textId="77777777" w:rsidR="006079E0" w:rsidRPr="0069632B" w:rsidRDefault="006079E0" w:rsidP="00B35FF7">
            <w:pPr>
              <w:jc w:val="left"/>
              <w:rPr>
                <w:sz w:val="20"/>
                <w:szCs w:val="20"/>
              </w:rPr>
            </w:pPr>
            <w:r w:rsidRPr="0069632B">
              <w:rPr>
                <w:sz w:val="20"/>
                <w:szCs w:val="20"/>
              </w:rPr>
              <w:t>9,000</w:t>
            </w:r>
          </w:p>
        </w:tc>
        <w:tc>
          <w:tcPr>
            <w:tcW w:w="1404" w:type="dxa"/>
            <w:vAlign w:val="center"/>
            <w:hideMark/>
          </w:tcPr>
          <w:p w14:paraId="535509E9" w14:textId="77777777" w:rsidR="006079E0" w:rsidRPr="0069632B" w:rsidRDefault="006079E0" w:rsidP="00B35FF7">
            <w:pPr>
              <w:jc w:val="left"/>
              <w:rPr>
                <w:sz w:val="20"/>
                <w:szCs w:val="20"/>
              </w:rPr>
            </w:pPr>
            <w:r w:rsidRPr="0069632B">
              <w:rPr>
                <w:sz w:val="20"/>
                <w:szCs w:val="20"/>
              </w:rPr>
              <w:t>7,000</w:t>
            </w:r>
          </w:p>
        </w:tc>
      </w:tr>
      <w:tr w:rsidR="006079E0" w:rsidRPr="0069632B" w14:paraId="24E2605C" w14:textId="77777777" w:rsidTr="004A4EF5">
        <w:trPr>
          <w:cantSplit/>
          <w:jc w:val="center"/>
        </w:trPr>
        <w:tc>
          <w:tcPr>
            <w:tcW w:w="6552" w:type="dxa"/>
            <w:vAlign w:val="center"/>
            <w:hideMark/>
          </w:tcPr>
          <w:p w14:paraId="0236867A" w14:textId="01827259" w:rsidR="006079E0" w:rsidRPr="0069632B" w:rsidRDefault="006079E0">
            <w:pPr>
              <w:rPr>
                <w:sz w:val="20"/>
                <w:szCs w:val="20"/>
              </w:rPr>
            </w:pPr>
            <w:r w:rsidRPr="0069632B">
              <w:rPr>
                <w:sz w:val="20"/>
                <w:szCs w:val="20"/>
                <w:rtl/>
              </w:rPr>
              <w:t>1.2. وضع حظر على استيراد المعدات القائمة على المواد الهيدروفلوروكربونية وقيود على تركيبها، بما في ذلك عقد اجتماع واحد مع المستوردين، وإجراء دراسة واحدة لتقييم السوق، وصياغة اللوائح، وعقد اجتماع توعية واحد بشأن تنفيذ اللوائح مع أصحاب المصلحة المعنيين لـ 100 مشارك</w:t>
            </w:r>
          </w:p>
        </w:tc>
        <w:tc>
          <w:tcPr>
            <w:tcW w:w="1404" w:type="dxa"/>
            <w:vAlign w:val="center"/>
            <w:hideMark/>
          </w:tcPr>
          <w:p w14:paraId="00D1ABC0" w14:textId="77777777" w:rsidR="006079E0" w:rsidRPr="0069632B" w:rsidRDefault="006079E0" w:rsidP="00B35FF7">
            <w:pPr>
              <w:jc w:val="left"/>
              <w:rPr>
                <w:sz w:val="20"/>
                <w:szCs w:val="20"/>
              </w:rPr>
            </w:pPr>
            <w:r w:rsidRPr="0069632B">
              <w:rPr>
                <w:sz w:val="20"/>
                <w:szCs w:val="20"/>
              </w:rPr>
              <w:t>10,000</w:t>
            </w:r>
          </w:p>
        </w:tc>
        <w:tc>
          <w:tcPr>
            <w:tcW w:w="1404" w:type="dxa"/>
            <w:vAlign w:val="center"/>
            <w:hideMark/>
          </w:tcPr>
          <w:p w14:paraId="06B690EC" w14:textId="77777777" w:rsidR="006079E0" w:rsidRPr="0069632B" w:rsidRDefault="006079E0" w:rsidP="00B35FF7">
            <w:pPr>
              <w:jc w:val="left"/>
              <w:rPr>
                <w:sz w:val="20"/>
                <w:szCs w:val="20"/>
              </w:rPr>
            </w:pPr>
            <w:r w:rsidRPr="0069632B">
              <w:rPr>
                <w:sz w:val="20"/>
                <w:szCs w:val="20"/>
              </w:rPr>
              <w:t>6,000</w:t>
            </w:r>
          </w:p>
        </w:tc>
      </w:tr>
      <w:tr w:rsidR="006079E0" w:rsidRPr="0069632B" w14:paraId="7091EF99" w14:textId="77777777" w:rsidTr="004A4EF5">
        <w:trPr>
          <w:cantSplit/>
          <w:jc w:val="center"/>
        </w:trPr>
        <w:tc>
          <w:tcPr>
            <w:tcW w:w="6552" w:type="dxa"/>
            <w:vAlign w:val="center"/>
            <w:hideMark/>
          </w:tcPr>
          <w:p w14:paraId="1B976843" w14:textId="57D326CF" w:rsidR="006079E0" w:rsidRPr="0069632B" w:rsidRDefault="006079E0">
            <w:pPr>
              <w:rPr>
                <w:sz w:val="20"/>
                <w:szCs w:val="20"/>
              </w:rPr>
            </w:pPr>
            <w:r w:rsidRPr="0069632B">
              <w:rPr>
                <w:sz w:val="20"/>
                <w:szCs w:val="20"/>
                <w:rtl/>
              </w:rPr>
              <w:t>1.3. إعداد دليل بشأن التشريعات المتعلقة بالمواد المستنفدة للأوزون والمواد الهيدروفلوروكربونية، ونشره في أربع حلقات عمل واجتماعات لأصحاب المصلحة المعنيين</w:t>
            </w:r>
          </w:p>
        </w:tc>
        <w:tc>
          <w:tcPr>
            <w:tcW w:w="1404" w:type="dxa"/>
            <w:vAlign w:val="center"/>
            <w:hideMark/>
          </w:tcPr>
          <w:p w14:paraId="1A878D9C" w14:textId="77777777" w:rsidR="006079E0" w:rsidRPr="0069632B" w:rsidRDefault="006079E0" w:rsidP="00B35FF7">
            <w:pPr>
              <w:jc w:val="left"/>
              <w:rPr>
                <w:sz w:val="20"/>
                <w:szCs w:val="20"/>
              </w:rPr>
            </w:pPr>
            <w:r w:rsidRPr="0069632B">
              <w:rPr>
                <w:sz w:val="20"/>
                <w:szCs w:val="20"/>
              </w:rPr>
              <w:t>10,000</w:t>
            </w:r>
          </w:p>
        </w:tc>
        <w:tc>
          <w:tcPr>
            <w:tcW w:w="1404" w:type="dxa"/>
            <w:vAlign w:val="center"/>
            <w:hideMark/>
          </w:tcPr>
          <w:p w14:paraId="5D506725" w14:textId="77777777" w:rsidR="006079E0" w:rsidRPr="0069632B" w:rsidRDefault="006079E0" w:rsidP="00B35FF7">
            <w:pPr>
              <w:jc w:val="left"/>
              <w:rPr>
                <w:sz w:val="20"/>
                <w:szCs w:val="20"/>
              </w:rPr>
            </w:pPr>
            <w:r w:rsidRPr="0069632B">
              <w:rPr>
                <w:sz w:val="20"/>
                <w:szCs w:val="20"/>
              </w:rPr>
              <w:t>5,000</w:t>
            </w:r>
          </w:p>
        </w:tc>
      </w:tr>
      <w:tr w:rsidR="006079E0" w:rsidRPr="0069632B" w14:paraId="71CBF9B7" w14:textId="77777777" w:rsidTr="004A4EF5">
        <w:trPr>
          <w:cantSplit/>
          <w:jc w:val="center"/>
        </w:trPr>
        <w:tc>
          <w:tcPr>
            <w:tcW w:w="6552" w:type="dxa"/>
            <w:vAlign w:val="center"/>
            <w:hideMark/>
          </w:tcPr>
          <w:p w14:paraId="29A1B5C6" w14:textId="3EB257C3" w:rsidR="006079E0" w:rsidRPr="0069632B" w:rsidRDefault="006079E0">
            <w:pPr>
              <w:rPr>
                <w:sz w:val="20"/>
                <w:szCs w:val="20"/>
              </w:rPr>
            </w:pPr>
            <w:r w:rsidRPr="0069632B">
              <w:rPr>
                <w:sz w:val="20"/>
                <w:szCs w:val="20"/>
                <w:rtl/>
              </w:rPr>
              <w:t>1.4. تحديث نظام إصدار التراخيص والحصص للمواد الهيدروفلوروكربونية وتعزيزه؛ وعقد حلقة عمل واحدة مع المستوردين والجمارك ووزارة التجارة بشأن نظام إصدار التراخيص والحصص للمواد الهيدروفلوروكربونية لـ 50 مشاركاً</w:t>
            </w:r>
          </w:p>
        </w:tc>
        <w:tc>
          <w:tcPr>
            <w:tcW w:w="1404" w:type="dxa"/>
            <w:vAlign w:val="center"/>
            <w:hideMark/>
          </w:tcPr>
          <w:p w14:paraId="3BC723B4" w14:textId="77777777" w:rsidR="006079E0" w:rsidRPr="0069632B" w:rsidRDefault="006079E0" w:rsidP="00B35FF7">
            <w:pPr>
              <w:jc w:val="left"/>
              <w:rPr>
                <w:sz w:val="20"/>
                <w:szCs w:val="20"/>
              </w:rPr>
            </w:pPr>
            <w:r w:rsidRPr="0069632B">
              <w:rPr>
                <w:sz w:val="20"/>
                <w:szCs w:val="20"/>
              </w:rPr>
              <w:t>9,000</w:t>
            </w:r>
          </w:p>
        </w:tc>
        <w:tc>
          <w:tcPr>
            <w:tcW w:w="1404" w:type="dxa"/>
            <w:vAlign w:val="center"/>
            <w:hideMark/>
          </w:tcPr>
          <w:p w14:paraId="61B181C3" w14:textId="77777777" w:rsidR="006079E0" w:rsidRPr="0069632B" w:rsidRDefault="006079E0" w:rsidP="00B35FF7">
            <w:pPr>
              <w:jc w:val="left"/>
              <w:rPr>
                <w:sz w:val="20"/>
                <w:szCs w:val="20"/>
              </w:rPr>
            </w:pPr>
            <w:r w:rsidRPr="0069632B">
              <w:rPr>
                <w:sz w:val="20"/>
                <w:szCs w:val="20"/>
              </w:rPr>
              <w:t>7,000</w:t>
            </w:r>
          </w:p>
        </w:tc>
      </w:tr>
      <w:tr w:rsidR="006079E0" w:rsidRPr="0069632B" w14:paraId="2A32B933" w14:textId="77777777" w:rsidTr="004A4EF5">
        <w:trPr>
          <w:cantSplit/>
          <w:jc w:val="center"/>
        </w:trPr>
        <w:tc>
          <w:tcPr>
            <w:tcW w:w="6552" w:type="dxa"/>
            <w:vAlign w:val="center"/>
            <w:hideMark/>
          </w:tcPr>
          <w:p w14:paraId="3937E68E" w14:textId="5D5AF501" w:rsidR="006079E0" w:rsidRPr="0069632B" w:rsidRDefault="006079E0">
            <w:pPr>
              <w:rPr>
                <w:sz w:val="20"/>
                <w:szCs w:val="20"/>
              </w:rPr>
            </w:pPr>
            <w:r w:rsidRPr="0069632B">
              <w:rPr>
                <w:sz w:val="20"/>
                <w:szCs w:val="20"/>
                <w:rtl/>
              </w:rPr>
              <w:t>1.5. وضع المعايير والبروتوكولات التقنية الوطنية بشأن استخدام المواد القابلة للاشتعال و/أو السامة في معدات التبريد وتكييف الهواء بدعم من خبير استشاري دولي؛ وعقد اجتماعين تشاوريين مع أصحاب المصلحة لوضع المعايير وإعداد صيغتها النهائية؛ وتنظيم حلقتي عمل لموظفي هيئة المعايير وموظفي الجمارك وأصحاب ورش التبريد وتكييف الهواء الكبيرة ومراكز التدريب والمستوردين (ما مجموعه 200 مشارك) للتوعية وبناء قدراتهم في مجال تنفيذ المعايير</w:t>
            </w:r>
          </w:p>
        </w:tc>
        <w:tc>
          <w:tcPr>
            <w:tcW w:w="1404" w:type="dxa"/>
            <w:vAlign w:val="center"/>
            <w:hideMark/>
          </w:tcPr>
          <w:p w14:paraId="30949FD7" w14:textId="03007C03" w:rsidR="006079E0" w:rsidRPr="0069632B" w:rsidRDefault="00B570E2" w:rsidP="00B35FF7">
            <w:pPr>
              <w:jc w:val="left"/>
              <w:rPr>
                <w:sz w:val="20"/>
                <w:szCs w:val="20"/>
              </w:rPr>
            </w:pPr>
            <w:r w:rsidRPr="0069632B">
              <w:rPr>
                <w:sz w:val="20"/>
                <w:szCs w:val="20"/>
              </w:rPr>
              <w:t>21,000</w:t>
            </w:r>
          </w:p>
        </w:tc>
        <w:tc>
          <w:tcPr>
            <w:tcW w:w="1404" w:type="dxa"/>
            <w:vAlign w:val="center"/>
            <w:hideMark/>
          </w:tcPr>
          <w:p w14:paraId="50C4D52B" w14:textId="77777777" w:rsidR="006079E0" w:rsidRPr="0069632B" w:rsidRDefault="006079E0" w:rsidP="00B35FF7">
            <w:pPr>
              <w:jc w:val="left"/>
              <w:rPr>
                <w:sz w:val="20"/>
                <w:szCs w:val="20"/>
              </w:rPr>
            </w:pPr>
            <w:r w:rsidRPr="0069632B">
              <w:rPr>
                <w:sz w:val="20"/>
                <w:szCs w:val="20"/>
              </w:rPr>
              <w:t>14,000</w:t>
            </w:r>
          </w:p>
        </w:tc>
      </w:tr>
      <w:tr w:rsidR="006079E0" w:rsidRPr="0069632B" w14:paraId="6E89A72C" w14:textId="77777777" w:rsidTr="004A4EF5">
        <w:trPr>
          <w:cantSplit/>
          <w:jc w:val="center"/>
        </w:trPr>
        <w:tc>
          <w:tcPr>
            <w:tcW w:w="6552" w:type="dxa"/>
            <w:vAlign w:val="center"/>
            <w:hideMark/>
          </w:tcPr>
          <w:p w14:paraId="554F1E3B" w14:textId="77777777" w:rsidR="006079E0" w:rsidRPr="0069632B" w:rsidRDefault="006079E0" w:rsidP="00D2498A">
            <w:pPr>
              <w:jc w:val="right"/>
              <w:rPr>
                <w:b/>
                <w:bCs/>
                <w:sz w:val="20"/>
                <w:szCs w:val="20"/>
              </w:rPr>
            </w:pPr>
            <w:r w:rsidRPr="0069632B">
              <w:rPr>
                <w:b/>
                <w:bCs/>
                <w:sz w:val="20"/>
                <w:szCs w:val="20"/>
                <w:rtl/>
              </w:rPr>
              <w:t>المجموع الفرعي للعنصر 1</w:t>
            </w:r>
          </w:p>
        </w:tc>
        <w:tc>
          <w:tcPr>
            <w:tcW w:w="1404" w:type="dxa"/>
            <w:vAlign w:val="center"/>
            <w:hideMark/>
          </w:tcPr>
          <w:p w14:paraId="5747AA3A" w14:textId="61C91826" w:rsidR="006079E0" w:rsidRPr="0069632B" w:rsidRDefault="00124800" w:rsidP="00B35FF7">
            <w:pPr>
              <w:jc w:val="left"/>
              <w:rPr>
                <w:b/>
                <w:bCs/>
                <w:sz w:val="20"/>
                <w:szCs w:val="20"/>
              </w:rPr>
            </w:pPr>
            <w:r w:rsidRPr="0069632B">
              <w:rPr>
                <w:b/>
                <w:bCs/>
                <w:sz w:val="20"/>
                <w:szCs w:val="20"/>
              </w:rPr>
              <w:t>59,000</w:t>
            </w:r>
          </w:p>
        </w:tc>
        <w:tc>
          <w:tcPr>
            <w:tcW w:w="1404" w:type="dxa"/>
            <w:vAlign w:val="center"/>
            <w:hideMark/>
          </w:tcPr>
          <w:p w14:paraId="735A6961" w14:textId="3E653AC1" w:rsidR="006079E0" w:rsidRPr="0069632B" w:rsidRDefault="005A090C" w:rsidP="00B35FF7">
            <w:pPr>
              <w:jc w:val="left"/>
              <w:rPr>
                <w:b/>
                <w:bCs/>
                <w:sz w:val="20"/>
                <w:szCs w:val="20"/>
              </w:rPr>
            </w:pPr>
            <w:r w:rsidRPr="0069632B">
              <w:rPr>
                <w:b/>
                <w:bCs/>
                <w:sz w:val="20"/>
                <w:szCs w:val="20"/>
              </w:rPr>
              <w:t>39,000</w:t>
            </w:r>
          </w:p>
        </w:tc>
      </w:tr>
      <w:tr w:rsidR="006079E0" w:rsidRPr="0069632B" w14:paraId="585E9104" w14:textId="77777777" w:rsidTr="004A4EF5">
        <w:trPr>
          <w:cantSplit/>
          <w:jc w:val="center"/>
        </w:trPr>
        <w:tc>
          <w:tcPr>
            <w:tcW w:w="9360" w:type="dxa"/>
            <w:gridSpan w:val="3"/>
            <w:vAlign w:val="center"/>
            <w:hideMark/>
          </w:tcPr>
          <w:p w14:paraId="31DF236B" w14:textId="666C46E2" w:rsidR="006079E0" w:rsidRPr="0069632B" w:rsidRDefault="00054A4A" w:rsidP="00D2498A">
            <w:pPr>
              <w:keepNext/>
              <w:jc w:val="left"/>
              <w:rPr>
                <w:sz w:val="20"/>
                <w:szCs w:val="20"/>
              </w:rPr>
            </w:pPr>
            <w:r w:rsidRPr="0069632B">
              <w:rPr>
                <w:b/>
                <w:bCs/>
                <w:sz w:val="20"/>
                <w:szCs w:val="20"/>
                <w:rtl/>
              </w:rPr>
              <w:lastRenderedPageBreak/>
              <w:t>2. بناء قدرات موظفي الجمارك وموظفي الإنفاذ</w:t>
            </w:r>
          </w:p>
        </w:tc>
      </w:tr>
      <w:tr w:rsidR="00B929BD" w:rsidRPr="0069632B" w14:paraId="0E7D2172" w14:textId="77777777" w:rsidTr="004A4EF5">
        <w:trPr>
          <w:cantSplit/>
          <w:jc w:val="center"/>
        </w:trPr>
        <w:tc>
          <w:tcPr>
            <w:tcW w:w="6552" w:type="dxa"/>
            <w:vAlign w:val="center"/>
          </w:tcPr>
          <w:p w14:paraId="7C2C9D85" w14:textId="15388665" w:rsidR="00B929BD" w:rsidRPr="0069632B" w:rsidRDefault="00054A4A" w:rsidP="004A4EF5">
            <w:pPr>
              <w:keepNext/>
              <w:rPr>
                <w:sz w:val="20"/>
                <w:szCs w:val="20"/>
              </w:rPr>
            </w:pPr>
            <w:r w:rsidRPr="0069632B">
              <w:rPr>
                <w:sz w:val="20"/>
                <w:szCs w:val="20"/>
                <w:rtl/>
              </w:rPr>
              <w:t>2.1. إعداد ونشر ملصقات ومواد إعلامية أخرى بشأن القواعد واللوائح المتعلقة باستيراد المواد الخاضعة للرقابة والمعدات ورموز النظام المنسق، موجهة إلى موظفي الجمارك والوسطاء والمستوردين</w:t>
            </w:r>
          </w:p>
        </w:tc>
        <w:tc>
          <w:tcPr>
            <w:tcW w:w="1404" w:type="dxa"/>
            <w:vAlign w:val="center"/>
          </w:tcPr>
          <w:p w14:paraId="56A3E6E2" w14:textId="6A8FEBD4" w:rsidR="00B929BD" w:rsidRPr="0069632B" w:rsidRDefault="00B929BD" w:rsidP="00B35FF7">
            <w:pPr>
              <w:jc w:val="left"/>
              <w:rPr>
                <w:sz w:val="20"/>
                <w:szCs w:val="20"/>
              </w:rPr>
            </w:pPr>
            <w:r w:rsidRPr="0069632B">
              <w:rPr>
                <w:sz w:val="20"/>
                <w:szCs w:val="20"/>
              </w:rPr>
              <w:t>5,000</w:t>
            </w:r>
          </w:p>
        </w:tc>
        <w:tc>
          <w:tcPr>
            <w:tcW w:w="1404" w:type="dxa"/>
            <w:vAlign w:val="center"/>
          </w:tcPr>
          <w:p w14:paraId="68DD57C5" w14:textId="2E570FB0" w:rsidR="00B929BD" w:rsidRPr="0069632B" w:rsidRDefault="00B929BD" w:rsidP="00B35FF7">
            <w:pPr>
              <w:jc w:val="left"/>
              <w:rPr>
                <w:sz w:val="20"/>
                <w:szCs w:val="20"/>
              </w:rPr>
            </w:pPr>
            <w:r w:rsidRPr="0069632B">
              <w:rPr>
                <w:sz w:val="20"/>
                <w:szCs w:val="20"/>
              </w:rPr>
              <w:t>3,000</w:t>
            </w:r>
          </w:p>
        </w:tc>
      </w:tr>
      <w:tr w:rsidR="00B929BD" w:rsidRPr="0069632B" w14:paraId="47A24B7C" w14:textId="77777777" w:rsidTr="004A4EF5">
        <w:trPr>
          <w:cantSplit/>
          <w:jc w:val="center"/>
        </w:trPr>
        <w:tc>
          <w:tcPr>
            <w:tcW w:w="6552" w:type="dxa"/>
            <w:vAlign w:val="center"/>
          </w:tcPr>
          <w:p w14:paraId="5C5705CE" w14:textId="1C19ADC1" w:rsidR="00954A47" w:rsidRPr="0069632B" w:rsidRDefault="00054A4A" w:rsidP="00954A47">
            <w:pPr>
              <w:rPr>
                <w:sz w:val="20"/>
                <w:szCs w:val="20"/>
              </w:rPr>
            </w:pPr>
            <w:r w:rsidRPr="0069632B">
              <w:rPr>
                <w:sz w:val="20"/>
                <w:szCs w:val="20"/>
                <w:rtl/>
              </w:rPr>
              <w:t>2.2 تعزيز قدرات موظفي الجمارك من خلال زيارتين دراسيتين إلى بلد عضو في الجماعة الاقتصادية لدول وسط أفريقيا (ECCAS) متقدم في تنفيذ اللوائح والرموز الجمركية الإقليمية التي وضعتها الجماعة الاقتصادية الإقليمية، للاطلاع على أفضل الممارسات في تنفيذ اللوائح والإبلاغ والرصد والتفتيش، بمشاركة ثلاثة موظفين في كل بعثة، أي ما مجموعه ستة من موظفي الجمارك وضباط الشرطة الضريبية</w:t>
            </w:r>
          </w:p>
          <w:p w14:paraId="7B78A497" w14:textId="516D4387" w:rsidR="00B929BD" w:rsidRPr="0069632B" w:rsidRDefault="00B929BD" w:rsidP="00B929BD">
            <w:pPr>
              <w:rPr>
                <w:sz w:val="20"/>
                <w:szCs w:val="20"/>
              </w:rPr>
            </w:pPr>
          </w:p>
        </w:tc>
        <w:tc>
          <w:tcPr>
            <w:tcW w:w="1404" w:type="dxa"/>
            <w:vAlign w:val="center"/>
          </w:tcPr>
          <w:p w14:paraId="5E4F2552" w14:textId="7AC3D19F" w:rsidR="00B929BD" w:rsidRPr="0069632B" w:rsidRDefault="00B929BD" w:rsidP="00B35FF7">
            <w:pPr>
              <w:jc w:val="left"/>
              <w:rPr>
                <w:sz w:val="20"/>
                <w:szCs w:val="20"/>
              </w:rPr>
            </w:pPr>
            <w:r w:rsidRPr="0069632B">
              <w:rPr>
                <w:sz w:val="20"/>
                <w:szCs w:val="20"/>
              </w:rPr>
              <w:t>15,000</w:t>
            </w:r>
          </w:p>
        </w:tc>
        <w:tc>
          <w:tcPr>
            <w:tcW w:w="1404" w:type="dxa"/>
            <w:vAlign w:val="center"/>
          </w:tcPr>
          <w:p w14:paraId="1D57AD5B" w14:textId="454DACF5" w:rsidR="00B929BD" w:rsidRPr="0069632B" w:rsidRDefault="00B929BD" w:rsidP="00B35FF7">
            <w:pPr>
              <w:jc w:val="left"/>
              <w:rPr>
                <w:sz w:val="20"/>
                <w:szCs w:val="20"/>
              </w:rPr>
            </w:pPr>
            <w:r w:rsidRPr="0069632B">
              <w:rPr>
                <w:sz w:val="20"/>
                <w:szCs w:val="20"/>
              </w:rPr>
              <w:t>7,500</w:t>
            </w:r>
          </w:p>
        </w:tc>
      </w:tr>
      <w:tr w:rsidR="00B929BD" w:rsidRPr="0069632B" w14:paraId="71AD6457" w14:textId="77777777" w:rsidTr="004A4EF5">
        <w:trPr>
          <w:cantSplit/>
          <w:jc w:val="center"/>
        </w:trPr>
        <w:tc>
          <w:tcPr>
            <w:tcW w:w="6552" w:type="dxa"/>
            <w:vAlign w:val="center"/>
          </w:tcPr>
          <w:p w14:paraId="130F2435" w14:textId="19DBC6E4" w:rsidR="00B929BD" w:rsidRPr="0069632B" w:rsidRDefault="00054A4A" w:rsidP="006969AA">
            <w:pPr>
              <w:jc w:val="right"/>
              <w:rPr>
                <w:b/>
                <w:bCs/>
                <w:sz w:val="20"/>
                <w:szCs w:val="20"/>
              </w:rPr>
            </w:pPr>
            <w:r w:rsidRPr="0069632B">
              <w:rPr>
                <w:b/>
                <w:bCs/>
                <w:sz w:val="20"/>
                <w:szCs w:val="20"/>
                <w:rtl/>
              </w:rPr>
              <w:t>المجموع الفرعي للعنصر 2</w:t>
            </w:r>
          </w:p>
        </w:tc>
        <w:tc>
          <w:tcPr>
            <w:tcW w:w="1404" w:type="dxa"/>
            <w:vAlign w:val="center"/>
          </w:tcPr>
          <w:p w14:paraId="46ECC132" w14:textId="47C72FDD" w:rsidR="00B929BD" w:rsidRPr="0069632B" w:rsidRDefault="00054A4A" w:rsidP="00B35FF7">
            <w:pPr>
              <w:jc w:val="left"/>
              <w:rPr>
                <w:b/>
                <w:bCs/>
                <w:sz w:val="20"/>
                <w:szCs w:val="20"/>
              </w:rPr>
            </w:pPr>
            <w:r w:rsidRPr="0069632B">
              <w:rPr>
                <w:b/>
                <w:bCs/>
                <w:sz w:val="20"/>
                <w:szCs w:val="20"/>
              </w:rPr>
              <w:t>20,000</w:t>
            </w:r>
          </w:p>
        </w:tc>
        <w:tc>
          <w:tcPr>
            <w:tcW w:w="1404" w:type="dxa"/>
            <w:vAlign w:val="center"/>
          </w:tcPr>
          <w:p w14:paraId="03BC80FF" w14:textId="43A52140" w:rsidR="00B929BD" w:rsidRPr="0069632B" w:rsidRDefault="00054A4A" w:rsidP="00B35FF7">
            <w:pPr>
              <w:jc w:val="left"/>
              <w:rPr>
                <w:b/>
                <w:bCs/>
                <w:sz w:val="20"/>
                <w:szCs w:val="20"/>
              </w:rPr>
            </w:pPr>
            <w:r w:rsidRPr="0069632B">
              <w:rPr>
                <w:b/>
                <w:bCs/>
                <w:sz w:val="20"/>
                <w:szCs w:val="20"/>
              </w:rPr>
              <w:t>10,500</w:t>
            </w:r>
          </w:p>
        </w:tc>
      </w:tr>
      <w:tr w:rsidR="00054A4A" w:rsidRPr="0069632B" w14:paraId="15AB2D76" w14:textId="77777777" w:rsidTr="004A4EF5">
        <w:trPr>
          <w:cantSplit/>
          <w:jc w:val="center"/>
        </w:trPr>
        <w:tc>
          <w:tcPr>
            <w:tcW w:w="9360" w:type="dxa"/>
            <w:gridSpan w:val="3"/>
            <w:vAlign w:val="center"/>
          </w:tcPr>
          <w:p w14:paraId="0CDD023A" w14:textId="185FA2DB" w:rsidR="00054A4A" w:rsidRPr="0069632B" w:rsidRDefault="00857F38" w:rsidP="00B35FF7">
            <w:pPr>
              <w:jc w:val="left"/>
              <w:rPr>
                <w:sz w:val="20"/>
                <w:szCs w:val="20"/>
              </w:rPr>
            </w:pPr>
            <w:r w:rsidRPr="0069632B">
              <w:rPr>
                <w:b/>
                <w:bCs/>
                <w:sz w:val="20"/>
                <w:szCs w:val="20"/>
                <w:rtl/>
              </w:rPr>
              <w:t>3. بناء قدرات فنيي التبريد وتكييف الهواء وفنيي أجهزة تكييف الهواء المتنقلة</w:t>
            </w:r>
          </w:p>
        </w:tc>
      </w:tr>
      <w:tr w:rsidR="00054A4A" w:rsidRPr="0069632B" w14:paraId="55C3C6F3" w14:textId="77777777" w:rsidTr="004A4EF5">
        <w:trPr>
          <w:cantSplit/>
          <w:jc w:val="center"/>
        </w:trPr>
        <w:tc>
          <w:tcPr>
            <w:tcW w:w="6552" w:type="dxa"/>
            <w:vAlign w:val="center"/>
          </w:tcPr>
          <w:p w14:paraId="161FB95E" w14:textId="728614A5" w:rsidR="00054A4A" w:rsidRPr="0069632B" w:rsidRDefault="00857F38" w:rsidP="00054A4A">
            <w:pPr>
              <w:rPr>
                <w:sz w:val="20"/>
                <w:szCs w:val="20"/>
              </w:rPr>
            </w:pPr>
            <w:r w:rsidRPr="0069632B">
              <w:rPr>
                <w:sz w:val="20"/>
                <w:szCs w:val="20"/>
                <w:rtl/>
              </w:rPr>
              <w:t>3.1. تحديث المناهج الدراسية لمدرستين مهنيتين بشأن التكنولوجيا المنخفضة إمكانية الاحترار العالمي، وإجراءات السلامة لمناولة مواد التبريد القابلة للاشتعال، والاسترداد وإعادة التدوير</w:t>
            </w:r>
          </w:p>
        </w:tc>
        <w:tc>
          <w:tcPr>
            <w:tcW w:w="1404" w:type="dxa"/>
            <w:vAlign w:val="center"/>
          </w:tcPr>
          <w:p w14:paraId="5A171B18" w14:textId="2E3C4BE1" w:rsidR="00054A4A" w:rsidRPr="0069632B" w:rsidRDefault="00054A4A" w:rsidP="00B35FF7">
            <w:pPr>
              <w:jc w:val="left"/>
              <w:rPr>
                <w:sz w:val="20"/>
                <w:szCs w:val="20"/>
              </w:rPr>
            </w:pPr>
            <w:r w:rsidRPr="0069632B">
              <w:rPr>
                <w:sz w:val="20"/>
                <w:szCs w:val="20"/>
              </w:rPr>
              <w:t>6,000</w:t>
            </w:r>
          </w:p>
        </w:tc>
        <w:tc>
          <w:tcPr>
            <w:tcW w:w="1404" w:type="dxa"/>
            <w:vAlign w:val="center"/>
          </w:tcPr>
          <w:p w14:paraId="437760A7" w14:textId="5A37BAEC" w:rsidR="00054A4A" w:rsidRPr="0069632B" w:rsidRDefault="00054A4A" w:rsidP="00B35FF7">
            <w:pPr>
              <w:jc w:val="left"/>
              <w:rPr>
                <w:sz w:val="20"/>
                <w:szCs w:val="20"/>
              </w:rPr>
            </w:pPr>
            <w:r w:rsidRPr="0069632B">
              <w:rPr>
                <w:sz w:val="20"/>
                <w:szCs w:val="20"/>
              </w:rPr>
              <w:t>3,000</w:t>
            </w:r>
          </w:p>
        </w:tc>
      </w:tr>
      <w:tr w:rsidR="00054A4A" w:rsidRPr="0069632B" w14:paraId="1FF5B31F" w14:textId="77777777" w:rsidTr="004A4EF5">
        <w:trPr>
          <w:cantSplit/>
          <w:jc w:val="center"/>
        </w:trPr>
        <w:tc>
          <w:tcPr>
            <w:tcW w:w="6552" w:type="dxa"/>
            <w:vAlign w:val="center"/>
            <w:hideMark/>
          </w:tcPr>
          <w:p w14:paraId="072F995A" w14:textId="33E36678" w:rsidR="00054A4A" w:rsidRPr="0069632B" w:rsidRDefault="00857F38" w:rsidP="00054A4A">
            <w:pPr>
              <w:rPr>
                <w:sz w:val="20"/>
                <w:szCs w:val="20"/>
              </w:rPr>
            </w:pPr>
            <w:r w:rsidRPr="0069632B">
              <w:rPr>
                <w:sz w:val="20"/>
                <w:szCs w:val="20"/>
                <w:rtl/>
              </w:rPr>
              <w:t>3.2. إعداد مواد تدريبية لتدريب فنيي أجهزة تكييف الهواء المتنقلة؛ وتنظيم برنامجين تدريبيين يضم كل منهما 20 فنياً في مجال أجهزة تكييف الهواء المتنقلة والتبريد وتكييف الهواء، أي ما مجموعه 40 مشاركاً، بشأن التكنولوجيات الجديدة ومعايير السلامة والتحكم في التسرب وكفاءة استخدام الطاقة</w:t>
            </w:r>
          </w:p>
        </w:tc>
        <w:tc>
          <w:tcPr>
            <w:tcW w:w="1404" w:type="dxa"/>
            <w:vAlign w:val="center"/>
            <w:hideMark/>
          </w:tcPr>
          <w:p w14:paraId="481AD940" w14:textId="77777777" w:rsidR="00054A4A" w:rsidRPr="0069632B" w:rsidRDefault="00054A4A" w:rsidP="00B35FF7">
            <w:pPr>
              <w:jc w:val="left"/>
              <w:rPr>
                <w:sz w:val="20"/>
                <w:szCs w:val="20"/>
              </w:rPr>
            </w:pPr>
            <w:r w:rsidRPr="0069632B">
              <w:rPr>
                <w:sz w:val="20"/>
                <w:szCs w:val="20"/>
              </w:rPr>
              <w:t>10,000</w:t>
            </w:r>
          </w:p>
        </w:tc>
        <w:tc>
          <w:tcPr>
            <w:tcW w:w="1404" w:type="dxa"/>
            <w:vAlign w:val="center"/>
            <w:hideMark/>
          </w:tcPr>
          <w:p w14:paraId="490D57FF" w14:textId="77777777" w:rsidR="00054A4A" w:rsidRPr="0069632B" w:rsidRDefault="00054A4A" w:rsidP="00B35FF7">
            <w:pPr>
              <w:jc w:val="left"/>
              <w:rPr>
                <w:sz w:val="20"/>
                <w:szCs w:val="20"/>
              </w:rPr>
            </w:pPr>
            <w:r w:rsidRPr="0069632B">
              <w:rPr>
                <w:sz w:val="20"/>
                <w:szCs w:val="20"/>
              </w:rPr>
              <w:t>6,000</w:t>
            </w:r>
          </w:p>
        </w:tc>
      </w:tr>
      <w:tr w:rsidR="00923136" w:rsidRPr="0069632B" w14:paraId="692F5677" w14:textId="77777777" w:rsidTr="004A4EF5">
        <w:trPr>
          <w:cantSplit/>
          <w:jc w:val="center"/>
        </w:trPr>
        <w:tc>
          <w:tcPr>
            <w:tcW w:w="6552" w:type="dxa"/>
            <w:vAlign w:val="center"/>
          </w:tcPr>
          <w:p w14:paraId="1FCC4E1E" w14:textId="3E070A5D" w:rsidR="00923136" w:rsidRPr="0069632B" w:rsidRDefault="00857F38" w:rsidP="00923136">
            <w:pPr>
              <w:rPr>
                <w:sz w:val="20"/>
                <w:szCs w:val="20"/>
              </w:rPr>
            </w:pPr>
            <w:r w:rsidRPr="0069632B">
              <w:rPr>
                <w:sz w:val="20"/>
                <w:szCs w:val="20"/>
                <w:rtl/>
              </w:rPr>
              <w:t>3.3 إعداد ونشر دليل بشأن المناولة الآمنة لمواد التبريد القابلة للاشتعال و/أو السامة لتوزيعه على الورش التقنية والفنيين ومراكز التدريب (ما مجموعه 300 مستفيد)</w:t>
            </w:r>
          </w:p>
        </w:tc>
        <w:tc>
          <w:tcPr>
            <w:tcW w:w="1404" w:type="dxa"/>
            <w:vAlign w:val="center"/>
          </w:tcPr>
          <w:p w14:paraId="7BDD94A9" w14:textId="0A9268B6" w:rsidR="00923136" w:rsidRPr="0069632B" w:rsidRDefault="00923136" w:rsidP="00B35FF7">
            <w:pPr>
              <w:jc w:val="left"/>
              <w:rPr>
                <w:sz w:val="20"/>
                <w:szCs w:val="20"/>
              </w:rPr>
            </w:pPr>
            <w:r w:rsidRPr="0069632B">
              <w:rPr>
                <w:sz w:val="20"/>
                <w:szCs w:val="20"/>
              </w:rPr>
              <w:t>12,000</w:t>
            </w:r>
          </w:p>
        </w:tc>
        <w:tc>
          <w:tcPr>
            <w:tcW w:w="1404" w:type="dxa"/>
            <w:vAlign w:val="center"/>
          </w:tcPr>
          <w:p w14:paraId="7E9D0755" w14:textId="2DC7C989" w:rsidR="00923136" w:rsidRPr="0069632B" w:rsidRDefault="00923136" w:rsidP="00B35FF7">
            <w:pPr>
              <w:jc w:val="left"/>
              <w:rPr>
                <w:sz w:val="20"/>
                <w:szCs w:val="20"/>
              </w:rPr>
            </w:pPr>
            <w:r w:rsidRPr="0069632B">
              <w:rPr>
                <w:sz w:val="20"/>
                <w:szCs w:val="20"/>
              </w:rPr>
              <w:t>0</w:t>
            </w:r>
          </w:p>
        </w:tc>
      </w:tr>
      <w:tr w:rsidR="00923136" w:rsidRPr="0069632B" w14:paraId="0810E608" w14:textId="77777777" w:rsidTr="004A4EF5">
        <w:trPr>
          <w:cantSplit/>
          <w:jc w:val="center"/>
        </w:trPr>
        <w:tc>
          <w:tcPr>
            <w:tcW w:w="6552" w:type="dxa"/>
            <w:vAlign w:val="center"/>
          </w:tcPr>
          <w:p w14:paraId="1259FB70" w14:textId="6D07B4BC" w:rsidR="00923136" w:rsidRPr="0069632B" w:rsidRDefault="00857F38" w:rsidP="00923136">
            <w:pPr>
              <w:rPr>
                <w:sz w:val="20"/>
                <w:szCs w:val="20"/>
              </w:rPr>
            </w:pPr>
            <w:r w:rsidRPr="0069632B">
              <w:rPr>
                <w:sz w:val="20"/>
                <w:szCs w:val="20"/>
                <w:rtl/>
              </w:rPr>
              <w:t>3.4. تنظيم أربع حملات للتوعية لما مجموعه 400 مشارك، من بينهم المستخدمون النهائيون والجمعيات المهنية للمهندسين والمهندسين المعماريين ومختلف الصناعات وغيرها من الجمعيات التجارية، بشأن البدائل المنخفضة إمكانية الاحترار العالمي والموفرة للطاقة وفوائدها الاقتصادية والبيئية، والصيانة الوقائية</w:t>
            </w:r>
          </w:p>
        </w:tc>
        <w:tc>
          <w:tcPr>
            <w:tcW w:w="1404" w:type="dxa"/>
            <w:vAlign w:val="center"/>
          </w:tcPr>
          <w:p w14:paraId="210FB295" w14:textId="64A1C1DA" w:rsidR="00923136" w:rsidRPr="0069632B" w:rsidRDefault="00923136" w:rsidP="00B35FF7">
            <w:pPr>
              <w:jc w:val="left"/>
              <w:rPr>
                <w:sz w:val="20"/>
                <w:szCs w:val="20"/>
              </w:rPr>
            </w:pPr>
            <w:r w:rsidRPr="0069632B">
              <w:rPr>
                <w:sz w:val="20"/>
                <w:szCs w:val="20"/>
              </w:rPr>
              <w:t>15,000</w:t>
            </w:r>
          </w:p>
        </w:tc>
        <w:tc>
          <w:tcPr>
            <w:tcW w:w="1404" w:type="dxa"/>
            <w:vAlign w:val="center"/>
          </w:tcPr>
          <w:p w14:paraId="7242CF20" w14:textId="2C96AC4D" w:rsidR="00923136" w:rsidRPr="0069632B" w:rsidRDefault="00923136" w:rsidP="00B35FF7">
            <w:pPr>
              <w:jc w:val="left"/>
              <w:rPr>
                <w:sz w:val="20"/>
                <w:szCs w:val="20"/>
              </w:rPr>
            </w:pPr>
            <w:r w:rsidRPr="0069632B">
              <w:rPr>
                <w:sz w:val="20"/>
                <w:szCs w:val="20"/>
              </w:rPr>
              <w:t>7,500</w:t>
            </w:r>
          </w:p>
        </w:tc>
      </w:tr>
      <w:tr w:rsidR="00923136" w:rsidRPr="0069632B" w14:paraId="503932F0" w14:textId="77777777" w:rsidTr="004A4EF5">
        <w:trPr>
          <w:cantSplit/>
          <w:jc w:val="center"/>
        </w:trPr>
        <w:tc>
          <w:tcPr>
            <w:tcW w:w="6552" w:type="dxa"/>
            <w:vAlign w:val="center"/>
            <w:hideMark/>
          </w:tcPr>
          <w:p w14:paraId="2FE56BCD" w14:textId="6DBD54BA" w:rsidR="00923136" w:rsidRPr="0069632B" w:rsidRDefault="00923136" w:rsidP="006969AA">
            <w:pPr>
              <w:jc w:val="right"/>
              <w:rPr>
                <w:b/>
                <w:bCs/>
                <w:sz w:val="20"/>
                <w:szCs w:val="20"/>
              </w:rPr>
            </w:pPr>
            <w:r w:rsidRPr="0069632B">
              <w:rPr>
                <w:b/>
                <w:bCs/>
                <w:sz w:val="20"/>
                <w:szCs w:val="20"/>
                <w:rtl/>
              </w:rPr>
              <w:t>المجموع الفرعي للعنصر 3</w:t>
            </w:r>
          </w:p>
        </w:tc>
        <w:tc>
          <w:tcPr>
            <w:tcW w:w="1404" w:type="dxa"/>
            <w:vAlign w:val="center"/>
            <w:hideMark/>
          </w:tcPr>
          <w:p w14:paraId="0F657284" w14:textId="05F1CFBA" w:rsidR="00923136" w:rsidRPr="0069632B" w:rsidRDefault="00E604D8" w:rsidP="00B35FF7">
            <w:pPr>
              <w:jc w:val="left"/>
              <w:rPr>
                <w:b/>
                <w:bCs/>
                <w:sz w:val="20"/>
                <w:szCs w:val="20"/>
              </w:rPr>
            </w:pPr>
            <w:r w:rsidRPr="0069632B">
              <w:rPr>
                <w:b/>
                <w:bCs/>
                <w:sz w:val="20"/>
                <w:szCs w:val="20"/>
              </w:rPr>
              <w:t>43,000</w:t>
            </w:r>
          </w:p>
        </w:tc>
        <w:tc>
          <w:tcPr>
            <w:tcW w:w="1404" w:type="dxa"/>
            <w:vAlign w:val="center"/>
            <w:hideMark/>
          </w:tcPr>
          <w:p w14:paraId="41E6D9AA" w14:textId="6EE31ECC" w:rsidR="00923136" w:rsidRPr="0069632B" w:rsidRDefault="00E604D8" w:rsidP="00B35FF7">
            <w:pPr>
              <w:jc w:val="left"/>
              <w:rPr>
                <w:b/>
                <w:bCs/>
                <w:sz w:val="20"/>
                <w:szCs w:val="20"/>
              </w:rPr>
            </w:pPr>
            <w:r w:rsidRPr="0069632B">
              <w:rPr>
                <w:b/>
                <w:bCs/>
                <w:sz w:val="20"/>
                <w:szCs w:val="20"/>
              </w:rPr>
              <w:t>16,500</w:t>
            </w:r>
          </w:p>
        </w:tc>
      </w:tr>
      <w:tr w:rsidR="00923136" w:rsidRPr="0069632B" w14:paraId="7C0771B3" w14:textId="77777777" w:rsidTr="004A4EF5">
        <w:trPr>
          <w:cantSplit/>
          <w:jc w:val="center"/>
        </w:trPr>
        <w:tc>
          <w:tcPr>
            <w:tcW w:w="9360" w:type="dxa"/>
            <w:gridSpan w:val="3"/>
            <w:vAlign w:val="center"/>
            <w:hideMark/>
          </w:tcPr>
          <w:p w14:paraId="4EBE77D1" w14:textId="77777777" w:rsidR="00923136" w:rsidRPr="0069632B" w:rsidRDefault="00923136" w:rsidP="006969AA">
            <w:pPr>
              <w:jc w:val="right"/>
              <w:rPr>
                <w:sz w:val="20"/>
                <w:szCs w:val="20"/>
              </w:rPr>
            </w:pPr>
            <w:r w:rsidRPr="0069632B">
              <w:rPr>
                <w:b/>
                <w:bCs/>
                <w:sz w:val="20"/>
                <w:szCs w:val="20"/>
                <w:rtl/>
              </w:rPr>
              <w:t>4. التنسيق والرصد والتقييم</w:t>
            </w:r>
          </w:p>
        </w:tc>
      </w:tr>
      <w:tr w:rsidR="00923136" w:rsidRPr="0069632B" w14:paraId="3EF2E496" w14:textId="77777777" w:rsidTr="004A4EF5">
        <w:trPr>
          <w:cantSplit/>
          <w:jc w:val="center"/>
        </w:trPr>
        <w:tc>
          <w:tcPr>
            <w:tcW w:w="6552" w:type="dxa"/>
            <w:vAlign w:val="center"/>
            <w:hideMark/>
          </w:tcPr>
          <w:p w14:paraId="44A1EBFE" w14:textId="0A7621E9" w:rsidR="00923136" w:rsidRPr="0069632B" w:rsidRDefault="00923136" w:rsidP="00923136">
            <w:pPr>
              <w:rPr>
                <w:sz w:val="20"/>
                <w:szCs w:val="20"/>
              </w:rPr>
            </w:pPr>
            <w:r w:rsidRPr="0069632B">
              <w:rPr>
                <w:sz w:val="20"/>
                <w:szCs w:val="20"/>
                <w:rtl/>
              </w:rPr>
              <w:t>4.1. أنشطة التنسيق والرصد والتقييم (انظر الفقرة 58)</w:t>
            </w:r>
          </w:p>
        </w:tc>
        <w:tc>
          <w:tcPr>
            <w:tcW w:w="1404" w:type="dxa"/>
            <w:vAlign w:val="center"/>
            <w:hideMark/>
          </w:tcPr>
          <w:p w14:paraId="12E754CE" w14:textId="77777777" w:rsidR="00923136" w:rsidRPr="0069632B" w:rsidRDefault="00923136" w:rsidP="00B35FF7">
            <w:pPr>
              <w:jc w:val="left"/>
              <w:rPr>
                <w:sz w:val="20"/>
                <w:szCs w:val="20"/>
              </w:rPr>
            </w:pPr>
            <w:r w:rsidRPr="0069632B">
              <w:rPr>
                <w:sz w:val="20"/>
                <w:szCs w:val="20"/>
              </w:rPr>
              <w:t>13,000</w:t>
            </w:r>
          </w:p>
        </w:tc>
        <w:tc>
          <w:tcPr>
            <w:tcW w:w="1404" w:type="dxa"/>
            <w:vAlign w:val="center"/>
            <w:hideMark/>
          </w:tcPr>
          <w:p w14:paraId="4FAD1B08" w14:textId="77777777" w:rsidR="00923136" w:rsidRPr="0069632B" w:rsidRDefault="00923136" w:rsidP="00B35FF7">
            <w:pPr>
              <w:jc w:val="left"/>
              <w:rPr>
                <w:sz w:val="20"/>
                <w:szCs w:val="20"/>
              </w:rPr>
            </w:pPr>
            <w:r w:rsidRPr="0069632B">
              <w:rPr>
                <w:sz w:val="20"/>
                <w:szCs w:val="20"/>
              </w:rPr>
              <w:t>6,500</w:t>
            </w:r>
          </w:p>
        </w:tc>
      </w:tr>
      <w:tr w:rsidR="00923136" w:rsidRPr="0069632B" w14:paraId="0886D42D" w14:textId="77777777" w:rsidTr="004A4EF5">
        <w:trPr>
          <w:cantSplit/>
          <w:jc w:val="center"/>
        </w:trPr>
        <w:tc>
          <w:tcPr>
            <w:tcW w:w="6552" w:type="dxa"/>
            <w:vAlign w:val="center"/>
            <w:hideMark/>
          </w:tcPr>
          <w:p w14:paraId="073830CD" w14:textId="77777777" w:rsidR="00923136" w:rsidRPr="0069632B" w:rsidRDefault="00923136" w:rsidP="006969AA">
            <w:pPr>
              <w:jc w:val="right"/>
              <w:rPr>
                <w:b/>
                <w:bCs/>
                <w:sz w:val="20"/>
                <w:szCs w:val="20"/>
              </w:rPr>
            </w:pPr>
            <w:r w:rsidRPr="0069632B">
              <w:rPr>
                <w:b/>
                <w:bCs/>
                <w:sz w:val="20"/>
                <w:szCs w:val="20"/>
                <w:rtl/>
              </w:rPr>
              <w:t>المجموع الفرعي للعنصر 4</w:t>
            </w:r>
          </w:p>
        </w:tc>
        <w:tc>
          <w:tcPr>
            <w:tcW w:w="1404" w:type="dxa"/>
            <w:vAlign w:val="center"/>
            <w:hideMark/>
          </w:tcPr>
          <w:p w14:paraId="11B4E7F1" w14:textId="77777777" w:rsidR="00923136" w:rsidRPr="0069632B" w:rsidRDefault="00923136" w:rsidP="00B35FF7">
            <w:pPr>
              <w:jc w:val="left"/>
              <w:rPr>
                <w:b/>
                <w:bCs/>
                <w:sz w:val="20"/>
                <w:szCs w:val="20"/>
              </w:rPr>
            </w:pPr>
            <w:r w:rsidRPr="0069632B">
              <w:rPr>
                <w:b/>
                <w:bCs/>
                <w:sz w:val="20"/>
                <w:szCs w:val="20"/>
              </w:rPr>
              <w:t>13,000</w:t>
            </w:r>
          </w:p>
        </w:tc>
        <w:tc>
          <w:tcPr>
            <w:tcW w:w="1404" w:type="dxa"/>
            <w:vAlign w:val="center"/>
            <w:hideMark/>
          </w:tcPr>
          <w:p w14:paraId="6432B641" w14:textId="77777777" w:rsidR="00923136" w:rsidRPr="0069632B" w:rsidRDefault="00923136" w:rsidP="00B35FF7">
            <w:pPr>
              <w:jc w:val="left"/>
              <w:rPr>
                <w:b/>
                <w:bCs/>
                <w:sz w:val="20"/>
                <w:szCs w:val="20"/>
              </w:rPr>
            </w:pPr>
            <w:r w:rsidRPr="0069632B">
              <w:rPr>
                <w:b/>
                <w:bCs/>
                <w:sz w:val="20"/>
                <w:szCs w:val="20"/>
              </w:rPr>
              <w:t>6,500</w:t>
            </w:r>
          </w:p>
        </w:tc>
      </w:tr>
      <w:tr w:rsidR="00923136" w:rsidRPr="0069632B" w14:paraId="2F690BB1" w14:textId="77777777" w:rsidTr="004A4EF5">
        <w:trPr>
          <w:cantSplit/>
          <w:jc w:val="center"/>
        </w:trPr>
        <w:tc>
          <w:tcPr>
            <w:tcW w:w="6552" w:type="dxa"/>
            <w:vAlign w:val="center"/>
            <w:hideMark/>
          </w:tcPr>
          <w:p w14:paraId="37867FCA" w14:textId="77777777" w:rsidR="00923136" w:rsidRPr="0069632B" w:rsidRDefault="00923136" w:rsidP="00923136">
            <w:pPr>
              <w:rPr>
                <w:sz w:val="20"/>
                <w:szCs w:val="20"/>
              </w:rPr>
            </w:pPr>
            <w:r w:rsidRPr="0069632B">
              <w:rPr>
                <w:b/>
                <w:bCs/>
                <w:sz w:val="20"/>
                <w:szCs w:val="20"/>
                <w:rtl/>
              </w:rPr>
              <w:t>المجموع الكلي</w:t>
            </w:r>
          </w:p>
        </w:tc>
        <w:tc>
          <w:tcPr>
            <w:tcW w:w="1404" w:type="dxa"/>
            <w:vAlign w:val="center"/>
            <w:hideMark/>
          </w:tcPr>
          <w:p w14:paraId="3DE14020" w14:textId="77777777" w:rsidR="00923136" w:rsidRPr="0069632B" w:rsidRDefault="00923136" w:rsidP="00B35FF7">
            <w:pPr>
              <w:jc w:val="left"/>
              <w:rPr>
                <w:sz w:val="20"/>
                <w:szCs w:val="20"/>
              </w:rPr>
            </w:pPr>
            <w:r w:rsidRPr="0069632B">
              <w:rPr>
                <w:b/>
                <w:bCs/>
                <w:sz w:val="20"/>
                <w:szCs w:val="20"/>
              </w:rPr>
              <w:t>135,000</w:t>
            </w:r>
          </w:p>
        </w:tc>
        <w:tc>
          <w:tcPr>
            <w:tcW w:w="1404" w:type="dxa"/>
            <w:vAlign w:val="center"/>
            <w:hideMark/>
          </w:tcPr>
          <w:p w14:paraId="0565DA01" w14:textId="77777777" w:rsidR="00923136" w:rsidRPr="0069632B" w:rsidRDefault="00923136" w:rsidP="00B35FF7">
            <w:pPr>
              <w:jc w:val="left"/>
              <w:rPr>
                <w:sz w:val="20"/>
                <w:szCs w:val="20"/>
              </w:rPr>
            </w:pPr>
            <w:r w:rsidRPr="0069632B">
              <w:rPr>
                <w:b/>
                <w:bCs/>
                <w:sz w:val="20"/>
                <w:szCs w:val="20"/>
              </w:rPr>
              <w:t>72,500</w:t>
            </w:r>
          </w:p>
        </w:tc>
      </w:tr>
    </w:tbl>
    <w:p w14:paraId="5434AE70" w14:textId="77777777" w:rsidR="00CB0432" w:rsidRPr="00BE38DF" w:rsidRDefault="00CB0432" w:rsidP="00CB0432">
      <w:pPr>
        <w:keepNext/>
        <w:shd w:val="clear" w:color="auto" w:fill="FFFFFF" w:themeFill="background1"/>
        <w:spacing w:before="240" w:after="240"/>
        <w:rPr>
          <w:i/>
          <w:iCs/>
          <w:sz w:val="26"/>
          <w:szCs w:val="26"/>
        </w:rPr>
      </w:pPr>
      <w:r>
        <w:rPr>
          <w:i/>
          <w:iCs/>
          <w:sz w:val="26"/>
          <w:szCs w:val="26"/>
          <w:rtl/>
        </w:rPr>
        <w:t>تنفيذ المشروع وتنسيقه ورصده</w:t>
      </w:r>
    </w:p>
    <w:p w14:paraId="5B66688A" w14:textId="4028D89B" w:rsidR="00CD1575" w:rsidRPr="00BE38DF" w:rsidRDefault="00CD1575" w:rsidP="00CD1575">
      <w:pPr>
        <w:pStyle w:val="Heading1"/>
        <w:rPr>
          <w:sz w:val="26"/>
          <w:szCs w:val="26"/>
          <w:lang w:eastAsia="en-CA"/>
          <w14:ligatures w14:val="standardContextual"/>
        </w:rPr>
      </w:pPr>
      <w:r>
        <w:rPr>
          <w:sz w:val="26"/>
          <w:szCs w:val="26"/>
          <w:rtl/>
        </w:rPr>
        <w:t>ستتولى وحدة الأوزون الوطنية تنفيذ المشروع وتنسيقه ورصده، وفقاً لنهج الرصد والتقييم والإبلاغ المتبع في إطار خطة إدارة إزالة المواد الهيدروكلوروفلوروكربونية. وتبلغ التكلفة الإجمالية لهذا العنصر 13,000 دولار أمريكي للمرحلة الأولى، تشمل الخبراء الاستشاريين (6,000 دولار أمريكي)، والسفر (3,000 دولار أمريكي)، والاجتماعات (3,000 دولار أمريكي)، وتكاليف أخرى (1,000 دولار أمريكي).</w:t>
      </w:r>
    </w:p>
    <w:p w14:paraId="308C9027" w14:textId="77777777" w:rsidR="00CB0432" w:rsidRPr="00BE38DF" w:rsidRDefault="00CB0432" w:rsidP="00CB0432">
      <w:pPr>
        <w:pStyle w:val="Heading1"/>
        <w:keepNext/>
        <w:numPr>
          <w:ilvl w:val="0"/>
          <w:numId w:val="0"/>
        </w:numPr>
        <w:spacing w:before="240"/>
        <w:rPr>
          <w:sz w:val="26"/>
          <w:szCs w:val="26"/>
          <w:u w:val="single"/>
        </w:rPr>
      </w:pPr>
      <w:r>
        <w:rPr>
          <w:sz w:val="26"/>
          <w:szCs w:val="26"/>
          <w:u w:val="single"/>
          <w:rtl/>
        </w:rPr>
        <w:t>التكلفة الإجمالية للمرحلة الأولى من خطة التنفيذ المتعلقة بالمواد الهيدروفلوروكربونية بموجب تعديل كيغالي</w:t>
      </w:r>
    </w:p>
    <w:p w14:paraId="64950F4A" w14:textId="09D7F2C5" w:rsidR="008830C0" w:rsidRPr="00BE38DF" w:rsidRDefault="008830C0" w:rsidP="008830C0">
      <w:pPr>
        <w:pStyle w:val="Heading1"/>
        <w:rPr>
          <w:sz w:val="26"/>
          <w:szCs w:val="26"/>
          <w:lang w:eastAsia="en-CA"/>
          <w14:ligatures w14:val="standardContextual"/>
        </w:rPr>
      </w:pPr>
      <w:bookmarkStart w:id="12" w:name="_Hlk118631498"/>
      <w:r>
        <w:rPr>
          <w:sz w:val="26"/>
          <w:szCs w:val="26"/>
          <w:rtl/>
        </w:rPr>
        <w:t xml:space="preserve">اقتُرحت ميزانية المرحلة الأولى بمبلغ 135,000 دولار أمريكي. واقتُرحت تكاليف الأنشطة في </w:t>
      </w:r>
      <w:r w:rsidR="007D0A4C" w:rsidRPr="007D0A4C">
        <w:rPr>
          <w:sz w:val="26"/>
          <w:szCs w:val="26"/>
          <w:rtl/>
        </w:rPr>
        <w:t>قطاع خدمات التبريد</w:t>
      </w:r>
      <w:r>
        <w:rPr>
          <w:sz w:val="26"/>
          <w:szCs w:val="26"/>
          <w:rtl/>
        </w:rPr>
        <w:t xml:space="preserve"> وفقاً للمقرر 92/37.</w:t>
      </w:r>
    </w:p>
    <w:bookmarkEnd w:id="12"/>
    <w:p w14:paraId="3248B6DB" w14:textId="02341DAD" w:rsidR="00AD6E42" w:rsidRPr="00BE38DF" w:rsidRDefault="008830C0" w:rsidP="00AD6E42">
      <w:pPr>
        <w:pStyle w:val="Heading1"/>
        <w:numPr>
          <w:ilvl w:val="0"/>
          <w:numId w:val="0"/>
        </w:numPr>
        <w:rPr>
          <w:sz w:val="26"/>
          <w:szCs w:val="26"/>
          <w:u w:val="single"/>
        </w:rPr>
      </w:pPr>
      <w:r>
        <w:rPr>
          <w:sz w:val="26"/>
          <w:szCs w:val="26"/>
          <w:u w:val="single"/>
          <w:rtl/>
        </w:rPr>
        <w:t>خطة تنفيذ الشريحة الأولى</w:t>
      </w:r>
      <w:bookmarkStart w:id="13" w:name="_Hlk126916095"/>
    </w:p>
    <w:p w14:paraId="0E72FC30" w14:textId="2D698AFD" w:rsidR="00AD6E42" w:rsidRPr="00BE38DF" w:rsidRDefault="00AD6E42" w:rsidP="000E7281">
      <w:pPr>
        <w:pStyle w:val="Heading1"/>
        <w:rPr>
          <w:sz w:val="26"/>
          <w:szCs w:val="26"/>
          <w:u w:val="single"/>
        </w:rPr>
      </w:pPr>
      <w:r>
        <w:rPr>
          <w:sz w:val="26"/>
          <w:szCs w:val="26"/>
          <w:rtl/>
        </w:rPr>
        <w:t>قُدّمت شريحة التمويل الأولى من المرحلة الأولى من خطة التنفيذ المتعلقة بالمواد الهيدروفلوروكربونية بموجب تعديل كيغالي بمبلغ إجمالي قدره 72,500 دولار أمريكي، على النحو المبين في الجدول 10 أعلاه، على أن تُنفَّذ في الفترة بين كانون الثاني/يناير 2027 وكانون الأول/ديسمبر 2029. وترد في الفقرة 71 أدناه معلومات تفصيلية عن الأنشطة المقرر تنفيذها في إطار الشريحة الأولى، بما في ذلك التعديلات ومستوى الأموال حسب ما اتُّفق عليه.</w:t>
      </w:r>
    </w:p>
    <w:p w14:paraId="45C0FD12" w14:textId="77777777" w:rsidR="00CB0432" w:rsidRPr="00BE38DF" w:rsidRDefault="00CB0432" w:rsidP="00CB0432">
      <w:pPr>
        <w:keepNext/>
        <w:spacing w:before="360" w:after="240"/>
        <w:jc w:val="center"/>
        <w:rPr>
          <w:b/>
          <w:sz w:val="26"/>
          <w:szCs w:val="26"/>
        </w:rPr>
      </w:pPr>
      <w:r>
        <w:rPr>
          <w:b/>
          <w:bCs/>
          <w:sz w:val="26"/>
          <w:szCs w:val="26"/>
          <w:rtl/>
        </w:rPr>
        <w:lastRenderedPageBreak/>
        <w:t>تعليقات الأمانة وتوصيتها</w:t>
      </w:r>
    </w:p>
    <w:p w14:paraId="17B98664" w14:textId="77777777" w:rsidR="00CB0432" w:rsidRPr="00BE38DF" w:rsidRDefault="00CB0432" w:rsidP="00CB0432">
      <w:pPr>
        <w:pStyle w:val="Heading2"/>
        <w:keepNext/>
        <w:numPr>
          <w:ilvl w:val="0"/>
          <w:numId w:val="0"/>
        </w:numPr>
        <w:rPr>
          <w:b/>
          <w:bCs/>
          <w:sz w:val="26"/>
          <w:szCs w:val="26"/>
        </w:rPr>
      </w:pPr>
      <w:r>
        <w:rPr>
          <w:b/>
          <w:bCs/>
          <w:sz w:val="26"/>
          <w:szCs w:val="26"/>
          <w:rtl/>
        </w:rPr>
        <w:t>خامساً</w:t>
      </w:r>
      <w:r>
        <w:rPr>
          <w:b/>
          <w:bCs/>
          <w:sz w:val="26"/>
          <w:szCs w:val="26"/>
          <w:rtl/>
        </w:rPr>
        <w:tab/>
        <w:t>التعليقات</w:t>
      </w:r>
    </w:p>
    <w:p w14:paraId="5C99242F" w14:textId="77777777" w:rsidR="00571BEE" w:rsidRPr="00BE38DF" w:rsidRDefault="00CB0432" w:rsidP="00571BEE">
      <w:pPr>
        <w:pStyle w:val="Heading1"/>
        <w:keepNext/>
        <w:numPr>
          <w:ilvl w:val="0"/>
          <w:numId w:val="0"/>
        </w:numPr>
        <w:rPr>
          <w:sz w:val="26"/>
          <w:szCs w:val="26"/>
          <w:u w:val="single"/>
        </w:rPr>
      </w:pPr>
      <w:bookmarkStart w:id="14" w:name="_Hlk126916105"/>
      <w:bookmarkEnd w:id="13"/>
      <w:r>
        <w:rPr>
          <w:sz w:val="26"/>
          <w:szCs w:val="26"/>
          <w:u w:val="single"/>
          <w:rtl/>
        </w:rPr>
        <w:t>الاستراتيجية الشاملة</w:t>
      </w:r>
      <w:bookmarkStart w:id="15" w:name="_Hlk126916111"/>
      <w:bookmarkEnd w:id="14"/>
    </w:p>
    <w:p w14:paraId="5AEB01F2" w14:textId="6D2759B5" w:rsidR="00D4519B" w:rsidRPr="00BE38DF" w:rsidRDefault="00747AE5" w:rsidP="00571BEE">
      <w:pPr>
        <w:pStyle w:val="Heading1"/>
        <w:rPr>
          <w:sz w:val="26"/>
          <w:szCs w:val="26"/>
        </w:rPr>
      </w:pPr>
      <w:r>
        <w:rPr>
          <w:sz w:val="26"/>
          <w:szCs w:val="26"/>
          <w:rtl/>
        </w:rPr>
        <w:t>في الاجتماع الثالث والستين، وأثناء استعراض المرحلة الأولى من خطة إدارة إزالة المواد الهيدروكلوروفلوروكربونية، لوحظ أن خط أساس استهلاك المواد الهيدروكلوروفلوروكربونية لأغراض الامتثال يبلغ 2.2 طن من قدرات استنفاد الأوزون، محسوباً على أنه متوسط الاستهلاك المبلغ عنه بموجب المادة 7 من بروتوكول مونتريال لعام 2009 (4.1 طن من قدرات استنفاد الأوزون) وعام 2010 (0.2 طن من قدرات استنفاد الأوزون). وتبيّن من الاستعراض أيضاً أن استهلاك المواد الهيدروكلوروفلوروكربونية لعام 2009 قد قُدِّر بأعلى من قيمته الفعلية. واستناداً إلى الدراسة الاستقصائية التي أُجريت لإعداد خطة إدارة إزالة المواد الهيدروكلوروفلوروكربونية، وافقت حكومة سان تومي وبرينسيبي على تحديد نقطة البدء للتخفيض المجمع المستدام في استهلاك المواد الهيدروكلوروفلوروكربونية عند 0.15 طن من قدرات استنفاد الأوزون، وهو متوسط 0.1 طن من قدرات استنفاد الأوزون لعام 2009، حسب ما أُبلغ عنه في إطار خطة إدارة إزالة المواد الهيدروكلوروفلوروكربونية، و0.2 طن من قدرات استنفاد الأوزون لعام 2020، حسب ما أُبلغ عنه بموجب المادة 7. وظل خط أساس المواد الهيدروكلوروفلوروكربونية دون تغيير.</w:t>
      </w:r>
    </w:p>
    <w:p w14:paraId="27492B16" w14:textId="459AAEB5" w:rsidR="003573D8" w:rsidRDefault="003573D8" w:rsidP="003573D8">
      <w:pPr>
        <w:pStyle w:val="Heading1"/>
        <w:rPr>
          <w:sz w:val="26"/>
          <w:szCs w:val="26"/>
        </w:rPr>
      </w:pPr>
      <w:r>
        <w:rPr>
          <w:sz w:val="26"/>
          <w:szCs w:val="26"/>
          <w:rtl/>
        </w:rPr>
        <w:t>ولاحظت الأمانة أنه لو نُقِّح خط أساس المواد الهيدروكلوروفلوروكربونية ليعكس نقطة البدء للمواد الهيدروكلوروفلوروكربونية، لكان عنصر المواد الهيدروكلوروفلوروكربونية في خط أساس المواد الهيدروفلوروكربونية أقل، مما يفضي إلى خط أساس للمواد الهيدروفلوروكربونية قدره 28,402 طن من مكافئ ثاني أكسيد الكربون. غير أن البلد اقترح 38,962 طناً من مكافئ ثاني أكسيد الكربون حداً أقصى للاستهلاك المسموح به لعام 2026. وأوضح اليونيب أن استهلاك المواد الهيدروكلوروفلوروكربونية في سان تومي وبرينسيبي كان منخفضاً جداً تاريخياً، وأن البلد وافق على نقطة بدء قدرها 0.15 طن من قدرات استنفاد الأوزون استناداً إلى الدراسة الاستقصائية التي أُجريت في إطار المرحلة الأولى من خطة إدارة إزالة المواد الهيدروكلوروفلوروكربونية. وفي المقابل، سلك استهلاك المواد الهيدروفلوروكربونية اتجاهاً مختلفاً تماماً، إذ تضاعف بين عامي 2020 و2025. وأشار اليونيب إلى أنه من المتوقع أن تظل السياحة محركاً رئيسياً للنمو الاقتصادي في عام 2026 وما بعده، مما سيحافظ على الطلب على خدمات تكييف الهواء والتبريد التجاري. ونظراً إلى كِبَر عنصر المواد الهيدروكلوروفلوروكربونية نسبياً في خط أساس المواد الهيدروفلوروكربونية المحدد، وانخفاض نقطة البدء للمواد الهيدروكلوروفلوروكربونية في إطار خطة إدارة إزالة المواد الهيدروكلوروفلوروكربونية، اقترح البلد في المرحلة الأولى من خطة التنفيذ المتعلقة بالمواد الهيدروفلوروكربونية بموجب تعديل كيغالي تخفيضاً بنسبة 50.64 في المائة من خط أساس المواد الهيدروفلوروكربونية المحدد بحلول 1 كانون الثاني/يناير 2029، وحداً أقصى مسموحاً به لاستهلاك المواد الهيدروفلوروكربونية قدره 38,962 طناً من مكافئ ثاني أكسيد الكربون في عام 2026، استناداً إلى الاستهلاك الفعلي في السنوات الأخيرة والنمو المتوقع للسوق.</w:t>
      </w:r>
    </w:p>
    <w:p w14:paraId="48BEB123" w14:textId="74F41757" w:rsidR="00C712C0" w:rsidRPr="00523372" w:rsidRDefault="00B7567B" w:rsidP="00303058">
      <w:pPr>
        <w:pStyle w:val="Heading1"/>
        <w:rPr>
          <w:sz w:val="26"/>
          <w:szCs w:val="26"/>
          <w:u w:val="single"/>
        </w:rPr>
      </w:pPr>
      <w:r>
        <w:rPr>
          <w:sz w:val="26"/>
          <w:szCs w:val="26"/>
          <w:rtl/>
        </w:rPr>
        <w:t>وبعد مزيد من المناقشة، لاحظت الأمانة أن استهلاك البلد من المواد الهيدروفلوروكربونية تجاوز 28,402 طن من مكافئ ثاني أكسيد الكربون في كل سنة منذ عام 2021، إذ بلغ 34,040 طناً من مكافئ ثاني أكسيد الكربون في عام 2025، مما يشير إلى أن الاحتياجات الفعلية للبلد من المواد الهيدروفلوروكربونية تفوق ذلك المستوى. ويراعي الحد الأقصى المسموح به للاستهلاك المقترح البالغ 38,962 طناً من مكافئ ثاني أكسيد الكربون في عام 2026 التقلبات الهيكلية في الاستهلاك التي تشهدها البلدان ذات الاستهلاك الصغير جداً، حيث قد تقتصر الواردات على شحنة أو شحنتين في السنة الواحدة، ويتفاقم ذلك بسبب محدودية وتيرة الشحن وقدرة التخزين، وهو أمر معتاد في الدول الجزرية الصغيرة. ومع مراعاة هذه العوامل، ترى الأمانة أن المستوى المقترح مقبول. وبموجب الجدول الزمني المقترح للتخفيض، سيخفض البلد بعد ذلك الاستهلاك بنسبة 10 في المائة من هذا المستوى بحلول عام 2029، مما يفضي إلى حد أقصى مسموح به للاستهلاك قدره 35,066 طناً من مكافئ ثاني أكسيد الكربون، أي ما يعادل تخفيضاً بنسبة 50.64 في المائة من خط أساس المواد الهيدروفلوروكربونية المحدد.</w:t>
      </w:r>
    </w:p>
    <w:p w14:paraId="723622A6" w14:textId="12D677CD" w:rsidR="00CB0432" w:rsidRPr="00BE38DF" w:rsidRDefault="00CB0432" w:rsidP="00C712C0">
      <w:pPr>
        <w:pStyle w:val="Heading1"/>
        <w:numPr>
          <w:ilvl w:val="0"/>
          <w:numId w:val="0"/>
        </w:numPr>
        <w:rPr>
          <w:sz w:val="26"/>
          <w:szCs w:val="26"/>
          <w:u w:val="single"/>
        </w:rPr>
      </w:pPr>
      <w:r>
        <w:rPr>
          <w:sz w:val="26"/>
          <w:szCs w:val="26"/>
          <w:u w:val="single"/>
          <w:rtl/>
        </w:rPr>
        <w:lastRenderedPageBreak/>
        <w:t>الإطار المؤسسي والسياساتي والتنظيمي</w:t>
      </w:r>
    </w:p>
    <w:bookmarkEnd w:id="15"/>
    <w:p w14:paraId="21DC2F92" w14:textId="77777777" w:rsidR="00CB0432" w:rsidRPr="00BE38DF" w:rsidRDefault="00CB0432" w:rsidP="00CB0432">
      <w:pPr>
        <w:widowControl w:val="0"/>
        <w:suppressAutoHyphens/>
        <w:spacing w:after="240"/>
        <w:rPr>
          <w:i/>
          <w:iCs/>
          <w:sz w:val="26"/>
          <w:szCs w:val="26"/>
        </w:rPr>
      </w:pPr>
      <w:r>
        <w:rPr>
          <w:i/>
          <w:iCs/>
          <w:sz w:val="26"/>
          <w:szCs w:val="26"/>
          <w:rtl/>
        </w:rPr>
        <w:t>نظام إصدار التراخيص والحصص للمواد الهيدروفلوروكربونية</w:t>
      </w:r>
    </w:p>
    <w:p w14:paraId="36DB206E" w14:textId="17D2EE56" w:rsidR="00B76470" w:rsidRPr="00BE38DF" w:rsidRDefault="00CB0432" w:rsidP="00415D92">
      <w:pPr>
        <w:pStyle w:val="Heading1"/>
        <w:rPr>
          <w:sz w:val="26"/>
          <w:szCs w:val="26"/>
        </w:rPr>
      </w:pPr>
      <w:r>
        <w:rPr>
          <w:sz w:val="26"/>
          <w:szCs w:val="26"/>
          <w:rtl/>
        </w:rPr>
        <w:t>وفقاً للمقرر 87/50(ز)، أكد اليونيب أن لدى سان تومي وبرينسيبي نظاماً قائماً وقابلاً للإنفاذ لإصدار التراخيص والحصص لرصد واردات المواد الهيدروفلوروكربونية وصادراتها. وقد حُددت الحصة لعام 2026 بمقدار 36,513 طناً من مكافئ ثاني أكسيد الكربون، وهو ما يقل عن الحد الأقصى المسموح به للاستهلاك المقترح في الاتفاق.</w:t>
      </w:r>
    </w:p>
    <w:p w14:paraId="33BE4DE6" w14:textId="25199D7E" w:rsidR="009A51C3" w:rsidRDefault="001E1BD4">
      <w:pPr>
        <w:pStyle w:val="Heading1"/>
        <w:rPr>
          <w:sz w:val="26"/>
          <w:szCs w:val="26"/>
        </w:rPr>
      </w:pPr>
      <w:r>
        <w:rPr>
          <w:sz w:val="26"/>
          <w:szCs w:val="26"/>
          <w:rtl/>
        </w:rPr>
        <w:t>وإذ لاحظت الأمانة أنه لم يُعتمد بعدُ نص قانوني يتناول المواد الهيدروفلوروكربونية تحديداً، وأن المرسوم الذي ينظم نظام مراقبة استيراد المواد المستنفدة للأوزون يُطبَّق مؤقتاً على المواد الهيدروفلوروكربونية، فقد استفسرت عن كيفية إدارة مراقبة الاستيراد وإصدار الحصص. وأجاب اليونيب بأن النظام الحالي سيستمر إلى حين اعتماد المرسوم الجديد المتعلق باستيراد المواد الهيدروفلوروكربونية وطرحها في السوق واستخدامها وإعادة تصديرها. وفي الأثناء، سيُكفل استمرار الامتثال من خلال الرقابة التي تمارسها وحدة الأوزون الوطنية، بالتعاون الوثيق مع الجمارك ووزارة التجارة والمستوردين الثمانية جميعهم للمواد الهيدروفلوروكربونية. وتُصدر الحصص بالطن المتري، وترصد وحدة الأوزون الوطنية الاستهلاك مع المستوردين الثمانية جميعهم لضمان بقائه ضمن الحد المسموح به.</w:t>
      </w:r>
    </w:p>
    <w:p w14:paraId="178D7362" w14:textId="6B744173" w:rsidR="00633DE3" w:rsidRPr="00633DE3" w:rsidRDefault="009E151B" w:rsidP="00633DE3">
      <w:pPr>
        <w:pStyle w:val="Heading1"/>
        <w:rPr>
          <w:sz w:val="26"/>
          <w:szCs w:val="26"/>
        </w:rPr>
      </w:pPr>
      <w:r>
        <w:rPr>
          <w:sz w:val="26"/>
          <w:szCs w:val="26"/>
          <w:rtl/>
        </w:rPr>
        <w:t>وفيما يتعلق بالمرسوم الخاص بالمواد الهيدروفلوروكربونية، وهو أحد أنشطة المشروع المقترح، أوضح اليونيب أن المرسوم المزمع سيتناول تحديداً استيراد المواد الهيدروفلوروكربونية وتصديرها واستخدامها. وقد يتضمن أيضاً تدابير تنظيمية أخرى، مثل التدابير الرامية إلى منع إطلاق المواد الهيدروفلوروكربونية في الجو أثناء تركيب معدات التبريد وتكييف الهواء وخدمتها وإخراجها من الخدمة؛ وفحص التسرب في المعدات الأكبر حجماً القائمة على المواد الهيدروفلوروكربونية؛ وممارسات حفظ السجلات؛ والاسترداد الإلزامي للمواد الهيدروفلوروكربونية أثناء الخدمة من الحاويات والمعدات عند انتهاء عمرها التشغيلي. وتبعاً للتقدم المحرز في إدخال نظام إصدار الشهادات في إطار المرحلة الثانية من خطة إدارة إزالة المواد الهيدروكلوروفلوروكربونية، قد يتضمن المرسوم أحكاماً ذات صلة، عند الاقتضاء. وإلا فسيُنظَّم نظام إصدار الشهادات بموجب لوائح منفصلة.</w:t>
      </w:r>
    </w:p>
    <w:p w14:paraId="4FC8F2C7" w14:textId="37C28005" w:rsidR="00F27E4B" w:rsidRPr="00BE38DF" w:rsidRDefault="00CB0432" w:rsidP="00F27E4B">
      <w:pPr>
        <w:keepNext/>
        <w:spacing w:after="240"/>
        <w:rPr>
          <w:sz w:val="26"/>
          <w:szCs w:val="26"/>
        </w:rPr>
      </w:pPr>
      <w:bookmarkStart w:id="16" w:name="_Hlk126916116"/>
      <w:r>
        <w:rPr>
          <w:sz w:val="26"/>
          <w:szCs w:val="26"/>
          <w:u w:val="single"/>
          <w:rtl/>
        </w:rPr>
        <w:t>المسائل التقنية والمسائل المتعلقة بالتكاليف</w:t>
      </w:r>
    </w:p>
    <w:p w14:paraId="09510A14" w14:textId="7282106F" w:rsidR="00F27E4B" w:rsidRPr="00BE38DF" w:rsidRDefault="00CD5730">
      <w:pPr>
        <w:pStyle w:val="Heading1"/>
        <w:rPr>
          <w:sz w:val="26"/>
          <w:szCs w:val="26"/>
        </w:rPr>
      </w:pPr>
      <w:r>
        <w:rPr>
          <w:sz w:val="26"/>
          <w:szCs w:val="26"/>
          <w:rtl/>
        </w:rPr>
        <w:t>وفيما يتعلق بحظر المعدات القائمة على المواد الهيدروفلوروكربونية، ذكر اليونيب أن البلد سينظر في فرض حظر تدريجي على الاستيراد وقيود في إطار المرحلة الأولى من خطة التنفيذ المتعلقة بالمواد الهيدروفلوروكربونية بموجب تعديل كيغالي. وقبل اعتماد أي حظر، سيُجرى تقييم لمدى توافر التكنولوجيات البديلة في كل قطاع والقدرة على تحمل تكلفتها وأثرها الاقتصادي. واستناداً إلى النتائج، ستُتخذ قرارات بشأن أنواع المعدات القائمة على المواد الهيدروفلوروكربونية التي سيُحظر استيرادها وتوقيت الحظر. وبالإضافة إلى ذلك، سيقيّم البلد ما إذا كان ينبغي أن يسري الحظر على المعدات الجديدة و/أو المستعملة، وسيحدد مواعيد التنفيذ بصورة نهائية. وقد تُعطى الأولوية في البداية للثلاجات المنزلية القائمة على الهيدروفلوروكربون</w:t>
      </w:r>
      <w:r>
        <w:rPr>
          <w:sz w:val="26"/>
          <w:szCs w:val="26"/>
          <w:rtl/>
        </w:rPr>
        <w:noBreakHyphen/>
        <w:t>134a ومعدات التبريد التجارية القائمة على R</w:t>
      </w:r>
      <w:r>
        <w:rPr>
          <w:sz w:val="26"/>
          <w:szCs w:val="26"/>
          <w:rtl/>
        </w:rPr>
        <w:noBreakHyphen/>
        <w:t>404A، حيث تتوافر البدائل بالفعل. وستُجرى مشاورات مع أصحاب المصلحة، ولا سيما المستوردين، لضمان اتباع نهج متوازن يلبي احتياجات السوق ويحقق في الوقت نفسه أهداف تعديل كيغالي. وسيُبلَّغ عن التقدم المحرز وعن أي قرارات بشأن نطاق حظر الاستيراد وتوقيته عند تقديم الشريحة الثانية من المرحلة الأولى من خطة التنفيذ المتعلقة بالمواد الهيدروفلوروكربونية بموجب تعديل كيغالي.</w:t>
      </w:r>
    </w:p>
    <w:p w14:paraId="6882ACE0" w14:textId="46EAC625" w:rsidR="00AA426B" w:rsidRPr="00BE38DF" w:rsidRDefault="00AA426B" w:rsidP="00AA426B">
      <w:pPr>
        <w:pStyle w:val="Heading1"/>
        <w:rPr>
          <w:sz w:val="26"/>
          <w:szCs w:val="26"/>
        </w:rPr>
      </w:pPr>
      <w:r>
        <w:rPr>
          <w:sz w:val="26"/>
          <w:szCs w:val="26"/>
          <w:rtl/>
        </w:rPr>
        <w:t>ونظراً لارتفاع مستويات استهلاك المواد الهيدروفلوروكربونية في قطاعي أجهزة تكييف الهواء السكنية والتبريد التجاري، طلبت الأمانة معلومات إضافية عن الاستراتيجية المتبعة لمعالجة ذلك. وأوضح اليونيب أن عدداً قليلاً من الوحدات التي تستخدم بدائل (الهيدروفلوروكربون</w:t>
      </w:r>
      <w:r>
        <w:rPr>
          <w:sz w:val="26"/>
          <w:szCs w:val="26"/>
          <w:rtl/>
        </w:rPr>
        <w:noBreakHyphen/>
        <w:t>32 لأجهزة تكييف الهواء السكنية وR</w:t>
      </w:r>
      <w:r>
        <w:rPr>
          <w:sz w:val="26"/>
          <w:szCs w:val="26"/>
          <w:rtl/>
        </w:rPr>
        <w:noBreakHyphen/>
        <w:t xml:space="preserve">290 لقطاع التبريد التجاري الصغير) قد دخل السوق. وستركز المرحلة الأولى من خطة التنفيذ المتعلقة بالمواد الهيدروفلوروكربونية بموجب تعديل كيغالي على الأنشطة التنظيمية وأنشطة بناء القدرات لتهيئة بيئة مواتية لانتشار هذه التكنولوجيات في السوق. وفي إطار التدابير التنظيمية، يُتوقع أن يساعد وضع معايير لمواد التبريد القابلة للاشتعال، والحظر الذي ينظر فيه البلد، وإدخال تحسينات على نظام الحصص لتشجيع استيراد التكنولوجيات المنخفضة إمكانية الاحترار العالمي، </w:t>
      </w:r>
      <w:r>
        <w:rPr>
          <w:sz w:val="26"/>
          <w:szCs w:val="26"/>
          <w:rtl/>
        </w:rPr>
        <w:lastRenderedPageBreak/>
        <w:t>على انتشار البدائل في السوق. وستُعِدّ أنشطة بناء القدرات، بما فيها تدريب فنيي التبريد وتكييف الهواء وفنيي أجهزة تكييف الهواء المتنقلة، وتحديث المناهج التدريبية، وأنشطة التوعية الأخرى، السوقَ لاعتماد التكنولوجيات البديلة.</w:t>
      </w:r>
    </w:p>
    <w:p w14:paraId="5D3E4462" w14:textId="25275948" w:rsidR="00555237" w:rsidRPr="00555237" w:rsidRDefault="007672B8" w:rsidP="00555237">
      <w:pPr>
        <w:pStyle w:val="Heading1"/>
        <w:rPr>
          <w:sz w:val="26"/>
          <w:szCs w:val="26"/>
        </w:rPr>
      </w:pPr>
      <w:r>
        <w:rPr>
          <w:sz w:val="26"/>
          <w:szCs w:val="26"/>
          <w:rtl/>
        </w:rPr>
        <w:t>وبعد مزيد من المناقشة بشأن القطاعات ذات الاستهلاك المرتفع من المواد الهيدروفلوروكربونية وارتفاع معدل التسرب من المعدات، أُضيف نشاطان إضافيان في إطار العنصر 3، مع البقاء في حدود الميزانية الإجمالية. وتم ترشيد تكاليف الأنشطة الأخرى وتعديلها تبعاً لذلك. وترد الميزانية المنقحة في الجدول 11 أدناه. ويشمل النشاطان الإضافيان ما يلي:</w:t>
      </w:r>
    </w:p>
    <w:p w14:paraId="76AAD3A8" w14:textId="55BEDF43" w:rsidR="006F275E" w:rsidRDefault="0099530D" w:rsidP="0099530D">
      <w:pPr>
        <w:pStyle w:val="Heading2"/>
        <w:rPr>
          <w:sz w:val="26"/>
          <w:szCs w:val="26"/>
        </w:rPr>
      </w:pPr>
      <w:r>
        <w:rPr>
          <w:sz w:val="26"/>
          <w:szCs w:val="26"/>
          <w:rtl/>
        </w:rPr>
        <w:t>شراء أدوات لمراكز التدريب: مجموعتان من أجهزة تكييف الهواء السكنية، وأجهزة الكشف عن التسرب، وآلات إعادة التدوير (2,500 دولار أمريكي)؛</w:t>
      </w:r>
    </w:p>
    <w:p w14:paraId="0DC150F2" w14:textId="65C63903" w:rsidR="00555237" w:rsidRDefault="006F275E" w:rsidP="00753B95">
      <w:pPr>
        <w:pStyle w:val="Heading2"/>
        <w:keepNext/>
        <w:rPr>
          <w:sz w:val="26"/>
          <w:szCs w:val="26"/>
        </w:rPr>
      </w:pPr>
      <w:r>
        <w:rPr>
          <w:sz w:val="26"/>
          <w:szCs w:val="26"/>
          <w:rtl/>
        </w:rPr>
        <w:t>إعداد دليل عملي بشأن الكشف عن التسرب ومنعه للفنيين العاملين في تركيب معدات التبريد وتكييف الهواء وخدمتها وصيانتها وإخراجها من الخدمة، تكمله حلقتا عمل على الأقل لبناء القدرات تشملان 400 مستخدم نهائي، ولا سيما في القطاعين الفرعيين للتبريد التجاري وتكييف الهواء السكني. وستقدم حلقات العمل إرشادات وعروضاً عملية بشأن تشخيص أداء نظم التبريد وتكييف الهواء وتحسينه، والحد من تسرب مواد التبريد، وخفض تكاليف شراء مواد التبريد، وخفض تكاليف الطاقة، وتقليل فترات تعطل المعدات إلى أدنى حد، وخفض الانبعاثات (8,000 دولار أمريكي).</w:t>
      </w:r>
      <w:bookmarkEnd w:id="16"/>
    </w:p>
    <w:p w14:paraId="39204BF0" w14:textId="739DF4B2" w:rsidR="00CB0432" w:rsidRPr="00BE38DF" w:rsidRDefault="00CB0432" w:rsidP="00555237">
      <w:pPr>
        <w:pStyle w:val="Heading2"/>
        <w:keepNext/>
        <w:numPr>
          <w:ilvl w:val="0"/>
          <w:numId w:val="0"/>
        </w:numPr>
        <w:rPr>
          <w:sz w:val="26"/>
          <w:szCs w:val="26"/>
        </w:rPr>
      </w:pPr>
      <w:r>
        <w:rPr>
          <w:sz w:val="26"/>
          <w:szCs w:val="26"/>
          <w:u w:val="single"/>
          <w:rtl/>
        </w:rPr>
        <w:t>التكلفة الإجمالية للمشروع</w:t>
      </w:r>
    </w:p>
    <w:p w14:paraId="7003C152" w14:textId="26CBB9E7" w:rsidR="006733AC" w:rsidRPr="00594253" w:rsidRDefault="006733AC" w:rsidP="006733AC">
      <w:pPr>
        <w:pStyle w:val="Heading1"/>
        <w:rPr>
          <w:sz w:val="26"/>
          <w:szCs w:val="26"/>
        </w:rPr>
      </w:pPr>
      <w:r>
        <w:rPr>
          <w:sz w:val="26"/>
          <w:szCs w:val="26"/>
          <w:rtl/>
        </w:rPr>
        <w:t>بتكلفة إجمالية قدرها 135,000 دولار أمريكي، ستفضي المرحلة الأولى من خطة التنفيذ المتعلقة بالمواد الهيدروفلوروكربونية بموجب تعديل كيغالي لسان تومي وبرينسيبي إلى خفض قدره 35,973 طناً من مكافئ ثاني أكسيد الكربون من استهلاك البلد من المواد الهيدروفلوروكربونية المؤهل للتمويل، على النحو الموجز في الفقرة 61 أعلاه. ورغم عدم إدخال أي تغييرات على الميزانية الإجمالية، فقد أُعيد التوزيع بين عناصر الميزانية الأصلية. وبعد التنقيحات، ارتفع تمويل الشريحة الأولى من 72,500 دولار أمريكي إلى 74,500 دولار أمريكي نتيجة إعادة التوزيع بين العناصر. ويرد موجز التكاليف المتفق عليها في الجدول 11 أدناه.</w:t>
      </w:r>
    </w:p>
    <w:p w14:paraId="33B6B7BD" w14:textId="45F7480F" w:rsidR="007224ED" w:rsidRPr="00D3066D" w:rsidRDefault="007224ED" w:rsidP="007224ED">
      <w:pPr>
        <w:keepNext/>
        <w:rPr>
          <w:b/>
          <w:bCs/>
          <w:sz w:val="26"/>
          <w:szCs w:val="26"/>
        </w:rPr>
      </w:pPr>
      <w:r>
        <w:rPr>
          <w:b/>
          <w:bCs/>
          <w:sz w:val="26"/>
          <w:szCs w:val="26"/>
          <w:rtl/>
        </w:rPr>
        <w:t>الجدول 11. الميزانية المتفق عليها للمرحلة الأولى والشريحة الأولى</w:t>
      </w:r>
    </w:p>
    <w:tbl>
      <w:tblPr>
        <w:tblStyle w:val="TableGrid"/>
        <w:bidiVisual/>
        <w:tblW w:w="9360" w:type="dxa"/>
        <w:jc w:val="center"/>
        <w:tblLayout w:type="fixed"/>
        <w:tblLook w:val="04A0" w:firstRow="1" w:lastRow="0" w:firstColumn="1" w:lastColumn="0" w:noHBand="0" w:noVBand="1"/>
      </w:tblPr>
      <w:tblGrid>
        <w:gridCol w:w="5199"/>
        <w:gridCol w:w="1045"/>
        <w:gridCol w:w="1036"/>
        <w:gridCol w:w="1045"/>
        <w:gridCol w:w="1035"/>
      </w:tblGrid>
      <w:tr w:rsidR="007224ED" w14:paraId="54E2D20F" w14:textId="77777777" w:rsidTr="001348F0">
        <w:trPr>
          <w:cantSplit/>
          <w:trHeight w:val="238"/>
          <w:tblHeader/>
          <w:jc w:val="center"/>
        </w:trPr>
        <w:tc>
          <w:tcPr>
            <w:tcW w:w="5199" w:type="dxa"/>
            <w:vMerge w:val="restart"/>
            <w:tcBorders>
              <w:top w:val="single" w:sz="4" w:space="0" w:color="auto"/>
            </w:tcBorders>
            <w:vAlign w:val="center"/>
          </w:tcPr>
          <w:p w14:paraId="03B3961F" w14:textId="77777777" w:rsidR="007224ED" w:rsidRPr="00B76B76" w:rsidRDefault="007224ED" w:rsidP="00BC7A50">
            <w:pPr>
              <w:keepNext/>
              <w:jc w:val="center"/>
              <w:rPr>
                <w:b/>
                <w:bCs/>
              </w:rPr>
            </w:pPr>
            <w:r>
              <w:rPr>
                <w:b/>
                <w:bCs/>
                <w:rtl/>
              </w:rPr>
              <w:t>النشاط</w:t>
            </w:r>
          </w:p>
        </w:tc>
        <w:tc>
          <w:tcPr>
            <w:tcW w:w="2081" w:type="dxa"/>
            <w:gridSpan w:val="2"/>
            <w:vAlign w:val="center"/>
          </w:tcPr>
          <w:p w14:paraId="1B92C92E" w14:textId="77777777" w:rsidR="007224ED" w:rsidRDefault="007224ED" w:rsidP="00BC7A50">
            <w:pPr>
              <w:keepNext/>
              <w:jc w:val="center"/>
            </w:pPr>
            <w:r>
              <w:rPr>
                <w:b/>
                <w:bCs/>
                <w:rtl/>
              </w:rPr>
              <w:t>الأصلية (بالدولار الأمريكي)</w:t>
            </w:r>
          </w:p>
        </w:tc>
        <w:tc>
          <w:tcPr>
            <w:tcW w:w="2080" w:type="dxa"/>
            <w:gridSpan w:val="2"/>
            <w:vAlign w:val="center"/>
          </w:tcPr>
          <w:p w14:paraId="693C99BD" w14:textId="77777777" w:rsidR="007224ED" w:rsidRDefault="007224ED" w:rsidP="00BC7A50">
            <w:pPr>
              <w:keepNext/>
              <w:jc w:val="center"/>
            </w:pPr>
            <w:r>
              <w:rPr>
                <w:b/>
                <w:bCs/>
                <w:rtl/>
              </w:rPr>
              <w:t>المنقحة (بالدولار الأمريكي)</w:t>
            </w:r>
          </w:p>
        </w:tc>
      </w:tr>
      <w:tr w:rsidR="007224ED" w14:paraId="69E319A4" w14:textId="77777777" w:rsidTr="001348F0">
        <w:trPr>
          <w:cantSplit/>
          <w:trHeight w:val="147"/>
          <w:tblHeader/>
          <w:jc w:val="center"/>
        </w:trPr>
        <w:tc>
          <w:tcPr>
            <w:tcW w:w="5199" w:type="dxa"/>
            <w:vMerge/>
            <w:vAlign w:val="center"/>
          </w:tcPr>
          <w:p w14:paraId="1CA16098" w14:textId="77777777" w:rsidR="007224ED" w:rsidRDefault="007224ED">
            <w:pPr>
              <w:keepNext/>
            </w:pPr>
          </w:p>
        </w:tc>
        <w:tc>
          <w:tcPr>
            <w:tcW w:w="1045" w:type="dxa"/>
            <w:tcBorders>
              <w:top w:val="single" w:sz="4" w:space="0" w:color="auto"/>
            </w:tcBorders>
            <w:vAlign w:val="center"/>
          </w:tcPr>
          <w:p w14:paraId="76036435" w14:textId="77777777" w:rsidR="007224ED" w:rsidRPr="00B76B76" w:rsidRDefault="007224ED" w:rsidP="00BC7A50">
            <w:pPr>
              <w:keepNext/>
              <w:jc w:val="center"/>
              <w:rPr>
                <w:b/>
                <w:bCs/>
              </w:rPr>
            </w:pPr>
            <w:r>
              <w:rPr>
                <w:b/>
                <w:bCs/>
                <w:rtl/>
              </w:rPr>
              <w:t>المجموع</w:t>
            </w:r>
          </w:p>
        </w:tc>
        <w:tc>
          <w:tcPr>
            <w:tcW w:w="1036" w:type="dxa"/>
            <w:vAlign w:val="center"/>
          </w:tcPr>
          <w:p w14:paraId="7B283FE9" w14:textId="77777777" w:rsidR="007224ED" w:rsidRDefault="007224ED" w:rsidP="00BC7A50">
            <w:pPr>
              <w:keepNext/>
              <w:jc w:val="center"/>
            </w:pPr>
            <w:r>
              <w:rPr>
                <w:b/>
                <w:bCs/>
                <w:rtl/>
              </w:rPr>
              <w:t>الشريحة الأولى</w:t>
            </w:r>
          </w:p>
        </w:tc>
        <w:tc>
          <w:tcPr>
            <w:tcW w:w="1045" w:type="dxa"/>
            <w:vAlign w:val="center"/>
          </w:tcPr>
          <w:p w14:paraId="5228B4D2" w14:textId="77777777" w:rsidR="007224ED" w:rsidRDefault="007224ED" w:rsidP="00BC7A50">
            <w:pPr>
              <w:keepNext/>
              <w:jc w:val="center"/>
            </w:pPr>
            <w:r>
              <w:rPr>
                <w:b/>
                <w:bCs/>
                <w:rtl/>
              </w:rPr>
              <w:t>المجموع</w:t>
            </w:r>
          </w:p>
        </w:tc>
        <w:tc>
          <w:tcPr>
            <w:tcW w:w="1035" w:type="dxa"/>
            <w:vAlign w:val="center"/>
          </w:tcPr>
          <w:p w14:paraId="7EADBAC5" w14:textId="77777777" w:rsidR="007224ED" w:rsidRDefault="007224ED" w:rsidP="00BC7A50">
            <w:pPr>
              <w:keepNext/>
              <w:jc w:val="center"/>
            </w:pPr>
            <w:r>
              <w:rPr>
                <w:b/>
                <w:bCs/>
                <w:rtl/>
              </w:rPr>
              <w:t>الشريحة الأولى</w:t>
            </w:r>
          </w:p>
        </w:tc>
      </w:tr>
      <w:tr w:rsidR="007224ED" w14:paraId="4EF9781B" w14:textId="77777777" w:rsidTr="007E1EF3">
        <w:trPr>
          <w:cantSplit/>
          <w:trHeight w:val="238"/>
          <w:jc w:val="center"/>
        </w:trPr>
        <w:tc>
          <w:tcPr>
            <w:tcW w:w="5199" w:type="dxa"/>
            <w:vAlign w:val="center"/>
          </w:tcPr>
          <w:p w14:paraId="485B8F01" w14:textId="57E74258" w:rsidR="007224ED" w:rsidRDefault="00213633" w:rsidP="00DE2C96">
            <w:pPr>
              <w:pStyle w:val="Heading1"/>
              <w:keepNext/>
              <w:numPr>
                <w:ilvl w:val="0"/>
                <w:numId w:val="14"/>
              </w:numPr>
              <w:spacing w:after="0"/>
            </w:pPr>
            <w:r>
              <w:rPr>
                <w:rtl/>
              </w:rPr>
              <w:t>تعزيز الإطار القانوني والتنظيمي (لا تغيير في الأنشطة)</w:t>
            </w:r>
          </w:p>
        </w:tc>
        <w:tc>
          <w:tcPr>
            <w:tcW w:w="1045" w:type="dxa"/>
            <w:vAlign w:val="center"/>
          </w:tcPr>
          <w:p w14:paraId="7B89FED0" w14:textId="052FB3A9" w:rsidR="007224ED" w:rsidRDefault="00715EC1" w:rsidP="00B35FF7">
            <w:pPr>
              <w:keepNext/>
              <w:jc w:val="left"/>
            </w:pPr>
            <w:r>
              <w:t>59,000</w:t>
            </w:r>
          </w:p>
        </w:tc>
        <w:tc>
          <w:tcPr>
            <w:tcW w:w="1036" w:type="dxa"/>
            <w:vAlign w:val="center"/>
          </w:tcPr>
          <w:p w14:paraId="78016F84" w14:textId="2BDBE31E" w:rsidR="007224ED" w:rsidRDefault="00715EC1" w:rsidP="00B35FF7">
            <w:pPr>
              <w:keepNext/>
              <w:jc w:val="left"/>
            </w:pPr>
            <w:r>
              <w:t>39,000</w:t>
            </w:r>
          </w:p>
        </w:tc>
        <w:tc>
          <w:tcPr>
            <w:tcW w:w="1045" w:type="dxa"/>
            <w:vAlign w:val="center"/>
          </w:tcPr>
          <w:p w14:paraId="6A2001D4" w14:textId="1E8401C5" w:rsidR="007224ED" w:rsidRDefault="00FC198D" w:rsidP="00B35FF7">
            <w:pPr>
              <w:keepNext/>
              <w:jc w:val="left"/>
            </w:pPr>
            <w:r>
              <w:t>50,000</w:t>
            </w:r>
          </w:p>
        </w:tc>
        <w:tc>
          <w:tcPr>
            <w:tcW w:w="1035" w:type="dxa"/>
            <w:vAlign w:val="center"/>
          </w:tcPr>
          <w:p w14:paraId="68F30AFD" w14:textId="55318F0C" w:rsidR="007224ED" w:rsidRDefault="00FC198D" w:rsidP="00B35FF7">
            <w:pPr>
              <w:keepNext/>
              <w:jc w:val="left"/>
            </w:pPr>
            <w:r>
              <w:t>31,000</w:t>
            </w:r>
          </w:p>
        </w:tc>
      </w:tr>
      <w:tr w:rsidR="007224ED" w14:paraId="2C75DDD7" w14:textId="77777777" w:rsidTr="007E1EF3">
        <w:trPr>
          <w:cantSplit/>
          <w:trHeight w:val="230"/>
          <w:jc w:val="center"/>
        </w:trPr>
        <w:tc>
          <w:tcPr>
            <w:tcW w:w="5199" w:type="dxa"/>
            <w:vAlign w:val="center"/>
          </w:tcPr>
          <w:p w14:paraId="538188BC" w14:textId="587972B1" w:rsidR="007224ED" w:rsidRDefault="007224ED" w:rsidP="00DE2C96">
            <w:pPr>
              <w:pStyle w:val="Heading1"/>
              <w:keepNext/>
              <w:numPr>
                <w:ilvl w:val="0"/>
                <w:numId w:val="14"/>
              </w:numPr>
              <w:spacing w:after="0"/>
            </w:pPr>
            <w:r>
              <w:rPr>
                <w:rtl/>
              </w:rPr>
              <w:t>بناء قدرات موظفي الجمارك وموظفي الإنفاذ (لا تغيير في الأنشطة)</w:t>
            </w:r>
          </w:p>
        </w:tc>
        <w:tc>
          <w:tcPr>
            <w:tcW w:w="1045" w:type="dxa"/>
            <w:vAlign w:val="center"/>
          </w:tcPr>
          <w:p w14:paraId="2B6787D6" w14:textId="7265E963" w:rsidR="007224ED" w:rsidRDefault="00636141" w:rsidP="00B35FF7">
            <w:pPr>
              <w:keepNext/>
              <w:jc w:val="left"/>
            </w:pPr>
            <w:r>
              <w:t>20,000</w:t>
            </w:r>
          </w:p>
        </w:tc>
        <w:tc>
          <w:tcPr>
            <w:tcW w:w="1036" w:type="dxa"/>
            <w:vAlign w:val="center"/>
          </w:tcPr>
          <w:p w14:paraId="3DD2FA07" w14:textId="59218FFF" w:rsidR="007224ED" w:rsidRDefault="00636141" w:rsidP="00B35FF7">
            <w:pPr>
              <w:keepNext/>
              <w:jc w:val="left"/>
            </w:pPr>
            <w:r>
              <w:t>10,500</w:t>
            </w:r>
          </w:p>
        </w:tc>
        <w:tc>
          <w:tcPr>
            <w:tcW w:w="1045" w:type="dxa"/>
            <w:vAlign w:val="center"/>
          </w:tcPr>
          <w:p w14:paraId="61CEBDDA" w14:textId="03175888" w:rsidR="007224ED" w:rsidRDefault="00636141" w:rsidP="00B35FF7">
            <w:pPr>
              <w:keepNext/>
              <w:jc w:val="left"/>
            </w:pPr>
            <w:r>
              <w:t>17,500</w:t>
            </w:r>
          </w:p>
        </w:tc>
        <w:tc>
          <w:tcPr>
            <w:tcW w:w="1035" w:type="dxa"/>
            <w:vAlign w:val="center"/>
          </w:tcPr>
          <w:p w14:paraId="53562FD5" w14:textId="59326855" w:rsidR="007224ED" w:rsidRDefault="00636141" w:rsidP="00B35FF7">
            <w:pPr>
              <w:keepNext/>
              <w:jc w:val="left"/>
            </w:pPr>
            <w:r>
              <w:t>9,000</w:t>
            </w:r>
          </w:p>
        </w:tc>
      </w:tr>
      <w:tr w:rsidR="007224ED" w14:paraId="35755B31" w14:textId="77777777" w:rsidTr="007E1EF3">
        <w:trPr>
          <w:cantSplit/>
          <w:trHeight w:val="546"/>
          <w:jc w:val="center"/>
        </w:trPr>
        <w:tc>
          <w:tcPr>
            <w:tcW w:w="5199" w:type="dxa"/>
            <w:vAlign w:val="center"/>
          </w:tcPr>
          <w:p w14:paraId="40CC4451" w14:textId="5C21CCAF" w:rsidR="007224ED" w:rsidRDefault="00DE0235" w:rsidP="00DE2C96">
            <w:pPr>
              <w:pStyle w:val="Heading1"/>
              <w:keepNext/>
              <w:numPr>
                <w:ilvl w:val="0"/>
                <w:numId w:val="14"/>
              </w:numPr>
              <w:spacing w:after="0"/>
            </w:pPr>
            <w:r>
              <w:rPr>
                <w:rtl/>
              </w:rPr>
              <w:t>بناء قدرات فنيي التبريد وتكييف الهواء وفنيي أجهزة تكييف الهواء المتنقلة (أُضيف نشاطان: (1) شراء أدوات/معدات لمركزين للتدريب لأغراض التدريب؛ و(2) إعداد دليل للتحكم في التسرب)</w:t>
            </w:r>
          </w:p>
        </w:tc>
        <w:tc>
          <w:tcPr>
            <w:tcW w:w="1045" w:type="dxa"/>
            <w:vAlign w:val="center"/>
          </w:tcPr>
          <w:p w14:paraId="7765AEA4" w14:textId="33E73481" w:rsidR="007224ED" w:rsidRDefault="00CA110A" w:rsidP="00B35FF7">
            <w:pPr>
              <w:keepNext/>
              <w:jc w:val="left"/>
            </w:pPr>
            <w:r>
              <w:t>43,000</w:t>
            </w:r>
          </w:p>
        </w:tc>
        <w:tc>
          <w:tcPr>
            <w:tcW w:w="1036" w:type="dxa"/>
            <w:vAlign w:val="center"/>
          </w:tcPr>
          <w:p w14:paraId="12E9B3E8" w14:textId="4AD4B52C" w:rsidR="007224ED" w:rsidRDefault="00CA110A" w:rsidP="00B35FF7">
            <w:pPr>
              <w:keepNext/>
              <w:jc w:val="left"/>
            </w:pPr>
            <w:r>
              <w:t>16,500</w:t>
            </w:r>
          </w:p>
        </w:tc>
        <w:tc>
          <w:tcPr>
            <w:tcW w:w="1045" w:type="dxa"/>
            <w:vAlign w:val="center"/>
          </w:tcPr>
          <w:p w14:paraId="2AA7752B" w14:textId="4E727C11" w:rsidR="007224ED" w:rsidRDefault="00CA110A" w:rsidP="00B35FF7">
            <w:pPr>
              <w:keepNext/>
              <w:jc w:val="left"/>
            </w:pPr>
            <w:r>
              <w:t>54,500</w:t>
            </w:r>
          </w:p>
        </w:tc>
        <w:tc>
          <w:tcPr>
            <w:tcW w:w="1035" w:type="dxa"/>
            <w:vAlign w:val="center"/>
          </w:tcPr>
          <w:p w14:paraId="7546BAB3" w14:textId="0218CCAC" w:rsidR="007224ED" w:rsidRDefault="00CA110A" w:rsidP="00B35FF7">
            <w:pPr>
              <w:keepNext/>
              <w:jc w:val="left"/>
            </w:pPr>
            <w:r>
              <w:t>28,000</w:t>
            </w:r>
          </w:p>
        </w:tc>
      </w:tr>
      <w:tr w:rsidR="007224ED" w14:paraId="2C00FE93" w14:textId="77777777" w:rsidTr="007E1EF3">
        <w:trPr>
          <w:cantSplit/>
          <w:trHeight w:val="230"/>
          <w:jc w:val="center"/>
        </w:trPr>
        <w:tc>
          <w:tcPr>
            <w:tcW w:w="5199" w:type="dxa"/>
            <w:vAlign w:val="center"/>
          </w:tcPr>
          <w:p w14:paraId="72382B82" w14:textId="77777777" w:rsidR="007224ED" w:rsidRDefault="007224ED">
            <w:pPr>
              <w:pStyle w:val="Heading1"/>
              <w:keepNext/>
              <w:numPr>
                <w:ilvl w:val="0"/>
                <w:numId w:val="0"/>
              </w:numPr>
              <w:spacing w:after="0"/>
            </w:pPr>
            <w:r>
              <w:rPr>
                <w:rtl/>
              </w:rPr>
              <w:t>4. تنسيق المشروع ورصده</w:t>
            </w:r>
          </w:p>
        </w:tc>
        <w:tc>
          <w:tcPr>
            <w:tcW w:w="1045" w:type="dxa"/>
            <w:vAlign w:val="center"/>
          </w:tcPr>
          <w:p w14:paraId="6FEA09B8" w14:textId="45386EBB" w:rsidR="007224ED" w:rsidRDefault="00CA110A" w:rsidP="00B35FF7">
            <w:pPr>
              <w:keepNext/>
              <w:jc w:val="left"/>
            </w:pPr>
            <w:r>
              <w:t>13,000</w:t>
            </w:r>
          </w:p>
        </w:tc>
        <w:tc>
          <w:tcPr>
            <w:tcW w:w="1036" w:type="dxa"/>
            <w:vAlign w:val="center"/>
          </w:tcPr>
          <w:p w14:paraId="0083BC7A" w14:textId="08F6423B" w:rsidR="007224ED" w:rsidRDefault="00CA110A" w:rsidP="00B35FF7">
            <w:pPr>
              <w:keepNext/>
              <w:jc w:val="left"/>
            </w:pPr>
            <w:r>
              <w:t>6,500</w:t>
            </w:r>
          </w:p>
        </w:tc>
        <w:tc>
          <w:tcPr>
            <w:tcW w:w="1045" w:type="dxa"/>
            <w:vAlign w:val="center"/>
          </w:tcPr>
          <w:p w14:paraId="58E245B2" w14:textId="4D851928" w:rsidR="007224ED" w:rsidRDefault="00CA110A" w:rsidP="00B35FF7">
            <w:pPr>
              <w:keepNext/>
              <w:jc w:val="left"/>
            </w:pPr>
            <w:r>
              <w:t>13,000</w:t>
            </w:r>
          </w:p>
        </w:tc>
        <w:tc>
          <w:tcPr>
            <w:tcW w:w="1035" w:type="dxa"/>
            <w:vAlign w:val="center"/>
          </w:tcPr>
          <w:p w14:paraId="7B98B266" w14:textId="566B02D9" w:rsidR="007224ED" w:rsidRDefault="00CA110A" w:rsidP="00B35FF7">
            <w:pPr>
              <w:keepNext/>
              <w:jc w:val="left"/>
            </w:pPr>
            <w:r>
              <w:t>6,500</w:t>
            </w:r>
          </w:p>
        </w:tc>
      </w:tr>
      <w:tr w:rsidR="007224ED" w14:paraId="60E446D3" w14:textId="77777777" w:rsidTr="007E1EF3">
        <w:trPr>
          <w:cantSplit/>
          <w:trHeight w:val="238"/>
          <w:jc w:val="center"/>
        </w:trPr>
        <w:tc>
          <w:tcPr>
            <w:tcW w:w="5199" w:type="dxa"/>
            <w:vAlign w:val="center"/>
          </w:tcPr>
          <w:p w14:paraId="3D330945" w14:textId="77777777" w:rsidR="007224ED" w:rsidRPr="00EE6F22" w:rsidRDefault="007224ED">
            <w:r>
              <w:rPr>
                <w:b/>
                <w:bCs/>
                <w:rtl/>
              </w:rPr>
              <w:t>المجموع</w:t>
            </w:r>
          </w:p>
        </w:tc>
        <w:tc>
          <w:tcPr>
            <w:tcW w:w="1045" w:type="dxa"/>
            <w:vAlign w:val="center"/>
          </w:tcPr>
          <w:p w14:paraId="69F77AEC" w14:textId="0FB2690C" w:rsidR="007224ED" w:rsidRDefault="007224ED" w:rsidP="00B35FF7">
            <w:pPr>
              <w:jc w:val="left"/>
            </w:pPr>
            <w:r>
              <w:rPr>
                <w:b/>
                <w:bCs/>
                <w:noProof/>
              </w:rPr>
              <w:t>135,000</w:t>
            </w:r>
          </w:p>
        </w:tc>
        <w:tc>
          <w:tcPr>
            <w:tcW w:w="1036" w:type="dxa"/>
            <w:vAlign w:val="center"/>
          </w:tcPr>
          <w:p w14:paraId="5633AE4A" w14:textId="785A521C" w:rsidR="007224ED" w:rsidRDefault="007224ED" w:rsidP="00B35FF7">
            <w:pPr>
              <w:jc w:val="left"/>
            </w:pPr>
            <w:r>
              <w:rPr>
                <w:b/>
                <w:bCs/>
                <w:noProof/>
              </w:rPr>
              <w:t>72,500</w:t>
            </w:r>
          </w:p>
        </w:tc>
        <w:tc>
          <w:tcPr>
            <w:tcW w:w="1045" w:type="dxa"/>
            <w:vAlign w:val="center"/>
          </w:tcPr>
          <w:p w14:paraId="17B21EB5" w14:textId="56D67C3E" w:rsidR="007224ED" w:rsidRDefault="007224ED" w:rsidP="00B35FF7">
            <w:pPr>
              <w:jc w:val="left"/>
            </w:pPr>
            <w:r>
              <w:rPr>
                <w:b/>
                <w:bCs/>
                <w:noProof/>
              </w:rPr>
              <w:t>135,000</w:t>
            </w:r>
          </w:p>
        </w:tc>
        <w:tc>
          <w:tcPr>
            <w:tcW w:w="1035" w:type="dxa"/>
            <w:vAlign w:val="center"/>
          </w:tcPr>
          <w:p w14:paraId="2750C6B8" w14:textId="5BFB7B13" w:rsidR="007224ED" w:rsidRDefault="00CA110A" w:rsidP="00B35FF7">
            <w:pPr>
              <w:jc w:val="left"/>
            </w:pPr>
            <w:r>
              <w:rPr>
                <w:b/>
                <w:bCs/>
                <w:noProof/>
              </w:rPr>
              <w:t>74,500</w:t>
            </w:r>
          </w:p>
        </w:tc>
      </w:tr>
    </w:tbl>
    <w:p w14:paraId="0AE0F42D" w14:textId="59106676" w:rsidR="00CB0432" w:rsidRPr="00BE38DF" w:rsidRDefault="00CB0432" w:rsidP="00CB0432">
      <w:pPr>
        <w:pStyle w:val="Heading1"/>
        <w:spacing w:before="240"/>
        <w:rPr>
          <w:sz w:val="26"/>
          <w:szCs w:val="26"/>
        </w:rPr>
      </w:pPr>
      <w:r>
        <w:rPr>
          <w:sz w:val="26"/>
          <w:szCs w:val="26"/>
          <w:rtl/>
        </w:rPr>
        <w:t>ستُنفَّذ المرحلة الأولى من خطة التنفيذ المتعلقة بالمواد الهيدروفلوروكربونية بموجب تعديل كيغالي على شريحتين.</w:t>
      </w:r>
    </w:p>
    <w:p w14:paraId="730429AD" w14:textId="77777777" w:rsidR="00CB0432" w:rsidRPr="00BE38DF" w:rsidRDefault="00CB0432" w:rsidP="00CB0432">
      <w:pPr>
        <w:pStyle w:val="Heading1"/>
        <w:keepNext/>
        <w:numPr>
          <w:ilvl w:val="0"/>
          <w:numId w:val="0"/>
        </w:numPr>
        <w:suppressAutoHyphens/>
        <w:spacing w:before="240"/>
        <w:rPr>
          <w:sz w:val="26"/>
          <w:szCs w:val="26"/>
        </w:rPr>
      </w:pPr>
      <w:r>
        <w:rPr>
          <w:sz w:val="26"/>
          <w:szCs w:val="26"/>
          <w:u w:val="single"/>
          <w:rtl/>
        </w:rPr>
        <w:t>خطة تنفيذ الشريحة الأولى من خطة التنفيذ المتعلقة بالمواد الهيدروفلوروكربونية بموجب تعديل كيغالي</w:t>
      </w:r>
    </w:p>
    <w:p w14:paraId="367713A5" w14:textId="5245D809" w:rsidR="00CB0432" w:rsidRPr="00651147" w:rsidRDefault="00CB0432" w:rsidP="00CB0432">
      <w:pPr>
        <w:pStyle w:val="Heading1"/>
        <w:rPr>
          <w:sz w:val="26"/>
          <w:szCs w:val="26"/>
        </w:rPr>
      </w:pPr>
      <w:r>
        <w:rPr>
          <w:sz w:val="26"/>
          <w:szCs w:val="26"/>
          <w:rtl/>
        </w:rPr>
        <w:t>ستشمل خطة العمل المتفق عليها، بتكلفة إجمالية قدرها 74,500 دولار أمريكي، الأنشطة التالية:</w:t>
      </w:r>
    </w:p>
    <w:p w14:paraId="11396655" w14:textId="47F74677" w:rsidR="00CB0432" w:rsidRPr="00BE38DF" w:rsidRDefault="00510F02" w:rsidP="00CB0432">
      <w:pPr>
        <w:pStyle w:val="Heading2"/>
        <w:rPr>
          <w:sz w:val="26"/>
          <w:szCs w:val="26"/>
        </w:rPr>
      </w:pPr>
      <w:r>
        <w:rPr>
          <w:i/>
          <w:iCs/>
          <w:sz w:val="26"/>
          <w:szCs w:val="26"/>
          <w:rtl/>
        </w:rPr>
        <w:lastRenderedPageBreak/>
        <w:t>الإطار التنظيمي وآلية الرقابة:</w:t>
      </w:r>
      <w:r>
        <w:rPr>
          <w:sz w:val="26"/>
          <w:szCs w:val="26"/>
          <w:rtl/>
        </w:rPr>
        <w:t xml:space="preserve"> وضع المرسوم المتعلق بالمواد الهيدروفلوروكربونية واعتماده؛ وعقد حلقة عمل واحدة لأصحاب المصلحة لـ 100 مشارك بشأن نطاق العمل تمهيداً لاعتماده؛ وعقد حلقة عمل واحدة للتوعية لـ 100 مشارك بشأن تنفيذ المرسوم؛ وإعداد ونشر دليل بشأن التشريعات المتعلقة بالمواد المستنفدة للأوزون والمواد الهيدروفلوروكربونية؛ وتحديث نظام إصدار التراخيص والحصص للمواد الهيدروفلوروكربونية وتعزيزه، وعقد حلقة عمل واحدة بشأن تراخيص المواد الهيدروفلوروكربونية وحصصها لـ 50 مشاركاً؛ ووضع معايير وبروتوكولات تقنية وطنية بشأن استخدام المواد القابلة للاشتعال والسامة في معدات التبريد وتكييف الهواء، وتنظيم حلقة عمل واحدة للتوعية بشأن المعايير لما مجموعه 100 مشارك (31,000 دولار أمريكي)؛</w:t>
      </w:r>
    </w:p>
    <w:p w14:paraId="621776A3" w14:textId="01AB2C7B" w:rsidR="00CB0432" w:rsidRPr="00BE38DF" w:rsidRDefault="00270894" w:rsidP="00CB0432">
      <w:pPr>
        <w:pStyle w:val="Heading2"/>
        <w:rPr>
          <w:sz w:val="26"/>
          <w:szCs w:val="26"/>
        </w:rPr>
      </w:pPr>
      <w:r>
        <w:rPr>
          <w:i/>
          <w:iCs/>
          <w:sz w:val="26"/>
          <w:szCs w:val="26"/>
          <w:rtl/>
        </w:rPr>
        <w:t>بناء قدرات موظفي الجمارك وموظفي الإنفاذ:</w:t>
      </w:r>
      <w:r>
        <w:rPr>
          <w:sz w:val="26"/>
          <w:szCs w:val="26"/>
          <w:rtl/>
        </w:rPr>
        <w:t xml:space="preserve"> إعداد ونشر ملصقات ومواد إعلامية بشأن واردات المواد الخاضعة للرقابة والمعدات ورموز النظام المنسق، موجهة إلى موظفي الجمارك والوسطاء والمستوردين؛ وتنظيم زيارة دراسية واحدة إلى بلد عضو في الجماعة الاقتصادية لدول وسط أفريقيا لثلاثة من موظفي الجمارك/ضباط الشرطة الضريبية (9,000 دولار أمريكي)؛</w:t>
      </w:r>
    </w:p>
    <w:p w14:paraId="392F280D" w14:textId="18FB8FFF" w:rsidR="00CB0432" w:rsidRPr="00BE38DF" w:rsidRDefault="006A5AD4" w:rsidP="00CB0432">
      <w:pPr>
        <w:pStyle w:val="Heading2"/>
        <w:rPr>
          <w:sz w:val="26"/>
          <w:szCs w:val="26"/>
        </w:rPr>
      </w:pPr>
      <w:r>
        <w:rPr>
          <w:i/>
          <w:iCs/>
          <w:sz w:val="26"/>
          <w:szCs w:val="26"/>
          <w:rtl/>
        </w:rPr>
        <w:t>بناء قدرات فنيي التبريد وتكييف الهواء وفنيي أجهزة تكييف الهواء المتنقلة:</w:t>
      </w:r>
      <w:r>
        <w:rPr>
          <w:sz w:val="26"/>
          <w:szCs w:val="26"/>
          <w:rtl/>
        </w:rPr>
        <w:t xml:space="preserve"> تحديث المنهج الدراسي لمدرسة مهنية واحدة بشأن التكنولوجيات المنخفضة إمكانية الاحترار العالمي وإجراءات السلامة والاسترداد وإعادة التدوير؛ وإعداد مواد تدريبية لفنيي أجهزة تكييف الهواء المتنقلة؛ وتنظيم دورة تدريبية واحدة للمدربين؛ وتنظيم دورتين تدريبيتين لما مجموعه 40 فنياً بشأن التكنولوجيات الجديدة ومعايير السلامة والتحكم في التسرب وكفاءة استخدام الطاقة؛ وشراء مجموعتين من أجهزة تكييف الهواء السكنية القائمة على الهيدروفلوروكربون</w:t>
      </w:r>
      <w:r>
        <w:rPr>
          <w:sz w:val="26"/>
          <w:szCs w:val="26"/>
          <w:rtl/>
        </w:rPr>
        <w:noBreakHyphen/>
        <w:t>32 وأجهزة الكشف عن التسرب ومحطات إعادة التدوير وتسليمها إلى مراكز التدريب لأغراض التدريب؛ وإعداد دليل للتحكم في التسرب وعقد حلقة عمل واحدة بشأن إدارة التسرب لدعم المستخدمين النهائيين؛ وتنظيم حملتين للتوعية لـ 200 مشارك بشأن البدائل المنخفضة إمكانية الاحترار العالمي والموفرة للطاقة والصيانة الوقائية (28,000 دولار أمريكي)؛</w:t>
      </w:r>
    </w:p>
    <w:p w14:paraId="61205695" w14:textId="0C6F3B55" w:rsidR="00CB0432" w:rsidRPr="00BE38DF" w:rsidRDefault="00CB0432" w:rsidP="00CB0432">
      <w:pPr>
        <w:pStyle w:val="Heading2"/>
        <w:rPr>
          <w:sz w:val="26"/>
          <w:szCs w:val="26"/>
        </w:rPr>
      </w:pPr>
      <w:r>
        <w:rPr>
          <w:i/>
          <w:iCs/>
          <w:sz w:val="26"/>
          <w:szCs w:val="26"/>
          <w:rtl/>
        </w:rPr>
        <w:t>أنشطة رصد المشروع وتقييمه:</w:t>
      </w:r>
      <w:r>
        <w:rPr>
          <w:sz w:val="26"/>
          <w:szCs w:val="26"/>
          <w:rtl/>
        </w:rPr>
        <w:t xml:space="preserve"> تشمل الخبراء الاستشاريين (3,000 دولار أمريكي)، والسفر (1,500 دولار أمريكي)، والاجتماعات (1,500 دولار أمريكي)، وتكاليف أخرى (500 دولار أمريكي).</w:t>
      </w:r>
    </w:p>
    <w:p w14:paraId="499BD7E3" w14:textId="77777777" w:rsidR="00CB0432" w:rsidRPr="00BE38DF" w:rsidRDefault="00CB0432" w:rsidP="00CB0432">
      <w:pPr>
        <w:keepNext/>
        <w:spacing w:after="240"/>
        <w:outlineLvl w:val="0"/>
        <w:rPr>
          <w:bCs/>
          <w:sz w:val="26"/>
          <w:szCs w:val="26"/>
        </w:rPr>
      </w:pPr>
      <w:bookmarkStart w:id="17" w:name="_Hlk126916207"/>
      <w:bookmarkStart w:id="18" w:name="_Hlk126916178"/>
      <w:r>
        <w:rPr>
          <w:sz w:val="26"/>
          <w:szCs w:val="26"/>
          <w:u w:val="single"/>
          <w:rtl/>
        </w:rPr>
        <w:t>التمويل المشترك</w:t>
      </w:r>
    </w:p>
    <w:p w14:paraId="2EECF214" w14:textId="1843BC74" w:rsidR="001B0224" w:rsidRPr="00BE38DF" w:rsidRDefault="001B0224" w:rsidP="001B0224">
      <w:pPr>
        <w:pStyle w:val="Heading1"/>
        <w:rPr>
          <w:sz w:val="26"/>
          <w:szCs w:val="26"/>
          <w:lang w:eastAsia="en-CA"/>
          <w14:ligatures w14:val="standardContextual"/>
        </w:rPr>
      </w:pPr>
      <w:bookmarkStart w:id="19" w:name="_Hlk126916238"/>
      <w:r>
        <w:rPr>
          <w:sz w:val="26"/>
          <w:szCs w:val="26"/>
          <w:rtl/>
        </w:rPr>
        <w:t>ستقدم حكومة سان تومي وبرينسيبي تمويلاً مشتركاً عينياً لتنفيذ المرحلة الأولى من خطة التنفيذ المتعلقة بالمواد الهيدروفلوروكربونية بموجب تعديل كيغالي، يشمل دعمها للتنسيق وتنظيم الاجتماعات وحلقات العمل والمشاورات مع أصحاب المصلحة ومتابعة الأنشطة التنظيمية وأنشطة بناء القدرات، من خلال استخدام المرافق الوطنية ووقت الموظفين في أنشطة التدريب والتوعية والرصد.</w:t>
      </w:r>
    </w:p>
    <w:p w14:paraId="330FECAA" w14:textId="77777777" w:rsidR="00CB0432" w:rsidRPr="00BE38DF" w:rsidRDefault="00CB0432" w:rsidP="00CB0432">
      <w:pPr>
        <w:keepNext/>
        <w:spacing w:before="240" w:after="240"/>
        <w:outlineLvl w:val="0"/>
        <w:rPr>
          <w:bCs/>
          <w:sz w:val="26"/>
          <w:szCs w:val="26"/>
          <w:u w:val="single"/>
        </w:rPr>
      </w:pPr>
      <w:r>
        <w:rPr>
          <w:sz w:val="26"/>
          <w:szCs w:val="26"/>
          <w:u w:val="single"/>
          <w:rtl/>
        </w:rPr>
        <w:t>خطة أعمال الصندوق المتعدد الأطراف للفترة 2026–2028</w:t>
      </w:r>
    </w:p>
    <w:bookmarkEnd w:id="19"/>
    <w:p w14:paraId="728CB887" w14:textId="23D4A047" w:rsidR="005B6432" w:rsidRPr="00BE38DF" w:rsidRDefault="005B6432" w:rsidP="005B6432">
      <w:pPr>
        <w:pStyle w:val="Heading1"/>
        <w:rPr>
          <w:sz w:val="26"/>
          <w:szCs w:val="26"/>
          <w:lang w:eastAsia="en-CA"/>
          <w14:ligatures w14:val="standardContextual"/>
        </w:rPr>
      </w:pPr>
      <w:r>
        <w:rPr>
          <w:sz w:val="26"/>
          <w:szCs w:val="26"/>
          <w:rtl/>
        </w:rPr>
        <w:t>يطلب اليونيب مبلغ 135,000 دولار أمريكي، زائد تكاليف دعم الوكالة، لتنفيذ المرحلة الأولى من خطة التنفيذ المتعلقة بالمواد الهيدروفلوروكربونية بموجب تعديل كيغالي لسان تومي وبرينسيبي. ويزيد مجموع القيمة المطلوبة للفترة 2026–2028، البالغ 152,550 دولاراً أمريكياً، بما في ذلك تكاليف دعم الوكالة، بمقدار 76,275 دولاراً أمريكياً على المبلغ الوارد في خطة الأعمال.</w:t>
      </w:r>
    </w:p>
    <w:p w14:paraId="11A8DA17" w14:textId="77777777" w:rsidR="00CB0432" w:rsidRPr="00BE38DF" w:rsidRDefault="00CB0432" w:rsidP="00CB0432">
      <w:pPr>
        <w:keepNext/>
        <w:spacing w:after="240"/>
        <w:rPr>
          <w:iCs/>
          <w:sz w:val="26"/>
          <w:szCs w:val="26"/>
          <w:u w:val="single"/>
        </w:rPr>
      </w:pPr>
      <w:r>
        <w:rPr>
          <w:iCs/>
          <w:sz w:val="26"/>
          <w:szCs w:val="26"/>
          <w:u w:val="single"/>
          <w:rtl/>
        </w:rPr>
        <w:lastRenderedPageBreak/>
        <w:t>تنفيذ السياسة الجنسانية</w:t>
      </w:r>
    </w:p>
    <w:p w14:paraId="6C8B1DC3" w14:textId="18B528CD" w:rsidR="00CE1110" w:rsidRPr="00CE1110" w:rsidRDefault="00CE1110">
      <w:pPr>
        <w:pStyle w:val="Heading1"/>
        <w:shd w:val="clear" w:color="auto" w:fill="FFFFFF" w:themeFill="background1"/>
        <w:rPr>
          <w:sz w:val="26"/>
          <w:szCs w:val="26"/>
          <w:lang w:eastAsia="en-CA"/>
        </w:rPr>
      </w:pPr>
      <w:bookmarkStart w:id="20" w:name="_Hlk126916186"/>
      <w:bookmarkEnd w:id="17"/>
      <w:bookmarkEnd w:id="18"/>
      <w:r>
        <w:rPr>
          <w:sz w:val="26"/>
          <w:szCs w:val="26"/>
          <w:rtl/>
        </w:rPr>
        <w:t>وفقاً للمقررات 84/92 و90/48 و92/40، أدرجت حكومة سان تومي وبرينسيبي السياسة في إعداد وصياغة المرحلة الأولى من خطة التنفيذ المتعلقة بالمواد الهيدروفلوروكربونية بموجب تعديل كيغالي. وخلال إعداد المشروع، أُجري تقييم لوضع المرأة في القوى العاملة في قطاع التبريد وتكييف الهواء، تبيّن منه أن مشاركة المرأة في قطاع خدمة أجهزة التبريد وتكييف الهواء منخفضة للغاية، إذ لا يتجاوز عدد النساء أربعاً من بين 110 فنيين في مجال الخدمة. وخلال المرحلة الأولى من خطة التنفيذ المتعلقة بالمواد الهيدروفلوروكربونية بموجب تعديل كيغالي، ستضطلع وحدة الأوزون الوطنية بأنشطة للتوعية لتشجيع المرأة على الانضمام إلى قطاع التبريد وتكييف الهواء والمشاركة في الدورات التدريبية والمشاورات؛ وإشراك الخبيرات حيثما توافرن؛ ودعم أنشطة التواصل الموجهة في إطار النشاط المكمل لخطة إدارة إزالة المواد الهيدروكلوروفلوروكربونية الذي يشجع الطالبات والفنيات في مجال التبريد وتكييف الهواء. وستواصل المرحلة الأولى أيضاً تتبع عدد النساء والرجال المشاركين في تنفيذ المشروع، بما في ذلك في تدريب الفنيين وتدريب موظفي الجمارك وموظفي الإنفاذ والمشاورات مع أصحاب المصلحة وتوظيف موظفي المشروع. كما تعتزم وحدة الأوزون الوطنية متابعة المناقشات والتوصيات والممارسات الجيدة التي تنشأ خلال التنفيذ، لضمان المشاركة المنصفة للنساء والرجال في جميع أنشطة المرحلة الأولى من خطة التنفيذ المتعلقة بالمواد الهيدروفلوروكربونية بموجب تعديل كيغالي.</w:t>
      </w:r>
    </w:p>
    <w:p w14:paraId="027A9324" w14:textId="77777777" w:rsidR="00CB0432" w:rsidRPr="00BE38DF" w:rsidRDefault="00CB0432" w:rsidP="00CB0432">
      <w:pPr>
        <w:pStyle w:val="Heading1"/>
        <w:keepNext/>
        <w:numPr>
          <w:ilvl w:val="0"/>
          <w:numId w:val="0"/>
        </w:numPr>
        <w:rPr>
          <w:sz w:val="26"/>
          <w:szCs w:val="26"/>
          <w:u w:val="single"/>
        </w:rPr>
      </w:pPr>
      <w:r>
        <w:rPr>
          <w:sz w:val="26"/>
          <w:szCs w:val="26"/>
          <w:u w:val="single"/>
          <w:rtl/>
        </w:rPr>
        <w:t>استدامة التخفيض التدريجي للمواد الهيدروفلوروكربونية وتقييم المخاطر</w:t>
      </w:r>
    </w:p>
    <w:bookmarkEnd w:id="20"/>
    <w:p w14:paraId="242ABC35" w14:textId="38939D9A" w:rsidR="00D522BD" w:rsidRDefault="00D522BD" w:rsidP="003A7313">
      <w:pPr>
        <w:pStyle w:val="Heading1"/>
        <w:rPr>
          <w:sz w:val="26"/>
          <w:szCs w:val="26"/>
          <w:lang w:eastAsia="en-CA"/>
          <w14:ligatures w14:val="standardContextual"/>
        </w:rPr>
      </w:pPr>
      <w:r>
        <w:rPr>
          <w:sz w:val="26"/>
          <w:szCs w:val="26"/>
          <w:rtl/>
          <w:lang w:eastAsia="en-CA"/>
          <w14:ligatures w14:val="standardContextual"/>
        </w:rPr>
        <w:t>ستُدعم استدامة التخفيض التدريجي للمواد الهيدروفلوروكربونية بالأنشطة المقترحة في إطار خطة التنفيذ المتعلقة بالمواد الهيدروفلوروكربونية بموجب تعديل كيغالي وبالقدرات المؤسسية والتقنية والتنظيمية التي أُنشئت من خلال خطة إدارة إزالة المواد الهيدروكلوروفلوروكربونية على السواء. وتشمل التدابير الرئيسية تدريب فنيي التبريد وتكييف الهواء ومنحهم الشهادات، وتعزيز مراكز التدريب، ووضع معايير وطنية للاستخدام الآمن لمواد التبريد القابلة للاشتعال واعتمادها، وبرامج بناء قدرات موظفي الجمارك وموظفي الإنفاذ. وستساعد هذه التدخلات على ضمان الاعتماد الطويل الأجل للممارسات الجيدة في الخدمة، والمناولة الآمنة لمواد التبريد البديلة، والإنفاذ الفعال لتدابير الرقابة. وبالإضافة إلى ذلك، فإن إدخال تدابير تنظيمية، بما فيها القيود وأنواع الحظر المزمعة على مواد تبريد ومعدات مختارة ذات إمكانية احترار عالمي مرتفعة، سيعزز جهود البلد في مجال التخفيض التدريجي للمواد الهيدروفلوروكربونية ويدعم استدامتها.</w:t>
      </w:r>
    </w:p>
    <w:p w14:paraId="0CF36530" w14:textId="665E0543" w:rsidR="003A7313" w:rsidRPr="00BE38DF" w:rsidRDefault="003A7313" w:rsidP="003A7313">
      <w:pPr>
        <w:pStyle w:val="Heading1"/>
        <w:rPr>
          <w:sz w:val="26"/>
          <w:szCs w:val="26"/>
          <w:lang w:eastAsia="en-CA"/>
          <w14:ligatures w14:val="standardContextual"/>
        </w:rPr>
      </w:pPr>
      <w:r>
        <w:rPr>
          <w:sz w:val="26"/>
          <w:szCs w:val="26"/>
          <w:rtl/>
        </w:rPr>
        <w:t>وتشمل المخاطر المحتملة التي تواجه استدامة التخفيض التدريجي للمواد الهيدروفلوروكربونية في سان تومي وبرينسيبي التأخيرات الإدارية أو المؤسسية التي تؤثر على اعتماد التدابير المتعلقة بالمواد الهيدروفلوروكربونية وإنفاذها؛ وعدم كفاية القدرات التشريعية أو التنظيمية أو القدرات في مجال إدارة المشاريع؛ ومحدودية التزام أصحاب المصلحة؛ والعوامل الخارجية التي قد تؤخر التنفيذ؛ ومحدودية توافر البدائل المنخفضة إمكانية الاحترار العالمي والقدرة على تحمل تكلفتها وقبولها في السوق. وللتخفيف من هذه المخاطر، ستواصل وحدة الأوزون الوطنية، بدعم من اليونيب، التنسيق الوثيق مع الوزارات وأصحاب المصلحة المعنيين، وتعزيز نظام إصدار التراخيص والحصص، والمضي قدماً في إعداد المرسوم المتعلق بالمواد الهيدروفلوروكربونية والتدابير التنظيمية الأخرى، ومواصلة تعزيز الرقابة على الاستيراد وقدرات الإنفاذ. وسيُرصد مستوى الاستدامة من خلال التنسيق المنتظم الذي تتولاه وحدة الأوزون الوطنية، وتقارير تنفيذ الشرائح، والتقارير المرحلية السنوية، والتحقق من استهلاك المواد الهيدروفلوروكربونية عند الاقتضاء، والاستعراض المستمر لاتجاهات الاستهلاك ومشاركة أصحاب المصلحة والتقدم المحرز في التنفيذ، بحيث يمكن معالجة أي مخاطر ناشئة في الوقت المناسب.</w:t>
      </w:r>
    </w:p>
    <w:p w14:paraId="64722E59" w14:textId="23C312AC" w:rsidR="003A7313" w:rsidRPr="00BE38DF" w:rsidRDefault="00CB0432" w:rsidP="003A7313">
      <w:pPr>
        <w:keepNext/>
        <w:spacing w:before="240" w:after="240"/>
        <w:rPr>
          <w:sz w:val="26"/>
          <w:szCs w:val="26"/>
        </w:rPr>
      </w:pPr>
      <w:bookmarkStart w:id="21" w:name="_Hlk126916245"/>
      <w:r>
        <w:rPr>
          <w:sz w:val="26"/>
          <w:szCs w:val="26"/>
          <w:u w:val="single"/>
          <w:rtl/>
        </w:rPr>
        <w:t>الأثر على المناخ</w:t>
      </w:r>
    </w:p>
    <w:p w14:paraId="5670269A" w14:textId="0534A33F" w:rsidR="003A7313" w:rsidRPr="00BE38DF" w:rsidRDefault="003A7313" w:rsidP="003A7313">
      <w:pPr>
        <w:pStyle w:val="Heading1"/>
        <w:rPr>
          <w:sz w:val="26"/>
          <w:szCs w:val="26"/>
          <w:lang w:eastAsia="en-CA"/>
          <w14:ligatures w14:val="standardContextual"/>
        </w:rPr>
      </w:pPr>
      <w:r>
        <w:rPr>
          <w:sz w:val="26"/>
          <w:szCs w:val="26"/>
          <w:rtl/>
        </w:rPr>
        <w:t xml:space="preserve">تشير الأنشطة المقترحة، بما فيها الجهود الرامية إلى الترويج للبدائل المنخفضة إمكانية الاحترار العالمي، واسترداد مواد التبريد وإعادة استخدامها، والممارسات الجيدة في الخدمة، والحد من التسرب، والاستخدام الآمن لمواد التبريد القابلة للاشتعال، والتوعية الموجهة، إلى أن تنفيذ المرحلة الأولى من خطة التنفيذ المتعلقة بالمواد الهيدروفلوروكربونية بموجب تعديل كيغالي سيخفض انبعاثات مواد التبريد في الغلاف الجوي، مما يحقق فوائد للمناخ. </w:t>
      </w:r>
      <w:r>
        <w:rPr>
          <w:sz w:val="26"/>
          <w:szCs w:val="26"/>
          <w:rtl/>
        </w:rPr>
        <w:lastRenderedPageBreak/>
        <w:t>ويبيّن حساب الأثر على المناخ للأنشطة الواردة في خطة التنفيذ المتعلقة بالمواد الهيدروفلوروكربونية بموجب تعديل كيغالي أن سان تومي وبرينسيبي ستكون، بحلول عام 2029، قد خفضت انبعاثاتها من المواد الهيدروفلوروكربونية بنحو 35,973 طناً من مكافئ ثاني أكسيد الكربون، محسوبة على أنها الفرق بين خط أساس المواد الهيدروفلوروكربونية لأغراض الامتثال والهدف المحدد لعام 2029، على افتراض أن جميع المواد الهيدروفلوروكربونية المستهلكة كانت ستنبعث في نهاية المطاف.</w:t>
      </w:r>
    </w:p>
    <w:p w14:paraId="0642BE53" w14:textId="77777777" w:rsidR="00CB0432" w:rsidRPr="00BE38DF" w:rsidRDefault="00CB0432" w:rsidP="00CB0432">
      <w:pPr>
        <w:pStyle w:val="Heading1"/>
        <w:keepNext/>
        <w:numPr>
          <w:ilvl w:val="0"/>
          <w:numId w:val="0"/>
        </w:numPr>
        <w:spacing w:before="240"/>
        <w:rPr>
          <w:bCs/>
          <w:sz w:val="26"/>
          <w:szCs w:val="26"/>
          <w:u w:val="single"/>
        </w:rPr>
      </w:pPr>
      <w:r>
        <w:rPr>
          <w:sz w:val="26"/>
          <w:szCs w:val="26"/>
          <w:u w:val="single"/>
          <w:rtl/>
        </w:rPr>
        <w:t>مشروع الاتفاق</w:t>
      </w:r>
    </w:p>
    <w:p w14:paraId="3365B1F3" w14:textId="11579932" w:rsidR="007D7950" w:rsidRPr="00BE38DF" w:rsidRDefault="007D7950" w:rsidP="007D7950">
      <w:pPr>
        <w:pStyle w:val="Heading1"/>
        <w:rPr>
          <w:sz w:val="26"/>
          <w:szCs w:val="26"/>
          <w:lang w:eastAsia="en-CA"/>
          <w14:ligatures w14:val="standardContextual"/>
        </w:rPr>
      </w:pPr>
      <w:bookmarkStart w:id="22" w:name="_Hlk126916251"/>
      <w:bookmarkEnd w:id="21"/>
      <w:r>
        <w:rPr>
          <w:sz w:val="26"/>
          <w:szCs w:val="26"/>
          <w:rtl/>
        </w:rPr>
        <w:t>يرد في المرفق الثاني بهذه الوثيقة مشروع اتفاق بين حكومة سان تومي وبرينسيبي واللجنة التنفيذية بشأن المرحلة الأولى من خطة التنفيذ المتعلقة بالمواد الهيدروفلوروكربونية بموجب تعديل كيغالي.</w:t>
      </w:r>
    </w:p>
    <w:p w14:paraId="200C23D6" w14:textId="77777777" w:rsidR="00CB0432" w:rsidRPr="00BE38DF" w:rsidRDefault="00CB0432" w:rsidP="00CB0432">
      <w:pPr>
        <w:keepNext/>
        <w:suppressAutoHyphens/>
        <w:spacing w:before="240" w:after="240"/>
        <w:rPr>
          <w:iCs/>
          <w:sz w:val="26"/>
          <w:szCs w:val="26"/>
          <w:u w:val="single"/>
        </w:rPr>
      </w:pPr>
      <w:r>
        <w:rPr>
          <w:iCs/>
          <w:sz w:val="26"/>
          <w:szCs w:val="26"/>
          <w:u w:val="single"/>
          <w:rtl/>
        </w:rPr>
        <w:t>تنسيق الأنشطة في قطاع الخدمة في إطار خطتي إزالة المواد الهيدروكلوروفلوروكربونية والتخفيض التدريجي للمواد الهيدروفلوروكربونية</w:t>
      </w:r>
    </w:p>
    <w:p w14:paraId="0CC79001" w14:textId="1DECEE16" w:rsidR="00CB0432" w:rsidRPr="00BE38DF" w:rsidRDefault="00CB0432" w:rsidP="00CB0432">
      <w:pPr>
        <w:pStyle w:val="Heading1"/>
        <w:rPr>
          <w:sz w:val="26"/>
          <w:szCs w:val="26"/>
        </w:rPr>
      </w:pPr>
      <w:r>
        <w:rPr>
          <w:sz w:val="26"/>
          <w:szCs w:val="26"/>
          <w:rtl/>
        </w:rPr>
        <w:t>يتضمن المرفق الثالث موجزاً للتنفيذ المتزامن للأنشطة في إطار خطة إدارة إزالة المواد الهيدروكلوروفلوروكربونية وخطة التنفيذ المتعلقة بالمواد الهيدروفلوروكربونية بموجب تعديل كيغالي.</w:t>
      </w:r>
    </w:p>
    <w:p w14:paraId="5EEC1FDF" w14:textId="77777777" w:rsidR="00CB0432" w:rsidRPr="00BE38DF"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sz w:val="26"/>
          <w:szCs w:val="26"/>
        </w:rPr>
      </w:pPr>
      <w:r>
        <w:rPr>
          <w:b/>
          <w:bCs/>
          <w:sz w:val="26"/>
          <w:szCs w:val="26"/>
          <w:rtl/>
        </w:rPr>
        <w:t>سادساً</w:t>
      </w:r>
      <w:r>
        <w:rPr>
          <w:b/>
          <w:bCs/>
          <w:sz w:val="26"/>
          <w:szCs w:val="26"/>
          <w:rtl/>
        </w:rPr>
        <w:tab/>
        <w:t>التوصية</w:t>
      </w:r>
      <w:bookmarkEnd w:id="22"/>
    </w:p>
    <w:p w14:paraId="1D73C7CF" w14:textId="3BE0D2A1" w:rsidR="007D7950" w:rsidRPr="00BE38DF" w:rsidRDefault="007D7950" w:rsidP="00060028">
      <w:pPr>
        <w:pStyle w:val="Heading1"/>
        <w:keepNext/>
        <w:rPr>
          <w:sz w:val="26"/>
          <w:szCs w:val="26"/>
          <w:lang w:eastAsia="en-CA"/>
          <w14:ligatures w14:val="standardContextual"/>
        </w:rPr>
      </w:pPr>
      <w:r>
        <w:rPr>
          <w:sz w:val="26"/>
          <w:szCs w:val="26"/>
          <w:rtl/>
        </w:rPr>
        <w:t>قد ترغب اللجنة التنفيذية في النظر فيما يلي:</w:t>
      </w:r>
    </w:p>
    <w:p w14:paraId="13C9D5FA" w14:textId="3B49B604" w:rsidR="007D7950" w:rsidRDefault="007D7950" w:rsidP="00060028">
      <w:pPr>
        <w:pStyle w:val="Heading2"/>
        <w:keepNext/>
        <w:rPr>
          <w:sz w:val="26"/>
          <w:szCs w:val="26"/>
        </w:rPr>
      </w:pPr>
      <w:r>
        <w:rPr>
          <w:sz w:val="26"/>
          <w:szCs w:val="26"/>
          <w:rtl/>
        </w:rPr>
        <w:t>الموافقة، من حيث المبدأ، على المرحلة الأولى من خطة التنفيذ المتعلقة بالمواد الهيدروفلوروكربونية بموجب تعديل كيغالي لسان تومي وبرينسيبي للفترة 2026–2029 لخفض استهلاك المواد الهيدروفلوروكربونية بنسبة 50.64 في المائة من خط الأساس للبلد، بمبلغ 135,000 دولار أمريكي، زائد تكاليف دعم الوكالة البالغة 17,550 دولاراً أمريكياً لليونيب؛</w:t>
      </w:r>
    </w:p>
    <w:p w14:paraId="69AA9D5A" w14:textId="1FC0B482" w:rsidR="007D7950" w:rsidRPr="00BE38DF" w:rsidRDefault="007D7950" w:rsidP="004D0ADA">
      <w:pPr>
        <w:pStyle w:val="Heading2"/>
        <w:rPr>
          <w:kern w:val="2"/>
          <w:sz w:val="26"/>
          <w:szCs w:val="26"/>
          <w:lang w:eastAsia="en-CA"/>
          <w14:ligatures w14:val="standardContextual"/>
        </w:rPr>
      </w:pPr>
      <w:r>
        <w:rPr>
          <w:sz w:val="26"/>
          <w:szCs w:val="26"/>
          <w:rtl/>
        </w:rPr>
        <w:t>الموافقة على ما يلي:</w:t>
      </w:r>
    </w:p>
    <w:p w14:paraId="7FF5389B" w14:textId="3C0AABAB" w:rsidR="007D7950" w:rsidRPr="00BE38DF" w:rsidRDefault="007D7950" w:rsidP="007D7950">
      <w:pPr>
        <w:pStyle w:val="Heading3"/>
        <w:rPr>
          <w:kern w:val="2"/>
          <w:sz w:val="26"/>
          <w:szCs w:val="26"/>
          <w:lang w:eastAsia="en-CA"/>
          <w14:ligatures w14:val="standardContextual"/>
        </w:rPr>
      </w:pPr>
      <w:r>
        <w:rPr>
          <w:sz w:val="26"/>
          <w:szCs w:val="26"/>
          <w:rtl/>
        </w:rPr>
        <w:t>مشروع الاتفاق بين حكومة سان تومي وبرينسيبي واللجنة التنفيذية بشأن 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الثاني بهذه الوثيقة؛</w:t>
      </w:r>
    </w:p>
    <w:p w14:paraId="3CF8DCA8" w14:textId="1B82E8F4" w:rsidR="007D7950" w:rsidRPr="00BE38DF" w:rsidRDefault="007D7950" w:rsidP="007D7950">
      <w:pPr>
        <w:pStyle w:val="Heading3"/>
        <w:rPr>
          <w:kern w:val="2"/>
          <w:sz w:val="26"/>
          <w:szCs w:val="26"/>
          <w:lang w:eastAsia="en-CA"/>
          <w14:ligatures w14:val="standardContextual"/>
        </w:rPr>
      </w:pPr>
      <w:r>
        <w:rPr>
          <w:sz w:val="26"/>
          <w:szCs w:val="26"/>
          <w:rtl/>
        </w:rPr>
        <w:t>الشريحة الأولى من المرحلة الأولى من خطة التنفيذ المتعلقة بالمواد الهيدروفلوروكربونية بموجب تعديل كيغالي لسان تومي وبرينسيبي وخطة تنفيذ الشريحة المقابلة، بمبلغ 74,500 دولار أمريكي، زائد تكاليف دعم الوكالة البالغة 9,685 دولاراً أمريكياً لليونيب.</w:t>
      </w:r>
    </w:p>
    <w:p w14:paraId="5442442E" w14:textId="77777777" w:rsidR="00B43A6B" w:rsidRDefault="00B43A6B" w:rsidP="009C004B">
      <w:pPr>
        <w:pStyle w:val="Heading2"/>
        <w:numPr>
          <w:ilvl w:val="0"/>
          <w:numId w:val="0"/>
        </w:numPr>
        <w:spacing w:before="360"/>
        <w:rPr>
          <w:b/>
          <w:bCs/>
          <w:sz w:val="26"/>
          <w:szCs w:val="26"/>
        </w:rPr>
        <w:sectPr w:rsidR="00B43A6B" w:rsidSect="002D16B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14956606" w14:textId="77777777" w:rsidR="00B43A6B" w:rsidRDefault="00B43A6B" w:rsidP="00B43A6B">
      <w:pPr>
        <w:spacing w:after="240"/>
        <w:jc w:val="center"/>
        <w:rPr>
          <w:b/>
          <w:bCs/>
          <w:sz w:val="26"/>
          <w:szCs w:val="26"/>
        </w:rPr>
      </w:pPr>
      <w:r>
        <w:rPr>
          <w:b/>
          <w:bCs/>
          <w:sz w:val="26"/>
          <w:szCs w:val="26"/>
          <w:rtl/>
        </w:rPr>
        <w:lastRenderedPageBreak/>
        <w:t>المرفق الأول</w:t>
      </w:r>
    </w:p>
    <w:p w14:paraId="4277B7D7" w14:textId="77777777" w:rsidR="00B43A6B" w:rsidRPr="00B375EA" w:rsidRDefault="00B43A6B" w:rsidP="00B43A6B">
      <w:pPr>
        <w:jc w:val="center"/>
        <w:rPr>
          <w:b/>
          <w:sz w:val="26"/>
          <w:szCs w:val="26"/>
        </w:rPr>
      </w:pPr>
      <w:r>
        <w:rPr>
          <w:b/>
          <w:bCs/>
          <w:sz w:val="26"/>
          <w:szCs w:val="26"/>
          <w:rtl/>
        </w:rPr>
        <w:t>مشروع اتفاق بين حكومة سان تومي وبرينسيبي</w:t>
      </w:r>
      <w:r>
        <w:rPr>
          <w:b/>
          <w:bCs/>
          <w:sz w:val="26"/>
          <w:szCs w:val="26"/>
          <w:rtl/>
        </w:rPr>
        <w:br/>
        <w:t>واللجنة التنفيذية للصندوق المتعدد الأطراف</w:t>
      </w:r>
      <w:r>
        <w:rPr>
          <w:b/>
          <w:bCs/>
          <w:sz w:val="26"/>
          <w:szCs w:val="26"/>
          <w:rtl/>
        </w:rPr>
        <w:br/>
        <w:t>بشأن خفض استهلاك المواد الهيدروكلوروفلوروكربونية</w:t>
      </w:r>
      <w:r>
        <w:rPr>
          <w:b/>
          <w:bCs/>
          <w:sz w:val="26"/>
          <w:szCs w:val="26"/>
          <w:rtl/>
        </w:rPr>
        <w:br/>
        <w:t>وفقاً للمرحلة الثانية من خطة إدارة إزالة المواد الهيدروكلوروفلوروكربونية</w:t>
      </w:r>
    </w:p>
    <w:p w14:paraId="05D48DC6" w14:textId="77777777" w:rsidR="00B43A6B" w:rsidRPr="00B375EA" w:rsidRDefault="00B43A6B" w:rsidP="00B43A6B">
      <w:pPr>
        <w:keepNext/>
        <w:spacing w:before="240" w:after="240"/>
        <w:rPr>
          <w:b/>
          <w:sz w:val="26"/>
          <w:szCs w:val="26"/>
        </w:rPr>
      </w:pPr>
      <w:r>
        <w:rPr>
          <w:b/>
          <w:bCs/>
          <w:sz w:val="26"/>
          <w:szCs w:val="26"/>
          <w:rtl/>
        </w:rPr>
        <w:t>الغرض</w:t>
      </w:r>
    </w:p>
    <w:p w14:paraId="464F902A" w14:textId="77777777" w:rsidR="00B43A6B" w:rsidRPr="00B375EA" w:rsidRDefault="00B43A6B" w:rsidP="00DE2C96">
      <w:pPr>
        <w:pStyle w:val="Heading1"/>
        <w:numPr>
          <w:ilvl w:val="0"/>
          <w:numId w:val="8"/>
        </w:numPr>
        <w:rPr>
          <w:sz w:val="26"/>
          <w:szCs w:val="26"/>
        </w:rPr>
      </w:pPr>
      <w:r>
        <w:rPr>
          <w:sz w:val="26"/>
          <w:szCs w:val="26"/>
          <w:rtl/>
        </w:rPr>
        <w:t>يمثل هذا الاتفاق التفاهم بين حكومة سان تومي وبرينسيبي ("البلد") واللجنة التنفيذية فيما يتعلق بخفض الاستخدام الخاضع للرقابة للمواد المستنفدة للأوزون المحددة في التذييل 1</w:t>
      </w:r>
      <w:r>
        <w:rPr>
          <w:sz w:val="26"/>
          <w:szCs w:val="26"/>
          <w:rtl/>
        </w:rPr>
        <w:noBreakHyphen/>
        <w:t>ألف ("المواد") إلى مستوى ثابت قدره صفر طن من قدرات استنفاد الأوزون بحلول 1 كانون الثاني/يناير 2030 امتثالاً للجدول الزمني لبروتوكول مونتريال.</w:t>
      </w:r>
    </w:p>
    <w:p w14:paraId="755A6DAD" w14:textId="29356A4F" w:rsidR="00B43A6B" w:rsidRDefault="00B43A6B" w:rsidP="00B43A6B">
      <w:pPr>
        <w:pStyle w:val="Heading1"/>
        <w:rPr>
          <w:sz w:val="26"/>
          <w:szCs w:val="26"/>
        </w:rPr>
      </w:pPr>
      <w:r>
        <w:rPr>
          <w:sz w:val="26"/>
          <w:szCs w:val="26"/>
          <w:rtl/>
        </w:rPr>
        <w:t>يوافق البلد على التقيد بحدود الاستهلاك السنوي للمواد على النحو المبين في الصف 1.2 من التذييل 2</w:t>
      </w:r>
      <w:r>
        <w:rPr>
          <w:sz w:val="26"/>
          <w:szCs w:val="26"/>
          <w:rtl/>
        </w:rPr>
        <w:noBreakHyphen/>
        <w:t>ألف ("الأهداف والتمويل") في هذا الاتفاق وكذلك في الجدول الزمني للتخفيض بموجب بروتوكول مونتريال لجميع المواد المذكورة في التذييل 1</w:t>
      </w:r>
      <w:r>
        <w:rPr>
          <w:sz w:val="26"/>
          <w:szCs w:val="26"/>
          <w:rtl/>
        </w:rPr>
        <w:noBreakHyphen/>
        <w:t>ألف. ويقبل البلد أنه، بقبوله هذا الاتفاق ووفاء اللجنة التنفيذية بالتزاماتها التمويلية المبينة في الفقرة 3، لا يحق له طلب أو تلقي مزيد من التمويل من الصندوق المتعدد الأطراف فيما يتعلق بأي استهلاك للمواد يتجاوز المستوى المحدد في الصف 1.2 من التذييل 2</w:t>
      </w:r>
      <w:r>
        <w:rPr>
          <w:sz w:val="26"/>
          <w:szCs w:val="26"/>
          <w:rtl/>
        </w:rPr>
        <w:noBreakHyphen/>
        <w:t>ألف بوصفه الخطوة النهائية للتخفيض بموجب هذا الاتفاق لجميع المواد المحددة في التذييل 1</w:t>
      </w:r>
      <w:r>
        <w:rPr>
          <w:sz w:val="26"/>
          <w:szCs w:val="26"/>
          <w:rtl/>
        </w:rPr>
        <w:noBreakHyphen/>
        <w:t>ألف، وفيما يتعلق بأي استهلاك لكل مادة من المواد يتجاوز المستوى المحدد في الصف 4.1.3 (الاستهلاك المتبقي المؤهل للتمويل).</w:t>
      </w:r>
    </w:p>
    <w:p w14:paraId="292E7E8F" w14:textId="77777777" w:rsidR="00B43A6B" w:rsidRPr="00B375EA" w:rsidRDefault="00B43A6B" w:rsidP="00B43A6B">
      <w:pPr>
        <w:pStyle w:val="Heading1"/>
        <w:rPr>
          <w:sz w:val="26"/>
          <w:szCs w:val="26"/>
        </w:rPr>
      </w:pPr>
      <w:r>
        <w:rPr>
          <w:sz w:val="26"/>
          <w:szCs w:val="26"/>
          <w:rtl/>
        </w:rPr>
        <w:t>رهناً بامتثال البلد لالتزاماته المنصوص عليها في هذا الاتفاق، توافق اللجنة التنفيذية، من حيث المبدأ، على تقديم التمويل المحدد في الصف 3.1 من التذييل 2</w:t>
      </w:r>
      <w:r>
        <w:rPr>
          <w:sz w:val="26"/>
          <w:szCs w:val="26"/>
          <w:rtl/>
        </w:rPr>
        <w:noBreakHyphen/>
        <w:t>ألف إلى البلد. وستقدم اللجنة التنفيذية هذا التمويل، من حيث المبدأ، في اجتماعات اللجنة التنفيذية المحددة في التذييل 3</w:t>
      </w:r>
      <w:r>
        <w:rPr>
          <w:sz w:val="26"/>
          <w:szCs w:val="26"/>
          <w:rtl/>
        </w:rPr>
        <w:noBreakHyphen/>
        <w:t>ألف ("الجدول الزمني للموافقة على التمويل").</w:t>
      </w:r>
    </w:p>
    <w:p w14:paraId="77B9FF66" w14:textId="77777777" w:rsidR="00B43A6B" w:rsidRPr="00B375EA" w:rsidRDefault="00B43A6B" w:rsidP="00B43A6B">
      <w:pPr>
        <w:pStyle w:val="Heading1"/>
        <w:rPr>
          <w:sz w:val="26"/>
          <w:szCs w:val="26"/>
        </w:rPr>
      </w:pPr>
      <w:r>
        <w:rPr>
          <w:sz w:val="26"/>
          <w:szCs w:val="26"/>
          <w:rtl/>
        </w:rPr>
        <w:t>يوافق البلد على تنفيذ هذا الاتفاق وفقاً للمرحلة الثانية الموافق عليها من خطة إدارة إزالة المواد الهيدروكلوروفلوروكربونية ("الخطة"). ووفقاً للفقرة الفرعية 5(ب) من هذا الاتفاق، سيقبل البلد إجراء تحقق مستقل من تحقيق حدود الاستهلاك السنوي للمواد على النحو المبين في الصف 1.2 من التذييل 2</w:t>
      </w:r>
      <w:r>
        <w:rPr>
          <w:sz w:val="26"/>
          <w:szCs w:val="26"/>
          <w:rtl/>
        </w:rPr>
        <w:noBreakHyphen/>
        <w:t>ألف من هذا الاتفاق. وتتولى الوكالة الثنائية أو المنفذة المعنية التكليف بإجراء التحقق المذكور أعلاه.</w:t>
      </w:r>
    </w:p>
    <w:p w14:paraId="3587E8E3" w14:textId="77777777" w:rsidR="00B43A6B" w:rsidRPr="00B375EA" w:rsidRDefault="00B43A6B" w:rsidP="00B43A6B">
      <w:pPr>
        <w:keepNext/>
        <w:spacing w:after="240"/>
        <w:rPr>
          <w:b/>
          <w:sz w:val="26"/>
          <w:szCs w:val="26"/>
        </w:rPr>
      </w:pPr>
      <w:r>
        <w:rPr>
          <w:b/>
          <w:bCs/>
          <w:sz w:val="26"/>
          <w:szCs w:val="26"/>
          <w:rtl/>
        </w:rPr>
        <w:t>شروط الإفراج عن التمويل</w:t>
      </w:r>
    </w:p>
    <w:p w14:paraId="39FE179E" w14:textId="77777777" w:rsidR="00B43A6B" w:rsidRPr="00B375EA" w:rsidRDefault="00B43A6B" w:rsidP="00B43A6B">
      <w:pPr>
        <w:pStyle w:val="Heading1"/>
        <w:rPr>
          <w:sz w:val="26"/>
          <w:szCs w:val="26"/>
        </w:rPr>
      </w:pPr>
      <w:r>
        <w:rPr>
          <w:sz w:val="26"/>
          <w:szCs w:val="26"/>
          <w:rtl/>
        </w:rPr>
        <w:t>لن تقدم اللجنة التنفيذية التمويل وفقاً للجدول الزمني للموافقة على التمويل إلا عندما يستوفي البلد الشروط التالية قبل ثمانية أسابيع على الأقل من اجتماع اللجنة التنفيذية المعني المحدد في الجدول الزمني للموافقة على التمويل:</w:t>
      </w:r>
    </w:p>
    <w:p w14:paraId="63DCE95B" w14:textId="77777777" w:rsidR="00B43A6B" w:rsidRPr="00B375EA" w:rsidRDefault="00B43A6B" w:rsidP="00B43A6B">
      <w:pPr>
        <w:pStyle w:val="Heading2"/>
        <w:tabs>
          <w:tab w:val="clear" w:pos="0"/>
          <w:tab w:val="num" w:pos="-720"/>
        </w:tabs>
        <w:rPr>
          <w:sz w:val="26"/>
          <w:szCs w:val="26"/>
        </w:rPr>
      </w:pPr>
      <w:r>
        <w:rPr>
          <w:sz w:val="26"/>
          <w:szCs w:val="26"/>
          <w:rtl/>
        </w:rPr>
        <w:t>أن يكون البلد قد حقق الأهداف المحددة في الصف 1.2 من التذييل 2</w:t>
      </w:r>
      <w:r>
        <w:rPr>
          <w:sz w:val="26"/>
          <w:szCs w:val="26"/>
          <w:rtl/>
        </w:rPr>
        <w:noBreakHyphen/>
        <w:t>ألف لجميع السنوات المعنية. والسنوات المعنية هي جميع السنوات منذ السنة التي تمت فيها الموافقة على هذا الاتفاق. وتُستثنى السنوات التي لا توجد بشأنها تقارير مستحقة عن تنفيذ البرنامج القطري في تاريخ اجتماع اللجنة التنفيذية الذي يُقدَّم فيه طلب التمويل؛</w:t>
      </w:r>
    </w:p>
    <w:p w14:paraId="2CF1238C" w14:textId="77777777" w:rsidR="00B43A6B" w:rsidRPr="00B375EA" w:rsidRDefault="00B43A6B" w:rsidP="00B43A6B">
      <w:pPr>
        <w:pStyle w:val="Heading2"/>
        <w:tabs>
          <w:tab w:val="clear" w:pos="0"/>
          <w:tab w:val="num" w:pos="-720"/>
        </w:tabs>
        <w:rPr>
          <w:sz w:val="26"/>
          <w:szCs w:val="26"/>
        </w:rPr>
      </w:pPr>
      <w:r>
        <w:rPr>
          <w:sz w:val="26"/>
          <w:szCs w:val="26"/>
          <w:rtl/>
        </w:rPr>
        <w:t>أن يكون تحقيق هذه الأهداف قد خضع لتحقق مستقل لجميع السنوات المعنية، ما لم تقرر اللجنة التنفيذية عدم ضرورة هذا التحقق؛</w:t>
      </w:r>
    </w:p>
    <w:p w14:paraId="39ED8362" w14:textId="77777777" w:rsidR="00B43A6B" w:rsidRPr="00B375EA" w:rsidRDefault="00B43A6B" w:rsidP="00B43A6B">
      <w:pPr>
        <w:pStyle w:val="Heading2"/>
        <w:tabs>
          <w:tab w:val="clear" w:pos="0"/>
          <w:tab w:val="num" w:pos="-720"/>
        </w:tabs>
        <w:rPr>
          <w:sz w:val="26"/>
          <w:szCs w:val="26"/>
        </w:rPr>
      </w:pPr>
      <w:r>
        <w:rPr>
          <w:sz w:val="26"/>
          <w:szCs w:val="26"/>
          <w:rtl/>
        </w:rPr>
        <w:t>أن يكون البلد قد قدم تقريراً عن تنفيذ الشريحة في شكل التذييل 4</w:t>
      </w:r>
      <w:r>
        <w:rPr>
          <w:sz w:val="26"/>
          <w:szCs w:val="26"/>
          <w:rtl/>
        </w:rPr>
        <w:noBreakHyphen/>
        <w:t>ألف ("شكل تقارير وخطط تنفيذ الشرائح") يغطي كل سنة تقويمية سابقة؛ وأن يكون قد حقق مستوى كبيراً من تنفيذ الأنشطة التي بدأت في إطار الشرائح الموافق عليها سابقاً؛ وأن يكون معدل صرف التمويل المتاح من الشريحة الموافق عليها سابقاً قد تجاوز 20 في المائة؛</w:t>
      </w:r>
    </w:p>
    <w:p w14:paraId="67D6120D" w14:textId="77777777" w:rsidR="00B43A6B" w:rsidRPr="00B375EA" w:rsidRDefault="00B43A6B" w:rsidP="00B43A6B">
      <w:pPr>
        <w:pStyle w:val="Heading2"/>
        <w:tabs>
          <w:tab w:val="clear" w:pos="0"/>
          <w:tab w:val="num" w:pos="-720"/>
        </w:tabs>
        <w:rPr>
          <w:sz w:val="26"/>
          <w:szCs w:val="26"/>
        </w:rPr>
      </w:pPr>
      <w:r>
        <w:rPr>
          <w:sz w:val="26"/>
          <w:szCs w:val="26"/>
          <w:rtl/>
        </w:rPr>
        <w:lastRenderedPageBreak/>
        <w:t>أن يكون البلد قد قدم خطة لتنفيذ الشريحة في شكل التذييل 4</w:t>
      </w:r>
      <w:r>
        <w:rPr>
          <w:sz w:val="26"/>
          <w:szCs w:val="26"/>
          <w:rtl/>
        </w:rPr>
        <w:noBreakHyphen/>
        <w:t>ألف تغطي كل سنة تقويمية حتى السنة التي يتوقع فيها الجدول الزمني للتمويل تقديم الشريحة التالية بما في ذلك تلك السنة، أو حتى استكمال جميع الأنشطة المتوقعة في حالة الشريحة الأخيرة.</w:t>
      </w:r>
    </w:p>
    <w:p w14:paraId="1A7F798E" w14:textId="77777777" w:rsidR="00B43A6B" w:rsidRPr="005D03A9" w:rsidRDefault="00B43A6B" w:rsidP="00B43A6B">
      <w:pPr>
        <w:keepNext/>
        <w:spacing w:before="240" w:after="240"/>
        <w:rPr>
          <w:b/>
          <w:sz w:val="26"/>
          <w:szCs w:val="26"/>
        </w:rPr>
      </w:pPr>
      <w:r>
        <w:rPr>
          <w:b/>
          <w:bCs/>
          <w:sz w:val="26"/>
          <w:szCs w:val="26"/>
          <w:rtl/>
        </w:rPr>
        <w:t>الرصد</w:t>
      </w:r>
    </w:p>
    <w:p w14:paraId="27670797" w14:textId="77777777" w:rsidR="00B43A6B" w:rsidRPr="00B375EA" w:rsidRDefault="00B43A6B" w:rsidP="00B43A6B">
      <w:pPr>
        <w:pStyle w:val="Heading1"/>
        <w:rPr>
          <w:sz w:val="26"/>
          <w:szCs w:val="26"/>
        </w:rPr>
      </w:pPr>
      <w:r>
        <w:rPr>
          <w:sz w:val="26"/>
          <w:szCs w:val="26"/>
          <w:rtl/>
        </w:rPr>
        <w:t>يكفل البلد إجراء رصد دقيق لأنشطته بموجب هذا الاتفاق. وتتولى المؤسسات المحددة في التذييل 5</w:t>
      </w:r>
      <w:r>
        <w:rPr>
          <w:sz w:val="26"/>
          <w:szCs w:val="26"/>
          <w:rtl/>
        </w:rPr>
        <w:noBreakHyphen/>
        <w:t>ألف ("مؤسسات الرصد وأدوارها") رصد تنفيذ الأنشطة الواردة في خطط تنفيذ الشرائح السابقة والإبلاغ عنه وفقاً لأدوارها ومسؤولياتها المحددة في التذييل نفسه.</w:t>
      </w:r>
    </w:p>
    <w:p w14:paraId="369AFEE0" w14:textId="77777777" w:rsidR="00B43A6B" w:rsidRPr="00D423D4" w:rsidRDefault="00B43A6B" w:rsidP="00B43A6B">
      <w:pPr>
        <w:keepNext/>
        <w:spacing w:before="240" w:after="240"/>
        <w:rPr>
          <w:b/>
          <w:sz w:val="26"/>
          <w:szCs w:val="26"/>
        </w:rPr>
      </w:pPr>
      <w:r>
        <w:rPr>
          <w:b/>
          <w:bCs/>
          <w:sz w:val="26"/>
          <w:szCs w:val="26"/>
          <w:rtl/>
        </w:rPr>
        <w:t>المرونة في إعادة تخصيص الأموال</w:t>
      </w:r>
    </w:p>
    <w:p w14:paraId="7330BB1A" w14:textId="77777777" w:rsidR="00B43A6B" w:rsidRPr="00D423D4" w:rsidRDefault="00B43A6B" w:rsidP="00B43A6B">
      <w:pPr>
        <w:pStyle w:val="Heading1"/>
        <w:rPr>
          <w:sz w:val="26"/>
          <w:szCs w:val="26"/>
        </w:rPr>
      </w:pPr>
      <w:r>
        <w:rPr>
          <w:sz w:val="26"/>
          <w:szCs w:val="26"/>
          <w:rtl/>
        </w:rPr>
        <w:t>توافق اللجنة التنفيذية على أن يتمتع البلد بالمرونة في إعادة تخصيص جزء من الأموال الموافق عليها أو كلها، وفقاً للظروف المتغيرة، لتحقيق أيسر خفض للاستهلاك وإزالة للمواد المحددة في التذييل 1</w:t>
      </w:r>
      <w:r>
        <w:rPr>
          <w:sz w:val="26"/>
          <w:szCs w:val="26"/>
          <w:rtl/>
        </w:rPr>
        <w:noBreakHyphen/>
        <w:t>ألف:</w:t>
      </w:r>
    </w:p>
    <w:p w14:paraId="2F86CB95" w14:textId="77777777" w:rsidR="00B43A6B" w:rsidRPr="00D423D4" w:rsidRDefault="00B43A6B" w:rsidP="00B43A6B">
      <w:pPr>
        <w:pStyle w:val="Heading2"/>
        <w:tabs>
          <w:tab w:val="clear" w:pos="0"/>
          <w:tab w:val="num" w:pos="-720"/>
        </w:tabs>
        <w:rPr>
          <w:sz w:val="26"/>
          <w:szCs w:val="26"/>
        </w:rPr>
      </w:pPr>
      <w:r>
        <w:rPr>
          <w:sz w:val="26"/>
          <w:szCs w:val="26"/>
          <w:rtl/>
        </w:rPr>
        <w:t>يجب توثيق عمليات إعادة التخصيص المصنفة بوصفها تغييرات رئيسية مسبقاً، إما في خطة لتنفيذ الشريحة على النحو المتوقع في الفقرة الفرعية 5(د) أعلاه، أو بوصفها تنقيحاً لخطة قائمة لتنفيذ الشريحة تُقدَّم قبل ثمانية أسابيع من أي اجتماع للجنة التنفيذية، للموافقة عليها. وتتعلق التغييرات الرئيسية بما يلي:</w:t>
      </w:r>
    </w:p>
    <w:p w14:paraId="613CE5C6" w14:textId="77777777" w:rsidR="00B43A6B" w:rsidRPr="00D423D4" w:rsidRDefault="00B43A6B" w:rsidP="00B43A6B">
      <w:pPr>
        <w:pStyle w:val="Heading3"/>
        <w:rPr>
          <w:sz w:val="26"/>
          <w:szCs w:val="26"/>
        </w:rPr>
      </w:pPr>
      <w:r>
        <w:rPr>
          <w:sz w:val="26"/>
          <w:szCs w:val="26"/>
          <w:rtl/>
        </w:rPr>
        <w:t>المسائل التي يُحتمل أن تتعلق بقواعد الصندوق المتعدد الأطراف وسياساته؛</w:t>
      </w:r>
    </w:p>
    <w:p w14:paraId="7847C42E" w14:textId="77777777" w:rsidR="00B43A6B" w:rsidRPr="00D423D4" w:rsidRDefault="00B43A6B" w:rsidP="00B43A6B">
      <w:pPr>
        <w:pStyle w:val="Heading3"/>
        <w:rPr>
          <w:sz w:val="26"/>
          <w:szCs w:val="26"/>
        </w:rPr>
      </w:pPr>
      <w:r>
        <w:rPr>
          <w:sz w:val="26"/>
          <w:szCs w:val="26"/>
          <w:rtl/>
        </w:rPr>
        <w:t>التغييرات التي من شأنها تعديل أي بند من بنود هذا الاتفاق؛</w:t>
      </w:r>
    </w:p>
    <w:p w14:paraId="743DFE16" w14:textId="77777777" w:rsidR="00B43A6B" w:rsidRPr="00D423D4" w:rsidRDefault="00B43A6B" w:rsidP="00B43A6B">
      <w:pPr>
        <w:pStyle w:val="Heading3"/>
        <w:rPr>
          <w:sz w:val="26"/>
          <w:szCs w:val="26"/>
        </w:rPr>
      </w:pPr>
      <w:r>
        <w:rPr>
          <w:sz w:val="26"/>
          <w:szCs w:val="26"/>
          <w:rtl/>
        </w:rPr>
        <w:t>التغييرات في المستويات السنوية للتمويل المخصص لفرادى الوكالات الثنائية أو المنفذة لمختلف الشرائح؛</w:t>
      </w:r>
    </w:p>
    <w:p w14:paraId="0949890F" w14:textId="77777777" w:rsidR="00B43A6B" w:rsidRPr="00D423D4" w:rsidRDefault="00B43A6B" w:rsidP="00B43A6B">
      <w:pPr>
        <w:pStyle w:val="Heading3"/>
        <w:rPr>
          <w:sz w:val="26"/>
          <w:szCs w:val="26"/>
        </w:rPr>
      </w:pPr>
      <w:r>
        <w:rPr>
          <w:sz w:val="26"/>
          <w:szCs w:val="26"/>
          <w:rtl/>
        </w:rPr>
        <w:t>تقديم التمويل لأنشطة غير مدرجة في خطة تنفيذ الشريحة المعتمدة الحالية، أو حذف نشاط من خطة تنفيذ الشريحة، تزيد تكلفته على 30 في المائة من مجموع تكلفة آخر شريحة موافق عليها؛</w:t>
      </w:r>
    </w:p>
    <w:p w14:paraId="651BA9B0" w14:textId="77777777" w:rsidR="00B43A6B" w:rsidRPr="00D423D4" w:rsidRDefault="00B43A6B" w:rsidP="00B43A6B">
      <w:pPr>
        <w:pStyle w:val="Heading3"/>
        <w:rPr>
          <w:sz w:val="26"/>
          <w:szCs w:val="26"/>
        </w:rPr>
      </w:pPr>
      <w:r>
        <w:rPr>
          <w:sz w:val="26"/>
          <w:szCs w:val="26"/>
          <w:rtl/>
        </w:rPr>
        <w:t>التغييرات في التكنولوجيات البديلة، على أن يحدد أي طلب يُقدَّم في هذا الشأن التكاليف الإضافية المرتبطة بها، والأثر المحتمل على المناخ، وأي فروق في كمية الأطنان من قدرات استنفاد الأوزون المقرر إزالتها، إن وُجدت، وأن يؤكد موافقة البلد على أن الوفورات المحتملة المتصلة بتغيير التكنولوجيا ستخفض مستوى التمويل الإجمالي بموجب هذا الاتفاق تبعاً لذلك؛</w:t>
      </w:r>
    </w:p>
    <w:p w14:paraId="7149A957" w14:textId="77777777" w:rsidR="00B43A6B" w:rsidRPr="00D423D4" w:rsidRDefault="00B43A6B" w:rsidP="00B43A6B">
      <w:pPr>
        <w:pStyle w:val="Heading2"/>
        <w:tabs>
          <w:tab w:val="clear" w:pos="0"/>
          <w:tab w:val="num" w:pos="-720"/>
        </w:tabs>
        <w:rPr>
          <w:sz w:val="26"/>
          <w:szCs w:val="26"/>
        </w:rPr>
      </w:pPr>
      <w:r>
        <w:rPr>
          <w:sz w:val="26"/>
          <w:szCs w:val="26"/>
          <w:rtl/>
        </w:rPr>
        <w:t>يجوز إدماج عمليات إعادة التخصيص غير المصنفة بوصفها تغييرات رئيسية في خطة تنفيذ الشريحة الموافق عليها والجاري تنفيذها في حينه، وإبلاغ اللجنة التنفيذية بها في التقرير اللاحق عن تنفيذ الشريحة؛</w:t>
      </w:r>
    </w:p>
    <w:p w14:paraId="31F257BB" w14:textId="77777777" w:rsidR="00B43A6B" w:rsidRPr="00851EE8" w:rsidRDefault="00B43A6B" w:rsidP="00B43A6B">
      <w:pPr>
        <w:pStyle w:val="Heading2"/>
        <w:tabs>
          <w:tab w:val="clear" w:pos="0"/>
          <w:tab w:val="num" w:pos="-720"/>
        </w:tabs>
        <w:rPr>
          <w:sz w:val="26"/>
          <w:szCs w:val="26"/>
        </w:rPr>
      </w:pPr>
      <w:r>
        <w:rPr>
          <w:sz w:val="26"/>
          <w:szCs w:val="26"/>
          <w:rtl/>
        </w:rPr>
        <w:t>تُعاد أي أموال متبقية لدى الوكالات الثنائية أو المنفذة أو البلد في إطار الخطة إلى الصندوق المتعدد الأطراف عند استكمال الشريحة الأخيرة المتوقعة بموجب هذا الاتفاق.</w:t>
      </w:r>
    </w:p>
    <w:p w14:paraId="391C74C7" w14:textId="631E83AF" w:rsidR="00B43A6B" w:rsidRPr="00F61D55" w:rsidRDefault="00B43A6B" w:rsidP="00B43A6B">
      <w:pPr>
        <w:keepNext/>
        <w:spacing w:before="240" w:after="240"/>
        <w:rPr>
          <w:b/>
          <w:sz w:val="26"/>
          <w:szCs w:val="26"/>
        </w:rPr>
      </w:pPr>
      <w:r>
        <w:rPr>
          <w:b/>
          <w:bCs/>
          <w:sz w:val="26"/>
          <w:szCs w:val="26"/>
          <w:rtl/>
        </w:rPr>
        <w:t>اعتبارات خاصة ب</w:t>
      </w:r>
      <w:r w:rsidR="007D0A4C" w:rsidRPr="007D0A4C">
        <w:rPr>
          <w:b/>
          <w:bCs/>
          <w:sz w:val="26"/>
          <w:szCs w:val="26"/>
          <w:rtl/>
        </w:rPr>
        <w:t>قطاع خدمات التبريد</w:t>
      </w:r>
    </w:p>
    <w:p w14:paraId="13B8D9F3" w14:textId="138C4C1F" w:rsidR="00B43A6B" w:rsidRPr="00B375EA" w:rsidRDefault="00B43A6B" w:rsidP="00B43A6B">
      <w:pPr>
        <w:pStyle w:val="Heading1"/>
        <w:rPr>
          <w:sz w:val="26"/>
          <w:szCs w:val="26"/>
        </w:rPr>
      </w:pPr>
      <w:r>
        <w:rPr>
          <w:sz w:val="26"/>
          <w:szCs w:val="26"/>
          <w:rtl/>
        </w:rPr>
        <w:t xml:space="preserve">يولى اهتمام خاص لتنفيذ الأنشطة المدرجة في الخطة في </w:t>
      </w:r>
      <w:r w:rsidR="007D0A4C" w:rsidRPr="007D0A4C">
        <w:rPr>
          <w:sz w:val="26"/>
          <w:szCs w:val="26"/>
          <w:rtl/>
        </w:rPr>
        <w:t>قطاع خدمات التبريد</w:t>
      </w:r>
      <w:r>
        <w:rPr>
          <w:sz w:val="26"/>
          <w:szCs w:val="26"/>
          <w:rtl/>
        </w:rPr>
        <w:t>، ولا سيما ما يلي:</w:t>
      </w:r>
    </w:p>
    <w:p w14:paraId="358E0915" w14:textId="6DD0B73E" w:rsidR="00B43A6B" w:rsidRPr="00B375EA" w:rsidRDefault="00B43A6B" w:rsidP="00B43A6B">
      <w:pPr>
        <w:pStyle w:val="Heading2"/>
        <w:tabs>
          <w:tab w:val="clear" w:pos="0"/>
          <w:tab w:val="num" w:pos="-720"/>
        </w:tabs>
        <w:rPr>
          <w:sz w:val="26"/>
          <w:szCs w:val="26"/>
        </w:rPr>
      </w:pPr>
      <w:r>
        <w:rPr>
          <w:sz w:val="26"/>
          <w:szCs w:val="26"/>
          <w:rtl/>
        </w:rPr>
        <w:lastRenderedPageBreak/>
        <w:t>أن يستخدم البلد المرونة المتاحة بموجب هذا الاتفاق لتلبية الاحتياجات الخاصة التي قد تنشأ أثناء تنفيذ المشروع؛</w:t>
      </w:r>
    </w:p>
    <w:p w14:paraId="24FF413F" w14:textId="12D7913A" w:rsidR="00B43A6B" w:rsidRPr="00B375EA" w:rsidRDefault="00B43A6B" w:rsidP="00B43A6B">
      <w:pPr>
        <w:pStyle w:val="Heading2"/>
        <w:tabs>
          <w:tab w:val="clear" w:pos="0"/>
          <w:tab w:val="num" w:pos="-720"/>
        </w:tabs>
        <w:rPr>
          <w:sz w:val="26"/>
          <w:szCs w:val="26"/>
        </w:rPr>
      </w:pPr>
      <w:r>
        <w:rPr>
          <w:sz w:val="26"/>
          <w:szCs w:val="26"/>
          <w:rtl/>
        </w:rPr>
        <w:t xml:space="preserve">أن يراعي البلد والوكالات الثنائية و/أو المنفذة المعنية المقررات ذات الصلة بشأن </w:t>
      </w:r>
      <w:r w:rsidR="007D0A4C" w:rsidRPr="007D0A4C">
        <w:rPr>
          <w:sz w:val="26"/>
          <w:szCs w:val="26"/>
          <w:rtl/>
        </w:rPr>
        <w:t>قطاع خدمات التبريد</w:t>
      </w:r>
      <w:r>
        <w:rPr>
          <w:sz w:val="26"/>
          <w:szCs w:val="26"/>
          <w:rtl/>
        </w:rPr>
        <w:t xml:space="preserve"> أثناء تنفيذ الخطة.</w:t>
      </w:r>
    </w:p>
    <w:p w14:paraId="6F76E6D3" w14:textId="77777777" w:rsidR="00B43A6B" w:rsidRPr="00F61D55" w:rsidRDefault="00B43A6B" w:rsidP="00B43A6B">
      <w:pPr>
        <w:keepNext/>
        <w:spacing w:before="240" w:after="240"/>
        <w:rPr>
          <w:b/>
          <w:sz w:val="26"/>
          <w:szCs w:val="26"/>
        </w:rPr>
      </w:pPr>
      <w:r>
        <w:rPr>
          <w:b/>
          <w:bCs/>
          <w:sz w:val="26"/>
          <w:szCs w:val="26"/>
          <w:rtl/>
        </w:rPr>
        <w:t>الوكالات الثنائية والمنفذة</w:t>
      </w:r>
    </w:p>
    <w:p w14:paraId="3F821DCB" w14:textId="77777777" w:rsidR="00B43A6B" w:rsidRPr="00B375EA" w:rsidRDefault="00B43A6B" w:rsidP="00B43A6B">
      <w:pPr>
        <w:pStyle w:val="Heading1"/>
        <w:rPr>
          <w:sz w:val="26"/>
          <w:szCs w:val="26"/>
        </w:rPr>
      </w:pPr>
      <w:r>
        <w:rPr>
          <w:sz w:val="26"/>
          <w:szCs w:val="26"/>
          <w:rtl/>
        </w:rPr>
        <w:t>يوافق البلد على تحمل المسؤولية الشاملة عن إدارة هذا الاتفاق وتنفيذه وعن جميع الأنشطة التي يضطلع بها هو أو التي يُضطلع بها نيابةً عنه للوفاء بالالتزامات المترتبة على هذا الاتفاق. وقد وافق اليونيب على أن يكون الوكالة المنفذة الرئيسية ("الوكالة المنفذة الرئيسية") فيما يتعلق بأنشطة البلد بموجب هذا الاتفاق. ويوافق البلد على عمليات التقييم التي قد تُجرى في إطار برامج عمل التقييم الخاصة بالصندوق المتعدد الأطراف أو في إطار برنامج التقييم الخاص بالوكالة المنفذة الرئيسية المشاركة في هذا الاتفاق.</w:t>
      </w:r>
    </w:p>
    <w:p w14:paraId="7DBDD95F" w14:textId="77777777" w:rsidR="00B43A6B" w:rsidRPr="00B375EA" w:rsidRDefault="00B43A6B" w:rsidP="00B43A6B">
      <w:pPr>
        <w:pStyle w:val="Heading1"/>
        <w:rPr>
          <w:sz w:val="26"/>
          <w:szCs w:val="26"/>
        </w:rPr>
      </w:pPr>
      <w:r>
        <w:rPr>
          <w:sz w:val="26"/>
          <w:szCs w:val="26"/>
          <w:rtl/>
        </w:rPr>
        <w:t>تكون الوكالة المنفذة الرئيسية مسؤولة عن ضمان التنسيق في تخطيط جميع الأنشطة المنفذة بموجب هذا الاتفاق وتنفيذها والإبلاغ عنها، بما في ذلك على سبيل المثال لا الحصر التحقق المستقل وفقاً للفقرة الفرعية 5(ب). ويرد دور الوكالة المنفذة الرئيسية في التذييل 6</w:t>
      </w:r>
      <w:r>
        <w:rPr>
          <w:sz w:val="26"/>
          <w:szCs w:val="26"/>
          <w:rtl/>
        </w:rPr>
        <w:noBreakHyphen/>
        <w:t>ألف. وتوافق اللجنة التنفيذية، من حيث المبدأ، على أن تقدم إلى الوكالة المنفذة الرئيسية الرسوم المحددة في الصف 2.2 من التذييل 2</w:t>
      </w:r>
      <w:r>
        <w:rPr>
          <w:sz w:val="26"/>
          <w:szCs w:val="26"/>
          <w:rtl/>
        </w:rPr>
        <w:noBreakHyphen/>
        <w:t>ألف.</w:t>
      </w:r>
    </w:p>
    <w:p w14:paraId="77490F8A" w14:textId="77777777" w:rsidR="00B43A6B" w:rsidRPr="00F61D55" w:rsidRDefault="00B43A6B" w:rsidP="00B43A6B">
      <w:pPr>
        <w:keepNext/>
        <w:spacing w:before="240" w:after="240"/>
        <w:rPr>
          <w:b/>
          <w:sz w:val="26"/>
          <w:szCs w:val="26"/>
        </w:rPr>
      </w:pPr>
      <w:r>
        <w:rPr>
          <w:b/>
          <w:bCs/>
          <w:sz w:val="26"/>
          <w:szCs w:val="26"/>
          <w:rtl/>
        </w:rPr>
        <w:t>عدم الامتثال للاتفاق</w:t>
      </w:r>
    </w:p>
    <w:p w14:paraId="48E60F0D" w14:textId="77777777" w:rsidR="00B43A6B" w:rsidRPr="00B375EA" w:rsidRDefault="00B43A6B" w:rsidP="00B43A6B">
      <w:pPr>
        <w:pStyle w:val="Heading1"/>
        <w:spacing w:before="240"/>
        <w:rPr>
          <w:sz w:val="26"/>
          <w:szCs w:val="26"/>
        </w:rPr>
      </w:pPr>
      <w:r>
        <w:rPr>
          <w:sz w:val="26"/>
          <w:szCs w:val="26"/>
          <w:rtl/>
        </w:rPr>
        <w:t>إذا لم يحقق البلد، لأي سبب من الأسباب، الأهداف المتعلقة بإزالة المواد المحددة في الصف 1.2 من التذييل 2</w:t>
      </w:r>
      <w:r>
        <w:rPr>
          <w:sz w:val="26"/>
          <w:szCs w:val="26"/>
          <w:rtl/>
        </w:rPr>
        <w:noBreakHyphen/>
        <w:t>ألف أو لم يمتثل لهذا الاتفاق بأي شكل آخر، يوافق البلد على أنه لن يحق له الحصول على التمويل وفقاً للجدول الزمني للموافقة على التمويل. ووفقاً لتقدير اللجنة التنفيذية، يُستأنف التمويل وفقاً لجدول زمني منقح للموافقة على التمويل تحدده اللجنة التنفيذية بعد أن يثبت البلد أنه قد أوفى بجميع التزاماته التي كان يتعين الوفاء بها قبل تلقي الشريحة التالية من التمويل بموجب الجدول الزمني للموافقة على التمويل. ويقرّ البلد بأنه يجوز للجنة التنفيذية أن تخفض مبلغ التمويل بالمبلغ المحدد في التذييل 7</w:t>
      </w:r>
      <w:r>
        <w:rPr>
          <w:sz w:val="26"/>
          <w:szCs w:val="26"/>
          <w:rtl/>
        </w:rPr>
        <w:noBreakHyphen/>
        <w:t>ألف ("التخفيضات في التمويل بسبب عدم الامتثال") عن كل كيلوغرام من قدرات استنفاد الأوزون من تخفيضات الاستهلاك التي لم تتحقق في أي سنة من السنوات. وستناقش اللجنة التنفيذية كل حالة بعينها لم يمتثل فيها البلد لهذا الاتفاق، وتتخذ المقررات ذات الصلة. وبمجرد اتخاذ المقررات، لن تشكل الحالة المحددة لعدم الامتثال لهذا الاتفاق عائقاً أمام تقديم التمويل للشرائح المقبلة وفقاً للفقرة 5 أعلاه.</w:t>
      </w:r>
    </w:p>
    <w:p w14:paraId="3CDC518C" w14:textId="77777777" w:rsidR="00B43A6B" w:rsidRPr="00B375EA" w:rsidRDefault="00B43A6B" w:rsidP="00B43A6B">
      <w:pPr>
        <w:pStyle w:val="Heading1"/>
        <w:rPr>
          <w:sz w:val="26"/>
          <w:szCs w:val="26"/>
        </w:rPr>
      </w:pPr>
      <w:r>
        <w:rPr>
          <w:sz w:val="26"/>
          <w:szCs w:val="26"/>
          <w:rtl/>
        </w:rPr>
        <w:t>لن يُعدَّل تمويل هذا الاتفاق على أساس أي مقررات تتخذها اللجنة التنفيذية مستقبلاً قد تؤثر على تمويل أي مشروعات أخرى في قطاع الاستهلاك أو أي أنشطة أخرى ذات صلة في البلد.</w:t>
      </w:r>
    </w:p>
    <w:p w14:paraId="6B3129F2" w14:textId="0256C928" w:rsidR="00B43A6B" w:rsidRPr="00B375EA" w:rsidRDefault="00B43A6B" w:rsidP="00B43A6B">
      <w:pPr>
        <w:pStyle w:val="Heading1"/>
        <w:rPr>
          <w:sz w:val="26"/>
          <w:szCs w:val="26"/>
        </w:rPr>
      </w:pPr>
      <w:r>
        <w:rPr>
          <w:sz w:val="26"/>
          <w:szCs w:val="26"/>
          <w:rtl/>
        </w:rPr>
        <w:t>يمتثل البلد لأي طلب معقول من اللجنة التنفيذية والوكالة المنفذة الرئيسية لتيسير تنفيذ هذا الاتفاق. وعلى وجه الخصوص، يتيح البلد للوكالة المنفذة الرئيسية الاطلاع على المعلومات اللازمة للتحقق من الامتثال لهذا الاتفاق.</w:t>
      </w:r>
    </w:p>
    <w:p w14:paraId="58230AB2" w14:textId="77777777" w:rsidR="00B43A6B" w:rsidRPr="00F61D55" w:rsidRDefault="00B43A6B" w:rsidP="00B43A6B">
      <w:pPr>
        <w:keepNext/>
        <w:spacing w:before="240" w:after="240"/>
        <w:rPr>
          <w:b/>
          <w:sz w:val="26"/>
          <w:szCs w:val="26"/>
        </w:rPr>
      </w:pPr>
      <w:r>
        <w:rPr>
          <w:b/>
          <w:bCs/>
          <w:sz w:val="26"/>
          <w:szCs w:val="26"/>
          <w:rtl/>
        </w:rPr>
        <w:t>تاريخ الإنجاز</w:t>
      </w:r>
    </w:p>
    <w:p w14:paraId="535E2A27" w14:textId="77777777" w:rsidR="00B43A6B" w:rsidRPr="00B375EA" w:rsidRDefault="00B43A6B" w:rsidP="00B43A6B">
      <w:pPr>
        <w:pStyle w:val="Heading1"/>
        <w:spacing w:before="240"/>
        <w:rPr>
          <w:sz w:val="26"/>
          <w:szCs w:val="26"/>
        </w:rPr>
      </w:pPr>
      <w:r>
        <w:rPr>
          <w:sz w:val="26"/>
          <w:szCs w:val="26"/>
          <w:rtl/>
        </w:rPr>
        <w:t>يتم إنجاز الخطة والاتفاق المرتبط بها في نهاية السنة التالية للسنة الأخيرة التي حُدد لها مستوى أقصى مسموح به لمجموع الاستهلاك في التذييل 2</w:t>
      </w:r>
      <w:r>
        <w:rPr>
          <w:sz w:val="26"/>
          <w:szCs w:val="26"/>
          <w:rtl/>
        </w:rPr>
        <w:noBreakHyphen/>
        <w:t>ألف. وإذا ظلت هناك في ذلك الوقت أنشطة معلقة كانت متوقعة في آخر خطة لتنفيذ الشريحة وتنقيحاتها اللاحقة وفقاً للفقرة الفرعية 5(د) والفقرة 7، يُرجأ إنجاز الخطة حتى نهاية السنة التالية لتنفيذ الأنشطة المتبقية. وتستمر متطلبات الإبلاغ المنصوص عليها في الفقرات الفرعية 1(أ) و1(ب) و1(د) و1(هـ) من التذييل 4</w:t>
      </w:r>
      <w:r>
        <w:rPr>
          <w:sz w:val="26"/>
          <w:szCs w:val="26"/>
          <w:rtl/>
        </w:rPr>
        <w:noBreakHyphen/>
        <w:t>ألف حتى موعد إنجاز الخطة ما لم تحدد اللجنة التنفيذية خلاف ذلك.</w:t>
      </w:r>
    </w:p>
    <w:p w14:paraId="5E83EBB0" w14:textId="77777777" w:rsidR="00B43A6B" w:rsidRPr="00B375EA" w:rsidRDefault="00B43A6B" w:rsidP="00B43A6B">
      <w:pPr>
        <w:keepNext/>
        <w:spacing w:before="240" w:after="240"/>
        <w:rPr>
          <w:sz w:val="26"/>
          <w:szCs w:val="26"/>
        </w:rPr>
      </w:pPr>
      <w:r>
        <w:rPr>
          <w:b/>
          <w:bCs/>
          <w:sz w:val="26"/>
          <w:szCs w:val="26"/>
          <w:rtl/>
        </w:rPr>
        <w:lastRenderedPageBreak/>
        <w:t>الصلاحية</w:t>
      </w:r>
    </w:p>
    <w:p w14:paraId="05F5B0C2" w14:textId="77777777" w:rsidR="00B43A6B" w:rsidRPr="00B375EA" w:rsidRDefault="00B43A6B" w:rsidP="00B43A6B">
      <w:pPr>
        <w:pStyle w:val="Heading1"/>
        <w:spacing w:before="240"/>
        <w:rPr>
          <w:sz w:val="26"/>
          <w:szCs w:val="26"/>
        </w:rPr>
      </w:pPr>
      <w:r>
        <w:rPr>
          <w:sz w:val="26"/>
          <w:szCs w:val="26"/>
          <w:rtl/>
        </w:rPr>
        <w:t>لا يُضطلع بجميع الشروط المنصوص عليها في هذا الاتفاق إلا في سياق بروتوكول مونتريال وعلى النحو المحدد في هذا الاتفاق. ويكون لجميع المصطلحات المستخدمة في هذا الاتفاق المعنى المسند إليها في بروتوكول مونتريال ما لم يُعرَّف خلاف ذلك في هذا الاتفاق.</w:t>
      </w:r>
    </w:p>
    <w:p w14:paraId="3D8AB295" w14:textId="77777777" w:rsidR="00B43A6B" w:rsidRPr="00B375EA" w:rsidRDefault="00B43A6B" w:rsidP="00B43A6B">
      <w:pPr>
        <w:pStyle w:val="Heading1"/>
        <w:rPr>
          <w:sz w:val="26"/>
          <w:szCs w:val="26"/>
        </w:rPr>
      </w:pPr>
      <w:r>
        <w:rPr>
          <w:sz w:val="26"/>
          <w:szCs w:val="26"/>
          <w:rtl/>
        </w:rPr>
        <w:t>لا يجوز تعديل هذا الاتفاق أو إنهاؤه إلا باتفاق خطي متبادل بين حكومة البلد واللجنة التنفيذية للصندوق المتعدد الأطراف.</w:t>
      </w:r>
    </w:p>
    <w:p w14:paraId="0CF1C923" w14:textId="77777777" w:rsidR="00B43A6B" w:rsidRPr="00FB39AB" w:rsidRDefault="00B43A6B" w:rsidP="00B43A6B">
      <w:pPr>
        <w:pStyle w:val="Heading1"/>
        <w:keepNext/>
        <w:numPr>
          <w:ilvl w:val="0"/>
          <w:numId w:val="0"/>
        </w:numPr>
        <w:spacing w:before="360" w:after="360"/>
        <w:rPr>
          <w:b/>
          <w:sz w:val="26"/>
          <w:szCs w:val="26"/>
        </w:rPr>
      </w:pPr>
      <w:r>
        <w:rPr>
          <w:b/>
          <w:bCs/>
          <w:sz w:val="26"/>
          <w:szCs w:val="26"/>
          <w:rtl/>
        </w:rPr>
        <w:t>التذييلات</w:t>
      </w:r>
    </w:p>
    <w:p w14:paraId="32BDF060" w14:textId="77777777" w:rsidR="00B43A6B" w:rsidRPr="00B375EA" w:rsidRDefault="00B43A6B" w:rsidP="00B43A6B">
      <w:pPr>
        <w:pStyle w:val="Heading1"/>
        <w:keepNext/>
        <w:numPr>
          <w:ilvl w:val="0"/>
          <w:numId w:val="0"/>
        </w:numPr>
        <w:spacing w:before="360"/>
        <w:rPr>
          <w:b/>
          <w:sz w:val="26"/>
          <w:szCs w:val="26"/>
        </w:rPr>
      </w:pPr>
      <w:r>
        <w:rPr>
          <w:b/>
          <w:bCs/>
          <w:sz w:val="26"/>
          <w:szCs w:val="26"/>
          <w:rtl/>
        </w:rPr>
        <w:t>التذييل 1</w:t>
      </w:r>
      <w:r>
        <w:rPr>
          <w:b/>
          <w:bCs/>
          <w:sz w:val="26"/>
          <w:szCs w:val="26"/>
          <w:rtl/>
        </w:rPr>
        <w:noBreakHyphen/>
        <w:t>ألف: المواد</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41"/>
        <w:gridCol w:w="2268"/>
        <w:gridCol w:w="2412"/>
      </w:tblGrid>
      <w:tr w:rsidR="00B43A6B" w:rsidRPr="00B375EA" w14:paraId="10B600E3" w14:textId="77777777">
        <w:trPr>
          <w:cantSplit/>
          <w:trHeight w:val="413"/>
          <w:tblHeader/>
          <w:jc w:val="center"/>
        </w:trPr>
        <w:tc>
          <w:tcPr>
            <w:tcW w:w="2339" w:type="dxa"/>
            <w:vAlign w:val="center"/>
          </w:tcPr>
          <w:p w14:paraId="3BBB503E" w14:textId="77777777" w:rsidR="00B43A6B" w:rsidRPr="00B375EA" w:rsidRDefault="00B43A6B" w:rsidP="00276FFA">
            <w:pPr>
              <w:keepNext/>
              <w:jc w:val="center"/>
            </w:pPr>
            <w:r>
              <w:rPr>
                <w:rtl/>
              </w:rPr>
              <w:t>المادة</w:t>
            </w:r>
          </w:p>
        </w:tc>
        <w:tc>
          <w:tcPr>
            <w:tcW w:w="2341" w:type="dxa"/>
            <w:vAlign w:val="center"/>
          </w:tcPr>
          <w:p w14:paraId="1C022B4C" w14:textId="77777777" w:rsidR="00B43A6B" w:rsidRPr="00B375EA" w:rsidRDefault="00B43A6B" w:rsidP="00276FFA">
            <w:pPr>
              <w:keepNext/>
              <w:jc w:val="center"/>
            </w:pPr>
            <w:r>
              <w:rPr>
                <w:rtl/>
              </w:rPr>
              <w:t>المرفق</w:t>
            </w:r>
          </w:p>
        </w:tc>
        <w:tc>
          <w:tcPr>
            <w:tcW w:w="2268" w:type="dxa"/>
            <w:vAlign w:val="center"/>
          </w:tcPr>
          <w:p w14:paraId="1A43D51C" w14:textId="77777777" w:rsidR="00B43A6B" w:rsidRPr="00B375EA" w:rsidRDefault="00B43A6B" w:rsidP="00276FFA">
            <w:pPr>
              <w:keepNext/>
              <w:jc w:val="center"/>
            </w:pPr>
            <w:r>
              <w:rPr>
                <w:rtl/>
              </w:rPr>
              <w:t>المجموعة</w:t>
            </w:r>
          </w:p>
        </w:tc>
        <w:tc>
          <w:tcPr>
            <w:tcW w:w="2412" w:type="dxa"/>
            <w:vAlign w:val="center"/>
          </w:tcPr>
          <w:p w14:paraId="37534620" w14:textId="77777777" w:rsidR="00B43A6B" w:rsidRPr="00B375EA" w:rsidRDefault="00B43A6B" w:rsidP="00276FFA">
            <w:pPr>
              <w:keepNext/>
              <w:jc w:val="center"/>
            </w:pPr>
            <w:r>
              <w:rPr>
                <w:rtl/>
              </w:rPr>
              <w:t>نقطة البدء للتخفيضات المجمعة في الاستهلاك (طن من قدرات استنفاد الأوزون)</w:t>
            </w:r>
          </w:p>
        </w:tc>
      </w:tr>
      <w:tr w:rsidR="00B43A6B" w:rsidRPr="00B375EA" w14:paraId="5B088D60" w14:textId="77777777">
        <w:trPr>
          <w:cantSplit/>
          <w:jc w:val="center"/>
        </w:trPr>
        <w:tc>
          <w:tcPr>
            <w:tcW w:w="2339" w:type="dxa"/>
          </w:tcPr>
          <w:p w14:paraId="314CADFA" w14:textId="77777777" w:rsidR="00B43A6B" w:rsidRPr="00B375EA" w:rsidRDefault="00B43A6B">
            <w:pPr>
              <w:keepNext/>
            </w:pPr>
            <w:r>
              <w:rPr>
                <w:rtl/>
              </w:rPr>
              <w:t>الهيدروكلوروفلوروكربون</w:t>
            </w:r>
            <w:r>
              <w:rPr>
                <w:rtl/>
              </w:rPr>
              <w:noBreakHyphen/>
              <w:t>22</w:t>
            </w:r>
          </w:p>
        </w:tc>
        <w:tc>
          <w:tcPr>
            <w:tcW w:w="2341" w:type="dxa"/>
            <w:vAlign w:val="center"/>
          </w:tcPr>
          <w:p w14:paraId="65BB1B6C" w14:textId="77777777" w:rsidR="00B43A6B" w:rsidRPr="00B375EA" w:rsidRDefault="00B43A6B" w:rsidP="00B35FF7">
            <w:pPr>
              <w:keepNext/>
              <w:jc w:val="left"/>
            </w:pPr>
            <w:r>
              <w:rPr>
                <w:rtl/>
              </w:rPr>
              <w:t>جيم</w:t>
            </w:r>
          </w:p>
        </w:tc>
        <w:tc>
          <w:tcPr>
            <w:tcW w:w="2268" w:type="dxa"/>
            <w:vAlign w:val="center"/>
          </w:tcPr>
          <w:p w14:paraId="5617E2A3" w14:textId="77777777" w:rsidR="00B43A6B" w:rsidRPr="00B375EA" w:rsidRDefault="00B43A6B" w:rsidP="00B35FF7">
            <w:pPr>
              <w:keepNext/>
              <w:jc w:val="left"/>
            </w:pPr>
            <w:r>
              <w:rPr>
                <w:rtl/>
              </w:rPr>
              <w:t>الأولى</w:t>
            </w:r>
          </w:p>
        </w:tc>
        <w:tc>
          <w:tcPr>
            <w:tcW w:w="2412" w:type="dxa"/>
            <w:shd w:val="clear" w:color="auto" w:fill="FFFFFF" w:themeFill="background1"/>
          </w:tcPr>
          <w:p w14:paraId="6D5E7056" w14:textId="77777777" w:rsidR="00B43A6B" w:rsidRPr="001E5197" w:rsidRDefault="00B43A6B" w:rsidP="00B35FF7">
            <w:pPr>
              <w:keepNext/>
              <w:jc w:val="left"/>
            </w:pPr>
            <w:r>
              <w:t>0.15</w:t>
            </w:r>
          </w:p>
        </w:tc>
      </w:tr>
    </w:tbl>
    <w:p w14:paraId="2AA1C81A" w14:textId="77777777" w:rsidR="00B43A6B" w:rsidRPr="00B375EA" w:rsidRDefault="00B43A6B" w:rsidP="00B43A6B">
      <w:pPr>
        <w:pStyle w:val="Heading1"/>
        <w:keepNext/>
        <w:numPr>
          <w:ilvl w:val="0"/>
          <w:numId w:val="0"/>
        </w:numPr>
        <w:spacing w:before="360"/>
        <w:rPr>
          <w:b/>
          <w:sz w:val="26"/>
          <w:szCs w:val="26"/>
        </w:rPr>
      </w:pPr>
      <w:r>
        <w:rPr>
          <w:b/>
          <w:bCs/>
          <w:sz w:val="26"/>
          <w:szCs w:val="26"/>
          <w:rtl/>
        </w:rPr>
        <w:t>التذييل 2</w:t>
      </w:r>
      <w:r>
        <w:rPr>
          <w:b/>
          <w:bCs/>
          <w:sz w:val="26"/>
          <w:szCs w:val="26"/>
          <w:rtl/>
        </w:rPr>
        <w:noBreakHyphen/>
        <w:t>ألف: الأهداف والتمويل</w:t>
      </w:r>
    </w:p>
    <w:tbl>
      <w:tblPr>
        <w:bidiVisual/>
        <w:tblW w:w="9360" w:type="dxa"/>
        <w:jc w:val="center"/>
        <w:tblLayout w:type="fixed"/>
        <w:tblCellMar>
          <w:left w:w="85" w:type="dxa"/>
          <w:right w:w="85" w:type="dxa"/>
        </w:tblCellMar>
        <w:tblLook w:val="04A0" w:firstRow="1" w:lastRow="0" w:firstColumn="1" w:lastColumn="0" w:noHBand="0" w:noVBand="1"/>
      </w:tblPr>
      <w:tblGrid>
        <w:gridCol w:w="730"/>
        <w:gridCol w:w="3306"/>
        <w:gridCol w:w="880"/>
        <w:gridCol w:w="852"/>
        <w:gridCol w:w="880"/>
        <w:gridCol w:w="852"/>
        <w:gridCol w:w="880"/>
        <w:gridCol w:w="980"/>
      </w:tblGrid>
      <w:tr w:rsidR="00B43A6B" w:rsidRPr="00B375EA" w14:paraId="23E1B633" w14:textId="77777777">
        <w:trPr>
          <w:cantSplit/>
          <w:trHeight w:val="98"/>
          <w:tblHeader/>
          <w:jc w:val="center"/>
        </w:trPr>
        <w:tc>
          <w:tcPr>
            <w:tcW w:w="730" w:type="dxa"/>
            <w:tcBorders>
              <w:top w:val="single" w:sz="4" w:space="0" w:color="auto"/>
              <w:left w:val="single" w:sz="4" w:space="0" w:color="auto"/>
              <w:bottom w:val="single" w:sz="4" w:space="0" w:color="auto"/>
              <w:right w:val="single" w:sz="4" w:space="0" w:color="auto"/>
            </w:tcBorders>
            <w:hideMark/>
          </w:tcPr>
          <w:p w14:paraId="1B866484" w14:textId="77777777" w:rsidR="00B43A6B" w:rsidRPr="00B375EA" w:rsidRDefault="00B43A6B" w:rsidP="00276FFA">
            <w:pPr>
              <w:keepNext/>
              <w:keepLines/>
              <w:jc w:val="center"/>
              <w:rPr>
                <w:b/>
                <w:bCs/>
                <w:color w:val="000000"/>
                <w:sz w:val="20"/>
                <w:szCs w:val="20"/>
                <w:lang w:eastAsia="en-CA"/>
              </w:rPr>
            </w:pPr>
            <w:r>
              <w:rPr>
                <w:b/>
                <w:bCs/>
                <w:color w:val="000000"/>
                <w:sz w:val="20"/>
                <w:szCs w:val="20"/>
                <w:rtl/>
                <w:lang w:eastAsia="en-CA"/>
              </w:rPr>
              <w:t>الصف</w:t>
            </w:r>
          </w:p>
        </w:tc>
        <w:tc>
          <w:tcPr>
            <w:tcW w:w="3306" w:type="dxa"/>
            <w:tcBorders>
              <w:top w:val="single" w:sz="4" w:space="0" w:color="auto"/>
              <w:left w:val="nil"/>
              <w:bottom w:val="single" w:sz="4" w:space="0" w:color="auto"/>
              <w:right w:val="single" w:sz="4" w:space="0" w:color="auto"/>
            </w:tcBorders>
            <w:hideMark/>
          </w:tcPr>
          <w:p w14:paraId="0DCADD7B" w14:textId="5310EB35" w:rsidR="00B43A6B" w:rsidRPr="00B375EA" w:rsidRDefault="00276FFA" w:rsidP="00276FFA">
            <w:pPr>
              <w:keepNext/>
              <w:keepLines/>
              <w:jc w:val="center"/>
              <w:rPr>
                <w:b/>
                <w:bCs/>
                <w:color w:val="000000"/>
                <w:sz w:val="20"/>
                <w:szCs w:val="20"/>
                <w:lang w:eastAsia="en-CA"/>
              </w:rPr>
            </w:pPr>
            <w:r w:rsidRPr="00276FFA">
              <w:rPr>
                <w:b/>
                <w:bCs/>
                <w:color w:val="000000"/>
                <w:sz w:val="20"/>
                <w:szCs w:val="20"/>
                <w:rtl/>
                <w:lang w:eastAsia="en-CA"/>
              </w:rPr>
              <w:t>التفاصيل</w:t>
            </w:r>
          </w:p>
        </w:tc>
        <w:tc>
          <w:tcPr>
            <w:tcW w:w="880" w:type="dxa"/>
            <w:tcBorders>
              <w:top w:val="single" w:sz="4" w:space="0" w:color="auto"/>
              <w:left w:val="nil"/>
              <w:bottom w:val="single" w:sz="4" w:space="0" w:color="auto"/>
              <w:right w:val="single" w:sz="4" w:space="0" w:color="auto"/>
            </w:tcBorders>
            <w:shd w:val="clear" w:color="auto" w:fill="FFFFFF" w:themeFill="background1"/>
            <w:hideMark/>
          </w:tcPr>
          <w:p w14:paraId="3A9F7863" w14:textId="77777777" w:rsidR="00B43A6B" w:rsidRPr="00B375EA" w:rsidRDefault="00B43A6B" w:rsidP="00276FFA">
            <w:pPr>
              <w:keepNext/>
              <w:keepLines/>
              <w:jc w:val="center"/>
              <w:rPr>
                <w:b/>
                <w:bCs/>
                <w:color w:val="000000"/>
                <w:sz w:val="20"/>
                <w:szCs w:val="20"/>
                <w:lang w:eastAsia="en-CA"/>
              </w:rPr>
            </w:pPr>
            <w:r>
              <w:rPr>
                <w:b/>
                <w:bCs/>
                <w:color w:val="000000"/>
                <w:sz w:val="20"/>
                <w:szCs w:val="20"/>
                <w:lang w:eastAsia="en-CA"/>
              </w:rPr>
              <w:t>2026</w:t>
            </w:r>
          </w:p>
        </w:tc>
        <w:tc>
          <w:tcPr>
            <w:tcW w:w="852" w:type="dxa"/>
            <w:tcBorders>
              <w:top w:val="single" w:sz="4" w:space="0" w:color="auto"/>
              <w:left w:val="nil"/>
              <w:bottom w:val="single" w:sz="4" w:space="0" w:color="auto"/>
              <w:right w:val="single" w:sz="4" w:space="0" w:color="auto"/>
            </w:tcBorders>
            <w:shd w:val="clear" w:color="auto" w:fill="FFFFFF" w:themeFill="background1"/>
            <w:hideMark/>
          </w:tcPr>
          <w:p w14:paraId="12DA2EBE" w14:textId="77777777" w:rsidR="00B43A6B" w:rsidRPr="00B375EA" w:rsidRDefault="00B43A6B" w:rsidP="00276FFA">
            <w:pPr>
              <w:keepNext/>
              <w:keepLines/>
              <w:jc w:val="center"/>
              <w:rPr>
                <w:b/>
                <w:bCs/>
                <w:color w:val="000000"/>
                <w:sz w:val="20"/>
                <w:szCs w:val="20"/>
                <w:lang w:eastAsia="en-CA"/>
              </w:rPr>
            </w:pPr>
            <w:r>
              <w:rPr>
                <w:b/>
                <w:bCs/>
                <w:color w:val="000000"/>
                <w:sz w:val="20"/>
                <w:szCs w:val="20"/>
                <w:lang w:eastAsia="en-CA"/>
              </w:rPr>
              <w:t>2027</w:t>
            </w:r>
          </w:p>
        </w:tc>
        <w:tc>
          <w:tcPr>
            <w:tcW w:w="880" w:type="dxa"/>
            <w:tcBorders>
              <w:top w:val="single" w:sz="4" w:space="0" w:color="auto"/>
              <w:left w:val="nil"/>
              <w:bottom w:val="single" w:sz="4" w:space="0" w:color="auto"/>
              <w:right w:val="single" w:sz="4" w:space="0" w:color="auto"/>
            </w:tcBorders>
            <w:shd w:val="clear" w:color="auto" w:fill="FFFFFF" w:themeFill="background1"/>
            <w:hideMark/>
          </w:tcPr>
          <w:p w14:paraId="573FF6CE" w14:textId="77777777" w:rsidR="00B43A6B" w:rsidRPr="00B375EA" w:rsidRDefault="00B43A6B" w:rsidP="00276FFA">
            <w:pPr>
              <w:keepNext/>
              <w:keepLines/>
              <w:jc w:val="center"/>
              <w:rPr>
                <w:b/>
                <w:bCs/>
                <w:color w:val="000000"/>
                <w:sz w:val="20"/>
                <w:szCs w:val="20"/>
                <w:lang w:eastAsia="en-CA"/>
              </w:rPr>
            </w:pPr>
            <w:r>
              <w:rPr>
                <w:b/>
                <w:bCs/>
                <w:color w:val="000000"/>
                <w:sz w:val="20"/>
                <w:szCs w:val="20"/>
                <w:lang w:eastAsia="en-CA"/>
              </w:rPr>
              <w:t>2028</w:t>
            </w:r>
          </w:p>
        </w:tc>
        <w:tc>
          <w:tcPr>
            <w:tcW w:w="852" w:type="dxa"/>
            <w:tcBorders>
              <w:top w:val="single" w:sz="4" w:space="0" w:color="auto"/>
              <w:left w:val="nil"/>
              <w:bottom w:val="single" w:sz="4" w:space="0" w:color="auto"/>
              <w:right w:val="single" w:sz="4" w:space="0" w:color="auto"/>
            </w:tcBorders>
            <w:shd w:val="clear" w:color="auto" w:fill="FFFFFF" w:themeFill="background1"/>
            <w:hideMark/>
          </w:tcPr>
          <w:p w14:paraId="4BEC1720" w14:textId="77777777" w:rsidR="00B43A6B" w:rsidRPr="00B375EA" w:rsidRDefault="00B43A6B" w:rsidP="00276FFA">
            <w:pPr>
              <w:keepNext/>
              <w:keepLines/>
              <w:jc w:val="center"/>
              <w:rPr>
                <w:b/>
                <w:bCs/>
                <w:color w:val="000000"/>
                <w:sz w:val="20"/>
                <w:szCs w:val="20"/>
                <w:lang w:eastAsia="en-CA"/>
              </w:rPr>
            </w:pPr>
            <w:r>
              <w:rPr>
                <w:b/>
                <w:bCs/>
                <w:color w:val="000000"/>
                <w:sz w:val="20"/>
                <w:szCs w:val="20"/>
                <w:lang w:eastAsia="en-CA"/>
              </w:rPr>
              <w:t>2029</w:t>
            </w:r>
          </w:p>
        </w:tc>
        <w:tc>
          <w:tcPr>
            <w:tcW w:w="880" w:type="dxa"/>
            <w:tcBorders>
              <w:top w:val="single" w:sz="4" w:space="0" w:color="auto"/>
              <w:left w:val="nil"/>
              <w:bottom w:val="single" w:sz="4" w:space="0" w:color="auto"/>
              <w:right w:val="single" w:sz="4" w:space="0" w:color="auto"/>
            </w:tcBorders>
            <w:shd w:val="clear" w:color="auto" w:fill="FFFFFF" w:themeFill="background1"/>
            <w:hideMark/>
          </w:tcPr>
          <w:p w14:paraId="3B3FFBBF" w14:textId="77777777" w:rsidR="00B43A6B" w:rsidRPr="00B375EA" w:rsidRDefault="00B43A6B" w:rsidP="00276FFA">
            <w:pPr>
              <w:keepNext/>
              <w:keepLines/>
              <w:jc w:val="center"/>
              <w:rPr>
                <w:b/>
                <w:bCs/>
                <w:color w:val="000000"/>
                <w:sz w:val="20"/>
                <w:szCs w:val="20"/>
                <w:lang w:eastAsia="en-CA"/>
              </w:rPr>
            </w:pPr>
            <w:r>
              <w:rPr>
                <w:b/>
                <w:bCs/>
                <w:color w:val="000000"/>
                <w:sz w:val="20"/>
                <w:szCs w:val="20"/>
                <w:lang w:eastAsia="en-CA"/>
              </w:rPr>
              <w:t>2030</w:t>
            </w:r>
          </w:p>
        </w:tc>
        <w:tc>
          <w:tcPr>
            <w:tcW w:w="980" w:type="dxa"/>
            <w:tcBorders>
              <w:top w:val="single" w:sz="4" w:space="0" w:color="auto"/>
              <w:left w:val="nil"/>
              <w:bottom w:val="single" w:sz="4" w:space="0" w:color="auto"/>
              <w:right w:val="single" w:sz="4" w:space="0" w:color="auto"/>
            </w:tcBorders>
            <w:shd w:val="clear" w:color="auto" w:fill="FFFFFF" w:themeFill="background1"/>
            <w:hideMark/>
          </w:tcPr>
          <w:p w14:paraId="20A98F0D" w14:textId="77777777" w:rsidR="00B43A6B" w:rsidRPr="00B375EA" w:rsidRDefault="00B43A6B" w:rsidP="00276FFA">
            <w:pPr>
              <w:keepNext/>
              <w:keepLines/>
              <w:jc w:val="center"/>
              <w:rPr>
                <w:b/>
                <w:bCs/>
                <w:color w:val="000000"/>
                <w:sz w:val="20"/>
                <w:szCs w:val="20"/>
                <w:lang w:eastAsia="en-CA"/>
              </w:rPr>
            </w:pPr>
            <w:r>
              <w:rPr>
                <w:b/>
                <w:bCs/>
                <w:color w:val="000000"/>
                <w:sz w:val="20"/>
                <w:szCs w:val="20"/>
                <w:rtl/>
                <w:lang w:eastAsia="en-CA"/>
              </w:rPr>
              <w:t>المجموع</w:t>
            </w:r>
          </w:p>
        </w:tc>
      </w:tr>
      <w:tr w:rsidR="00B43A6B" w:rsidRPr="00B375EA" w14:paraId="3F35354D" w14:textId="77777777">
        <w:trPr>
          <w:cantSplit/>
          <w:trHeight w:val="408"/>
          <w:jc w:val="center"/>
        </w:trPr>
        <w:tc>
          <w:tcPr>
            <w:tcW w:w="730" w:type="dxa"/>
            <w:tcBorders>
              <w:top w:val="nil"/>
              <w:left w:val="single" w:sz="4" w:space="0" w:color="auto"/>
              <w:bottom w:val="single" w:sz="4" w:space="0" w:color="auto"/>
              <w:right w:val="single" w:sz="4" w:space="0" w:color="auto"/>
            </w:tcBorders>
            <w:hideMark/>
          </w:tcPr>
          <w:p w14:paraId="25177927" w14:textId="77777777" w:rsidR="00B43A6B" w:rsidRPr="00B375EA" w:rsidRDefault="00B43A6B">
            <w:pPr>
              <w:keepNext/>
              <w:keepLines/>
              <w:rPr>
                <w:color w:val="000000"/>
                <w:sz w:val="20"/>
                <w:szCs w:val="20"/>
                <w:lang w:eastAsia="en-CA"/>
              </w:rPr>
            </w:pPr>
            <w:r>
              <w:rPr>
                <w:color w:val="000000"/>
                <w:sz w:val="20"/>
                <w:szCs w:val="20"/>
                <w:lang w:eastAsia="en-CA"/>
              </w:rPr>
              <w:t>1.1</w:t>
            </w:r>
          </w:p>
        </w:tc>
        <w:tc>
          <w:tcPr>
            <w:tcW w:w="3306" w:type="dxa"/>
            <w:tcBorders>
              <w:top w:val="nil"/>
              <w:left w:val="nil"/>
              <w:bottom w:val="single" w:sz="4" w:space="0" w:color="auto"/>
              <w:right w:val="single" w:sz="4" w:space="0" w:color="auto"/>
            </w:tcBorders>
            <w:hideMark/>
          </w:tcPr>
          <w:p w14:paraId="108F909B" w14:textId="77777777" w:rsidR="00B43A6B" w:rsidRPr="00B375EA" w:rsidRDefault="00B43A6B">
            <w:pPr>
              <w:keepNext/>
              <w:keepLines/>
              <w:rPr>
                <w:color w:val="000000"/>
                <w:sz w:val="20"/>
                <w:szCs w:val="20"/>
                <w:lang w:eastAsia="en-CA"/>
              </w:rPr>
            </w:pPr>
            <w:r>
              <w:rPr>
                <w:color w:val="000000"/>
                <w:sz w:val="20"/>
                <w:szCs w:val="20"/>
                <w:rtl/>
                <w:lang w:eastAsia="en-CA"/>
              </w:rPr>
              <w:t>الجدول الزمني للتخفيض بموجب بروتوكول مونتريال لمواد المجموعة الأولى من المرفق جيم (طن من قدرات استنفاد الأوزون)</w:t>
            </w:r>
          </w:p>
        </w:tc>
        <w:tc>
          <w:tcPr>
            <w:tcW w:w="880" w:type="dxa"/>
            <w:tcBorders>
              <w:top w:val="nil"/>
              <w:left w:val="nil"/>
              <w:bottom w:val="single" w:sz="4" w:space="0" w:color="auto"/>
              <w:right w:val="single" w:sz="4" w:space="0" w:color="auto"/>
            </w:tcBorders>
            <w:shd w:val="clear" w:color="auto" w:fill="FFFFFF" w:themeFill="background1"/>
          </w:tcPr>
          <w:p w14:paraId="6EAB5010" w14:textId="67898070" w:rsidR="00B43A6B" w:rsidRPr="00B375EA" w:rsidRDefault="00B43A6B" w:rsidP="00B35FF7">
            <w:pPr>
              <w:keepNext/>
              <w:keepLines/>
              <w:jc w:val="left"/>
              <w:rPr>
                <w:color w:val="000000"/>
                <w:sz w:val="20"/>
                <w:szCs w:val="20"/>
                <w:lang w:eastAsia="en-CA"/>
              </w:rPr>
            </w:pPr>
            <w:r>
              <w:rPr>
                <w:color w:val="000000"/>
                <w:sz w:val="20"/>
                <w:szCs w:val="20"/>
                <w:lang w:eastAsia="en-CA"/>
              </w:rPr>
              <w:t>0.72</w:t>
            </w:r>
          </w:p>
        </w:tc>
        <w:tc>
          <w:tcPr>
            <w:tcW w:w="852" w:type="dxa"/>
            <w:tcBorders>
              <w:top w:val="nil"/>
              <w:left w:val="nil"/>
              <w:bottom w:val="single" w:sz="4" w:space="0" w:color="auto"/>
              <w:right w:val="single" w:sz="4" w:space="0" w:color="auto"/>
            </w:tcBorders>
            <w:shd w:val="clear" w:color="auto" w:fill="FFFFFF" w:themeFill="background1"/>
          </w:tcPr>
          <w:p w14:paraId="3D2B7A23" w14:textId="611E7E15" w:rsidR="00B43A6B" w:rsidRPr="00B375EA" w:rsidRDefault="00B43A6B" w:rsidP="00B35FF7">
            <w:pPr>
              <w:keepNext/>
              <w:keepLines/>
              <w:jc w:val="left"/>
              <w:rPr>
                <w:color w:val="000000"/>
                <w:sz w:val="20"/>
                <w:szCs w:val="20"/>
                <w:lang w:eastAsia="en-CA"/>
              </w:rPr>
            </w:pPr>
            <w:r>
              <w:rPr>
                <w:color w:val="000000"/>
                <w:sz w:val="20"/>
                <w:szCs w:val="20"/>
                <w:lang w:eastAsia="en-CA"/>
              </w:rPr>
              <w:t>0.72</w:t>
            </w:r>
          </w:p>
        </w:tc>
        <w:tc>
          <w:tcPr>
            <w:tcW w:w="880" w:type="dxa"/>
            <w:tcBorders>
              <w:top w:val="nil"/>
              <w:left w:val="nil"/>
              <w:bottom w:val="single" w:sz="4" w:space="0" w:color="auto"/>
              <w:right w:val="single" w:sz="4" w:space="0" w:color="auto"/>
            </w:tcBorders>
            <w:shd w:val="clear" w:color="auto" w:fill="FFFFFF" w:themeFill="background1"/>
          </w:tcPr>
          <w:p w14:paraId="47F96229" w14:textId="34CAEC97" w:rsidR="00B43A6B" w:rsidRPr="00B375EA" w:rsidRDefault="00B43A6B" w:rsidP="00B35FF7">
            <w:pPr>
              <w:keepNext/>
              <w:keepLines/>
              <w:jc w:val="left"/>
              <w:rPr>
                <w:color w:val="000000"/>
                <w:sz w:val="20"/>
                <w:szCs w:val="20"/>
                <w:lang w:eastAsia="en-CA"/>
              </w:rPr>
            </w:pPr>
            <w:r>
              <w:rPr>
                <w:color w:val="000000"/>
                <w:sz w:val="20"/>
                <w:szCs w:val="20"/>
                <w:lang w:eastAsia="en-CA"/>
              </w:rPr>
              <w:t>0.72</w:t>
            </w:r>
          </w:p>
        </w:tc>
        <w:tc>
          <w:tcPr>
            <w:tcW w:w="852" w:type="dxa"/>
            <w:tcBorders>
              <w:top w:val="nil"/>
              <w:left w:val="nil"/>
              <w:bottom w:val="single" w:sz="4" w:space="0" w:color="auto"/>
              <w:right w:val="single" w:sz="4" w:space="0" w:color="auto"/>
            </w:tcBorders>
            <w:shd w:val="clear" w:color="auto" w:fill="FFFFFF" w:themeFill="background1"/>
          </w:tcPr>
          <w:p w14:paraId="4537A9BE" w14:textId="147CF4CD" w:rsidR="00B43A6B" w:rsidRPr="00B375EA" w:rsidRDefault="00B43A6B" w:rsidP="00B35FF7">
            <w:pPr>
              <w:keepNext/>
              <w:keepLines/>
              <w:jc w:val="left"/>
              <w:rPr>
                <w:color w:val="000000"/>
                <w:sz w:val="20"/>
                <w:szCs w:val="20"/>
                <w:lang w:eastAsia="en-CA"/>
              </w:rPr>
            </w:pPr>
            <w:r>
              <w:rPr>
                <w:color w:val="000000"/>
                <w:sz w:val="20"/>
                <w:szCs w:val="20"/>
                <w:lang w:eastAsia="en-CA"/>
              </w:rPr>
              <w:t>0.72</w:t>
            </w:r>
          </w:p>
        </w:tc>
        <w:tc>
          <w:tcPr>
            <w:tcW w:w="880" w:type="dxa"/>
            <w:tcBorders>
              <w:top w:val="nil"/>
              <w:left w:val="nil"/>
              <w:bottom w:val="single" w:sz="4" w:space="0" w:color="auto"/>
              <w:right w:val="single" w:sz="4" w:space="0" w:color="auto"/>
            </w:tcBorders>
            <w:shd w:val="clear" w:color="auto" w:fill="FFFFFF" w:themeFill="background1"/>
          </w:tcPr>
          <w:p w14:paraId="0377B89E" w14:textId="77777777" w:rsidR="00B43A6B" w:rsidRPr="00B375EA" w:rsidRDefault="00B43A6B" w:rsidP="00B35FF7">
            <w:pPr>
              <w:keepNext/>
              <w:keepLines/>
              <w:jc w:val="left"/>
              <w:rPr>
                <w:color w:val="000000"/>
                <w:sz w:val="20"/>
                <w:szCs w:val="20"/>
                <w:lang w:eastAsia="en-CA"/>
              </w:rPr>
            </w:pPr>
            <w:r>
              <w:rPr>
                <w:color w:val="000000"/>
                <w:sz w:val="20"/>
                <w:szCs w:val="20"/>
                <w:lang w:eastAsia="en-CA"/>
              </w:rPr>
              <w:t>0</w:t>
            </w:r>
          </w:p>
        </w:tc>
        <w:tc>
          <w:tcPr>
            <w:tcW w:w="980" w:type="dxa"/>
            <w:tcBorders>
              <w:top w:val="nil"/>
              <w:left w:val="nil"/>
              <w:bottom w:val="single" w:sz="4" w:space="0" w:color="auto"/>
              <w:right w:val="single" w:sz="4" w:space="0" w:color="auto"/>
            </w:tcBorders>
            <w:shd w:val="clear" w:color="auto" w:fill="FFFFFF" w:themeFill="background1"/>
          </w:tcPr>
          <w:p w14:paraId="22F229AA" w14:textId="77777777" w:rsidR="00B43A6B" w:rsidRPr="00B375EA" w:rsidRDefault="00B43A6B" w:rsidP="00276FFA">
            <w:pPr>
              <w:keepNext/>
              <w:keepLines/>
              <w:jc w:val="center"/>
              <w:rPr>
                <w:color w:val="000000"/>
                <w:sz w:val="20"/>
                <w:szCs w:val="20"/>
                <w:lang w:eastAsia="en-CA"/>
              </w:rPr>
            </w:pPr>
            <w:r>
              <w:rPr>
                <w:color w:val="000000"/>
                <w:sz w:val="20"/>
                <w:szCs w:val="20"/>
                <w:rtl/>
                <w:lang w:eastAsia="en-CA"/>
              </w:rPr>
              <w:t>لا ينطبق</w:t>
            </w:r>
          </w:p>
        </w:tc>
      </w:tr>
      <w:tr w:rsidR="00B43A6B" w:rsidRPr="00B375EA" w14:paraId="68566A9E" w14:textId="77777777">
        <w:trPr>
          <w:cantSplit/>
          <w:trHeight w:val="408"/>
          <w:jc w:val="center"/>
        </w:trPr>
        <w:tc>
          <w:tcPr>
            <w:tcW w:w="730" w:type="dxa"/>
            <w:tcBorders>
              <w:top w:val="nil"/>
              <w:left w:val="single" w:sz="4" w:space="0" w:color="auto"/>
              <w:bottom w:val="single" w:sz="4" w:space="0" w:color="auto"/>
              <w:right w:val="single" w:sz="4" w:space="0" w:color="auto"/>
            </w:tcBorders>
            <w:hideMark/>
          </w:tcPr>
          <w:p w14:paraId="774A9CF1" w14:textId="77777777" w:rsidR="00B43A6B" w:rsidRPr="00B375EA" w:rsidRDefault="00B43A6B">
            <w:pPr>
              <w:keepNext/>
              <w:rPr>
                <w:color w:val="000000"/>
                <w:sz w:val="20"/>
                <w:szCs w:val="20"/>
                <w:lang w:eastAsia="en-CA"/>
              </w:rPr>
            </w:pPr>
            <w:r>
              <w:rPr>
                <w:color w:val="000000"/>
                <w:sz w:val="20"/>
                <w:szCs w:val="20"/>
                <w:lang w:eastAsia="en-CA"/>
              </w:rPr>
              <w:t>1.2</w:t>
            </w:r>
          </w:p>
        </w:tc>
        <w:tc>
          <w:tcPr>
            <w:tcW w:w="3306" w:type="dxa"/>
            <w:tcBorders>
              <w:top w:val="nil"/>
              <w:left w:val="nil"/>
              <w:bottom w:val="single" w:sz="4" w:space="0" w:color="auto"/>
              <w:right w:val="single" w:sz="4" w:space="0" w:color="auto"/>
            </w:tcBorders>
            <w:hideMark/>
          </w:tcPr>
          <w:p w14:paraId="0473BED1" w14:textId="77777777" w:rsidR="00B43A6B" w:rsidRPr="00B375EA" w:rsidRDefault="00B43A6B">
            <w:pPr>
              <w:keepNext/>
              <w:rPr>
                <w:color w:val="000000"/>
                <w:sz w:val="20"/>
                <w:szCs w:val="20"/>
                <w:lang w:eastAsia="en-CA"/>
              </w:rPr>
            </w:pPr>
            <w:r>
              <w:rPr>
                <w:color w:val="000000"/>
                <w:sz w:val="20"/>
                <w:szCs w:val="20"/>
                <w:rtl/>
                <w:lang w:eastAsia="en-CA"/>
              </w:rPr>
              <w:t>الحد الأقصى المسموح به لمجموع استهلاك مواد المجموعة الأولى من المرفق جيم (طن من قدرات استنفاد الأوزون)</w:t>
            </w:r>
          </w:p>
        </w:tc>
        <w:tc>
          <w:tcPr>
            <w:tcW w:w="880" w:type="dxa"/>
            <w:tcBorders>
              <w:top w:val="nil"/>
              <w:left w:val="nil"/>
              <w:bottom w:val="single" w:sz="4" w:space="0" w:color="auto"/>
              <w:right w:val="single" w:sz="4" w:space="0" w:color="auto"/>
            </w:tcBorders>
            <w:shd w:val="clear" w:color="auto" w:fill="FFFFFF" w:themeFill="background1"/>
          </w:tcPr>
          <w:p w14:paraId="676C15BD" w14:textId="72CF5AB9" w:rsidR="00B43A6B" w:rsidRPr="00B375EA" w:rsidRDefault="00B43A6B" w:rsidP="00B35FF7">
            <w:pPr>
              <w:keepNext/>
              <w:jc w:val="left"/>
              <w:rPr>
                <w:color w:val="000000"/>
                <w:sz w:val="20"/>
                <w:szCs w:val="20"/>
                <w:lang w:eastAsia="en-CA"/>
              </w:rPr>
            </w:pPr>
            <w:r>
              <w:rPr>
                <w:color w:val="000000"/>
                <w:sz w:val="20"/>
                <w:szCs w:val="20"/>
                <w:lang w:eastAsia="en-CA"/>
              </w:rPr>
              <w:t>0.05</w:t>
            </w:r>
          </w:p>
        </w:tc>
        <w:tc>
          <w:tcPr>
            <w:tcW w:w="852" w:type="dxa"/>
            <w:tcBorders>
              <w:top w:val="nil"/>
              <w:left w:val="nil"/>
              <w:bottom w:val="single" w:sz="4" w:space="0" w:color="auto"/>
              <w:right w:val="single" w:sz="4" w:space="0" w:color="auto"/>
            </w:tcBorders>
            <w:shd w:val="clear" w:color="auto" w:fill="FFFFFF" w:themeFill="background1"/>
          </w:tcPr>
          <w:p w14:paraId="388AEE3E" w14:textId="4DB564E1" w:rsidR="00B43A6B" w:rsidRPr="00B375EA" w:rsidRDefault="00B43A6B" w:rsidP="00B35FF7">
            <w:pPr>
              <w:keepNext/>
              <w:jc w:val="left"/>
              <w:rPr>
                <w:color w:val="000000"/>
                <w:sz w:val="20"/>
                <w:szCs w:val="20"/>
                <w:lang w:eastAsia="en-CA"/>
              </w:rPr>
            </w:pPr>
            <w:r>
              <w:rPr>
                <w:color w:val="000000"/>
                <w:sz w:val="20"/>
                <w:szCs w:val="20"/>
                <w:lang w:eastAsia="en-CA"/>
              </w:rPr>
              <w:t>0.05</w:t>
            </w:r>
          </w:p>
        </w:tc>
        <w:tc>
          <w:tcPr>
            <w:tcW w:w="880" w:type="dxa"/>
            <w:tcBorders>
              <w:top w:val="nil"/>
              <w:left w:val="nil"/>
              <w:bottom w:val="single" w:sz="4" w:space="0" w:color="auto"/>
              <w:right w:val="single" w:sz="4" w:space="0" w:color="auto"/>
            </w:tcBorders>
            <w:shd w:val="clear" w:color="auto" w:fill="FFFFFF" w:themeFill="background1"/>
          </w:tcPr>
          <w:p w14:paraId="44E2A0A8" w14:textId="15CDB1B8" w:rsidR="00B43A6B" w:rsidRPr="00B375EA" w:rsidRDefault="00B43A6B" w:rsidP="00B35FF7">
            <w:pPr>
              <w:keepNext/>
              <w:jc w:val="left"/>
              <w:rPr>
                <w:color w:val="000000"/>
                <w:sz w:val="20"/>
                <w:szCs w:val="20"/>
                <w:lang w:eastAsia="en-CA"/>
              </w:rPr>
            </w:pPr>
            <w:r>
              <w:rPr>
                <w:color w:val="000000"/>
                <w:sz w:val="20"/>
                <w:szCs w:val="20"/>
                <w:lang w:eastAsia="en-CA"/>
              </w:rPr>
              <w:t>0.05</w:t>
            </w:r>
          </w:p>
        </w:tc>
        <w:tc>
          <w:tcPr>
            <w:tcW w:w="852" w:type="dxa"/>
            <w:tcBorders>
              <w:top w:val="nil"/>
              <w:left w:val="nil"/>
              <w:bottom w:val="single" w:sz="4" w:space="0" w:color="auto"/>
              <w:right w:val="single" w:sz="4" w:space="0" w:color="auto"/>
            </w:tcBorders>
            <w:shd w:val="clear" w:color="auto" w:fill="FFFFFF" w:themeFill="background1"/>
          </w:tcPr>
          <w:p w14:paraId="453A2898" w14:textId="182CEBA2" w:rsidR="00B43A6B" w:rsidRPr="00B375EA" w:rsidRDefault="00B43A6B" w:rsidP="00B35FF7">
            <w:pPr>
              <w:keepNext/>
              <w:jc w:val="left"/>
              <w:rPr>
                <w:color w:val="000000"/>
                <w:sz w:val="20"/>
                <w:szCs w:val="20"/>
                <w:lang w:eastAsia="en-CA"/>
              </w:rPr>
            </w:pPr>
            <w:r>
              <w:rPr>
                <w:color w:val="000000"/>
                <w:sz w:val="20"/>
                <w:szCs w:val="20"/>
                <w:lang w:eastAsia="en-CA"/>
              </w:rPr>
              <w:t>0.05</w:t>
            </w:r>
          </w:p>
        </w:tc>
        <w:tc>
          <w:tcPr>
            <w:tcW w:w="880" w:type="dxa"/>
            <w:tcBorders>
              <w:top w:val="nil"/>
              <w:left w:val="nil"/>
              <w:bottom w:val="single" w:sz="4" w:space="0" w:color="auto"/>
              <w:right w:val="single" w:sz="4" w:space="0" w:color="auto"/>
            </w:tcBorders>
            <w:shd w:val="clear" w:color="auto" w:fill="FFFFFF" w:themeFill="background1"/>
          </w:tcPr>
          <w:p w14:paraId="633427B5"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980" w:type="dxa"/>
            <w:tcBorders>
              <w:top w:val="nil"/>
              <w:left w:val="nil"/>
              <w:bottom w:val="single" w:sz="4" w:space="0" w:color="auto"/>
              <w:right w:val="single" w:sz="4" w:space="0" w:color="auto"/>
            </w:tcBorders>
            <w:shd w:val="clear" w:color="auto" w:fill="FFFFFF" w:themeFill="background1"/>
          </w:tcPr>
          <w:p w14:paraId="62E43872" w14:textId="77777777" w:rsidR="00B43A6B" w:rsidRPr="00B375EA" w:rsidRDefault="00B43A6B" w:rsidP="00276FFA">
            <w:pPr>
              <w:keepNext/>
              <w:jc w:val="center"/>
              <w:rPr>
                <w:color w:val="000000"/>
                <w:sz w:val="20"/>
                <w:szCs w:val="20"/>
                <w:lang w:eastAsia="en-CA"/>
              </w:rPr>
            </w:pPr>
            <w:r>
              <w:rPr>
                <w:color w:val="000000"/>
                <w:sz w:val="20"/>
                <w:szCs w:val="20"/>
                <w:rtl/>
                <w:lang w:eastAsia="en-CA"/>
              </w:rPr>
              <w:t>لا ينطبق</w:t>
            </w:r>
          </w:p>
        </w:tc>
      </w:tr>
      <w:tr w:rsidR="00B43A6B" w:rsidRPr="00B375EA" w14:paraId="7159B7E1" w14:textId="77777777">
        <w:trPr>
          <w:cantSplit/>
          <w:trHeight w:val="116"/>
          <w:jc w:val="center"/>
        </w:trPr>
        <w:tc>
          <w:tcPr>
            <w:tcW w:w="730" w:type="dxa"/>
            <w:tcBorders>
              <w:top w:val="nil"/>
              <w:left w:val="single" w:sz="4" w:space="0" w:color="auto"/>
              <w:bottom w:val="single" w:sz="4" w:space="0" w:color="auto"/>
              <w:right w:val="single" w:sz="4" w:space="0" w:color="auto"/>
            </w:tcBorders>
            <w:hideMark/>
          </w:tcPr>
          <w:p w14:paraId="56451D3E" w14:textId="77777777" w:rsidR="00B43A6B" w:rsidRPr="00B375EA" w:rsidRDefault="00B43A6B">
            <w:pPr>
              <w:keepNext/>
              <w:rPr>
                <w:color w:val="000000"/>
                <w:sz w:val="20"/>
                <w:szCs w:val="20"/>
                <w:lang w:eastAsia="en-CA"/>
              </w:rPr>
            </w:pPr>
            <w:r>
              <w:rPr>
                <w:color w:val="000000"/>
                <w:sz w:val="20"/>
                <w:szCs w:val="20"/>
                <w:lang w:eastAsia="en-CA"/>
              </w:rPr>
              <w:t>2.1</w:t>
            </w:r>
          </w:p>
        </w:tc>
        <w:tc>
          <w:tcPr>
            <w:tcW w:w="3306" w:type="dxa"/>
            <w:tcBorders>
              <w:top w:val="nil"/>
              <w:left w:val="nil"/>
              <w:bottom w:val="single" w:sz="4" w:space="0" w:color="auto"/>
              <w:right w:val="single" w:sz="4" w:space="0" w:color="auto"/>
            </w:tcBorders>
            <w:hideMark/>
          </w:tcPr>
          <w:p w14:paraId="347FB84E" w14:textId="77777777" w:rsidR="00B43A6B" w:rsidRPr="00B375EA" w:rsidRDefault="00B43A6B">
            <w:pPr>
              <w:keepNext/>
              <w:rPr>
                <w:color w:val="000000"/>
                <w:sz w:val="20"/>
                <w:szCs w:val="20"/>
                <w:lang w:eastAsia="en-CA"/>
              </w:rPr>
            </w:pPr>
            <w:r>
              <w:rPr>
                <w:color w:val="000000"/>
                <w:sz w:val="20"/>
                <w:szCs w:val="20"/>
                <w:rtl/>
                <w:lang w:eastAsia="en-CA"/>
              </w:rPr>
              <w:t>التمويل المتفق عليه للوكالة المنفذة الرئيسية (اليونيب) (بالدولار الأمريكي)</w:t>
            </w:r>
          </w:p>
        </w:tc>
        <w:tc>
          <w:tcPr>
            <w:tcW w:w="880" w:type="dxa"/>
            <w:tcBorders>
              <w:top w:val="nil"/>
              <w:left w:val="nil"/>
              <w:bottom w:val="single" w:sz="4" w:space="0" w:color="auto"/>
              <w:right w:val="single" w:sz="4" w:space="0" w:color="auto"/>
            </w:tcBorders>
            <w:shd w:val="clear" w:color="auto" w:fill="FFFFFF" w:themeFill="background1"/>
          </w:tcPr>
          <w:p w14:paraId="22CE4794" w14:textId="77777777" w:rsidR="00B43A6B" w:rsidRPr="00B375EA" w:rsidRDefault="00B43A6B" w:rsidP="00B35FF7">
            <w:pPr>
              <w:keepNext/>
              <w:jc w:val="left"/>
              <w:rPr>
                <w:color w:val="000000"/>
                <w:sz w:val="20"/>
                <w:szCs w:val="20"/>
                <w:lang w:eastAsia="en-CA"/>
              </w:rPr>
            </w:pPr>
            <w:r>
              <w:rPr>
                <w:color w:val="000000"/>
                <w:sz w:val="20"/>
                <w:szCs w:val="20"/>
                <w:lang w:eastAsia="en-CA"/>
              </w:rPr>
              <w:t>85,500</w:t>
            </w:r>
          </w:p>
        </w:tc>
        <w:tc>
          <w:tcPr>
            <w:tcW w:w="852" w:type="dxa"/>
            <w:tcBorders>
              <w:top w:val="nil"/>
              <w:left w:val="nil"/>
              <w:bottom w:val="single" w:sz="4" w:space="0" w:color="auto"/>
              <w:right w:val="single" w:sz="4" w:space="0" w:color="auto"/>
            </w:tcBorders>
            <w:shd w:val="clear" w:color="auto" w:fill="FFFFFF" w:themeFill="background1"/>
          </w:tcPr>
          <w:p w14:paraId="5E9CB7EE"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3D490405" w14:textId="77777777" w:rsidR="00B43A6B" w:rsidRPr="00B375EA" w:rsidRDefault="00B43A6B" w:rsidP="00B35FF7">
            <w:pPr>
              <w:keepNext/>
              <w:jc w:val="left"/>
              <w:rPr>
                <w:color w:val="000000"/>
                <w:sz w:val="20"/>
                <w:szCs w:val="20"/>
                <w:lang w:eastAsia="en-CA"/>
              </w:rPr>
            </w:pPr>
            <w:r>
              <w:rPr>
                <w:color w:val="000000"/>
                <w:sz w:val="20"/>
                <w:szCs w:val="20"/>
                <w:lang w:eastAsia="en-CA"/>
              </w:rPr>
              <w:t>86,400</w:t>
            </w:r>
          </w:p>
        </w:tc>
        <w:tc>
          <w:tcPr>
            <w:tcW w:w="852" w:type="dxa"/>
            <w:tcBorders>
              <w:top w:val="nil"/>
              <w:left w:val="nil"/>
              <w:bottom w:val="single" w:sz="4" w:space="0" w:color="auto"/>
              <w:right w:val="single" w:sz="4" w:space="0" w:color="auto"/>
            </w:tcBorders>
            <w:shd w:val="clear" w:color="auto" w:fill="FFFFFF" w:themeFill="background1"/>
          </w:tcPr>
          <w:p w14:paraId="352C167F"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7767E871" w14:textId="77777777" w:rsidR="00B43A6B" w:rsidRPr="00B375EA" w:rsidRDefault="00B43A6B" w:rsidP="00B35FF7">
            <w:pPr>
              <w:keepNext/>
              <w:jc w:val="left"/>
              <w:rPr>
                <w:color w:val="000000"/>
                <w:sz w:val="20"/>
                <w:szCs w:val="20"/>
                <w:lang w:eastAsia="en-CA"/>
              </w:rPr>
            </w:pPr>
            <w:r>
              <w:rPr>
                <w:color w:val="000000"/>
                <w:sz w:val="20"/>
                <w:szCs w:val="20"/>
                <w:lang w:eastAsia="en-CA"/>
              </w:rPr>
              <w:t>19,100</w:t>
            </w:r>
          </w:p>
        </w:tc>
        <w:tc>
          <w:tcPr>
            <w:tcW w:w="980" w:type="dxa"/>
            <w:tcBorders>
              <w:top w:val="nil"/>
              <w:left w:val="nil"/>
              <w:bottom w:val="single" w:sz="4" w:space="0" w:color="auto"/>
              <w:right w:val="single" w:sz="4" w:space="0" w:color="auto"/>
            </w:tcBorders>
            <w:shd w:val="clear" w:color="auto" w:fill="FFFFFF" w:themeFill="background1"/>
          </w:tcPr>
          <w:p w14:paraId="684D1CE0" w14:textId="77777777" w:rsidR="00B43A6B" w:rsidRPr="00B375EA" w:rsidRDefault="00B43A6B" w:rsidP="00B35FF7">
            <w:pPr>
              <w:keepNext/>
              <w:jc w:val="left"/>
              <w:rPr>
                <w:color w:val="000000"/>
                <w:sz w:val="20"/>
                <w:szCs w:val="20"/>
                <w:lang w:eastAsia="en-CA"/>
              </w:rPr>
            </w:pPr>
            <w:r>
              <w:rPr>
                <w:color w:val="000000"/>
                <w:sz w:val="20"/>
                <w:szCs w:val="20"/>
                <w:lang w:eastAsia="en-CA"/>
              </w:rPr>
              <w:t>191,000</w:t>
            </w:r>
          </w:p>
        </w:tc>
      </w:tr>
      <w:tr w:rsidR="00B43A6B" w:rsidRPr="00B375EA" w14:paraId="08BA6BA9" w14:textId="77777777">
        <w:trPr>
          <w:cantSplit/>
          <w:trHeight w:val="56"/>
          <w:jc w:val="center"/>
        </w:trPr>
        <w:tc>
          <w:tcPr>
            <w:tcW w:w="730" w:type="dxa"/>
            <w:tcBorders>
              <w:top w:val="nil"/>
              <w:left w:val="single" w:sz="4" w:space="0" w:color="auto"/>
              <w:bottom w:val="single" w:sz="4" w:space="0" w:color="auto"/>
              <w:right w:val="single" w:sz="4" w:space="0" w:color="auto"/>
            </w:tcBorders>
            <w:hideMark/>
          </w:tcPr>
          <w:p w14:paraId="19F03245" w14:textId="77777777" w:rsidR="00B43A6B" w:rsidRPr="00B375EA" w:rsidRDefault="00B43A6B">
            <w:pPr>
              <w:keepNext/>
              <w:rPr>
                <w:color w:val="000000"/>
                <w:sz w:val="20"/>
                <w:szCs w:val="20"/>
                <w:lang w:eastAsia="en-CA"/>
              </w:rPr>
            </w:pPr>
            <w:r>
              <w:rPr>
                <w:color w:val="000000"/>
                <w:sz w:val="20"/>
                <w:szCs w:val="20"/>
                <w:lang w:eastAsia="en-CA"/>
              </w:rPr>
              <w:t>2.2</w:t>
            </w:r>
          </w:p>
        </w:tc>
        <w:tc>
          <w:tcPr>
            <w:tcW w:w="3306" w:type="dxa"/>
            <w:tcBorders>
              <w:top w:val="nil"/>
              <w:left w:val="nil"/>
              <w:bottom w:val="single" w:sz="4" w:space="0" w:color="auto"/>
              <w:right w:val="single" w:sz="4" w:space="0" w:color="auto"/>
            </w:tcBorders>
            <w:hideMark/>
          </w:tcPr>
          <w:p w14:paraId="2EC53A8A" w14:textId="77777777" w:rsidR="00B43A6B" w:rsidRPr="00B375EA" w:rsidRDefault="00B43A6B">
            <w:pPr>
              <w:keepNext/>
              <w:rPr>
                <w:color w:val="000000"/>
                <w:sz w:val="20"/>
                <w:szCs w:val="20"/>
                <w:lang w:eastAsia="en-CA"/>
              </w:rPr>
            </w:pPr>
            <w:r>
              <w:rPr>
                <w:color w:val="000000"/>
                <w:sz w:val="20"/>
                <w:szCs w:val="20"/>
                <w:rtl/>
                <w:lang w:eastAsia="en-CA"/>
              </w:rPr>
              <w:t>تكاليف دعم الوكالة المنفذة الرئيسية (بالدولار الأمريكي)</w:t>
            </w:r>
          </w:p>
        </w:tc>
        <w:tc>
          <w:tcPr>
            <w:tcW w:w="880" w:type="dxa"/>
            <w:tcBorders>
              <w:top w:val="nil"/>
              <w:left w:val="nil"/>
              <w:bottom w:val="single" w:sz="4" w:space="0" w:color="auto"/>
              <w:right w:val="single" w:sz="4" w:space="0" w:color="auto"/>
            </w:tcBorders>
            <w:shd w:val="clear" w:color="auto" w:fill="FFFFFF" w:themeFill="background1"/>
          </w:tcPr>
          <w:p w14:paraId="5F637FD2" w14:textId="77777777" w:rsidR="00B43A6B" w:rsidRPr="00B375EA" w:rsidRDefault="00B43A6B" w:rsidP="00B35FF7">
            <w:pPr>
              <w:keepNext/>
              <w:jc w:val="left"/>
              <w:rPr>
                <w:color w:val="000000"/>
                <w:sz w:val="20"/>
                <w:szCs w:val="20"/>
                <w:lang w:eastAsia="en-CA"/>
              </w:rPr>
            </w:pPr>
            <w:r>
              <w:rPr>
                <w:color w:val="000000"/>
                <w:sz w:val="20"/>
                <w:szCs w:val="20"/>
                <w:lang w:eastAsia="en-CA"/>
              </w:rPr>
              <w:t>11,115</w:t>
            </w:r>
          </w:p>
        </w:tc>
        <w:tc>
          <w:tcPr>
            <w:tcW w:w="852" w:type="dxa"/>
            <w:tcBorders>
              <w:top w:val="nil"/>
              <w:left w:val="nil"/>
              <w:bottom w:val="single" w:sz="4" w:space="0" w:color="auto"/>
              <w:right w:val="single" w:sz="4" w:space="0" w:color="auto"/>
            </w:tcBorders>
            <w:shd w:val="clear" w:color="auto" w:fill="FFFFFF" w:themeFill="background1"/>
          </w:tcPr>
          <w:p w14:paraId="072B8444"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2B7DEA8A" w14:textId="77777777" w:rsidR="00B43A6B" w:rsidRPr="00B375EA" w:rsidRDefault="00B43A6B" w:rsidP="00B35FF7">
            <w:pPr>
              <w:keepNext/>
              <w:jc w:val="left"/>
              <w:rPr>
                <w:color w:val="000000"/>
                <w:sz w:val="20"/>
                <w:szCs w:val="20"/>
                <w:lang w:eastAsia="en-CA"/>
              </w:rPr>
            </w:pPr>
            <w:r>
              <w:rPr>
                <w:color w:val="000000"/>
                <w:sz w:val="20"/>
                <w:szCs w:val="20"/>
                <w:lang w:eastAsia="en-CA"/>
              </w:rPr>
              <w:t>11,232</w:t>
            </w:r>
          </w:p>
        </w:tc>
        <w:tc>
          <w:tcPr>
            <w:tcW w:w="852" w:type="dxa"/>
            <w:tcBorders>
              <w:top w:val="nil"/>
              <w:left w:val="nil"/>
              <w:bottom w:val="single" w:sz="4" w:space="0" w:color="auto"/>
              <w:right w:val="single" w:sz="4" w:space="0" w:color="auto"/>
            </w:tcBorders>
            <w:shd w:val="clear" w:color="auto" w:fill="FFFFFF" w:themeFill="background1"/>
          </w:tcPr>
          <w:p w14:paraId="189B6EB3"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1DF29635" w14:textId="77777777" w:rsidR="00B43A6B" w:rsidRPr="00B375EA" w:rsidRDefault="00B43A6B" w:rsidP="00B35FF7">
            <w:pPr>
              <w:keepNext/>
              <w:jc w:val="left"/>
              <w:rPr>
                <w:color w:val="000000"/>
                <w:sz w:val="20"/>
                <w:szCs w:val="20"/>
                <w:lang w:eastAsia="en-CA"/>
              </w:rPr>
            </w:pPr>
            <w:r>
              <w:rPr>
                <w:color w:val="000000"/>
                <w:sz w:val="20"/>
                <w:szCs w:val="20"/>
                <w:lang w:eastAsia="en-CA"/>
              </w:rPr>
              <w:t>2,483</w:t>
            </w:r>
          </w:p>
        </w:tc>
        <w:tc>
          <w:tcPr>
            <w:tcW w:w="980" w:type="dxa"/>
            <w:tcBorders>
              <w:top w:val="nil"/>
              <w:left w:val="nil"/>
              <w:bottom w:val="single" w:sz="4" w:space="0" w:color="auto"/>
              <w:right w:val="single" w:sz="4" w:space="0" w:color="auto"/>
            </w:tcBorders>
            <w:shd w:val="clear" w:color="auto" w:fill="FFFFFF" w:themeFill="background1"/>
          </w:tcPr>
          <w:p w14:paraId="7E79262C" w14:textId="77777777" w:rsidR="00B43A6B" w:rsidRPr="00B375EA" w:rsidRDefault="00B43A6B" w:rsidP="00B35FF7">
            <w:pPr>
              <w:keepNext/>
              <w:jc w:val="left"/>
              <w:rPr>
                <w:color w:val="000000"/>
                <w:sz w:val="20"/>
                <w:szCs w:val="20"/>
                <w:lang w:eastAsia="en-CA"/>
              </w:rPr>
            </w:pPr>
            <w:r>
              <w:rPr>
                <w:color w:val="000000"/>
                <w:sz w:val="20"/>
                <w:szCs w:val="20"/>
                <w:lang w:eastAsia="en-CA"/>
              </w:rPr>
              <w:t>24,830</w:t>
            </w:r>
          </w:p>
        </w:tc>
      </w:tr>
      <w:tr w:rsidR="00B43A6B" w:rsidRPr="00B375EA" w14:paraId="12BDE917" w14:textId="77777777">
        <w:trPr>
          <w:cantSplit/>
          <w:trHeight w:val="62"/>
          <w:jc w:val="center"/>
        </w:trPr>
        <w:tc>
          <w:tcPr>
            <w:tcW w:w="730" w:type="dxa"/>
            <w:tcBorders>
              <w:top w:val="nil"/>
              <w:left w:val="single" w:sz="4" w:space="0" w:color="auto"/>
              <w:bottom w:val="single" w:sz="4" w:space="0" w:color="auto"/>
              <w:right w:val="single" w:sz="4" w:space="0" w:color="auto"/>
            </w:tcBorders>
            <w:hideMark/>
          </w:tcPr>
          <w:p w14:paraId="72C0E7AA" w14:textId="77777777" w:rsidR="00B43A6B" w:rsidRPr="00B375EA" w:rsidRDefault="00B43A6B">
            <w:pPr>
              <w:keepNext/>
              <w:rPr>
                <w:color w:val="000000"/>
                <w:sz w:val="20"/>
                <w:szCs w:val="20"/>
                <w:lang w:eastAsia="en-CA"/>
              </w:rPr>
            </w:pPr>
            <w:r>
              <w:rPr>
                <w:color w:val="000000"/>
                <w:sz w:val="20"/>
                <w:szCs w:val="20"/>
                <w:lang w:eastAsia="en-CA"/>
              </w:rPr>
              <w:t>3.1</w:t>
            </w:r>
          </w:p>
        </w:tc>
        <w:tc>
          <w:tcPr>
            <w:tcW w:w="3306" w:type="dxa"/>
            <w:tcBorders>
              <w:top w:val="nil"/>
              <w:left w:val="nil"/>
              <w:bottom w:val="single" w:sz="4" w:space="0" w:color="auto"/>
              <w:right w:val="single" w:sz="4" w:space="0" w:color="auto"/>
            </w:tcBorders>
            <w:hideMark/>
          </w:tcPr>
          <w:p w14:paraId="6D846A94" w14:textId="77777777" w:rsidR="00B43A6B" w:rsidRPr="00B375EA" w:rsidRDefault="00B43A6B">
            <w:pPr>
              <w:keepNext/>
              <w:rPr>
                <w:color w:val="000000"/>
                <w:sz w:val="20"/>
                <w:szCs w:val="20"/>
                <w:lang w:eastAsia="en-CA"/>
              </w:rPr>
            </w:pPr>
            <w:r>
              <w:rPr>
                <w:color w:val="000000"/>
                <w:sz w:val="20"/>
                <w:szCs w:val="20"/>
                <w:rtl/>
                <w:lang w:eastAsia="en-CA"/>
              </w:rPr>
              <w:t>مجموع التمويل المتفق عليه (بالدولار الأمريكي)</w:t>
            </w:r>
          </w:p>
        </w:tc>
        <w:tc>
          <w:tcPr>
            <w:tcW w:w="880" w:type="dxa"/>
            <w:tcBorders>
              <w:top w:val="nil"/>
              <w:left w:val="nil"/>
              <w:bottom w:val="single" w:sz="4" w:space="0" w:color="auto"/>
              <w:right w:val="single" w:sz="4" w:space="0" w:color="auto"/>
            </w:tcBorders>
            <w:shd w:val="clear" w:color="auto" w:fill="FFFFFF" w:themeFill="background1"/>
          </w:tcPr>
          <w:p w14:paraId="0BF9997E" w14:textId="77777777" w:rsidR="00B43A6B" w:rsidRPr="00B375EA" w:rsidRDefault="00B43A6B" w:rsidP="00B35FF7">
            <w:pPr>
              <w:keepNext/>
              <w:jc w:val="left"/>
              <w:rPr>
                <w:color w:val="000000"/>
                <w:sz w:val="20"/>
                <w:szCs w:val="20"/>
                <w:lang w:eastAsia="en-CA"/>
              </w:rPr>
            </w:pPr>
            <w:r>
              <w:rPr>
                <w:color w:val="000000"/>
                <w:sz w:val="20"/>
                <w:szCs w:val="20"/>
                <w:lang w:eastAsia="en-CA"/>
              </w:rPr>
              <w:t>85,500</w:t>
            </w:r>
          </w:p>
        </w:tc>
        <w:tc>
          <w:tcPr>
            <w:tcW w:w="852" w:type="dxa"/>
            <w:tcBorders>
              <w:top w:val="nil"/>
              <w:left w:val="nil"/>
              <w:bottom w:val="single" w:sz="4" w:space="0" w:color="auto"/>
              <w:right w:val="single" w:sz="4" w:space="0" w:color="auto"/>
            </w:tcBorders>
            <w:shd w:val="clear" w:color="auto" w:fill="FFFFFF" w:themeFill="background1"/>
          </w:tcPr>
          <w:p w14:paraId="018235A4"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7B509743" w14:textId="77777777" w:rsidR="00B43A6B" w:rsidRPr="00B375EA" w:rsidRDefault="00B43A6B" w:rsidP="00B35FF7">
            <w:pPr>
              <w:keepNext/>
              <w:jc w:val="left"/>
              <w:rPr>
                <w:color w:val="000000"/>
                <w:sz w:val="20"/>
                <w:szCs w:val="20"/>
                <w:lang w:eastAsia="en-CA"/>
              </w:rPr>
            </w:pPr>
            <w:r>
              <w:rPr>
                <w:color w:val="000000"/>
                <w:sz w:val="20"/>
                <w:szCs w:val="20"/>
                <w:lang w:eastAsia="en-CA"/>
              </w:rPr>
              <w:t>86,400</w:t>
            </w:r>
          </w:p>
        </w:tc>
        <w:tc>
          <w:tcPr>
            <w:tcW w:w="852" w:type="dxa"/>
            <w:tcBorders>
              <w:top w:val="nil"/>
              <w:left w:val="nil"/>
              <w:bottom w:val="single" w:sz="4" w:space="0" w:color="auto"/>
              <w:right w:val="single" w:sz="4" w:space="0" w:color="auto"/>
            </w:tcBorders>
            <w:shd w:val="clear" w:color="auto" w:fill="FFFFFF" w:themeFill="background1"/>
          </w:tcPr>
          <w:p w14:paraId="5DC7D881"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56C9B949" w14:textId="77777777" w:rsidR="00B43A6B" w:rsidRPr="00B375EA" w:rsidRDefault="00B43A6B" w:rsidP="00B35FF7">
            <w:pPr>
              <w:keepNext/>
              <w:jc w:val="left"/>
              <w:rPr>
                <w:color w:val="000000"/>
                <w:sz w:val="20"/>
                <w:szCs w:val="20"/>
                <w:lang w:eastAsia="en-CA"/>
              </w:rPr>
            </w:pPr>
            <w:r>
              <w:rPr>
                <w:color w:val="000000"/>
                <w:sz w:val="20"/>
                <w:szCs w:val="20"/>
                <w:lang w:eastAsia="en-CA"/>
              </w:rPr>
              <w:t>19,100</w:t>
            </w:r>
          </w:p>
        </w:tc>
        <w:tc>
          <w:tcPr>
            <w:tcW w:w="980" w:type="dxa"/>
            <w:tcBorders>
              <w:top w:val="nil"/>
              <w:left w:val="nil"/>
              <w:bottom w:val="single" w:sz="4" w:space="0" w:color="auto"/>
              <w:right w:val="single" w:sz="4" w:space="0" w:color="auto"/>
            </w:tcBorders>
            <w:shd w:val="clear" w:color="auto" w:fill="FFFFFF" w:themeFill="background1"/>
          </w:tcPr>
          <w:p w14:paraId="13D5F8FE" w14:textId="77777777" w:rsidR="00B43A6B" w:rsidRPr="00B375EA" w:rsidRDefault="00B43A6B" w:rsidP="00B35FF7">
            <w:pPr>
              <w:keepNext/>
              <w:jc w:val="left"/>
              <w:rPr>
                <w:color w:val="000000"/>
                <w:sz w:val="20"/>
                <w:szCs w:val="20"/>
                <w:lang w:eastAsia="en-CA"/>
              </w:rPr>
            </w:pPr>
            <w:r>
              <w:rPr>
                <w:color w:val="000000"/>
                <w:sz w:val="20"/>
                <w:szCs w:val="20"/>
                <w:lang w:eastAsia="en-CA"/>
              </w:rPr>
              <w:t>191,000</w:t>
            </w:r>
          </w:p>
        </w:tc>
      </w:tr>
      <w:tr w:rsidR="00B43A6B" w:rsidRPr="00B375EA" w14:paraId="0601BC6D" w14:textId="77777777">
        <w:trPr>
          <w:cantSplit/>
          <w:trHeight w:val="62"/>
          <w:jc w:val="center"/>
        </w:trPr>
        <w:tc>
          <w:tcPr>
            <w:tcW w:w="730" w:type="dxa"/>
            <w:tcBorders>
              <w:top w:val="nil"/>
              <w:left w:val="single" w:sz="4" w:space="0" w:color="auto"/>
              <w:bottom w:val="single" w:sz="4" w:space="0" w:color="auto"/>
              <w:right w:val="single" w:sz="4" w:space="0" w:color="auto"/>
            </w:tcBorders>
            <w:hideMark/>
          </w:tcPr>
          <w:p w14:paraId="1AA3CF68" w14:textId="77777777" w:rsidR="00B43A6B" w:rsidRPr="00B375EA" w:rsidRDefault="00B43A6B">
            <w:pPr>
              <w:keepNext/>
              <w:rPr>
                <w:color w:val="000000"/>
                <w:sz w:val="20"/>
                <w:szCs w:val="20"/>
                <w:lang w:eastAsia="en-CA"/>
              </w:rPr>
            </w:pPr>
            <w:r>
              <w:rPr>
                <w:color w:val="000000"/>
                <w:sz w:val="20"/>
                <w:szCs w:val="20"/>
                <w:lang w:eastAsia="en-CA"/>
              </w:rPr>
              <w:t>3.2</w:t>
            </w:r>
          </w:p>
        </w:tc>
        <w:tc>
          <w:tcPr>
            <w:tcW w:w="3306" w:type="dxa"/>
            <w:tcBorders>
              <w:top w:val="nil"/>
              <w:left w:val="nil"/>
              <w:bottom w:val="single" w:sz="4" w:space="0" w:color="auto"/>
              <w:right w:val="single" w:sz="4" w:space="0" w:color="auto"/>
            </w:tcBorders>
            <w:hideMark/>
          </w:tcPr>
          <w:p w14:paraId="1958772A" w14:textId="77777777" w:rsidR="00B43A6B" w:rsidRPr="00B375EA" w:rsidRDefault="00B43A6B">
            <w:pPr>
              <w:keepNext/>
              <w:rPr>
                <w:color w:val="000000"/>
                <w:sz w:val="20"/>
                <w:szCs w:val="20"/>
                <w:lang w:eastAsia="en-CA"/>
              </w:rPr>
            </w:pPr>
            <w:r>
              <w:rPr>
                <w:color w:val="000000"/>
                <w:sz w:val="20"/>
                <w:szCs w:val="20"/>
                <w:rtl/>
                <w:lang w:eastAsia="en-CA"/>
              </w:rPr>
              <w:t>مجموع تكاليف الدعم (بالدولار الأمريكي)</w:t>
            </w:r>
          </w:p>
        </w:tc>
        <w:tc>
          <w:tcPr>
            <w:tcW w:w="880" w:type="dxa"/>
            <w:tcBorders>
              <w:top w:val="nil"/>
              <w:left w:val="nil"/>
              <w:bottom w:val="single" w:sz="4" w:space="0" w:color="auto"/>
              <w:right w:val="single" w:sz="4" w:space="0" w:color="auto"/>
            </w:tcBorders>
            <w:shd w:val="clear" w:color="auto" w:fill="FFFFFF" w:themeFill="background1"/>
          </w:tcPr>
          <w:p w14:paraId="71E04A71" w14:textId="77777777" w:rsidR="00B43A6B" w:rsidRPr="00B375EA" w:rsidRDefault="00B43A6B" w:rsidP="00B35FF7">
            <w:pPr>
              <w:keepNext/>
              <w:jc w:val="left"/>
              <w:rPr>
                <w:color w:val="000000"/>
                <w:sz w:val="20"/>
                <w:szCs w:val="20"/>
                <w:lang w:eastAsia="en-CA"/>
              </w:rPr>
            </w:pPr>
            <w:r>
              <w:rPr>
                <w:color w:val="000000"/>
                <w:sz w:val="20"/>
                <w:szCs w:val="20"/>
                <w:lang w:eastAsia="en-CA"/>
              </w:rPr>
              <w:t>11,115</w:t>
            </w:r>
          </w:p>
        </w:tc>
        <w:tc>
          <w:tcPr>
            <w:tcW w:w="852" w:type="dxa"/>
            <w:tcBorders>
              <w:top w:val="nil"/>
              <w:left w:val="nil"/>
              <w:bottom w:val="single" w:sz="4" w:space="0" w:color="auto"/>
              <w:right w:val="single" w:sz="4" w:space="0" w:color="auto"/>
            </w:tcBorders>
            <w:shd w:val="clear" w:color="auto" w:fill="FFFFFF" w:themeFill="background1"/>
          </w:tcPr>
          <w:p w14:paraId="4494B621"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181BEB2E" w14:textId="77777777" w:rsidR="00B43A6B" w:rsidRPr="00B375EA" w:rsidRDefault="00B43A6B" w:rsidP="00B35FF7">
            <w:pPr>
              <w:keepNext/>
              <w:jc w:val="left"/>
              <w:rPr>
                <w:color w:val="000000"/>
                <w:sz w:val="20"/>
                <w:szCs w:val="20"/>
                <w:lang w:eastAsia="en-CA"/>
              </w:rPr>
            </w:pPr>
            <w:r>
              <w:rPr>
                <w:color w:val="000000"/>
                <w:sz w:val="20"/>
                <w:szCs w:val="20"/>
                <w:lang w:eastAsia="en-CA"/>
              </w:rPr>
              <w:t>11,232</w:t>
            </w:r>
          </w:p>
        </w:tc>
        <w:tc>
          <w:tcPr>
            <w:tcW w:w="852" w:type="dxa"/>
            <w:tcBorders>
              <w:top w:val="nil"/>
              <w:left w:val="nil"/>
              <w:bottom w:val="single" w:sz="4" w:space="0" w:color="auto"/>
              <w:right w:val="single" w:sz="4" w:space="0" w:color="auto"/>
            </w:tcBorders>
            <w:shd w:val="clear" w:color="auto" w:fill="FFFFFF" w:themeFill="background1"/>
          </w:tcPr>
          <w:p w14:paraId="0219F95D"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39801A5C" w14:textId="77777777" w:rsidR="00B43A6B" w:rsidRPr="00B375EA" w:rsidRDefault="00B43A6B" w:rsidP="00B35FF7">
            <w:pPr>
              <w:keepNext/>
              <w:jc w:val="left"/>
              <w:rPr>
                <w:color w:val="000000"/>
                <w:sz w:val="20"/>
                <w:szCs w:val="20"/>
                <w:lang w:eastAsia="en-CA"/>
              </w:rPr>
            </w:pPr>
            <w:r>
              <w:rPr>
                <w:color w:val="000000"/>
                <w:sz w:val="20"/>
                <w:szCs w:val="20"/>
                <w:lang w:eastAsia="en-CA"/>
              </w:rPr>
              <w:t>2,483</w:t>
            </w:r>
          </w:p>
        </w:tc>
        <w:tc>
          <w:tcPr>
            <w:tcW w:w="980" w:type="dxa"/>
            <w:tcBorders>
              <w:top w:val="nil"/>
              <w:left w:val="nil"/>
              <w:bottom w:val="single" w:sz="4" w:space="0" w:color="auto"/>
              <w:right w:val="single" w:sz="4" w:space="0" w:color="auto"/>
            </w:tcBorders>
            <w:shd w:val="clear" w:color="auto" w:fill="FFFFFF" w:themeFill="background1"/>
          </w:tcPr>
          <w:p w14:paraId="02801066" w14:textId="77777777" w:rsidR="00B43A6B" w:rsidRPr="00B375EA" w:rsidRDefault="00B43A6B" w:rsidP="00B35FF7">
            <w:pPr>
              <w:keepNext/>
              <w:jc w:val="left"/>
              <w:rPr>
                <w:color w:val="000000"/>
                <w:sz w:val="20"/>
                <w:szCs w:val="20"/>
                <w:lang w:eastAsia="en-CA"/>
              </w:rPr>
            </w:pPr>
            <w:r>
              <w:rPr>
                <w:color w:val="000000"/>
                <w:sz w:val="20"/>
                <w:szCs w:val="20"/>
                <w:lang w:eastAsia="en-CA"/>
              </w:rPr>
              <w:t>24,830</w:t>
            </w:r>
          </w:p>
        </w:tc>
      </w:tr>
      <w:tr w:rsidR="00B43A6B" w:rsidRPr="00B375EA" w14:paraId="3593E5AB" w14:textId="77777777">
        <w:trPr>
          <w:cantSplit/>
          <w:trHeight w:val="53"/>
          <w:jc w:val="center"/>
        </w:trPr>
        <w:tc>
          <w:tcPr>
            <w:tcW w:w="730" w:type="dxa"/>
            <w:tcBorders>
              <w:top w:val="nil"/>
              <w:left w:val="single" w:sz="4" w:space="0" w:color="auto"/>
              <w:bottom w:val="single" w:sz="4" w:space="0" w:color="auto"/>
              <w:right w:val="single" w:sz="4" w:space="0" w:color="auto"/>
            </w:tcBorders>
            <w:hideMark/>
          </w:tcPr>
          <w:p w14:paraId="0BA64AE4" w14:textId="77777777" w:rsidR="00B43A6B" w:rsidRPr="00B375EA" w:rsidRDefault="00B43A6B">
            <w:pPr>
              <w:keepNext/>
              <w:rPr>
                <w:color w:val="000000"/>
                <w:sz w:val="20"/>
                <w:szCs w:val="20"/>
                <w:lang w:eastAsia="en-CA"/>
              </w:rPr>
            </w:pPr>
            <w:r>
              <w:rPr>
                <w:color w:val="000000"/>
                <w:sz w:val="20"/>
                <w:szCs w:val="20"/>
                <w:lang w:eastAsia="en-CA"/>
              </w:rPr>
              <w:t>3.3</w:t>
            </w:r>
          </w:p>
        </w:tc>
        <w:tc>
          <w:tcPr>
            <w:tcW w:w="3306" w:type="dxa"/>
            <w:tcBorders>
              <w:top w:val="nil"/>
              <w:left w:val="nil"/>
              <w:bottom w:val="single" w:sz="4" w:space="0" w:color="auto"/>
              <w:right w:val="single" w:sz="4" w:space="0" w:color="auto"/>
            </w:tcBorders>
            <w:hideMark/>
          </w:tcPr>
          <w:p w14:paraId="0593B429" w14:textId="77777777" w:rsidR="00B43A6B" w:rsidRPr="00B375EA" w:rsidRDefault="00B43A6B">
            <w:pPr>
              <w:keepNext/>
              <w:rPr>
                <w:color w:val="000000"/>
                <w:sz w:val="20"/>
                <w:szCs w:val="20"/>
                <w:lang w:eastAsia="en-CA"/>
              </w:rPr>
            </w:pPr>
            <w:r>
              <w:rPr>
                <w:color w:val="000000"/>
                <w:sz w:val="20"/>
                <w:szCs w:val="20"/>
                <w:rtl/>
                <w:lang w:eastAsia="en-CA"/>
              </w:rPr>
              <w:t>مجموع التكاليف المتفق عليها (بالدولار الأمريكي)</w:t>
            </w:r>
          </w:p>
        </w:tc>
        <w:tc>
          <w:tcPr>
            <w:tcW w:w="880" w:type="dxa"/>
            <w:tcBorders>
              <w:top w:val="nil"/>
              <w:left w:val="nil"/>
              <w:bottom w:val="single" w:sz="4" w:space="0" w:color="auto"/>
              <w:right w:val="single" w:sz="4" w:space="0" w:color="auto"/>
            </w:tcBorders>
            <w:shd w:val="clear" w:color="auto" w:fill="FFFFFF" w:themeFill="background1"/>
          </w:tcPr>
          <w:p w14:paraId="0E733AFA" w14:textId="77777777" w:rsidR="00B43A6B" w:rsidRPr="00B375EA" w:rsidRDefault="00B43A6B" w:rsidP="00B35FF7">
            <w:pPr>
              <w:keepNext/>
              <w:jc w:val="left"/>
              <w:rPr>
                <w:color w:val="000000"/>
                <w:sz w:val="20"/>
                <w:szCs w:val="20"/>
                <w:lang w:eastAsia="en-CA"/>
              </w:rPr>
            </w:pPr>
            <w:r>
              <w:rPr>
                <w:color w:val="000000"/>
                <w:sz w:val="20"/>
                <w:szCs w:val="20"/>
                <w:lang w:eastAsia="en-CA"/>
              </w:rPr>
              <w:t>96,615</w:t>
            </w:r>
          </w:p>
        </w:tc>
        <w:tc>
          <w:tcPr>
            <w:tcW w:w="852" w:type="dxa"/>
            <w:tcBorders>
              <w:top w:val="nil"/>
              <w:left w:val="nil"/>
              <w:bottom w:val="single" w:sz="4" w:space="0" w:color="auto"/>
              <w:right w:val="single" w:sz="4" w:space="0" w:color="auto"/>
            </w:tcBorders>
            <w:shd w:val="clear" w:color="auto" w:fill="FFFFFF" w:themeFill="background1"/>
          </w:tcPr>
          <w:p w14:paraId="75AA5097"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21E2A243" w14:textId="77777777" w:rsidR="00B43A6B" w:rsidRPr="00B375EA" w:rsidRDefault="00B43A6B" w:rsidP="00B35FF7">
            <w:pPr>
              <w:keepNext/>
              <w:jc w:val="left"/>
              <w:rPr>
                <w:color w:val="000000"/>
                <w:sz w:val="20"/>
                <w:szCs w:val="20"/>
                <w:lang w:eastAsia="en-CA"/>
              </w:rPr>
            </w:pPr>
            <w:r>
              <w:rPr>
                <w:color w:val="000000"/>
                <w:sz w:val="20"/>
                <w:szCs w:val="20"/>
                <w:lang w:eastAsia="en-CA"/>
              </w:rPr>
              <w:t>97,632</w:t>
            </w:r>
          </w:p>
        </w:tc>
        <w:tc>
          <w:tcPr>
            <w:tcW w:w="852" w:type="dxa"/>
            <w:tcBorders>
              <w:top w:val="nil"/>
              <w:left w:val="nil"/>
              <w:bottom w:val="single" w:sz="4" w:space="0" w:color="auto"/>
              <w:right w:val="single" w:sz="4" w:space="0" w:color="auto"/>
            </w:tcBorders>
            <w:shd w:val="clear" w:color="auto" w:fill="FFFFFF" w:themeFill="background1"/>
          </w:tcPr>
          <w:p w14:paraId="0E77A7B4" w14:textId="77777777" w:rsidR="00B43A6B" w:rsidRPr="00B375EA" w:rsidRDefault="00B43A6B" w:rsidP="00B35FF7">
            <w:pPr>
              <w:keepNext/>
              <w:jc w:val="left"/>
              <w:rPr>
                <w:color w:val="000000"/>
                <w:sz w:val="20"/>
                <w:szCs w:val="20"/>
                <w:lang w:eastAsia="en-CA"/>
              </w:rPr>
            </w:pPr>
            <w:r>
              <w:rPr>
                <w:color w:val="000000"/>
                <w:sz w:val="20"/>
                <w:szCs w:val="20"/>
                <w:lang w:eastAsia="en-CA"/>
              </w:rPr>
              <w:t>0</w:t>
            </w:r>
          </w:p>
        </w:tc>
        <w:tc>
          <w:tcPr>
            <w:tcW w:w="880" w:type="dxa"/>
            <w:tcBorders>
              <w:top w:val="nil"/>
              <w:left w:val="nil"/>
              <w:bottom w:val="single" w:sz="4" w:space="0" w:color="auto"/>
              <w:right w:val="single" w:sz="4" w:space="0" w:color="auto"/>
            </w:tcBorders>
            <w:shd w:val="clear" w:color="auto" w:fill="FFFFFF" w:themeFill="background1"/>
          </w:tcPr>
          <w:p w14:paraId="1F69632F" w14:textId="77777777" w:rsidR="00B43A6B" w:rsidRPr="00B375EA" w:rsidRDefault="00B43A6B" w:rsidP="00B35FF7">
            <w:pPr>
              <w:keepNext/>
              <w:jc w:val="left"/>
              <w:rPr>
                <w:color w:val="000000"/>
                <w:sz w:val="20"/>
                <w:szCs w:val="20"/>
                <w:lang w:eastAsia="en-CA"/>
              </w:rPr>
            </w:pPr>
            <w:r>
              <w:rPr>
                <w:color w:val="000000"/>
                <w:sz w:val="20"/>
                <w:szCs w:val="20"/>
                <w:lang w:eastAsia="en-CA"/>
              </w:rPr>
              <w:t>21,583</w:t>
            </w:r>
          </w:p>
        </w:tc>
        <w:tc>
          <w:tcPr>
            <w:tcW w:w="980" w:type="dxa"/>
            <w:tcBorders>
              <w:top w:val="nil"/>
              <w:left w:val="nil"/>
              <w:bottom w:val="single" w:sz="4" w:space="0" w:color="auto"/>
              <w:right w:val="single" w:sz="4" w:space="0" w:color="auto"/>
            </w:tcBorders>
            <w:shd w:val="clear" w:color="auto" w:fill="FFFFFF" w:themeFill="background1"/>
          </w:tcPr>
          <w:p w14:paraId="290EBDCB" w14:textId="77777777" w:rsidR="00B43A6B" w:rsidRPr="00B375EA" w:rsidRDefault="00B43A6B" w:rsidP="00B35FF7">
            <w:pPr>
              <w:keepNext/>
              <w:jc w:val="left"/>
              <w:rPr>
                <w:color w:val="000000"/>
                <w:sz w:val="20"/>
                <w:szCs w:val="20"/>
                <w:lang w:eastAsia="en-CA"/>
              </w:rPr>
            </w:pPr>
            <w:r>
              <w:rPr>
                <w:color w:val="000000"/>
                <w:sz w:val="20"/>
                <w:szCs w:val="20"/>
                <w:lang w:eastAsia="en-CA"/>
              </w:rPr>
              <w:t>215,830</w:t>
            </w:r>
          </w:p>
        </w:tc>
      </w:tr>
      <w:tr w:rsidR="00B43A6B" w:rsidRPr="00B375EA" w14:paraId="7C14543F" w14:textId="77777777">
        <w:trPr>
          <w:cantSplit/>
          <w:trHeight w:val="53"/>
          <w:jc w:val="center"/>
        </w:trPr>
        <w:tc>
          <w:tcPr>
            <w:tcW w:w="730" w:type="dxa"/>
            <w:tcBorders>
              <w:top w:val="single" w:sz="4" w:space="0" w:color="auto"/>
              <w:left w:val="single" w:sz="4" w:space="0" w:color="auto"/>
              <w:bottom w:val="single" w:sz="4" w:space="0" w:color="auto"/>
              <w:right w:val="single" w:sz="4" w:space="0" w:color="auto"/>
            </w:tcBorders>
            <w:hideMark/>
          </w:tcPr>
          <w:p w14:paraId="05DEB18F" w14:textId="77777777" w:rsidR="00B43A6B" w:rsidRPr="00B375EA" w:rsidRDefault="00B43A6B">
            <w:pPr>
              <w:keepNext/>
              <w:rPr>
                <w:color w:val="000000"/>
                <w:sz w:val="20"/>
                <w:szCs w:val="20"/>
                <w:lang w:eastAsia="en-CA"/>
              </w:rPr>
            </w:pPr>
            <w:r>
              <w:rPr>
                <w:color w:val="000000"/>
                <w:sz w:val="20"/>
                <w:szCs w:val="20"/>
                <w:lang w:eastAsia="en-CA"/>
              </w:rPr>
              <w:t>4.1.1</w:t>
            </w:r>
          </w:p>
        </w:tc>
        <w:tc>
          <w:tcPr>
            <w:tcW w:w="7650" w:type="dxa"/>
            <w:gridSpan w:val="6"/>
            <w:tcBorders>
              <w:top w:val="single" w:sz="4" w:space="0" w:color="auto"/>
              <w:left w:val="nil"/>
              <w:bottom w:val="single" w:sz="4" w:space="0" w:color="auto"/>
              <w:right w:val="single" w:sz="4" w:space="0" w:color="000000"/>
            </w:tcBorders>
            <w:hideMark/>
          </w:tcPr>
          <w:p w14:paraId="4B4E65A8" w14:textId="77777777" w:rsidR="00B43A6B" w:rsidRPr="00B375EA" w:rsidRDefault="00B43A6B">
            <w:pPr>
              <w:keepNext/>
              <w:rPr>
                <w:color w:val="000000"/>
                <w:sz w:val="20"/>
                <w:szCs w:val="20"/>
                <w:lang w:eastAsia="en-CA"/>
              </w:rPr>
            </w:pPr>
            <w:r>
              <w:rPr>
                <w:color w:val="000000"/>
                <w:sz w:val="20"/>
                <w:szCs w:val="20"/>
                <w:rtl/>
                <w:lang w:eastAsia="en-CA"/>
              </w:rPr>
              <w:t>مجموع إزالة الهيدروكلوروفلوروكربون</w:t>
            </w:r>
            <w:r>
              <w:rPr>
                <w:color w:val="000000"/>
                <w:sz w:val="20"/>
                <w:szCs w:val="20"/>
                <w:rtl/>
                <w:lang w:eastAsia="en-CA"/>
              </w:rPr>
              <w:noBreakHyphen/>
              <w:t>22 المتفق على تحقيقها بموجب هذا الاتفاق (طن من قدرات استنفاد الأوزون)</w:t>
            </w:r>
          </w:p>
        </w:tc>
        <w:tc>
          <w:tcPr>
            <w:tcW w:w="980" w:type="dxa"/>
            <w:tcBorders>
              <w:top w:val="single" w:sz="4" w:space="0" w:color="auto"/>
              <w:left w:val="nil"/>
              <w:bottom w:val="single" w:sz="4" w:space="0" w:color="auto"/>
              <w:right w:val="single" w:sz="4" w:space="0" w:color="auto"/>
            </w:tcBorders>
            <w:shd w:val="clear" w:color="auto" w:fill="FFFFFF" w:themeFill="background1"/>
          </w:tcPr>
          <w:p w14:paraId="199ECC67" w14:textId="77777777" w:rsidR="00B43A6B" w:rsidRPr="00D423D4" w:rsidRDefault="00B43A6B" w:rsidP="00B35FF7">
            <w:pPr>
              <w:keepNext/>
              <w:jc w:val="left"/>
              <w:rPr>
                <w:color w:val="000000"/>
                <w:sz w:val="20"/>
                <w:szCs w:val="20"/>
                <w:lang w:eastAsia="en-CA"/>
              </w:rPr>
            </w:pPr>
            <w:r>
              <w:rPr>
                <w:color w:val="000000"/>
                <w:sz w:val="20"/>
                <w:szCs w:val="20"/>
                <w:lang w:eastAsia="en-CA"/>
              </w:rPr>
              <w:t>0.10</w:t>
            </w:r>
          </w:p>
        </w:tc>
      </w:tr>
      <w:tr w:rsidR="00B43A6B" w:rsidRPr="00B375EA" w14:paraId="289FF8B6" w14:textId="77777777">
        <w:trPr>
          <w:cantSplit/>
          <w:trHeight w:val="116"/>
          <w:jc w:val="center"/>
        </w:trPr>
        <w:tc>
          <w:tcPr>
            <w:tcW w:w="730" w:type="dxa"/>
            <w:tcBorders>
              <w:top w:val="nil"/>
              <w:left w:val="single" w:sz="4" w:space="0" w:color="auto"/>
              <w:bottom w:val="single" w:sz="4" w:space="0" w:color="auto"/>
              <w:right w:val="single" w:sz="4" w:space="0" w:color="auto"/>
            </w:tcBorders>
            <w:hideMark/>
          </w:tcPr>
          <w:p w14:paraId="32F0E402" w14:textId="77777777" w:rsidR="00B43A6B" w:rsidRPr="00B375EA" w:rsidRDefault="00B43A6B">
            <w:pPr>
              <w:keepNext/>
              <w:rPr>
                <w:color w:val="000000"/>
                <w:sz w:val="20"/>
                <w:szCs w:val="20"/>
                <w:lang w:eastAsia="en-CA"/>
              </w:rPr>
            </w:pPr>
            <w:r>
              <w:rPr>
                <w:color w:val="000000"/>
                <w:sz w:val="20"/>
                <w:szCs w:val="20"/>
                <w:lang w:eastAsia="en-CA"/>
              </w:rPr>
              <w:t>4.1.2</w:t>
            </w:r>
          </w:p>
        </w:tc>
        <w:tc>
          <w:tcPr>
            <w:tcW w:w="7650" w:type="dxa"/>
            <w:gridSpan w:val="6"/>
            <w:tcBorders>
              <w:top w:val="single" w:sz="4" w:space="0" w:color="auto"/>
              <w:left w:val="nil"/>
              <w:bottom w:val="single" w:sz="4" w:space="0" w:color="auto"/>
              <w:right w:val="single" w:sz="4" w:space="0" w:color="000000"/>
            </w:tcBorders>
            <w:hideMark/>
          </w:tcPr>
          <w:p w14:paraId="5E67E296" w14:textId="77777777" w:rsidR="00B43A6B" w:rsidRPr="00B375EA" w:rsidRDefault="00B43A6B">
            <w:pPr>
              <w:keepNext/>
              <w:rPr>
                <w:color w:val="000000"/>
                <w:sz w:val="20"/>
                <w:szCs w:val="20"/>
                <w:lang w:eastAsia="en-CA"/>
              </w:rPr>
            </w:pPr>
            <w:r>
              <w:rPr>
                <w:color w:val="000000"/>
                <w:sz w:val="20"/>
                <w:szCs w:val="20"/>
                <w:rtl/>
                <w:lang w:eastAsia="en-CA"/>
              </w:rPr>
              <w:t>إزالة الهيدروكلوروفلوروكربون</w:t>
            </w:r>
            <w:r>
              <w:rPr>
                <w:color w:val="000000"/>
                <w:sz w:val="20"/>
                <w:szCs w:val="20"/>
                <w:rtl/>
                <w:lang w:eastAsia="en-CA"/>
              </w:rPr>
              <w:noBreakHyphen/>
              <w:t>22 المقرر تحقيقها في المرحلة السابقة (طن من قدرات استنفاد الأوزون)</w:t>
            </w:r>
          </w:p>
        </w:tc>
        <w:tc>
          <w:tcPr>
            <w:tcW w:w="980" w:type="dxa"/>
            <w:tcBorders>
              <w:top w:val="nil"/>
              <w:left w:val="nil"/>
              <w:bottom w:val="single" w:sz="4" w:space="0" w:color="auto"/>
              <w:right w:val="single" w:sz="4" w:space="0" w:color="auto"/>
            </w:tcBorders>
            <w:shd w:val="clear" w:color="auto" w:fill="FFFFFF" w:themeFill="background1"/>
          </w:tcPr>
          <w:p w14:paraId="526C87BB" w14:textId="77777777" w:rsidR="00B43A6B" w:rsidRPr="00D423D4" w:rsidRDefault="00B43A6B" w:rsidP="00B35FF7">
            <w:pPr>
              <w:keepNext/>
              <w:jc w:val="left"/>
              <w:rPr>
                <w:color w:val="000000"/>
                <w:sz w:val="20"/>
                <w:szCs w:val="20"/>
                <w:lang w:eastAsia="en-CA"/>
              </w:rPr>
            </w:pPr>
            <w:r>
              <w:rPr>
                <w:color w:val="000000"/>
                <w:sz w:val="20"/>
                <w:szCs w:val="20"/>
                <w:lang w:eastAsia="en-CA"/>
              </w:rPr>
              <w:t>0.05</w:t>
            </w:r>
          </w:p>
        </w:tc>
      </w:tr>
      <w:tr w:rsidR="00B43A6B" w:rsidRPr="00B375EA" w14:paraId="3EF51F21" w14:textId="77777777">
        <w:trPr>
          <w:cantSplit/>
          <w:trHeight w:val="98"/>
          <w:jc w:val="center"/>
        </w:trPr>
        <w:tc>
          <w:tcPr>
            <w:tcW w:w="730" w:type="dxa"/>
            <w:tcBorders>
              <w:top w:val="nil"/>
              <w:left w:val="single" w:sz="4" w:space="0" w:color="auto"/>
              <w:bottom w:val="single" w:sz="4" w:space="0" w:color="auto"/>
              <w:right w:val="single" w:sz="4" w:space="0" w:color="auto"/>
            </w:tcBorders>
            <w:hideMark/>
          </w:tcPr>
          <w:p w14:paraId="1C15278D" w14:textId="77777777" w:rsidR="00B43A6B" w:rsidRPr="00B375EA" w:rsidRDefault="00B43A6B">
            <w:pPr>
              <w:keepNext/>
              <w:rPr>
                <w:color w:val="000000"/>
                <w:sz w:val="20"/>
                <w:szCs w:val="20"/>
                <w:lang w:eastAsia="en-CA"/>
              </w:rPr>
            </w:pPr>
            <w:r>
              <w:rPr>
                <w:color w:val="000000"/>
                <w:sz w:val="20"/>
                <w:szCs w:val="20"/>
                <w:lang w:eastAsia="en-CA"/>
              </w:rPr>
              <w:t>4.1.3</w:t>
            </w:r>
          </w:p>
        </w:tc>
        <w:tc>
          <w:tcPr>
            <w:tcW w:w="7650" w:type="dxa"/>
            <w:gridSpan w:val="6"/>
            <w:tcBorders>
              <w:top w:val="single" w:sz="4" w:space="0" w:color="auto"/>
              <w:left w:val="nil"/>
              <w:bottom w:val="single" w:sz="4" w:space="0" w:color="auto"/>
              <w:right w:val="single" w:sz="4" w:space="0" w:color="000000"/>
            </w:tcBorders>
            <w:hideMark/>
          </w:tcPr>
          <w:p w14:paraId="729AFFFF" w14:textId="77777777" w:rsidR="00B43A6B" w:rsidRPr="00B375EA" w:rsidRDefault="00B43A6B">
            <w:pPr>
              <w:keepNext/>
              <w:rPr>
                <w:color w:val="000000"/>
                <w:sz w:val="20"/>
                <w:szCs w:val="20"/>
                <w:lang w:eastAsia="en-CA"/>
              </w:rPr>
            </w:pPr>
            <w:r>
              <w:rPr>
                <w:color w:val="000000"/>
                <w:sz w:val="20"/>
                <w:szCs w:val="20"/>
                <w:rtl/>
                <w:lang w:eastAsia="en-CA"/>
              </w:rPr>
              <w:t>الاستهلاك المتبقي المؤهل من الهيدروكلوروفلوروكربون</w:t>
            </w:r>
            <w:r>
              <w:rPr>
                <w:color w:val="000000"/>
                <w:sz w:val="20"/>
                <w:szCs w:val="20"/>
                <w:rtl/>
                <w:lang w:eastAsia="en-CA"/>
              </w:rPr>
              <w:noBreakHyphen/>
              <w:t>22 (طن من قدرات استنفاد الأوزون)</w:t>
            </w:r>
          </w:p>
        </w:tc>
        <w:tc>
          <w:tcPr>
            <w:tcW w:w="980" w:type="dxa"/>
            <w:tcBorders>
              <w:top w:val="nil"/>
              <w:left w:val="nil"/>
              <w:bottom w:val="single" w:sz="4" w:space="0" w:color="auto"/>
              <w:right w:val="single" w:sz="4" w:space="0" w:color="auto"/>
            </w:tcBorders>
            <w:shd w:val="clear" w:color="auto" w:fill="FFFFFF" w:themeFill="background1"/>
          </w:tcPr>
          <w:p w14:paraId="3F5BC72F" w14:textId="77777777" w:rsidR="00B43A6B" w:rsidRPr="00D423D4" w:rsidRDefault="00B43A6B" w:rsidP="00B35FF7">
            <w:pPr>
              <w:keepNext/>
              <w:jc w:val="left"/>
              <w:rPr>
                <w:color w:val="000000"/>
                <w:sz w:val="20"/>
                <w:szCs w:val="20"/>
                <w:lang w:eastAsia="en-CA"/>
              </w:rPr>
            </w:pPr>
            <w:r>
              <w:rPr>
                <w:color w:val="000000"/>
                <w:sz w:val="20"/>
                <w:szCs w:val="20"/>
                <w:lang w:eastAsia="en-CA"/>
              </w:rPr>
              <w:t>0</w:t>
            </w:r>
          </w:p>
        </w:tc>
      </w:tr>
    </w:tbl>
    <w:p w14:paraId="5CB812A6" w14:textId="77777777" w:rsidR="00B43A6B" w:rsidRPr="00AB2AED" w:rsidRDefault="00B43A6B" w:rsidP="00B43A6B">
      <w:pPr>
        <w:pStyle w:val="Heading1"/>
        <w:numPr>
          <w:ilvl w:val="0"/>
          <w:numId w:val="0"/>
        </w:numPr>
        <w:rPr>
          <w:sz w:val="20"/>
          <w:szCs w:val="20"/>
        </w:rPr>
      </w:pPr>
      <w:r>
        <w:rPr>
          <w:sz w:val="20"/>
          <w:szCs w:val="20"/>
          <w:rtl/>
        </w:rPr>
        <w:t>* تاريخ إنجاز المرحلة الأولى بموجب اتفاق المرحلة الأولى: 31 كانون الأول/ديسمبر 2021</w:t>
      </w:r>
    </w:p>
    <w:p w14:paraId="1CB04618" w14:textId="77777777" w:rsidR="00B43A6B" w:rsidRPr="00EA35A6" w:rsidRDefault="00B43A6B" w:rsidP="00B43A6B">
      <w:pPr>
        <w:keepNext/>
        <w:spacing w:before="360" w:after="240"/>
        <w:rPr>
          <w:b/>
          <w:sz w:val="26"/>
          <w:szCs w:val="26"/>
        </w:rPr>
      </w:pPr>
      <w:r>
        <w:rPr>
          <w:b/>
          <w:bCs/>
          <w:sz w:val="26"/>
          <w:szCs w:val="26"/>
          <w:rtl/>
        </w:rPr>
        <w:t>التذييل 3</w:t>
      </w:r>
      <w:r>
        <w:rPr>
          <w:b/>
          <w:bCs/>
          <w:sz w:val="26"/>
          <w:szCs w:val="26"/>
          <w:rtl/>
        </w:rPr>
        <w:noBreakHyphen/>
        <w:t>ألف: الجدول الزمني للموافقة على التمويل</w:t>
      </w:r>
    </w:p>
    <w:p w14:paraId="317DCDC1" w14:textId="77777777" w:rsidR="00B43A6B" w:rsidRPr="00B375EA" w:rsidRDefault="00B43A6B" w:rsidP="001348F0">
      <w:pPr>
        <w:pStyle w:val="Heading1"/>
        <w:numPr>
          <w:ilvl w:val="0"/>
          <w:numId w:val="20"/>
        </w:numPr>
        <w:rPr>
          <w:sz w:val="26"/>
          <w:szCs w:val="26"/>
        </w:rPr>
      </w:pPr>
      <w:r>
        <w:rPr>
          <w:sz w:val="26"/>
          <w:szCs w:val="26"/>
          <w:rtl/>
        </w:rPr>
        <w:t>سيُنظر في تمويل الشرائح المقبلة للموافقة عليه في الاجتماع الثاني من السنة المحددة في التذييل 2</w:t>
      </w:r>
      <w:r>
        <w:rPr>
          <w:sz w:val="26"/>
          <w:szCs w:val="26"/>
          <w:rtl/>
        </w:rPr>
        <w:noBreakHyphen/>
        <w:t>ألف.</w:t>
      </w:r>
    </w:p>
    <w:p w14:paraId="424B2015" w14:textId="77777777" w:rsidR="00B43A6B" w:rsidRDefault="00B43A6B" w:rsidP="00B43A6B">
      <w:pPr>
        <w:keepNext/>
        <w:spacing w:before="360" w:after="240"/>
        <w:rPr>
          <w:b/>
          <w:sz w:val="26"/>
          <w:szCs w:val="26"/>
        </w:rPr>
      </w:pPr>
      <w:r>
        <w:rPr>
          <w:b/>
          <w:bCs/>
          <w:sz w:val="26"/>
          <w:szCs w:val="26"/>
          <w:rtl/>
        </w:rPr>
        <w:t>التذييل 4</w:t>
      </w:r>
      <w:r>
        <w:rPr>
          <w:b/>
          <w:bCs/>
          <w:sz w:val="26"/>
          <w:szCs w:val="26"/>
          <w:rtl/>
        </w:rPr>
        <w:noBreakHyphen/>
        <w:t>ألف: شكل تقارير وخطط تنفيذ الشرائح</w:t>
      </w:r>
    </w:p>
    <w:p w14:paraId="571A9D98" w14:textId="77777777" w:rsidR="00B43A6B" w:rsidRPr="00A335E5" w:rsidRDefault="00B43A6B" w:rsidP="001348F0">
      <w:pPr>
        <w:pStyle w:val="Heading1"/>
        <w:numPr>
          <w:ilvl w:val="0"/>
          <w:numId w:val="21"/>
        </w:numPr>
        <w:rPr>
          <w:sz w:val="26"/>
          <w:szCs w:val="26"/>
        </w:rPr>
      </w:pPr>
      <w:r>
        <w:rPr>
          <w:sz w:val="26"/>
          <w:szCs w:val="26"/>
          <w:rtl/>
        </w:rPr>
        <w:t>يتألف تقرير تنفيذ الشريحة وخططها المقدمة مع كل طلب لشريحة من خمسة أجزاء:</w:t>
      </w:r>
    </w:p>
    <w:p w14:paraId="331CB380" w14:textId="77777777" w:rsidR="00B43A6B" w:rsidRPr="00B375EA" w:rsidRDefault="00B43A6B" w:rsidP="00B43A6B">
      <w:pPr>
        <w:pStyle w:val="Heading2"/>
        <w:rPr>
          <w:sz w:val="26"/>
          <w:szCs w:val="26"/>
        </w:rPr>
      </w:pPr>
      <w:r>
        <w:rPr>
          <w:sz w:val="26"/>
          <w:szCs w:val="26"/>
          <w:rtl/>
        </w:rPr>
        <w:t xml:space="preserve">تقرير سردي، مع تقديم البيانات حسب الشريحة، يصف التقدم المحرز منذ التقرير السابق، ويعكس حالة البلد فيما يتعلق بإزالة المواد، وكيفية إسهام مختلف الأنشطة في ذلك، وكيفية ارتباطها ببعضها. </w:t>
      </w:r>
      <w:r>
        <w:rPr>
          <w:sz w:val="26"/>
          <w:szCs w:val="26"/>
          <w:rtl/>
        </w:rPr>
        <w:lastRenderedPageBreak/>
        <w:t>وينبغي أن يتضمن التقرير كمية المواد المستنفدة للأوزون التي أُزيلت نتيجة مباشرة لتنفيذ الأنشطة، حسب المادة، والتكنولوجيا البديلة المستخدمة وما يتصل بها من إدخال تدريجي للبدائل، لتمكين الأمانة من تزويد اللجنة التنفيذية بمعلومات عن التغير الناتج في الانبعاثات ذات الصلة بالمناخ. وينبغي أن يبرز التقرير كذلك النجاحات والتجارب والتحديات المتصلة بمختلف الأنشطة المدرجة في الخطة، بما يعكس أي تغييرات في الظروف السائدة في البلد، وأن يقدم معلومات أخرى ذات صلة. وينبغي أن يتضمن التقرير أيضاً معلومات عن أي تغييرات مقارنة بخطة (خطط) تنفيذ الشرائح المقدمة سابقاً، ومبررات تلك التغييرات، مثل التأخيرات، واستخدام المرونة في إعادة تخصيص الأموال أثناء تنفيذ الشريحة، على النحو المنصوص عليه في الفقرة 7 من هذا الاتفاق، أو غير ذلك من التغييرات؛</w:t>
      </w:r>
    </w:p>
    <w:p w14:paraId="6F1F02D3" w14:textId="77777777" w:rsidR="00B43A6B" w:rsidRPr="00B375EA" w:rsidRDefault="00B43A6B" w:rsidP="00B43A6B">
      <w:pPr>
        <w:pStyle w:val="Heading2"/>
        <w:tabs>
          <w:tab w:val="clear" w:pos="0"/>
          <w:tab w:val="num" w:pos="-720"/>
        </w:tabs>
        <w:rPr>
          <w:sz w:val="26"/>
          <w:szCs w:val="26"/>
        </w:rPr>
      </w:pPr>
      <w:r>
        <w:rPr>
          <w:sz w:val="26"/>
          <w:szCs w:val="26"/>
          <w:rtl/>
        </w:rPr>
        <w:t>تقرير تحقق مستقل عن نتائج الخطة واستهلاك المواد، وفقاً للفقرة الفرعية 5(ب) من الاتفاق. وما لم تقرر اللجنة التنفيذية خلاف ذلك، يجب تقديم هذا التحقق مع كل طلب لشريحة، ويجب أن يتضمن التحقق من الاستهلاك لجميع السنوات المعنية على النحو المحدد في الفقرة الفرعية 5(أ) من الاتفاق التي لم تُقرّ اللجنة بعدُ بتلقي تقرير تحقق بشأنها؛</w:t>
      </w:r>
    </w:p>
    <w:p w14:paraId="13BC43E1" w14:textId="77777777" w:rsidR="00B43A6B" w:rsidRPr="00B375EA" w:rsidRDefault="00B43A6B" w:rsidP="00B43A6B">
      <w:pPr>
        <w:pStyle w:val="Heading2"/>
        <w:tabs>
          <w:tab w:val="clear" w:pos="0"/>
          <w:tab w:val="num" w:pos="-720"/>
        </w:tabs>
        <w:rPr>
          <w:sz w:val="26"/>
          <w:szCs w:val="26"/>
        </w:rPr>
      </w:pPr>
      <w:r>
        <w:rPr>
          <w:sz w:val="26"/>
          <w:szCs w:val="26"/>
          <w:rtl/>
        </w:rPr>
        <w:t>وصف خطي للأنشطة المقرر الاضطلاع بها خلال الفترة التي تشملها الشريحة المطلوبة، يبرز المعالم الرئيسية للتنفيذ وموعد الإنجاز والترابط بين الأنشطة، مع مراعاة التجارب المكتسبة والتقدم المحرز في تنفيذ الشرائح السابقة؛ وتُقدَّم البيانات الواردة في الخطة حسب السنة التقويمية. وينبغي أن يتضمن الوصف أيضاً إشارة إلى الخطة الشاملة والتقدم المحرز، وكذلك إلى أي تغييرات ممكنة متوقعة في الخطة الشاملة. وينبغي أن يحدد الوصف هذه التغييرات في الخطة الشاملة ويشرحها بالتفصيل. ويمكن تقديم وصف الأنشطة المقبلة هذا جزءاً من الوثيقة نفسها التي تتضمن التقرير السردي المشار إليه في الفقرة الفرعية (أ) أعلاه؛</w:t>
      </w:r>
    </w:p>
    <w:p w14:paraId="3884BF84" w14:textId="77777777" w:rsidR="00B43A6B" w:rsidRPr="00B375EA" w:rsidRDefault="00B43A6B" w:rsidP="00B43A6B">
      <w:pPr>
        <w:pStyle w:val="Heading2"/>
        <w:tabs>
          <w:tab w:val="clear" w:pos="0"/>
          <w:tab w:val="num" w:pos="-720"/>
        </w:tabs>
        <w:rPr>
          <w:sz w:val="26"/>
          <w:szCs w:val="26"/>
        </w:rPr>
      </w:pPr>
      <w:r>
        <w:rPr>
          <w:sz w:val="26"/>
          <w:szCs w:val="26"/>
          <w:rtl/>
        </w:rPr>
        <w:t>مجموعة من المعلومات الكمية لجميع تقارير وخطط تنفيذ الشرائح، تُقدَّم من خلال قاعدة بيانات إلكترونية؛</w:t>
      </w:r>
    </w:p>
    <w:p w14:paraId="57B40E4F" w14:textId="77777777" w:rsidR="00B43A6B" w:rsidRPr="00B375EA" w:rsidRDefault="00B43A6B" w:rsidP="00B43A6B">
      <w:pPr>
        <w:pStyle w:val="Heading2"/>
        <w:tabs>
          <w:tab w:val="clear" w:pos="0"/>
          <w:tab w:val="num" w:pos="-720"/>
        </w:tabs>
        <w:rPr>
          <w:sz w:val="26"/>
          <w:szCs w:val="26"/>
        </w:rPr>
      </w:pPr>
      <w:r>
        <w:rPr>
          <w:sz w:val="26"/>
          <w:szCs w:val="26"/>
          <w:rtl/>
        </w:rPr>
        <w:t>موجز تنفيذي يتألف من نحو خمس فقرات، يلخص المعلومات الواردة في الفقرات الفرعية 1(أ) إلى 1(د) أعلاه.</w:t>
      </w:r>
    </w:p>
    <w:p w14:paraId="3195C0FF" w14:textId="77777777" w:rsidR="00B43A6B" w:rsidRPr="00B375EA" w:rsidRDefault="00B43A6B" w:rsidP="00B43A6B">
      <w:pPr>
        <w:pStyle w:val="Heading1"/>
        <w:rPr>
          <w:sz w:val="26"/>
          <w:szCs w:val="26"/>
        </w:rPr>
      </w:pPr>
      <w:r>
        <w:rPr>
          <w:sz w:val="26"/>
          <w:szCs w:val="26"/>
          <w:rtl/>
        </w:rPr>
        <w:t>في حال تنفيذ مرحلتين من الخطة بالتوازي في سنة معينة، ينبغي مراعاة الاعتبارات التالية عند إعداد تقارير وخطط تنفيذ الشرائح:</w:t>
      </w:r>
    </w:p>
    <w:p w14:paraId="5919B760" w14:textId="77777777" w:rsidR="00B43A6B" w:rsidRPr="00B375EA" w:rsidRDefault="00B43A6B" w:rsidP="00B43A6B">
      <w:pPr>
        <w:pStyle w:val="Heading2"/>
        <w:tabs>
          <w:tab w:val="clear" w:pos="0"/>
          <w:tab w:val="num" w:pos="-720"/>
        </w:tabs>
        <w:rPr>
          <w:sz w:val="26"/>
          <w:szCs w:val="26"/>
        </w:rPr>
      </w:pPr>
      <w:r>
        <w:rPr>
          <w:sz w:val="26"/>
          <w:szCs w:val="26"/>
          <w:rtl/>
        </w:rPr>
        <w:t>تقتصر تقارير وخطط تنفيذ الشرائح المشار إليها في إطار هذا الاتفاق على الأنشطة والأموال المشمولة بهذا الاتفاق؛</w:t>
      </w:r>
    </w:p>
    <w:p w14:paraId="4A9CB551" w14:textId="77777777" w:rsidR="00B43A6B" w:rsidRPr="00B375EA" w:rsidRDefault="00B43A6B" w:rsidP="00B43A6B">
      <w:pPr>
        <w:pStyle w:val="Heading2"/>
        <w:tabs>
          <w:tab w:val="clear" w:pos="0"/>
          <w:tab w:val="num" w:pos="-720"/>
        </w:tabs>
        <w:rPr>
          <w:sz w:val="26"/>
          <w:szCs w:val="26"/>
        </w:rPr>
      </w:pPr>
      <w:r>
        <w:rPr>
          <w:sz w:val="26"/>
          <w:szCs w:val="26"/>
          <w:rtl/>
        </w:rPr>
        <w:t>إذا كانت للمرحلتين قيد التنفيذ أهداف مختلفة لاستهلاك المواد الهيدروكلوروفلوروكربونية بموجب التذييل 2</w:t>
      </w:r>
      <w:r>
        <w:rPr>
          <w:sz w:val="26"/>
          <w:szCs w:val="26"/>
          <w:rtl/>
        </w:rPr>
        <w:noBreakHyphen/>
        <w:t>ألف من كل اتفاق في سنة معينة، يُستخدم هدف استهلاك المواد الهيدروكلوروفلوروكربونية الأدنى مرجعاً للامتثال لهذين الاتفاقين ويكون أساساً للتحقق المستقل.</w:t>
      </w:r>
    </w:p>
    <w:p w14:paraId="78E4BD4A" w14:textId="77777777" w:rsidR="00B43A6B" w:rsidRDefault="00B43A6B" w:rsidP="00B43A6B">
      <w:pPr>
        <w:keepNext/>
        <w:spacing w:before="360" w:after="240"/>
        <w:rPr>
          <w:b/>
          <w:sz w:val="26"/>
          <w:szCs w:val="26"/>
        </w:rPr>
      </w:pPr>
      <w:r>
        <w:rPr>
          <w:b/>
          <w:bCs/>
          <w:sz w:val="26"/>
          <w:szCs w:val="26"/>
          <w:rtl/>
        </w:rPr>
        <w:t>التذييل 5</w:t>
      </w:r>
      <w:r>
        <w:rPr>
          <w:b/>
          <w:bCs/>
          <w:sz w:val="26"/>
          <w:szCs w:val="26"/>
          <w:rtl/>
        </w:rPr>
        <w:noBreakHyphen/>
        <w:t>ألف: مؤسسات الرصد وأدوارها</w:t>
      </w:r>
    </w:p>
    <w:p w14:paraId="7A3EAA0E" w14:textId="4983AE0F" w:rsidR="00B43A6B" w:rsidRPr="00407B4B" w:rsidRDefault="00B43A6B" w:rsidP="006E5EFD">
      <w:pPr>
        <w:pStyle w:val="Heading1"/>
        <w:numPr>
          <w:ilvl w:val="0"/>
          <w:numId w:val="19"/>
        </w:numPr>
        <w:tabs>
          <w:tab w:val="clear" w:pos="0"/>
        </w:tabs>
        <w:rPr>
          <w:sz w:val="26"/>
          <w:szCs w:val="26"/>
          <w:lang w:val="en-GB"/>
        </w:rPr>
      </w:pPr>
      <w:r>
        <w:rPr>
          <w:sz w:val="26"/>
          <w:szCs w:val="26"/>
          <w:rtl/>
          <w:lang w:val="en-GB"/>
        </w:rPr>
        <w:t>يتولى البلد الرصد العام من خلال وحدة الأوزون الوطنية، بمساعدة الوكالة المنفذة الرئيسية. وتقدم وحدة الأوزون الوطنية إلى الوكالة المنفذة الرئيسية تقارير مرحلية سنوية عن حالة تنفيذ الخطة.</w:t>
      </w:r>
    </w:p>
    <w:p w14:paraId="510EC3C3" w14:textId="708DD6B9" w:rsidR="00B43A6B" w:rsidRPr="00191D8D" w:rsidRDefault="00B43A6B" w:rsidP="00B43A6B">
      <w:pPr>
        <w:pStyle w:val="Heading1"/>
        <w:rPr>
          <w:sz w:val="26"/>
          <w:szCs w:val="26"/>
          <w:lang w:val="en-GB"/>
        </w:rPr>
      </w:pPr>
      <w:r>
        <w:rPr>
          <w:sz w:val="26"/>
          <w:szCs w:val="26"/>
          <w:rtl/>
          <w:lang w:val="en-GB"/>
        </w:rPr>
        <w:t>يُرصد الاستهلاك ويُحدَّد استناداً إلى البيانات الرسمية عن استيراد المواد وتصديرها التي تسجلها الإدارات الحكومية المعنية. وتتولى وحدة الأوزون الوطنية جمع البيانات والمعلومات التالية والإبلاغ عنها سنوياً في المواعيد النهائية المحددة أو قبلها:</w:t>
      </w:r>
    </w:p>
    <w:p w14:paraId="3E78E03D" w14:textId="77777777" w:rsidR="00B43A6B" w:rsidRPr="00191D8D" w:rsidRDefault="00B43A6B" w:rsidP="00B43A6B">
      <w:pPr>
        <w:pStyle w:val="Heading2"/>
        <w:tabs>
          <w:tab w:val="num" w:pos="-720"/>
        </w:tabs>
        <w:rPr>
          <w:sz w:val="26"/>
          <w:szCs w:val="26"/>
          <w:lang w:val="en-GB"/>
        </w:rPr>
      </w:pPr>
      <w:r>
        <w:rPr>
          <w:sz w:val="26"/>
          <w:szCs w:val="26"/>
          <w:rtl/>
          <w:lang w:val="en-GB"/>
        </w:rPr>
        <w:lastRenderedPageBreak/>
        <w:t>التقارير عن استهلاك المواد التي تُقدَّم إلى أمانة الأوزون وفقاً للمادة 7 من بروتوكول مونتريال؛</w:t>
      </w:r>
    </w:p>
    <w:p w14:paraId="3E3F5A2E" w14:textId="77777777" w:rsidR="00B43A6B" w:rsidRPr="00191D8D" w:rsidRDefault="00B43A6B" w:rsidP="00B43A6B">
      <w:pPr>
        <w:pStyle w:val="Heading2"/>
        <w:tabs>
          <w:tab w:val="num" w:pos="-720"/>
        </w:tabs>
        <w:rPr>
          <w:sz w:val="26"/>
          <w:szCs w:val="26"/>
          <w:lang w:val="en-GB"/>
        </w:rPr>
      </w:pPr>
      <w:r>
        <w:rPr>
          <w:sz w:val="26"/>
          <w:szCs w:val="26"/>
          <w:rtl/>
          <w:lang w:val="en-GB"/>
        </w:rPr>
        <w:t>التقارير عن بيانات البرنامج القطري التي تُقدَّم إلى أمانة الصندوق المتعدد الأطراف.</w:t>
      </w:r>
    </w:p>
    <w:p w14:paraId="1F735E45" w14:textId="48529324" w:rsidR="00B43A6B" w:rsidRPr="000E46FD" w:rsidRDefault="00B43A6B" w:rsidP="00B43A6B">
      <w:pPr>
        <w:pStyle w:val="Heading1"/>
        <w:rPr>
          <w:sz w:val="26"/>
          <w:szCs w:val="26"/>
          <w:lang w:val="en-GB"/>
        </w:rPr>
      </w:pPr>
      <w:r>
        <w:rPr>
          <w:sz w:val="26"/>
          <w:szCs w:val="26"/>
          <w:rtl/>
          <w:lang w:val="en-GB"/>
        </w:rPr>
        <w:t xml:space="preserve">تُسند الوكالة المنفذة الرئيسية مهمة رصد تطور الخطة والتحقق من تحقيق أهداف الأداء إلى شركة محلية مستقلة أو إلى خبير (خبراء) </w:t>
      </w:r>
      <w:r w:rsidR="00E34292">
        <w:rPr>
          <w:sz w:val="26"/>
          <w:szCs w:val="26"/>
          <w:rtl/>
          <w:lang w:val="en-GB"/>
        </w:rPr>
        <w:t xml:space="preserve">أو إلى </w:t>
      </w:r>
      <w:r>
        <w:rPr>
          <w:sz w:val="26"/>
          <w:szCs w:val="26"/>
          <w:rtl/>
          <w:lang w:val="en-GB"/>
        </w:rPr>
        <w:t>استشاري (استشاريين) محلي (محليين) مستقل (مستقلين). وتتاح للشركة أو الخبير (الخبراء) الاستشاري (الاستشاريين) المسؤول (المسؤولين) عن التحقق إمكانية الاطلاع الكامل على المعلومات التقنية والمالية ذات الصلة بتنفيذ الخطة.</w:t>
      </w:r>
    </w:p>
    <w:p w14:paraId="27F44274" w14:textId="77777777" w:rsidR="00B43A6B" w:rsidRPr="001C3FA8" w:rsidRDefault="00B43A6B" w:rsidP="00B43A6B">
      <w:pPr>
        <w:keepNext/>
        <w:spacing w:before="360" w:after="240"/>
        <w:rPr>
          <w:b/>
          <w:sz w:val="26"/>
          <w:szCs w:val="26"/>
        </w:rPr>
      </w:pPr>
      <w:r>
        <w:rPr>
          <w:b/>
          <w:bCs/>
          <w:sz w:val="26"/>
          <w:szCs w:val="26"/>
          <w:rtl/>
        </w:rPr>
        <w:t>التذييل 6</w:t>
      </w:r>
      <w:r>
        <w:rPr>
          <w:b/>
          <w:bCs/>
          <w:sz w:val="26"/>
          <w:szCs w:val="26"/>
          <w:rtl/>
        </w:rPr>
        <w:noBreakHyphen/>
        <w:t>ألف: دور الوكالة المنفذة الرئيسية</w:t>
      </w:r>
    </w:p>
    <w:p w14:paraId="60A61742" w14:textId="77777777" w:rsidR="00B43A6B" w:rsidRPr="00482E61" w:rsidRDefault="00B43A6B" w:rsidP="00482E61">
      <w:pPr>
        <w:pStyle w:val="Heading1"/>
        <w:numPr>
          <w:ilvl w:val="0"/>
          <w:numId w:val="22"/>
        </w:numPr>
        <w:rPr>
          <w:sz w:val="26"/>
          <w:szCs w:val="26"/>
        </w:rPr>
      </w:pPr>
      <w:r w:rsidRPr="00482E61">
        <w:rPr>
          <w:sz w:val="26"/>
          <w:szCs w:val="26"/>
          <w:rtl/>
        </w:rPr>
        <w:t>تكون الوكالة المنفذة الرئيسية مسؤولة عن مجموعة من الأنشطة، تشمل على الأقل ما يلي:</w:t>
      </w:r>
    </w:p>
    <w:p w14:paraId="5ED724E1" w14:textId="77777777" w:rsidR="00B43A6B" w:rsidRPr="00B375EA" w:rsidRDefault="00B43A6B" w:rsidP="00B43A6B">
      <w:pPr>
        <w:pStyle w:val="Heading2"/>
        <w:rPr>
          <w:sz w:val="26"/>
          <w:szCs w:val="26"/>
        </w:rPr>
      </w:pPr>
      <w:r>
        <w:rPr>
          <w:sz w:val="26"/>
          <w:szCs w:val="26"/>
          <w:rtl/>
        </w:rPr>
        <w:t>ضمان التحقق من الأداء والتحقق المالي وفقاً لهذا الاتفاق ولإجراءاتها ومتطلباتها الداخلية المحددة على النحو المبين في خطة البلد؛</w:t>
      </w:r>
    </w:p>
    <w:p w14:paraId="7EAEA6C6" w14:textId="77777777" w:rsidR="00B43A6B" w:rsidRPr="00B375EA" w:rsidRDefault="00B43A6B" w:rsidP="00B43A6B">
      <w:pPr>
        <w:pStyle w:val="Heading2"/>
        <w:tabs>
          <w:tab w:val="clear" w:pos="0"/>
          <w:tab w:val="num" w:pos="-720"/>
        </w:tabs>
        <w:rPr>
          <w:sz w:val="26"/>
          <w:szCs w:val="26"/>
        </w:rPr>
      </w:pPr>
      <w:r>
        <w:rPr>
          <w:sz w:val="26"/>
          <w:szCs w:val="26"/>
          <w:rtl/>
        </w:rPr>
        <w:t>مساعدة البلد في إعداد تقارير وخطط تنفيذ الشرائح وفقاً للتذييل 4</w:t>
      </w:r>
      <w:r>
        <w:rPr>
          <w:sz w:val="26"/>
          <w:szCs w:val="26"/>
          <w:rtl/>
        </w:rPr>
        <w:noBreakHyphen/>
        <w:t>ألف؛</w:t>
      </w:r>
    </w:p>
    <w:p w14:paraId="0D40EE5F" w14:textId="77777777" w:rsidR="00B43A6B" w:rsidRPr="00B375EA" w:rsidRDefault="00B43A6B" w:rsidP="00B43A6B">
      <w:pPr>
        <w:pStyle w:val="Heading2"/>
        <w:tabs>
          <w:tab w:val="clear" w:pos="0"/>
          <w:tab w:val="num" w:pos="-720"/>
        </w:tabs>
        <w:rPr>
          <w:sz w:val="26"/>
          <w:szCs w:val="26"/>
        </w:rPr>
      </w:pPr>
      <w:r>
        <w:rPr>
          <w:sz w:val="26"/>
          <w:szCs w:val="26"/>
          <w:rtl/>
        </w:rPr>
        <w:t>تقديم تحقق مستقل إلى اللجنة التنفيذية يثبت أن الأهداف قد تحققت وأن أنشطة الشريحة المرتبطة بها قد أُنجزت على النحو المبين في خطة تنفيذ الشريحة بما يتسق مع التذييل 4</w:t>
      </w:r>
      <w:r>
        <w:rPr>
          <w:sz w:val="26"/>
          <w:szCs w:val="26"/>
          <w:rtl/>
        </w:rPr>
        <w:noBreakHyphen/>
        <w:t>ألف؛</w:t>
      </w:r>
    </w:p>
    <w:p w14:paraId="0F05707B" w14:textId="77777777" w:rsidR="00B43A6B" w:rsidRPr="00B375EA" w:rsidRDefault="00B43A6B" w:rsidP="00B43A6B">
      <w:pPr>
        <w:pStyle w:val="Heading2"/>
        <w:tabs>
          <w:tab w:val="clear" w:pos="0"/>
          <w:tab w:val="num" w:pos="-720"/>
        </w:tabs>
        <w:rPr>
          <w:sz w:val="26"/>
          <w:szCs w:val="26"/>
        </w:rPr>
      </w:pPr>
      <w:r>
        <w:rPr>
          <w:sz w:val="26"/>
          <w:szCs w:val="26"/>
          <w:rtl/>
        </w:rPr>
        <w:t>ضمان انعكاس التجارب المكتسبة والتقدم المحرز في تحديثات الخطة الشاملة وفي خطط تنفيذ الشرائح المقبلة بما يتسق مع الفقرتين الفرعيتين 1(ج) و1(د) من التذييل 4</w:t>
      </w:r>
      <w:r>
        <w:rPr>
          <w:sz w:val="26"/>
          <w:szCs w:val="26"/>
          <w:rtl/>
        </w:rPr>
        <w:noBreakHyphen/>
        <w:t>ألف؛</w:t>
      </w:r>
    </w:p>
    <w:p w14:paraId="5EB8DA7A" w14:textId="77777777" w:rsidR="00B43A6B" w:rsidRPr="00B375EA" w:rsidRDefault="00B43A6B" w:rsidP="00B43A6B">
      <w:pPr>
        <w:pStyle w:val="Heading2"/>
        <w:tabs>
          <w:tab w:val="clear" w:pos="0"/>
          <w:tab w:val="num" w:pos="-720"/>
        </w:tabs>
        <w:rPr>
          <w:sz w:val="26"/>
          <w:szCs w:val="26"/>
        </w:rPr>
      </w:pPr>
      <w:r>
        <w:rPr>
          <w:sz w:val="26"/>
          <w:szCs w:val="26"/>
          <w:rtl/>
        </w:rPr>
        <w:t>استيفاء متطلبات الإبلاغ المتعلقة بتقارير وخطط تنفيذ الشرائح والخطة الشاملة على النحو المحدد في التذييل 4</w:t>
      </w:r>
      <w:r>
        <w:rPr>
          <w:sz w:val="26"/>
          <w:szCs w:val="26"/>
          <w:rtl/>
        </w:rPr>
        <w:noBreakHyphen/>
        <w:t>ألف لتقديمها إلى اللجنة التنفيذية؛</w:t>
      </w:r>
    </w:p>
    <w:p w14:paraId="74A25235" w14:textId="77777777" w:rsidR="00B43A6B" w:rsidRPr="00BC10D7" w:rsidRDefault="00B43A6B" w:rsidP="00B43A6B">
      <w:pPr>
        <w:pStyle w:val="Heading2"/>
        <w:tabs>
          <w:tab w:val="clear" w:pos="0"/>
          <w:tab w:val="num" w:pos="-720"/>
        </w:tabs>
        <w:rPr>
          <w:sz w:val="26"/>
          <w:szCs w:val="26"/>
        </w:rPr>
      </w:pPr>
      <w:r>
        <w:rPr>
          <w:sz w:val="26"/>
          <w:szCs w:val="26"/>
          <w:rtl/>
        </w:rPr>
        <w:t>في حال طلب شريحة التمويل الأخيرة قبل سنة أو أكثر من السنة الأخيرة التي حُدد لها هدف للاستهلاك، ينبغي تقديم تقارير سنوية عن تنفيذ الشرائح، وعند الاقتضاء، تقارير تحقق عن المرحلة الحالية من الخطة إلى أن تُستكمل جميع الأنشطة المتوقعة وتتحقق أهداف استهلاك المواد الهيدروكلوروفلوروكربونية؛</w:t>
      </w:r>
    </w:p>
    <w:p w14:paraId="1238BDEF" w14:textId="77777777" w:rsidR="00B43A6B" w:rsidRPr="00BC10D7" w:rsidRDefault="00B43A6B" w:rsidP="00B43A6B">
      <w:pPr>
        <w:pStyle w:val="Heading2"/>
        <w:tabs>
          <w:tab w:val="clear" w:pos="0"/>
          <w:tab w:val="num" w:pos="-720"/>
        </w:tabs>
        <w:rPr>
          <w:sz w:val="26"/>
          <w:szCs w:val="26"/>
        </w:rPr>
      </w:pPr>
      <w:r>
        <w:rPr>
          <w:sz w:val="26"/>
          <w:szCs w:val="26"/>
          <w:rtl/>
        </w:rPr>
        <w:t>ضمان قيام خبراء تقنيين مستقلين مؤهلين بإجراء الاستعراضات التقنية؛</w:t>
      </w:r>
    </w:p>
    <w:p w14:paraId="25DB24E9" w14:textId="77777777" w:rsidR="00B43A6B" w:rsidRPr="00BC10D7" w:rsidRDefault="00B43A6B" w:rsidP="00B43A6B">
      <w:pPr>
        <w:pStyle w:val="Heading2"/>
        <w:tabs>
          <w:tab w:val="clear" w:pos="0"/>
          <w:tab w:val="num" w:pos="-720"/>
        </w:tabs>
        <w:rPr>
          <w:sz w:val="26"/>
          <w:szCs w:val="26"/>
        </w:rPr>
      </w:pPr>
      <w:r>
        <w:rPr>
          <w:sz w:val="26"/>
          <w:szCs w:val="26"/>
          <w:rtl/>
        </w:rPr>
        <w:t>الاضطلاع بالبعثات الإشرافية المطلوبة؛</w:t>
      </w:r>
    </w:p>
    <w:p w14:paraId="6323C321" w14:textId="77777777" w:rsidR="00B43A6B" w:rsidRPr="00BC10D7" w:rsidRDefault="00B43A6B" w:rsidP="00B43A6B">
      <w:pPr>
        <w:pStyle w:val="Heading2"/>
        <w:tabs>
          <w:tab w:val="clear" w:pos="0"/>
          <w:tab w:val="num" w:pos="-720"/>
        </w:tabs>
        <w:rPr>
          <w:sz w:val="26"/>
          <w:szCs w:val="26"/>
        </w:rPr>
      </w:pPr>
      <w:r>
        <w:rPr>
          <w:sz w:val="26"/>
          <w:szCs w:val="26"/>
          <w:rtl/>
        </w:rPr>
        <w:t>ضمان وجود آلية تشغيلية تتيح التنفيذ الفعال والشفاف لخطة تنفيذ الشريحة والإبلاغ الدقيق عن البيانات؛</w:t>
      </w:r>
    </w:p>
    <w:p w14:paraId="6E01A393" w14:textId="77777777" w:rsidR="00B43A6B" w:rsidRPr="00B375EA" w:rsidRDefault="00B43A6B" w:rsidP="00B43A6B">
      <w:pPr>
        <w:pStyle w:val="Heading2"/>
        <w:tabs>
          <w:tab w:val="clear" w:pos="0"/>
          <w:tab w:val="num" w:pos="-720"/>
        </w:tabs>
        <w:rPr>
          <w:sz w:val="26"/>
          <w:szCs w:val="26"/>
        </w:rPr>
      </w:pPr>
      <w:r>
        <w:rPr>
          <w:sz w:val="26"/>
          <w:szCs w:val="26"/>
          <w:rtl/>
        </w:rPr>
        <w:t>في حالة تخفيض التمويل بسبب عدم الامتثال وفقاً للفقرة 11 من الاتفاق، القيام، بالتشاور مع البلد، بتحديد توزيع التخفيضات على مختلف بنود الميزانية وعلى تمويل الوكالة المنفذة الرئيسية؛</w:t>
      </w:r>
    </w:p>
    <w:p w14:paraId="4FED2F65" w14:textId="77777777" w:rsidR="00B43A6B" w:rsidRPr="00B375EA" w:rsidRDefault="00B43A6B" w:rsidP="00B43A6B">
      <w:pPr>
        <w:pStyle w:val="Heading2"/>
        <w:tabs>
          <w:tab w:val="clear" w:pos="0"/>
          <w:tab w:val="num" w:pos="-720"/>
        </w:tabs>
        <w:rPr>
          <w:sz w:val="26"/>
          <w:szCs w:val="26"/>
        </w:rPr>
      </w:pPr>
      <w:r>
        <w:rPr>
          <w:sz w:val="26"/>
          <w:szCs w:val="26"/>
          <w:rtl/>
        </w:rPr>
        <w:t>ضمان أن تستند المدفوعات المقدمة إلى البلد إلى استخدام المؤشرات؛</w:t>
      </w:r>
    </w:p>
    <w:p w14:paraId="59400C3B" w14:textId="77777777" w:rsidR="00B43A6B" w:rsidRPr="00B375EA" w:rsidRDefault="00B43A6B" w:rsidP="00B43A6B">
      <w:pPr>
        <w:pStyle w:val="Heading2"/>
        <w:tabs>
          <w:tab w:val="clear" w:pos="0"/>
          <w:tab w:val="num" w:pos="-720"/>
        </w:tabs>
        <w:rPr>
          <w:sz w:val="26"/>
          <w:szCs w:val="26"/>
        </w:rPr>
      </w:pPr>
      <w:r>
        <w:rPr>
          <w:sz w:val="26"/>
          <w:szCs w:val="26"/>
          <w:rtl/>
        </w:rPr>
        <w:t>تقديم المساعدة في مجال السياسات العامة والدعم الإداري والتقني عند الاقتضاء؛</w:t>
      </w:r>
    </w:p>
    <w:p w14:paraId="09222BC6" w14:textId="77777777" w:rsidR="00B43A6B" w:rsidRPr="00B375EA" w:rsidRDefault="00B43A6B" w:rsidP="00B43A6B">
      <w:pPr>
        <w:pStyle w:val="Heading2"/>
        <w:tabs>
          <w:tab w:val="clear" w:pos="0"/>
          <w:tab w:val="num" w:pos="-720"/>
        </w:tabs>
        <w:rPr>
          <w:sz w:val="26"/>
          <w:szCs w:val="26"/>
        </w:rPr>
      </w:pPr>
      <w:r>
        <w:rPr>
          <w:sz w:val="26"/>
          <w:szCs w:val="26"/>
          <w:rtl/>
        </w:rPr>
        <w:lastRenderedPageBreak/>
        <w:t>الإفراج عن الأموال في الوقت المناسب للبلد/المؤسسات المشاركة لاستكمال الأنشطة المتعلقة بالمشروع.</w:t>
      </w:r>
    </w:p>
    <w:p w14:paraId="7EF5F376" w14:textId="77777777" w:rsidR="00B43A6B" w:rsidRPr="004D4700" w:rsidRDefault="00B43A6B" w:rsidP="00482E61">
      <w:pPr>
        <w:pStyle w:val="Heading1"/>
        <w:rPr>
          <w:sz w:val="26"/>
          <w:szCs w:val="26"/>
        </w:rPr>
      </w:pPr>
      <w:r w:rsidRPr="004D4700">
        <w:rPr>
          <w:sz w:val="26"/>
          <w:szCs w:val="26"/>
          <w:rtl/>
        </w:rPr>
        <w:t>بعد التشاور مع البلد ومراعاة أي آراء يُعرب عنها، تختار الوكالة المنفذة الرئيسية كياناً مستقلاً وتكلفه بإجراء التحقق من نتائج الخطة ومن استهلاك المواد المذكورة في التذييل 1</w:t>
      </w:r>
      <w:r w:rsidRPr="004D4700">
        <w:rPr>
          <w:sz w:val="26"/>
          <w:szCs w:val="26"/>
          <w:rtl/>
        </w:rPr>
        <w:noBreakHyphen/>
        <w:t>ألف، وفقاً للفقرة الفرعية 5(ب) من الاتفاق والفقرة الفرعية 1(ب) من التذييل 4</w:t>
      </w:r>
      <w:r w:rsidRPr="004D4700">
        <w:rPr>
          <w:sz w:val="26"/>
          <w:szCs w:val="26"/>
          <w:rtl/>
        </w:rPr>
        <w:noBreakHyphen/>
        <w:t>ألف.</w:t>
      </w:r>
    </w:p>
    <w:p w14:paraId="3C8A0056" w14:textId="77777777" w:rsidR="00B43A6B" w:rsidRPr="00B375EA" w:rsidRDefault="00B43A6B" w:rsidP="00B43A6B">
      <w:pPr>
        <w:keepNext/>
        <w:spacing w:before="360" w:after="240"/>
        <w:rPr>
          <w:b/>
          <w:sz w:val="26"/>
          <w:szCs w:val="26"/>
        </w:rPr>
      </w:pPr>
      <w:r>
        <w:rPr>
          <w:b/>
          <w:bCs/>
          <w:sz w:val="26"/>
          <w:szCs w:val="26"/>
          <w:rtl/>
        </w:rPr>
        <w:t>التذييل 7</w:t>
      </w:r>
      <w:r>
        <w:rPr>
          <w:b/>
          <w:bCs/>
          <w:sz w:val="26"/>
          <w:szCs w:val="26"/>
          <w:rtl/>
        </w:rPr>
        <w:noBreakHyphen/>
        <w:t>ألف: التخفيضات في التمويل بسبب عدم الامتثال</w:t>
      </w:r>
    </w:p>
    <w:p w14:paraId="153BB07F" w14:textId="77777777" w:rsidR="00B43A6B" w:rsidRPr="00482E61" w:rsidRDefault="00B43A6B" w:rsidP="00482E61">
      <w:pPr>
        <w:pStyle w:val="Heading1"/>
        <w:numPr>
          <w:ilvl w:val="0"/>
          <w:numId w:val="23"/>
        </w:numPr>
        <w:rPr>
          <w:sz w:val="26"/>
          <w:szCs w:val="26"/>
        </w:rPr>
      </w:pPr>
      <w:r w:rsidRPr="00482E61">
        <w:rPr>
          <w:sz w:val="26"/>
          <w:szCs w:val="26"/>
          <w:rtl/>
        </w:rPr>
        <w:t>وفقاً للفقرة 11 من الاتفاق، يجوز تخفيض مبلغ التمويل المقدم بمقدار 180 دولاراً أمريكياً عن كل كيلوغرام من قدرات استنفاد الأوزون من الاستهلاك الذي يتجاوز المستوى المحدد في الصف 1.2 من التذييل 2</w:t>
      </w:r>
      <w:r w:rsidRPr="00482E61">
        <w:rPr>
          <w:sz w:val="26"/>
          <w:szCs w:val="26"/>
          <w:rtl/>
        </w:rPr>
        <w:noBreakHyphen/>
        <w:t>ألف عن كل سنة لم يتحقق فيها الهدف المحدد في الصف 1.2 من التذييل 2</w:t>
      </w:r>
      <w:r w:rsidRPr="00482E61">
        <w:rPr>
          <w:sz w:val="26"/>
          <w:szCs w:val="26"/>
          <w:rtl/>
        </w:rPr>
        <w:noBreakHyphen/>
        <w:t>ألف، على أساس أن الحد الأقصى لتخفيض التمويل لن يتجاوز مستوى تمويل الشريحة المطلوبة. ويجوز النظر في تدابير إضافية في الحالات التي يستمر فيها عدم الامتثال لسنتين متتاليتين.</w:t>
      </w:r>
    </w:p>
    <w:p w14:paraId="146CA203" w14:textId="2723E5F4" w:rsidR="00B43A6B" w:rsidRPr="00B43A6B" w:rsidRDefault="00B43A6B" w:rsidP="00795A44">
      <w:pPr>
        <w:pStyle w:val="Heading1"/>
        <w:rPr>
          <w:sz w:val="26"/>
          <w:szCs w:val="26"/>
        </w:rPr>
        <w:sectPr w:rsidR="00B43A6B" w:rsidRPr="00B43A6B" w:rsidSect="0098063E">
          <w:headerReference w:type="even" r:id="rId24"/>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r>
        <w:rPr>
          <w:sz w:val="26"/>
          <w:szCs w:val="26"/>
          <w:rtl/>
        </w:rPr>
        <w:t>في حال وجوب تطبيق الجزاء عن سنة يكون فيها اتفاقان نافذان (أي مرحلتان من الخطة قيد التنفيذ بالتوازي) بمستويات جزاء مختلفة، يُحدَّد تطبيق الجزاء على أساس كل حالة على حدة مع مراعاة القطاعات المحددة التي أدت إلى عدم الامتثال. وإذا تعذر تحديد قطاع ما، أو إذا كانت المرحلتان تتناولان القطاع نفسه، يُطبَّق مستوى الجزاء الأعلى.</w:t>
      </w:r>
    </w:p>
    <w:p w14:paraId="33FDFBE8" w14:textId="7056FD59" w:rsidR="00CB0432" w:rsidRPr="00BE38DF" w:rsidRDefault="00CB0432" w:rsidP="00795A44">
      <w:pPr>
        <w:spacing w:before="360" w:after="240"/>
        <w:jc w:val="center"/>
        <w:rPr>
          <w:b/>
          <w:bCs/>
          <w:sz w:val="26"/>
          <w:szCs w:val="26"/>
        </w:rPr>
      </w:pPr>
      <w:r>
        <w:rPr>
          <w:b/>
          <w:bCs/>
          <w:sz w:val="26"/>
          <w:szCs w:val="26"/>
          <w:rtl/>
        </w:rPr>
        <w:lastRenderedPageBreak/>
        <w:t>المرفق الثاني</w:t>
      </w:r>
    </w:p>
    <w:p w14:paraId="31B5D30A" w14:textId="3C796317" w:rsidR="00CB0432" w:rsidRPr="00BE38DF" w:rsidRDefault="00CB0432" w:rsidP="00CB0432">
      <w:pPr>
        <w:jc w:val="center"/>
        <w:rPr>
          <w:b/>
          <w:bCs/>
          <w:sz w:val="26"/>
          <w:szCs w:val="26"/>
        </w:rPr>
      </w:pPr>
      <w:r>
        <w:rPr>
          <w:b/>
          <w:bCs/>
          <w:sz w:val="26"/>
          <w:szCs w:val="26"/>
          <w:shd w:val="clear" w:color="auto" w:fill="FFFFFF" w:themeFill="background1"/>
          <w:rtl/>
        </w:rPr>
        <w:t>مشروع اتفاق بين حكومة سان تومي وبرينسيبي</w:t>
      </w:r>
    </w:p>
    <w:p w14:paraId="276E05B8" w14:textId="77777777" w:rsidR="00CB0432" w:rsidRPr="00BE38DF" w:rsidRDefault="00CB0432" w:rsidP="00CB0432">
      <w:pPr>
        <w:jc w:val="center"/>
        <w:rPr>
          <w:b/>
          <w:bCs/>
          <w:sz w:val="26"/>
          <w:szCs w:val="26"/>
        </w:rPr>
      </w:pPr>
      <w:r>
        <w:rPr>
          <w:b/>
          <w:bCs/>
          <w:sz w:val="26"/>
          <w:szCs w:val="26"/>
          <w:rtl/>
        </w:rPr>
        <w:t>واللجنة التنفيذية للصندوق المتعدد الأطراف</w:t>
      </w:r>
    </w:p>
    <w:p w14:paraId="42DE2A94" w14:textId="77777777" w:rsidR="00CB0432" w:rsidRPr="00BE38DF" w:rsidRDefault="00CB0432" w:rsidP="00CB0432">
      <w:pPr>
        <w:jc w:val="center"/>
        <w:rPr>
          <w:b/>
          <w:bCs/>
          <w:sz w:val="26"/>
          <w:szCs w:val="26"/>
        </w:rPr>
      </w:pPr>
      <w:r>
        <w:rPr>
          <w:b/>
          <w:bCs/>
          <w:sz w:val="26"/>
          <w:szCs w:val="26"/>
          <w:rtl/>
        </w:rPr>
        <w:t>بشأن خفض استهلاك المواد الهيدروفلوروكربونية</w:t>
      </w:r>
    </w:p>
    <w:p w14:paraId="60143539" w14:textId="77777777" w:rsidR="00CB0432" w:rsidRPr="00BE38DF" w:rsidRDefault="00CB0432" w:rsidP="00CB0432">
      <w:pPr>
        <w:spacing w:after="120"/>
        <w:jc w:val="center"/>
        <w:rPr>
          <w:b/>
          <w:bCs/>
          <w:sz w:val="26"/>
          <w:szCs w:val="26"/>
        </w:rPr>
      </w:pPr>
      <w:r>
        <w:rPr>
          <w:b/>
          <w:bCs/>
          <w:sz w:val="26"/>
          <w:szCs w:val="26"/>
          <w:rtl/>
        </w:rPr>
        <w:t>وفقاً للمرحلة الأولى من خطة التنفيذ المتعلقة بالمواد الهيدروفلوروكربونية بموجب تعديل كيغالي</w:t>
      </w:r>
    </w:p>
    <w:p w14:paraId="024AB429" w14:textId="77777777" w:rsidR="00CB0432" w:rsidRPr="00BE38DF" w:rsidRDefault="00CB0432" w:rsidP="00CB0432">
      <w:pPr>
        <w:spacing w:after="240"/>
        <w:jc w:val="center"/>
        <w:rPr>
          <w:b/>
          <w:bCs/>
          <w:sz w:val="26"/>
          <w:szCs w:val="26"/>
        </w:rPr>
      </w:pPr>
      <w:r>
        <w:rPr>
          <w:b/>
          <w:bCs/>
          <w:sz w:val="26"/>
          <w:szCs w:val="26"/>
          <w:rtl/>
        </w:rPr>
        <w:t>(الفترة: 2026–2029)</w:t>
      </w:r>
    </w:p>
    <w:p w14:paraId="06EE4451" w14:textId="77777777" w:rsidR="00CB0432" w:rsidRPr="00BE38DF" w:rsidRDefault="00CB0432" w:rsidP="00CB0432">
      <w:pPr>
        <w:shd w:val="clear" w:color="auto" w:fill="FFFFFF" w:themeFill="background1"/>
        <w:spacing w:after="240"/>
        <w:rPr>
          <w:b/>
          <w:bCs/>
          <w:sz w:val="26"/>
          <w:szCs w:val="26"/>
        </w:rPr>
      </w:pPr>
      <w:r>
        <w:rPr>
          <w:b/>
          <w:bCs/>
          <w:sz w:val="26"/>
          <w:szCs w:val="26"/>
          <w:rtl/>
        </w:rPr>
        <w:t>الغرض</w:t>
      </w:r>
    </w:p>
    <w:p w14:paraId="7DBF8C79" w14:textId="520D80CB" w:rsidR="00CB0432" w:rsidRPr="00BE38DF" w:rsidRDefault="00CB0432" w:rsidP="00DE2C96">
      <w:pPr>
        <w:pStyle w:val="Heading1"/>
        <w:numPr>
          <w:ilvl w:val="0"/>
          <w:numId w:val="9"/>
        </w:numPr>
        <w:rPr>
          <w:sz w:val="26"/>
          <w:szCs w:val="26"/>
        </w:rPr>
      </w:pPr>
      <w:r>
        <w:rPr>
          <w:sz w:val="26"/>
          <w:szCs w:val="26"/>
          <w:rtl/>
        </w:rPr>
        <w:t>يمثل هذا الاتفاق التفاهم بين حكومة سان تومي وبرينسيبي ("البلد") واللجنة التنفيذية فيما يتعلق بخفض الاستخدام الخاضع للرقابة لمواد المرفق واو المحددة في التذييل 1</w:t>
      </w:r>
      <w:r>
        <w:rPr>
          <w:sz w:val="26"/>
          <w:szCs w:val="26"/>
          <w:rtl/>
        </w:rPr>
        <w:noBreakHyphen/>
        <w:t>ألف ("المواد") إلى مستوى ثابت قدره 35,066 طناً من مكافئ ثاني أكسيد الكربون بحلول 1 كانون الثاني/يناير 2029 امتثالاً للجدول الزمني لبروتوكول مونتريال ولأحكام هذا الاتفاق.</w:t>
      </w:r>
    </w:p>
    <w:p w14:paraId="387D05DE" w14:textId="460E6FB6" w:rsidR="00CB0432" w:rsidRPr="00BE38DF" w:rsidRDefault="00CB0432" w:rsidP="00CB0432">
      <w:pPr>
        <w:pStyle w:val="Heading1"/>
        <w:rPr>
          <w:sz w:val="26"/>
          <w:szCs w:val="26"/>
        </w:rPr>
      </w:pPr>
      <w:r>
        <w:rPr>
          <w:sz w:val="26"/>
          <w:szCs w:val="26"/>
          <w:rtl/>
        </w:rPr>
        <w:t>يوافق البلد على التقيد بحدود الاستهلاك السنوي لمواد المرفق واو على النحو المبين في الصف 1.2 من التذييل 2</w:t>
      </w:r>
      <w:r>
        <w:rPr>
          <w:sz w:val="26"/>
          <w:szCs w:val="26"/>
          <w:rtl/>
        </w:rPr>
        <w:noBreakHyphen/>
        <w:t>ألف ("الأهداف والتمويل") في هذا الاتفاق وكذلك في الجدول الزمني للتخفيض بموجب بروتوكول مونتريال لمواد المرفق واو المذكورة في التذييل 1</w:t>
      </w:r>
      <w:r>
        <w:rPr>
          <w:sz w:val="26"/>
          <w:szCs w:val="26"/>
          <w:rtl/>
        </w:rPr>
        <w:noBreakHyphen/>
        <w:t>ألف. ويقبل البلد أنه، بقبوله هذا الاتفاق ووفاء اللجنة التنفيذية بالتزاماتها التمويلية المبينة في الفقرة 3، لا يحق له طلب أو تلقي مزيد من التمويل من الصندوق المتعدد الأطراف فيما يتعلق بأي استهلاك لمواد المرفق واو يتجاوز المستوى المحدد في الصف 1.2 من التذييل 2</w:t>
      </w:r>
      <w:r>
        <w:rPr>
          <w:sz w:val="26"/>
          <w:szCs w:val="26"/>
          <w:rtl/>
        </w:rPr>
        <w:noBreakHyphen/>
        <w:t>ألف بوصفه الخطوة النهائية للتخفيض بموجب هذا الاتفاق لمواد المرفق واو المحددة في التذييل 1</w:t>
      </w:r>
      <w:r>
        <w:rPr>
          <w:sz w:val="26"/>
          <w:szCs w:val="26"/>
          <w:rtl/>
        </w:rPr>
        <w:noBreakHyphen/>
        <w:t>ألف.</w:t>
      </w:r>
    </w:p>
    <w:p w14:paraId="2F56F363" w14:textId="77777777" w:rsidR="00CB0432" w:rsidRPr="00BE38DF" w:rsidRDefault="00CB0432" w:rsidP="00CB0432">
      <w:pPr>
        <w:pStyle w:val="Heading1"/>
        <w:rPr>
          <w:sz w:val="26"/>
          <w:szCs w:val="26"/>
        </w:rPr>
      </w:pPr>
      <w:r>
        <w:rPr>
          <w:sz w:val="26"/>
          <w:szCs w:val="26"/>
          <w:rtl/>
        </w:rPr>
        <w:t>رهناً بامتثال البلد لالتزاماته المنصوص عليها في هذا الاتفاق، توافق اللجنة التنفيذية، من حيث المبدأ، على تقديم التمويل المحدد في الصف 3.1 من التذييل 2</w:t>
      </w:r>
      <w:r>
        <w:rPr>
          <w:sz w:val="26"/>
          <w:szCs w:val="26"/>
          <w:rtl/>
        </w:rPr>
        <w:noBreakHyphen/>
        <w:t>ألف إلى البلد. وستقدم اللجنة التنفيذية هذا التمويل، من حيث المبدأ، في اجتماعات اللجنة التنفيذية المحددة في التذييل 3</w:t>
      </w:r>
      <w:r>
        <w:rPr>
          <w:sz w:val="26"/>
          <w:szCs w:val="26"/>
          <w:rtl/>
        </w:rPr>
        <w:noBreakHyphen/>
        <w:t>ألف ("الجدول الزمني للموافقة على التمويل").</w:t>
      </w:r>
    </w:p>
    <w:p w14:paraId="35C3D95C" w14:textId="77777777" w:rsidR="00CB0432" w:rsidRPr="00BE38DF" w:rsidRDefault="00CB0432" w:rsidP="00CB0432">
      <w:pPr>
        <w:pStyle w:val="Heading1"/>
        <w:rPr>
          <w:sz w:val="26"/>
          <w:szCs w:val="26"/>
        </w:rPr>
      </w:pPr>
      <w:r>
        <w:rPr>
          <w:sz w:val="26"/>
          <w:szCs w:val="26"/>
          <w:rtl/>
        </w:rPr>
        <w:t>يوافق البلد على تنفيذ هذا الاتفاق وفقاً للمرحلة الأولى من خطة التنفيذ المتعلقة بالمواد الهيدروفلوروكربونية بموجب تعديل كيغالي ("الخطة") حسب ما ووفق عليها. ووفقاً للفقرة الفرعية 5(ب) من هذا الاتفاق، سيقبل البلد إجراء تحقق مستقل من تحقيق حدود الاستهلاك السنوي لمواد المرفق واو المبينة في الصف 1.2 من التذييل 2</w:t>
      </w:r>
      <w:r>
        <w:rPr>
          <w:sz w:val="26"/>
          <w:szCs w:val="26"/>
          <w:rtl/>
        </w:rPr>
        <w:noBreakHyphen/>
        <w:t>ألف من هذا الاتفاق. وتتولى الوكالة الثنائية أو المنفذة المعنية التكليف بإجراء التحقق المذكور أعلاه.</w:t>
      </w:r>
    </w:p>
    <w:p w14:paraId="35766155" w14:textId="77777777" w:rsidR="00CB0432" w:rsidRPr="00BE38DF" w:rsidRDefault="00CB0432" w:rsidP="00CB0432">
      <w:pPr>
        <w:spacing w:before="240" w:after="240"/>
        <w:rPr>
          <w:b/>
          <w:bCs/>
          <w:sz w:val="26"/>
          <w:szCs w:val="26"/>
        </w:rPr>
      </w:pPr>
      <w:r>
        <w:rPr>
          <w:b/>
          <w:bCs/>
          <w:sz w:val="26"/>
          <w:szCs w:val="26"/>
          <w:rtl/>
        </w:rPr>
        <w:t>شروط الإفراج عن التمويل</w:t>
      </w:r>
    </w:p>
    <w:p w14:paraId="1980DB97" w14:textId="5408332F" w:rsidR="00CB0432" w:rsidRPr="00BE38DF" w:rsidRDefault="00CB0432" w:rsidP="00CB0432">
      <w:pPr>
        <w:pStyle w:val="Heading1"/>
        <w:rPr>
          <w:sz w:val="26"/>
          <w:szCs w:val="26"/>
        </w:rPr>
      </w:pPr>
      <w:r>
        <w:rPr>
          <w:sz w:val="26"/>
          <w:szCs w:val="26"/>
          <w:rtl/>
        </w:rPr>
        <w:t>لن تقدم اللجنة التنفيذية التمويل، وفقاً للجدول الزمني للموافقة على التمويل، إلا عندما يستوفي البلد الشروط التالية قبل 10 أسابيع على الأقل من اجتماع اللجنة التنفيذية المعني المحدد في الجدول الزمني للموافقة على التمويل:</w:t>
      </w:r>
    </w:p>
    <w:p w14:paraId="7F74DDEF" w14:textId="77777777" w:rsidR="00CB0432" w:rsidRPr="00BE38DF" w:rsidRDefault="00CB0432" w:rsidP="00CB0432">
      <w:pPr>
        <w:pStyle w:val="Heading2"/>
        <w:rPr>
          <w:sz w:val="26"/>
          <w:szCs w:val="26"/>
        </w:rPr>
      </w:pPr>
      <w:r>
        <w:rPr>
          <w:sz w:val="26"/>
          <w:szCs w:val="26"/>
          <w:rtl/>
        </w:rPr>
        <w:t>أن يكون البلد قد حقق الأهداف المحددة في الصف 1.2 من التذييل 2</w:t>
      </w:r>
      <w:r>
        <w:rPr>
          <w:sz w:val="26"/>
          <w:szCs w:val="26"/>
          <w:rtl/>
        </w:rPr>
        <w:noBreakHyphen/>
        <w:t>ألف لجميع السنوات المعنية. والسنوات المعنية هي جميع السنوات منذ السنة التي تمت فيها الموافقة على هذا الاتفاق. وتُستثنى السنوات التي لا توجد بشأنها تقارير مستحقة عن تنفيذ البرنامج القطري في تاريخ اجتماع اللجنة التنفيذية الذي يُقدَّم فيه طلب التمويل؛</w:t>
      </w:r>
    </w:p>
    <w:p w14:paraId="41730EDD" w14:textId="77777777" w:rsidR="00CB0432" w:rsidRPr="00BE38DF" w:rsidRDefault="00CB0432" w:rsidP="00CB0432">
      <w:pPr>
        <w:pStyle w:val="Heading2"/>
        <w:rPr>
          <w:sz w:val="26"/>
          <w:szCs w:val="26"/>
        </w:rPr>
      </w:pPr>
      <w:r>
        <w:rPr>
          <w:sz w:val="26"/>
          <w:szCs w:val="26"/>
          <w:rtl/>
        </w:rPr>
        <w:t>أن يكون تحقيق هذه الأهداف قد خضع لتحقق مستقل لجميع السنوات المعنية، ما لم تقرر اللجنة التنفيذية عدم ضرورة هذا التحقق؛</w:t>
      </w:r>
    </w:p>
    <w:p w14:paraId="760E03A2" w14:textId="77777777" w:rsidR="00CB0432" w:rsidRPr="00BE38DF" w:rsidRDefault="00CB0432" w:rsidP="00CB0432">
      <w:pPr>
        <w:pStyle w:val="Heading2"/>
        <w:rPr>
          <w:sz w:val="26"/>
          <w:szCs w:val="26"/>
        </w:rPr>
      </w:pPr>
      <w:r>
        <w:rPr>
          <w:sz w:val="26"/>
          <w:szCs w:val="26"/>
          <w:rtl/>
        </w:rPr>
        <w:t>أن يكون البلد قد قدم تقريراً عن تنفيذ الشريحة وفقاً للتذييل 4</w:t>
      </w:r>
      <w:r>
        <w:rPr>
          <w:sz w:val="26"/>
          <w:szCs w:val="26"/>
          <w:rtl/>
        </w:rPr>
        <w:noBreakHyphen/>
        <w:t xml:space="preserve">ألف ("شكل تقارير وخطط تنفيذ الشرائح") يغطي كل سنة تقويمية سابقة؛ وأن يكون قد حقق مستوى كبيراً من تنفيذ الأنشطة التي </w:t>
      </w:r>
      <w:r>
        <w:rPr>
          <w:sz w:val="26"/>
          <w:szCs w:val="26"/>
          <w:rtl/>
        </w:rPr>
        <w:lastRenderedPageBreak/>
        <w:t>بدأت في إطار الشرائح الموافق عليها سابقاً؛ وأن يكون معدل صرف التمويل المتاح من الشريحة الموافق عليها سابقاً قد تجاوز 20 في المائة؛</w:t>
      </w:r>
    </w:p>
    <w:p w14:paraId="12AE4568" w14:textId="77777777" w:rsidR="00CB0432" w:rsidRPr="00BE38DF" w:rsidRDefault="00CB0432" w:rsidP="00CB0432">
      <w:pPr>
        <w:pStyle w:val="Heading2"/>
        <w:rPr>
          <w:sz w:val="26"/>
          <w:szCs w:val="26"/>
        </w:rPr>
      </w:pPr>
      <w:r>
        <w:rPr>
          <w:sz w:val="26"/>
          <w:szCs w:val="26"/>
          <w:rtl/>
        </w:rPr>
        <w:t>أن يكون البلد قد قدم خطة لتنفيذ الشريحة وفقاً للتذييل 4</w:t>
      </w:r>
      <w:r>
        <w:rPr>
          <w:sz w:val="26"/>
          <w:szCs w:val="26"/>
          <w:rtl/>
        </w:rPr>
        <w:noBreakHyphen/>
        <w:t>ألف تغطي كل سنة تقويمية حتى السنة التي يتوقع فيها الجدول الزمني للموافقة على التمويل تقديم الشريحة التالية بما في ذلك تلك السنة، أو حتى استكمال جميع الأنشطة المتوقعة في حالة الشريحة الأخيرة.</w:t>
      </w:r>
    </w:p>
    <w:p w14:paraId="42A95B75" w14:textId="77777777" w:rsidR="00CB0432" w:rsidRPr="00BE38DF" w:rsidRDefault="00CB0432" w:rsidP="00CB0432">
      <w:pPr>
        <w:spacing w:before="240" w:after="240"/>
        <w:rPr>
          <w:b/>
          <w:bCs/>
          <w:sz w:val="26"/>
          <w:szCs w:val="26"/>
        </w:rPr>
      </w:pPr>
      <w:r>
        <w:rPr>
          <w:b/>
          <w:bCs/>
          <w:sz w:val="26"/>
          <w:szCs w:val="26"/>
          <w:rtl/>
        </w:rPr>
        <w:t>الرصد</w:t>
      </w:r>
    </w:p>
    <w:p w14:paraId="76266594" w14:textId="77777777" w:rsidR="00CB0432" w:rsidRPr="00BE38DF" w:rsidRDefault="00CB0432" w:rsidP="00CB0432">
      <w:pPr>
        <w:pStyle w:val="Heading1"/>
        <w:rPr>
          <w:sz w:val="26"/>
          <w:szCs w:val="26"/>
        </w:rPr>
      </w:pPr>
      <w:r>
        <w:rPr>
          <w:sz w:val="26"/>
          <w:szCs w:val="26"/>
          <w:rtl/>
        </w:rPr>
        <w:t>يكفل البلد إجراء رصد دقيق لأنشطته بموجب هذا الاتفاق. وتتولى المؤسسات المحددة في التذييل 5</w:t>
      </w:r>
      <w:r>
        <w:rPr>
          <w:sz w:val="26"/>
          <w:szCs w:val="26"/>
          <w:rtl/>
        </w:rPr>
        <w:noBreakHyphen/>
        <w:t>ألف ("مؤسسات الرصد وأدوارها") رصد تنفيذ الأنشطة الواردة في خطط تنفيذ الشرائح السابقة والإبلاغ عنه وفقاً لأدوارها ومسؤولياتها المحددة في التذييل نفسه.</w:t>
      </w:r>
    </w:p>
    <w:p w14:paraId="3A13C2F2" w14:textId="77777777" w:rsidR="00CB0432" w:rsidRPr="00BE38DF" w:rsidRDefault="00CB0432" w:rsidP="00CB0432">
      <w:pPr>
        <w:spacing w:before="240" w:after="240"/>
        <w:rPr>
          <w:b/>
          <w:bCs/>
          <w:sz w:val="26"/>
          <w:szCs w:val="26"/>
        </w:rPr>
      </w:pPr>
      <w:r>
        <w:rPr>
          <w:b/>
          <w:bCs/>
          <w:sz w:val="26"/>
          <w:szCs w:val="26"/>
          <w:rtl/>
        </w:rPr>
        <w:t>المرونة في إعادة تخصيص الأموال</w:t>
      </w:r>
    </w:p>
    <w:p w14:paraId="232A9236" w14:textId="77777777" w:rsidR="00CB0432" w:rsidRPr="00BE38DF" w:rsidRDefault="00CB0432" w:rsidP="00CB0432">
      <w:pPr>
        <w:pStyle w:val="Heading1"/>
        <w:rPr>
          <w:sz w:val="26"/>
          <w:szCs w:val="26"/>
        </w:rPr>
      </w:pPr>
      <w:r>
        <w:rPr>
          <w:sz w:val="26"/>
          <w:szCs w:val="26"/>
          <w:rtl/>
        </w:rPr>
        <w:t>توافق اللجنة التنفيذية على أن يتمتع البلد بالمرونة في إعادة تخصيص جزء من الأموال الموافق عليها أو كلها، وفقاً للظروف المتغيرة، لتحقيق أيسر خفض للاستهلاك وتخفيض تدريجي لمواد المرفق واو المحددة في التذييل 1</w:t>
      </w:r>
      <w:r>
        <w:rPr>
          <w:sz w:val="26"/>
          <w:szCs w:val="26"/>
          <w:rtl/>
        </w:rPr>
        <w:noBreakHyphen/>
        <w:t>ألف، وفقاً للاعتبارات التالية:</w:t>
      </w:r>
    </w:p>
    <w:p w14:paraId="3337E25B" w14:textId="6752F614" w:rsidR="00CB0432" w:rsidRPr="00BE38DF" w:rsidRDefault="00CB0432" w:rsidP="00CB0432">
      <w:pPr>
        <w:pStyle w:val="Heading2"/>
        <w:rPr>
          <w:sz w:val="26"/>
          <w:szCs w:val="26"/>
        </w:rPr>
      </w:pPr>
      <w:r>
        <w:rPr>
          <w:sz w:val="26"/>
          <w:szCs w:val="26"/>
          <w:rtl/>
        </w:rPr>
        <w:t>يجب توثيق عمليات إعادة التخصيص المصنفة بوصفها تغييرات رئيسية مسبقاً، إما في خطة لتنفيذ الشريحة على النحو المتوقع في الفقرة الفرعية 5(د) أعلاه، أو بوصفها تنقيحاً لخطة قائمة لتنفيذ الشريحة تُقدَّم قبل 10 أسابيع من أي اجتماع للجنة التنفيذية، للموافقة عليها. وتتعلق التغييرات الرئيسية بما يلي:</w:t>
      </w:r>
    </w:p>
    <w:p w14:paraId="01F39481" w14:textId="77777777" w:rsidR="00CB0432" w:rsidRPr="00BE38DF" w:rsidRDefault="00CB0432" w:rsidP="00CB0432">
      <w:pPr>
        <w:pStyle w:val="Heading3"/>
        <w:rPr>
          <w:sz w:val="26"/>
          <w:szCs w:val="26"/>
        </w:rPr>
      </w:pPr>
      <w:r>
        <w:rPr>
          <w:sz w:val="26"/>
          <w:szCs w:val="26"/>
          <w:rtl/>
        </w:rPr>
        <w:t>المسائل التي يُحتمل أن تتعلق بقواعد الصندوق المتعدد الأطراف وسياساته؛</w:t>
      </w:r>
    </w:p>
    <w:p w14:paraId="7894CB5D" w14:textId="77777777" w:rsidR="00CB0432" w:rsidRPr="00BE38DF" w:rsidRDefault="00CB0432" w:rsidP="00CB0432">
      <w:pPr>
        <w:pStyle w:val="Heading3"/>
        <w:rPr>
          <w:sz w:val="26"/>
          <w:szCs w:val="26"/>
        </w:rPr>
      </w:pPr>
      <w:r>
        <w:rPr>
          <w:sz w:val="26"/>
          <w:szCs w:val="26"/>
          <w:rtl/>
        </w:rPr>
        <w:t>التغييرات التي من شأنها تعديل أي بند من بنود هذا الاتفاق؛</w:t>
      </w:r>
    </w:p>
    <w:p w14:paraId="7F4A98F5" w14:textId="77777777" w:rsidR="00CB0432" w:rsidRPr="00BE38DF" w:rsidRDefault="00CB0432" w:rsidP="00CB0432">
      <w:pPr>
        <w:pStyle w:val="Heading3"/>
        <w:rPr>
          <w:sz w:val="26"/>
          <w:szCs w:val="26"/>
        </w:rPr>
      </w:pPr>
      <w:r>
        <w:rPr>
          <w:sz w:val="26"/>
          <w:szCs w:val="26"/>
          <w:rtl/>
        </w:rPr>
        <w:t>التغييرات في المستويات السنوية للتمويل المخصص لفرادى الوكالات الثنائية أو المنفذة لمختلف الشرائح؛</w:t>
      </w:r>
    </w:p>
    <w:p w14:paraId="6BDAEE9B" w14:textId="77777777" w:rsidR="00CB0432" w:rsidRPr="00BE38DF" w:rsidRDefault="00CB0432" w:rsidP="00CB0432">
      <w:pPr>
        <w:pStyle w:val="Heading3"/>
        <w:rPr>
          <w:sz w:val="26"/>
          <w:szCs w:val="26"/>
        </w:rPr>
      </w:pPr>
      <w:r>
        <w:rPr>
          <w:sz w:val="26"/>
          <w:szCs w:val="26"/>
          <w:rtl/>
        </w:rPr>
        <w:t>تقديم التمويل لأنشطة غير مدرجة في خطة تنفيذ الشريحة المعتمدة الحالية، أو حذف نشاط من خطة تنفيذ الشريحة، تزيد تكلفته على 30 في المائة من مجموع تكلفة آخر شريحة موافق عليها؛</w:t>
      </w:r>
    </w:p>
    <w:p w14:paraId="49009709" w14:textId="77777777" w:rsidR="00CB0432" w:rsidRPr="00BE38DF" w:rsidRDefault="00CB0432" w:rsidP="00CB0432">
      <w:pPr>
        <w:pStyle w:val="Heading3"/>
        <w:rPr>
          <w:sz w:val="26"/>
          <w:szCs w:val="26"/>
        </w:rPr>
      </w:pPr>
      <w:r>
        <w:rPr>
          <w:sz w:val="26"/>
          <w:szCs w:val="26"/>
          <w:rtl/>
        </w:rPr>
        <w:t>التغييرات في التكنولوجيات البديلة، على أن يحدد أي طلب يُقدَّم في هذا الشأن التكاليف الإضافية المرتبطة بها، والأثر المحتمل على المناخ، وأي فروق في كمية الأطنان من مكافئ ثاني أكسيد الكربون المقرر خفضها تدريجياً، إن وُجدت، وأن يؤكد موافقة البلد على أن الوفورات المحتملة المتصلة بتغيير التكنولوجيا ستخفض مستوى التمويل الإجمالي بموجب هذا الاتفاق تبعاً لذلك؛</w:t>
      </w:r>
    </w:p>
    <w:p w14:paraId="36AF0F4F" w14:textId="55622381" w:rsidR="00CB0432" w:rsidRPr="00BE38DF" w:rsidRDefault="00CB0432" w:rsidP="00CB0432">
      <w:pPr>
        <w:pStyle w:val="Heading2"/>
        <w:rPr>
          <w:sz w:val="26"/>
          <w:szCs w:val="26"/>
        </w:rPr>
      </w:pPr>
      <w:r>
        <w:rPr>
          <w:sz w:val="26"/>
          <w:szCs w:val="26"/>
          <w:rtl/>
        </w:rPr>
        <w:t>يجوز إدماج عمليات إعادة التخصيص غير المصنفة بوصفها تغييرات رئيسية في خطة تنفيذ الشريحة الموافق عليها والجاري تنفيذها في حينه، وإبلاغ اللجنة التنفيذية بها في التقرير اللاحق عن تنفيذ الشريحة؛</w:t>
      </w:r>
    </w:p>
    <w:p w14:paraId="79FBEB1B" w14:textId="77777777" w:rsidR="00CB0432" w:rsidRPr="00BE38DF" w:rsidRDefault="00CB0432" w:rsidP="00CB0432">
      <w:pPr>
        <w:pStyle w:val="Heading2"/>
        <w:rPr>
          <w:sz w:val="26"/>
          <w:szCs w:val="26"/>
        </w:rPr>
      </w:pPr>
      <w:r>
        <w:rPr>
          <w:sz w:val="26"/>
          <w:szCs w:val="26"/>
          <w:rtl/>
        </w:rPr>
        <w:t>تُعاد أي أموال متبقية لدى الوكالات الثنائية أو المنفذة أو البلد في إطار الخطة إلى الصندوق المتعدد الأطراف عند استكمال الشريحة الأخيرة المتوقعة بموجب هذا الاتفاق.</w:t>
      </w:r>
    </w:p>
    <w:p w14:paraId="50776577" w14:textId="3C96BCCB" w:rsidR="00CB0432" w:rsidRPr="00BE38DF" w:rsidRDefault="00CB0432" w:rsidP="00CB0432">
      <w:pPr>
        <w:pStyle w:val="Heading1"/>
        <w:rPr>
          <w:sz w:val="26"/>
          <w:szCs w:val="26"/>
        </w:rPr>
      </w:pPr>
      <w:r>
        <w:rPr>
          <w:sz w:val="26"/>
          <w:szCs w:val="26"/>
          <w:rtl/>
        </w:rPr>
        <w:lastRenderedPageBreak/>
        <w:t xml:space="preserve">يولى اهتمام خاص لتنفيذ الأنشطة المدرجة في الخطة في </w:t>
      </w:r>
      <w:r w:rsidR="007D0A4C" w:rsidRPr="007D0A4C">
        <w:rPr>
          <w:sz w:val="26"/>
          <w:szCs w:val="26"/>
          <w:rtl/>
        </w:rPr>
        <w:t>قطاع خدمات التبريد</w:t>
      </w:r>
      <w:r>
        <w:rPr>
          <w:sz w:val="26"/>
          <w:szCs w:val="26"/>
          <w:rtl/>
        </w:rPr>
        <w:t>، ولا سيما أنه يجوز للبلد أن يستخدم المرونة المتاحة بموجب هذا الاتفاق لتلبية الاحتياجات الخاصة التي قد تنشأ أثناء تنفيذ المشروع.</w:t>
      </w:r>
    </w:p>
    <w:p w14:paraId="0F7C6D69" w14:textId="77777777" w:rsidR="00CB0432" w:rsidRPr="00BE38DF" w:rsidRDefault="00CB0432" w:rsidP="00CB0432">
      <w:pPr>
        <w:spacing w:before="240" w:after="240"/>
        <w:rPr>
          <w:b/>
          <w:bCs/>
          <w:sz w:val="26"/>
          <w:szCs w:val="26"/>
        </w:rPr>
      </w:pPr>
      <w:r>
        <w:rPr>
          <w:b/>
          <w:bCs/>
          <w:sz w:val="26"/>
          <w:szCs w:val="26"/>
          <w:rtl/>
        </w:rPr>
        <w:t>الوكالات الثنائية والمنفذة</w:t>
      </w:r>
    </w:p>
    <w:p w14:paraId="337E0D31" w14:textId="2879C367" w:rsidR="00CB0432" w:rsidRPr="00BE38DF" w:rsidRDefault="00CB0432" w:rsidP="00CB0432">
      <w:pPr>
        <w:pStyle w:val="Heading1"/>
        <w:rPr>
          <w:sz w:val="26"/>
          <w:szCs w:val="26"/>
        </w:rPr>
      </w:pPr>
      <w:r>
        <w:rPr>
          <w:sz w:val="26"/>
          <w:szCs w:val="26"/>
          <w:rtl/>
        </w:rPr>
        <w:t>يوافق البلد على تحمل المسؤولية الشاملة عن إدارة هذا الاتفاق وتنفيذه وعن جميع الأنشطة التي يضطلع بها هو أو التي يُضطلع بها نيابةً عنه للوفاء بالالتزامات المترتبة على هذا الاتفاق. وقد وافق اليونيب على أن يكون الوكالة المنفذة الرئيسية ("الوكالة المنفذة الرئيسية") فيما يتعلق بأنشطة البلد بموجب هذا الاتفاق. ويوافق البلد على عمليات التقييم التي قد تُجرى في إطار برنامج عمل التقييم الخاص بالصندوق المتعدد الأطراف أو في إطار برنامج التقييم الخاص بالوكالة المنفذة الرئيسية المشاركة في هذا الاتفاق.</w:t>
      </w:r>
    </w:p>
    <w:p w14:paraId="05CCE58C" w14:textId="0BE366D2" w:rsidR="00CB0432" w:rsidRPr="00BE38DF" w:rsidRDefault="00CB0432" w:rsidP="00CB0432">
      <w:pPr>
        <w:pStyle w:val="Heading1"/>
        <w:rPr>
          <w:sz w:val="26"/>
          <w:szCs w:val="26"/>
        </w:rPr>
      </w:pPr>
      <w:r>
        <w:rPr>
          <w:sz w:val="26"/>
          <w:szCs w:val="26"/>
          <w:rtl/>
        </w:rPr>
        <w:t>تكون الوكالة المنفذة الرئيسية مسؤولة عن ضمان التنسيق في تخطيط جميع الأنشطة المنفذة بموجب هذا الاتفاق وتنفيذها والإبلاغ عنها، بما في ذلك على سبيل المثال لا الحصر التحقق المستقل وفقاً للفقرة الفرعية 5(ب). ويرد دور الوكالة المنفذة الرئيسية في التذييل 6</w:t>
      </w:r>
      <w:r>
        <w:rPr>
          <w:sz w:val="26"/>
          <w:szCs w:val="26"/>
          <w:rtl/>
        </w:rPr>
        <w:noBreakHyphen/>
        <w:t>ألف. وتوافق اللجنة التنفيذية، من حيث المبدأ، على أن تقدم إلى الوكالة المنفذة الرئيسية الرسوم المحددة في الصف 2.2 من التذييل 2</w:t>
      </w:r>
      <w:r>
        <w:rPr>
          <w:sz w:val="26"/>
          <w:szCs w:val="26"/>
          <w:rtl/>
        </w:rPr>
        <w:noBreakHyphen/>
        <w:t>ألف.</w:t>
      </w:r>
    </w:p>
    <w:p w14:paraId="208EF00C" w14:textId="77777777" w:rsidR="00CB0432" w:rsidRPr="00BE38DF" w:rsidRDefault="00CB0432" w:rsidP="00CB0432">
      <w:pPr>
        <w:spacing w:before="240" w:after="240"/>
        <w:rPr>
          <w:b/>
          <w:bCs/>
          <w:sz w:val="26"/>
          <w:szCs w:val="26"/>
        </w:rPr>
      </w:pPr>
      <w:r>
        <w:rPr>
          <w:b/>
          <w:bCs/>
          <w:sz w:val="26"/>
          <w:szCs w:val="26"/>
          <w:rtl/>
        </w:rPr>
        <w:t>عدم الامتثال للأهداف الواردة في الاتفاق</w:t>
      </w:r>
    </w:p>
    <w:p w14:paraId="269BBB14" w14:textId="77777777" w:rsidR="00CB0432" w:rsidRPr="00BE38DF" w:rsidRDefault="00CB0432" w:rsidP="00CB0432">
      <w:pPr>
        <w:pStyle w:val="Heading1"/>
        <w:rPr>
          <w:sz w:val="26"/>
          <w:szCs w:val="26"/>
        </w:rPr>
      </w:pPr>
      <w:r>
        <w:rPr>
          <w:sz w:val="26"/>
          <w:szCs w:val="26"/>
          <w:rtl/>
        </w:rPr>
        <w:t>إذا لم يحقق البلد، لأي سبب من الأسباب، الأهداف المتعلقة بإزالة مواد المرفق واو المحددة في الصف 1.2 من التذييل 2</w:t>
      </w:r>
      <w:r>
        <w:rPr>
          <w:sz w:val="26"/>
          <w:szCs w:val="26"/>
          <w:rtl/>
        </w:rPr>
        <w:noBreakHyphen/>
        <w:t>ألف أو لم يمتثل لهذا الاتفاق بأي شكل آخر، يوافق البلد على أنه لن يحق له الحصول على التمويل وفقاً للجدول الزمني للموافقة على التمويل. ووفقاً لتقدير اللجنة التنفيذية، يُستأنف التمويل وفقاً لجدول زمني منقح للموافقة على التمويل تحدده اللجنة التنفيذية بعد أن يثبت البلد أنه قد أوفى بجميع التزاماته التي كان يتعين الوفاء بها قبل تلقي الشريحة التالية من التمويل بموجب الجدول الزمني للموافقة على التمويل. ويقرّ البلد بأنه يجوز للجنة التنفيذية أن تخفض مبلغ التمويل بالمبلغ المحدد في التذييل 7</w:t>
      </w:r>
      <w:r>
        <w:rPr>
          <w:sz w:val="26"/>
          <w:szCs w:val="26"/>
          <w:rtl/>
        </w:rPr>
        <w:noBreakHyphen/>
        <w:t>ألف ("التخفيضات في التمويل بسبب عدم الامتثال") عن كل كيلوغرام من مكافئ ثاني أكسيد الكربون من تخفيضات الاستهلاك التي لم تتحقق في أي سنة من السنوات. وستناقش اللجنة التنفيذية كل حالة بعينها لم يمتثل فيها البلد لهذا الاتفاق، وتتخذ المقررات ذات الصلة. وبمجرد اتخاذ المقررات، لن تشكل الحالة المحددة لعدم الامتثال لهذا الاتفاق عائقاً أمام تقديم التمويل للشرائح المقبلة وفقاً للفقرة 5 أعلاه.</w:t>
      </w:r>
    </w:p>
    <w:p w14:paraId="3F64A304" w14:textId="77777777" w:rsidR="00CB0432" w:rsidRPr="00BE38DF" w:rsidRDefault="00CB0432" w:rsidP="00CB0432">
      <w:pPr>
        <w:pStyle w:val="Heading1"/>
        <w:rPr>
          <w:sz w:val="26"/>
          <w:szCs w:val="26"/>
        </w:rPr>
      </w:pPr>
      <w:r>
        <w:rPr>
          <w:sz w:val="26"/>
          <w:szCs w:val="26"/>
          <w:rtl/>
        </w:rPr>
        <w:t>لن يُعدَّل تمويل هذا الاتفاق على أساس أي مقررات تتخذها اللجنة التنفيذية مستقبلاً قد تؤثر على تمويل أي مشروعات أخرى في قطاع الاستهلاك أو أي أنشطة أخرى ذات صلة في البلد.</w:t>
      </w:r>
    </w:p>
    <w:p w14:paraId="12CEA580" w14:textId="77EDAB07" w:rsidR="00CB0432" w:rsidRPr="00BE38DF" w:rsidRDefault="00CB0432" w:rsidP="00CB0432">
      <w:pPr>
        <w:pStyle w:val="Heading1"/>
        <w:rPr>
          <w:sz w:val="26"/>
          <w:szCs w:val="26"/>
        </w:rPr>
      </w:pPr>
      <w:r>
        <w:rPr>
          <w:sz w:val="26"/>
          <w:szCs w:val="26"/>
          <w:rtl/>
        </w:rPr>
        <w:t>يمتثل البلد لأي طلب معقول من اللجنة التنفيذية والوكالة المنفذة الرئيسية لتيسير تنفيذ هذا الاتفاق. وعلى وجه الخصوص، يتيح البلد للوكالة المنفذة الرئيسية الاطلاع على المعلومات اللازمة للتحقق من الامتثال لهذا الاتفاق.</w:t>
      </w:r>
    </w:p>
    <w:p w14:paraId="1CAFD933" w14:textId="77777777" w:rsidR="00CB0432" w:rsidRPr="00BE38DF" w:rsidRDefault="00CB0432" w:rsidP="00CB0432">
      <w:pPr>
        <w:keepNext/>
        <w:keepLines/>
        <w:spacing w:before="240" w:after="240"/>
        <w:rPr>
          <w:b/>
          <w:bCs/>
          <w:sz w:val="26"/>
          <w:szCs w:val="26"/>
        </w:rPr>
      </w:pPr>
      <w:r>
        <w:rPr>
          <w:b/>
          <w:bCs/>
          <w:sz w:val="26"/>
          <w:szCs w:val="26"/>
          <w:rtl/>
        </w:rPr>
        <w:t>تاريخ الإنجاز</w:t>
      </w:r>
    </w:p>
    <w:p w14:paraId="212C27C3" w14:textId="77777777" w:rsidR="00CB0432" w:rsidRPr="00BE38DF" w:rsidRDefault="00CB0432" w:rsidP="002B5C42">
      <w:pPr>
        <w:pStyle w:val="Heading1"/>
        <w:keepLines/>
        <w:rPr>
          <w:sz w:val="26"/>
          <w:szCs w:val="26"/>
        </w:rPr>
      </w:pPr>
      <w:r>
        <w:rPr>
          <w:sz w:val="26"/>
          <w:szCs w:val="26"/>
          <w:rtl/>
        </w:rPr>
        <w:t>يتم إنجاز الخطة والاتفاق المرتبط بها في نهاية السنة التالية للسنة الأخيرة التي حُدد لها مستوى أقصى مسموح به لمجموع الاستهلاك في التذييل 2</w:t>
      </w:r>
      <w:r>
        <w:rPr>
          <w:sz w:val="26"/>
          <w:szCs w:val="26"/>
          <w:rtl/>
        </w:rPr>
        <w:noBreakHyphen/>
        <w:t>ألف. وإذا ظلت هناك في ذلك الوقت أنشطة معلقة كانت متوقعة في آخر خطة لتنفيذ الشريحة وتنقيحاتها اللاحقة وفقاً للفقرة الفرعية 5(د) والفقرة 7، يُرجأ إنجاز الخطة حتى نهاية السنة التالية لتنفيذ الأنشطة المتبقية. وتستمر متطلبات الإبلاغ المنصوص عليها في الفقرات الفرعية 1(أ) و1(ب) و1(د) من التذييل 4</w:t>
      </w:r>
      <w:r>
        <w:rPr>
          <w:sz w:val="26"/>
          <w:szCs w:val="26"/>
          <w:rtl/>
        </w:rPr>
        <w:noBreakHyphen/>
        <w:t>ألف حتى موعد إنجاز الخطة ما لم تحدد اللجنة التنفيذية خلاف ذلك.</w:t>
      </w:r>
    </w:p>
    <w:p w14:paraId="35FE1A17" w14:textId="77777777" w:rsidR="00CB0432" w:rsidRPr="00BE38DF" w:rsidRDefault="00CB0432" w:rsidP="002B5C42">
      <w:pPr>
        <w:keepNext/>
        <w:spacing w:before="240" w:after="240"/>
        <w:rPr>
          <w:b/>
          <w:bCs/>
          <w:sz w:val="26"/>
          <w:szCs w:val="26"/>
        </w:rPr>
      </w:pPr>
      <w:r>
        <w:rPr>
          <w:b/>
          <w:bCs/>
          <w:sz w:val="26"/>
          <w:szCs w:val="26"/>
          <w:rtl/>
        </w:rPr>
        <w:lastRenderedPageBreak/>
        <w:t>الصلاحية</w:t>
      </w:r>
    </w:p>
    <w:p w14:paraId="703BAB4F" w14:textId="77777777" w:rsidR="00CB0432" w:rsidRPr="00BE38DF" w:rsidRDefault="00CB0432" w:rsidP="002B5C42">
      <w:pPr>
        <w:pStyle w:val="Heading1"/>
        <w:keepNext/>
        <w:rPr>
          <w:sz w:val="26"/>
          <w:szCs w:val="26"/>
        </w:rPr>
      </w:pPr>
      <w:r>
        <w:rPr>
          <w:sz w:val="26"/>
          <w:szCs w:val="26"/>
          <w:rtl/>
        </w:rPr>
        <w:t>لا يُضطلع بجميع الشروط المنصوص عليها في هذا الاتفاق إلا في سياق بروتوكول مونتريال وعلى النحو المحدد في هذا الاتفاق. ويكون لجميع المصطلحات المستخدمة في هذا الاتفاق المعنى المسند إليها في بروتوكول مونتريال ما لم يُعرَّف خلاف ذلك في هذا الاتفاق.</w:t>
      </w:r>
    </w:p>
    <w:p w14:paraId="3C27F66D" w14:textId="77777777" w:rsidR="00CB0432" w:rsidRPr="00BE38DF" w:rsidRDefault="00CB0432" w:rsidP="00CB0432">
      <w:pPr>
        <w:pStyle w:val="Heading1"/>
        <w:rPr>
          <w:sz w:val="26"/>
          <w:szCs w:val="26"/>
        </w:rPr>
      </w:pPr>
      <w:r>
        <w:rPr>
          <w:sz w:val="26"/>
          <w:szCs w:val="26"/>
          <w:rtl/>
        </w:rPr>
        <w:t>لا يجوز تعديل هذا الاتفاق أو إنهاؤه إلا باتفاق خطي متبادل بين البلد واللجنة التنفيذية للصندوق المتعدد الأطراف.</w:t>
      </w:r>
    </w:p>
    <w:p w14:paraId="64258FD5" w14:textId="77777777" w:rsidR="00CB0432" w:rsidRPr="00BE38DF" w:rsidRDefault="00CB0432" w:rsidP="00CB0432">
      <w:pPr>
        <w:keepNext/>
        <w:spacing w:before="360" w:after="240"/>
        <w:rPr>
          <w:b/>
          <w:bCs/>
          <w:sz w:val="26"/>
          <w:szCs w:val="26"/>
        </w:rPr>
      </w:pPr>
      <w:r>
        <w:rPr>
          <w:b/>
          <w:bCs/>
          <w:sz w:val="26"/>
          <w:szCs w:val="26"/>
          <w:rtl/>
        </w:rPr>
        <w:t>التذييلات</w:t>
      </w:r>
    </w:p>
    <w:p w14:paraId="100BCF39" w14:textId="77777777" w:rsidR="00CB0432" w:rsidRPr="00BE38DF" w:rsidRDefault="00CB0432" w:rsidP="009C5A61">
      <w:pPr>
        <w:keepNext/>
        <w:spacing w:before="360" w:after="240"/>
        <w:rPr>
          <w:b/>
          <w:bCs/>
          <w:sz w:val="26"/>
          <w:szCs w:val="26"/>
        </w:rPr>
      </w:pPr>
      <w:r>
        <w:rPr>
          <w:b/>
          <w:bCs/>
          <w:sz w:val="26"/>
          <w:szCs w:val="26"/>
          <w:rtl/>
        </w:rPr>
        <w:t>التذييل 1</w:t>
      </w:r>
      <w:r>
        <w:rPr>
          <w:b/>
          <w:bCs/>
          <w:sz w:val="26"/>
          <w:szCs w:val="26"/>
          <w:rtl/>
        </w:rPr>
        <w:noBreakHyphen/>
        <w:t>ألف: المواد</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8"/>
        <w:gridCol w:w="5392"/>
      </w:tblGrid>
      <w:tr w:rsidR="00CB0432" w:rsidRPr="00BE38DF" w14:paraId="38FFC2F2" w14:textId="77777777" w:rsidTr="00C52F58">
        <w:trPr>
          <w:cantSplit/>
          <w:trHeight w:val="413"/>
          <w:jc w:val="center"/>
        </w:trPr>
        <w:tc>
          <w:tcPr>
            <w:tcW w:w="3968" w:type="dxa"/>
            <w:vAlign w:val="center"/>
          </w:tcPr>
          <w:p w14:paraId="30198650" w14:textId="77777777" w:rsidR="00CB0432" w:rsidRPr="00BE38DF" w:rsidRDefault="00CB0432" w:rsidP="00A96EFA">
            <w:pPr>
              <w:keepNext/>
              <w:spacing w:before="40" w:after="40"/>
              <w:jc w:val="center"/>
              <w:rPr>
                <w:b/>
                <w:bCs/>
              </w:rPr>
            </w:pPr>
            <w:bookmarkStart w:id="23" w:name="_Hlk131268561"/>
            <w:r>
              <w:rPr>
                <w:b/>
                <w:bCs/>
                <w:rtl/>
              </w:rPr>
              <w:t>المواد</w:t>
            </w:r>
          </w:p>
        </w:tc>
        <w:tc>
          <w:tcPr>
            <w:tcW w:w="5392" w:type="dxa"/>
            <w:vAlign w:val="center"/>
          </w:tcPr>
          <w:p w14:paraId="5E428546" w14:textId="77777777" w:rsidR="00CB0432" w:rsidRPr="00BE38DF" w:rsidRDefault="00CB0432" w:rsidP="00C52F58">
            <w:pPr>
              <w:keepNext/>
              <w:spacing w:before="40" w:after="40"/>
              <w:ind w:left="-112"/>
              <w:jc w:val="center"/>
              <w:rPr>
                <w:b/>
                <w:bCs/>
              </w:rPr>
            </w:pPr>
            <w:r>
              <w:rPr>
                <w:b/>
                <w:bCs/>
                <w:rtl/>
              </w:rPr>
              <w:t>نقطة البدء للتخفيضات المجمعة في الاستهلاك</w:t>
            </w:r>
            <w:r>
              <w:rPr>
                <w:b/>
                <w:bCs/>
                <w:rtl/>
              </w:rPr>
              <w:br/>
              <w:t>(طن من مكافئ ثاني أكسيد الكربون)</w:t>
            </w:r>
          </w:p>
        </w:tc>
      </w:tr>
      <w:bookmarkEnd w:id="23"/>
      <w:tr w:rsidR="00CB0432" w:rsidRPr="00BE38DF" w14:paraId="319FF522" w14:textId="77777777" w:rsidTr="00C52F58">
        <w:trPr>
          <w:cantSplit/>
          <w:trHeight w:val="206"/>
          <w:jc w:val="center"/>
        </w:trPr>
        <w:tc>
          <w:tcPr>
            <w:tcW w:w="3968" w:type="dxa"/>
            <w:shd w:val="clear" w:color="auto" w:fill="FFFFFF" w:themeFill="background1"/>
            <w:vAlign w:val="center"/>
          </w:tcPr>
          <w:p w14:paraId="46E682B3" w14:textId="77777777" w:rsidR="00CB0432" w:rsidRPr="00BE38DF" w:rsidRDefault="00CB0432">
            <w:pPr>
              <w:spacing w:before="40" w:after="40"/>
            </w:pPr>
            <w:r>
              <w:rPr>
                <w:rtl/>
              </w:rPr>
              <w:t>المواد الهيدروفلوروكربونية</w:t>
            </w:r>
          </w:p>
        </w:tc>
        <w:tc>
          <w:tcPr>
            <w:tcW w:w="5392" w:type="dxa"/>
            <w:vAlign w:val="center"/>
          </w:tcPr>
          <w:p w14:paraId="1430DD21" w14:textId="5737559A" w:rsidR="00CB0432" w:rsidRPr="00BE38DF" w:rsidRDefault="00CB0432" w:rsidP="00A96EFA">
            <w:pPr>
              <w:spacing w:before="40" w:after="40"/>
              <w:jc w:val="center"/>
            </w:pPr>
            <w:r>
              <w:rPr>
                <w:rtl/>
              </w:rPr>
              <w:t>لا ينطبق</w:t>
            </w:r>
          </w:p>
        </w:tc>
      </w:tr>
    </w:tbl>
    <w:p w14:paraId="66823981" w14:textId="13F3FC0A" w:rsidR="00CB0432" w:rsidRPr="00CF5DB8" w:rsidRDefault="00CB0432" w:rsidP="00CF5DB8">
      <w:pPr>
        <w:spacing w:before="360" w:after="240"/>
        <w:rPr>
          <w:b/>
          <w:bCs/>
          <w:sz w:val="26"/>
          <w:szCs w:val="26"/>
        </w:rPr>
      </w:pPr>
      <w:r>
        <w:rPr>
          <w:b/>
          <w:bCs/>
          <w:sz w:val="26"/>
          <w:szCs w:val="26"/>
          <w:rtl/>
        </w:rPr>
        <w:t>التذييل 2</w:t>
      </w:r>
      <w:r>
        <w:rPr>
          <w:b/>
          <w:bCs/>
          <w:sz w:val="26"/>
          <w:szCs w:val="26"/>
          <w:rtl/>
        </w:rPr>
        <w:noBreakHyphen/>
        <w:t>ألف: الأهداف والتمويل</w:t>
      </w:r>
    </w:p>
    <w:tbl>
      <w:tblPr>
        <w:bidiVisual/>
        <w:tblW w:w="9360" w:type="dxa"/>
        <w:jc w:val="center"/>
        <w:tblLayout w:type="fixed"/>
        <w:tblCellMar>
          <w:left w:w="85" w:type="dxa"/>
          <w:right w:w="85" w:type="dxa"/>
        </w:tblCellMar>
        <w:tblLook w:val="04A0" w:firstRow="1" w:lastRow="0" w:firstColumn="1" w:lastColumn="0" w:noHBand="0" w:noVBand="1"/>
      </w:tblPr>
      <w:tblGrid>
        <w:gridCol w:w="580"/>
        <w:gridCol w:w="1941"/>
        <w:gridCol w:w="2798"/>
        <w:gridCol w:w="720"/>
        <w:gridCol w:w="810"/>
        <w:gridCol w:w="900"/>
        <w:gridCol w:w="720"/>
        <w:gridCol w:w="891"/>
      </w:tblGrid>
      <w:tr w:rsidR="008158ED" w:rsidRPr="00BE38DF" w14:paraId="4BAFB867" w14:textId="77777777" w:rsidTr="00A96EFA">
        <w:trPr>
          <w:cantSplit/>
          <w:trHeight w:val="50"/>
          <w:tblHeade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2CE4E487" w14:textId="77777777" w:rsidR="008158ED" w:rsidRPr="00BE38DF" w:rsidRDefault="008158ED">
            <w:pPr>
              <w:keepNext/>
              <w:keepLines/>
              <w:ind w:left="-85" w:right="-86"/>
              <w:rPr>
                <w:b/>
                <w:color w:val="000000"/>
                <w:sz w:val="20"/>
                <w:szCs w:val="20"/>
              </w:rPr>
            </w:pPr>
            <w:r>
              <w:rPr>
                <w:b/>
                <w:bCs/>
                <w:color w:val="000000"/>
                <w:sz w:val="20"/>
                <w:szCs w:val="20"/>
                <w:rtl/>
              </w:rPr>
              <w:t>الصف</w:t>
            </w:r>
          </w:p>
        </w:tc>
        <w:tc>
          <w:tcPr>
            <w:tcW w:w="4739" w:type="dxa"/>
            <w:gridSpan w:val="2"/>
            <w:tcBorders>
              <w:top w:val="single" w:sz="4" w:space="0" w:color="auto"/>
              <w:left w:val="nil"/>
              <w:bottom w:val="single" w:sz="4" w:space="0" w:color="auto"/>
              <w:right w:val="single" w:sz="4" w:space="0" w:color="auto"/>
            </w:tcBorders>
            <w:vAlign w:val="center"/>
            <w:hideMark/>
          </w:tcPr>
          <w:p w14:paraId="641FE0A3" w14:textId="4E29B1BA" w:rsidR="008158ED" w:rsidRPr="00BE38DF" w:rsidRDefault="00A96EFA" w:rsidP="00A96EFA">
            <w:pPr>
              <w:keepNext/>
              <w:keepLines/>
              <w:jc w:val="center"/>
              <w:rPr>
                <w:b/>
                <w:color w:val="000000"/>
                <w:sz w:val="20"/>
                <w:szCs w:val="20"/>
              </w:rPr>
            </w:pPr>
            <w:r w:rsidRPr="00A96EFA">
              <w:rPr>
                <w:b/>
                <w:bCs/>
                <w:color w:val="000000"/>
                <w:sz w:val="20"/>
                <w:szCs w:val="20"/>
                <w:rtl/>
              </w:rPr>
              <w:t>التفاصيل</w:t>
            </w:r>
          </w:p>
        </w:tc>
        <w:tc>
          <w:tcPr>
            <w:tcW w:w="720" w:type="dxa"/>
            <w:tcBorders>
              <w:top w:val="single" w:sz="4" w:space="0" w:color="auto"/>
              <w:bottom w:val="single" w:sz="4" w:space="0" w:color="auto"/>
              <w:right w:val="single" w:sz="4" w:space="0" w:color="auto"/>
            </w:tcBorders>
            <w:vAlign w:val="center"/>
          </w:tcPr>
          <w:p w14:paraId="4A2DC059" w14:textId="0F1C9D94" w:rsidR="008158ED" w:rsidRPr="00BE38DF" w:rsidRDefault="008158ED" w:rsidP="00A96EFA">
            <w:pPr>
              <w:keepNext/>
              <w:keepLines/>
              <w:jc w:val="center"/>
              <w:rPr>
                <w:b/>
                <w:color w:val="000000"/>
                <w:sz w:val="20"/>
                <w:szCs w:val="20"/>
              </w:rPr>
            </w:pPr>
            <w:r>
              <w:rPr>
                <w:b/>
                <w:bCs/>
                <w:color w:val="000000"/>
                <w:sz w:val="20"/>
                <w:szCs w:val="20"/>
              </w:rPr>
              <w:t>2026</w:t>
            </w:r>
          </w:p>
        </w:tc>
        <w:tc>
          <w:tcPr>
            <w:tcW w:w="810" w:type="dxa"/>
            <w:tcBorders>
              <w:top w:val="single" w:sz="4" w:space="0" w:color="auto"/>
              <w:left w:val="nil"/>
              <w:bottom w:val="single" w:sz="4" w:space="0" w:color="auto"/>
              <w:right w:val="single" w:sz="4" w:space="0" w:color="auto"/>
            </w:tcBorders>
            <w:vAlign w:val="center"/>
          </w:tcPr>
          <w:p w14:paraId="5838E1B5" w14:textId="77777777" w:rsidR="008158ED" w:rsidRPr="00BE38DF" w:rsidRDefault="008158ED" w:rsidP="00A96EFA">
            <w:pPr>
              <w:keepNext/>
              <w:keepLines/>
              <w:jc w:val="center"/>
              <w:rPr>
                <w:b/>
                <w:color w:val="000000"/>
                <w:sz w:val="20"/>
                <w:szCs w:val="20"/>
              </w:rPr>
            </w:pPr>
            <w:r>
              <w:rPr>
                <w:b/>
                <w:bCs/>
                <w:color w:val="000000"/>
                <w:sz w:val="20"/>
                <w:szCs w:val="20"/>
              </w:rPr>
              <w:t>2027</w:t>
            </w:r>
          </w:p>
        </w:tc>
        <w:tc>
          <w:tcPr>
            <w:tcW w:w="900" w:type="dxa"/>
            <w:tcBorders>
              <w:top w:val="single" w:sz="4" w:space="0" w:color="auto"/>
              <w:left w:val="nil"/>
              <w:bottom w:val="single" w:sz="4" w:space="0" w:color="auto"/>
              <w:right w:val="single" w:sz="4" w:space="0" w:color="auto"/>
            </w:tcBorders>
            <w:vAlign w:val="center"/>
          </w:tcPr>
          <w:p w14:paraId="1937D29E" w14:textId="77777777" w:rsidR="008158ED" w:rsidRPr="00BE38DF" w:rsidRDefault="008158ED" w:rsidP="00A96EFA">
            <w:pPr>
              <w:keepNext/>
              <w:keepLines/>
              <w:jc w:val="center"/>
              <w:rPr>
                <w:b/>
                <w:color w:val="000000"/>
                <w:sz w:val="20"/>
                <w:szCs w:val="20"/>
              </w:rPr>
            </w:pPr>
            <w:r>
              <w:rPr>
                <w:b/>
                <w:bCs/>
                <w:color w:val="000000"/>
                <w:sz w:val="20"/>
                <w:szCs w:val="20"/>
              </w:rPr>
              <w:t>2028</w:t>
            </w:r>
          </w:p>
        </w:tc>
        <w:tc>
          <w:tcPr>
            <w:tcW w:w="720" w:type="dxa"/>
            <w:tcBorders>
              <w:top w:val="single" w:sz="4" w:space="0" w:color="auto"/>
              <w:left w:val="nil"/>
              <w:bottom w:val="single" w:sz="4" w:space="0" w:color="auto"/>
              <w:right w:val="single" w:sz="4" w:space="0" w:color="auto"/>
            </w:tcBorders>
            <w:vAlign w:val="center"/>
          </w:tcPr>
          <w:p w14:paraId="0D97C687" w14:textId="77777777" w:rsidR="008158ED" w:rsidRPr="00BE38DF" w:rsidRDefault="008158ED" w:rsidP="00A96EFA">
            <w:pPr>
              <w:keepNext/>
              <w:keepLines/>
              <w:jc w:val="center"/>
              <w:rPr>
                <w:b/>
                <w:color w:val="000000"/>
                <w:sz w:val="20"/>
                <w:szCs w:val="20"/>
              </w:rPr>
            </w:pPr>
            <w:r>
              <w:rPr>
                <w:b/>
                <w:bCs/>
                <w:color w:val="000000"/>
                <w:sz w:val="20"/>
                <w:szCs w:val="20"/>
              </w:rPr>
              <w:t>2029</w:t>
            </w:r>
          </w:p>
        </w:tc>
        <w:tc>
          <w:tcPr>
            <w:tcW w:w="891" w:type="dxa"/>
            <w:tcBorders>
              <w:top w:val="single" w:sz="4" w:space="0" w:color="auto"/>
              <w:left w:val="nil"/>
              <w:bottom w:val="single" w:sz="4" w:space="0" w:color="auto"/>
              <w:right w:val="single" w:sz="4" w:space="0" w:color="auto"/>
            </w:tcBorders>
            <w:vAlign w:val="center"/>
          </w:tcPr>
          <w:p w14:paraId="12A7D554" w14:textId="77777777" w:rsidR="008158ED" w:rsidRPr="00BE38DF" w:rsidRDefault="008158ED" w:rsidP="00A96EFA">
            <w:pPr>
              <w:keepNext/>
              <w:keepLines/>
              <w:jc w:val="center"/>
              <w:rPr>
                <w:b/>
                <w:color w:val="000000"/>
                <w:sz w:val="20"/>
                <w:szCs w:val="20"/>
              </w:rPr>
            </w:pPr>
            <w:r>
              <w:rPr>
                <w:b/>
                <w:bCs/>
                <w:color w:val="000000"/>
                <w:sz w:val="20"/>
                <w:szCs w:val="20"/>
                <w:rtl/>
              </w:rPr>
              <w:t>المجموع</w:t>
            </w:r>
          </w:p>
        </w:tc>
      </w:tr>
      <w:tr w:rsidR="008158ED" w:rsidRPr="00BE38DF" w14:paraId="28BC82EF" w14:textId="77777777" w:rsidTr="00A96EFA">
        <w:trPr>
          <w:cantSplit/>
          <w:trHeight w:val="331"/>
          <w:jc w:val="center"/>
        </w:trPr>
        <w:tc>
          <w:tcPr>
            <w:tcW w:w="580" w:type="dxa"/>
            <w:vMerge w:val="restart"/>
            <w:tcBorders>
              <w:top w:val="nil"/>
              <w:left w:val="single" w:sz="4" w:space="0" w:color="auto"/>
              <w:right w:val="single" w:sz="4" w:space="0" w:color="auto"/>
            </w:tcBorders>
            <w:vAlign w:val="center"/>
            <w:hideMark/>
          </w:tcPr>
          <w:p w14:paraId="2F422CCC" w14:textId="77777777" w:rsidR="008158ED" w:rsidRPr="00BE38DF" w:rsidRDefault="008158ED">
            <w:pPr>
              <w:keepNext/>
              <w:widowControl w:val="0"/>
              <w:rPr>
                <w:color w:val="000000"/>
                <w:sz w:val="20"/>
                <w:szCs w:val="20"/>
                <w:lang w:eastAsia="en-CA"/>
              </w:rPr>
            </w:pPr>
            <w:r>
              <w:rPr>
                <w:color w:val="000000"/>
                <w:sz w:val="20"/>
                <w:szCs w:val="20"/>
                <w:lang w:eastAsia="en-CA"/>
              </w:rPr>
              <w:t>1.1</w:t>
            </w:r>
          </w:p>
        </w:tc>
        <w:tc>
          <w:tcPr>
            <w:tcW w:w="1941" w:type="dxa"/>
            <w:vMerge w:val="restart"/>
            <w:tcBorders>
              <w:top w:val="nil"/>
              <w:left w:val="nil"/>
              <w:right w:val="single" w:sz="4" w:space="0" w:color="auto"/>
            </w:tcBorders>
            <w:vAlign w:val="center"/>
            <w:hideMark/>
          </w:tcPr>
          <w:p w14:paraId="18BD5EBC" w14:textId="77777777" w:rsidR="008158ED" w:rsidRPr="00BE38DF" w:rsidRDefault="008158ED">
            <w:pPr>
              <w:keepNext/>
              <w:widowControl w:val="0"/>
              <w:rPr>
                <w:color w:val="000000"/>
                <w:sz w:val="20"/>
                <w:szCs w:val="20"/>
                <w:lang w:eastAsia="en-CA"/>
              </w:rPr>
            </w:pPr>
            <w:r>
              <w:rPr>
                <w:color w:val="000000"/>
                <w:sz w:val="20"/>
                <w:szCs w:val="20"/>
                <w:rtl/>
                <w:lang w:eastAsia="en-CA"/>
              </w:rPr>
              <w:t>الجدول الزمني للتخفيض بموجب بروتوكول مونتريال لمواد المرفق واو</w:t>
            </w:r>
          </w:p>
        </w:tc>
        <w:tc>
          <w:tcPr>
            <w:tcW w:w="2798" w:type="dxa"/>
            <w:tcBorders>
              <w:top w:val="single" w:sz="4" w:space="0" w:color="auto"/>
              <w:left w:val="nil"/>
              <w:bottom w:val="single" w:sz="4" w:space="0" w:color="auto"/>
              <w:right w:val="single" w:sz="4" w:space="0" w:color="auto"/>
            </w:tcBorders>
            <w:tcMar>
              <w:left w:w="57" w:type="dxa"/>
              <w:right w:w="0" w:type="dxa"/>
            </w:tcMar>
            <w:vAlign w:val="center"/>
          </w:tcPr>
          <w:p w14:paraId="33E816DB" w14:textId="77777777" w:rsidR="008158ED" w:rsidRPr="00BE38DF" w:rsidRDefault="008158ED">
            <w:pPr>
              <w:keepNext/>
              <w:widowControl w:val="0"/>
              <w:ind w:right="-203"/>
              <w:rPr>
                <w:color w:val="000000"/>
                <w:sz w:val="20"/>
                <w:szCs w:val="20"/>
                <w:lang w:eastAsia="en-CA"/>
              </w:rPr>
            </w:pPr>
            <w:r>
              <w:rPr>
                <w:sz w:val="20"/>
                <w:szCs w:val="20"/>
              </w:rPr>
              <w:t>%</w:t>
            </w:r>
          </w:p>
        </w:tc>
        <w:tc>
          <w:tcPr>
            <w:tcW w:w="720" w:type="dxa"/>
            <w:tcBorders>
              <w:top w:val="single" w:sz="4" w:space="0" w:color="auto"/>
              <w:bottom w:val="single" w:sz="4" w:space="0" w:color="auto"/>
              <w:right w:val="single" w:sz="4" w:space="0" w:color="auto"/>
            </w:tcBorders>
            <w:vAlign w:val="center"/>
          </w:tcPr>
          <w:p w14:paraId="46B49268" w14:textId="1CC2E58C" w:rsidR="008158ED" w:rsidRPr="00BE38DF" w:rsidRDefault="008158ED" w:rsidP="00A96EFA">
            <w:pPr>
              <w:keepNext/>
              <w:widowControl w:val="0"/>
              <w:jc w:val="center"/>
              <w:rPr>
                <w:color w:val="000000"/>
                <w:sz w:val="20"/>
                <w:szCs w:val="20"/>
                <w:lang w:eastAsia="en-CA"/>
              </w:rPr>
            </w:pPr>
            <w:r>
              <w:rPr>
                <w:color w:val="000000"/>
                <w:sz w:val="20"/>
                <w:szCs w:val="20"/>
                <w:rtl/>
                <w:lang w:eastAsia="en-CA"/>
              </w:rPr>
              <w:t>تجميد</w:t>
            </w:r>
          </w:p>
        </w:tc>
        <w:tc>
          <w:tcPr>
            <w:tcW w:w="810" w:type="dxa"/>
            <w:tcBorders>
              <w:top w:val="nil"/>
              <w:left w:val="nil"/>
              <w:bottom w:val="single" w:sz="4" w:space="0" w:color="auto"/>
              <w:right w:val="single" w:sz="4" w:space="0" w:color="auto"/>
            </w:tcBorders>
            <w:vAlign w:val="center"/>
          </w:tcPr>
          <w:p w14:paraId="186176B3" w14:textId="77777777" w:rsidR="008158ED" w:rsidRPr="00BE38DF" w:rsidRDefault="008158ED" w:rsidP="00A96EFA">
            <w:pPr>
              <w:keepNext/>
              <w:widowControl w:val="0"/>
              <w:jc w:val="center"/>
              <w:rPr>
                <w:color w:val="000000"/>
                <w:sz w:val="20"/>
                <w:szCs w:val="20"/>
                <w:lang w:eastAsia="en-CA"/>
              </w:rPr>
            </w:pPr>
            <w:r>
              <w:rPr>
                <w:color w:val="000000"/>
                <w:sz w:val="20"/>
                <w:szCs w:val="20"/>
                <w:rtl/>
                <w:lang w:eastAsia="en-CA"/>
              </w:rPr>
              <w:t>تجميد</w:t>
            </w:r>
          </w:p>
        </w:tc>
        <w:tc>
          <w:tcPr>
            <w:tcW w:w="900" w:type="dxa"/>
            <w:tcBorders>
              <w:top w:val="nil"/>
              <w:left w:val="nil"/>
              <w:bottom w:val="single" w:sz="4" w:space="0" w:color="auto"/>
              <w:right w:val="single" w:sz="4" w:space="0" w:color="auto"/>
            </w:tcBorders>
            <w:vAlign w:val="center"/>
          </w:tcPr>
          <w:p w14:paraId="6E137F7A" w14:textId="77777777" w:rsidR="008158ED" w:rsidRPr="00BE38DF" w:rsidRDefault="008158ED" w:rsidP="00A96EFA">
            <w:pPr>
              <w:keepNext/>
              <w:widowControl w:val="0"/>
              <w:jc w:val="center"/>
              <w:rPr>
                <w:color w:val="000000"/>
                <w:sz w:val="20"/>
                <w:szCs w:val="20"/>
                <w:lang w:eastAsia="en-CA"/>
              </w:rPr>
            </w:pPr>
            <w:r>
              <w:rPr>
                <w:color w:val="000000"/>
                <w:sz w:val="20"/>
                <w:szCs w:val="20"/>
                <w:rtl/>
                <w:lang w:eastAsia="en-CA"/>
              </w:rPr>
              <w:t>تجميد</w:t>
            </w:r>
          </w:p>
        </w:tc>
        <w:tc>
          <w:tcPr>
            <w:tcW w:w="720" w:type="dxa"/>
            <w:tcBorders>
              <w:top w:val="nil"/>
              <w:left w:val="nil"/>
              <w:bottom w:val="single" w:sz="4" w:space="0" w:color="auto"/>
              <w:right w:val="single" w:sz="4" w:space="0" w:color="auto"/>
            </w:tcBorders>
            <w:vAlign w:val="center"/>
          </w:tcPr>
          <w:p w14:paraId="7D0E4BF9" w14:textId="77777777" w:rsidR="008158ED" w:rsidRPr="00BE38DF" w:rsidRDefault="008158ED" w:rsidP="00A96EFA">
            <w:pPr>
              <w:keepNext/>
              <w:widowControl w:val="0"/>
              <w:jc w:val="center"/>
              <w:rPr>
                <w:color w:val="000000"/>
                <w:sz w:val="20"/>
                <w:szCs w:val="20"/>
                <w:lang w:eastAsia="en-CA"/>
              </w:rPr>
            </w:pPr>
            <w:r>
              <w:rPr>
                <w:color w:val="000000"/>
                <w:sz w:val="20"/>
                <w:szCs w:val="20"/>
                <w:lang w:eastAsia="en-CA"/>
              </w:rPr>
              <w:t>10</w:t>
            </w:r>
          </w:p>
        </w:tc>
        <w:tc>
          <w:tcPr>
            <w:tcW w:w="891" w:type="dxa"/>
            <w:tcBorders>
              <w:top w:val="nil"/>
              <w:left w:val="nil"/>
              <w:bottom w:val="single" w:sz="4" w:space="0" w:color="auto"/>
              <w:right w:val="single" w:sz="4" w:space="0" w:color="auto"/>
            </w:tcBorders>
            <w:vAlign w:val="center"/>
          </w:tcPr>
          <w:p w14:paraId="28859BF3" w14:textId="77777777" w:rsidR="008158ED" w:rsidRPr="00BE38DF" w:rsidRDefault="008158ED" w:rsidP="00A96EFA">
            <w:pPr>
              <w:keepNext/>
              <w:widowControl w:val="0"/>
              <w:jc w:val="center"/>
              <w:rPr>
                <w:color w:val="000000"/>
                <w:sz w:val="20"/>
                <w:szCs w:val="20"/>
                <w:lang w:eastAsia="en-CA"/>
              </w:rPr>
            </w:pPr>
            <w:r>
              <w:rPr>
                <w:color w:val="000000"/>
                <w:sz w:val="20"/>
                <w:szCs w:val="20"/>
                <w:rtl/>
                <w:lang w:eastAsia="en-CA"/>
              </w:rPr>
              <w:t>لا ينطبق</w:t>
            </w:r>
          </w:p>
        </w:tc>
      </w:tr>
      <w:tr w:rsidR="008158ED" w:rsidRPr="00BE38DF" w14:paraId="575FB18D" w14:textId="77777777" w:rsidTr="00A96EFA">
        <w:trPr>
          <w:cantSplit/>
          <w:trHeight w:val="59"/>
          <w:jc w:val="center"/>
        </w:trPr>
        <w:tc>
          <w:tcPr>
            <w:tcW w:w="580" w:type="dxa"/>
            <w:vMerge/>
            <w:tcBorders>
              <w:left w:val="single" w:sz="4" w:space="0" w:color="auto"/>
              <w:bottom w:val="single" w:sz="4" w:space="0" w:color="auto"/>
              <w:right w:val="single" w:sz="4" w:space="0" w:color="auto"/>
            </w:tcBorders>
            <w:vAlign w:val="center"/>
          </w:tcPr>
          <w:p w14:paraId="62F7D381" w14:textId="77777777" w:rsidR="008158ED" w:rsidRPr="00BE38DF" w:rsidRDefault="008158ED">
            <w:pPr>
              <w:keepNext/>
              <w:widowControl w:val="0"/>
              <w:rPr>
                <w:color w:val="000000"/>
                <w:sz w:val="20"/>
                <w:szCs w:val="20"/>
              </w:rPr>
            </w:pPr>
          </w:p>
        </w:tc>
        <w:tc>
          <w:tcPr>
            <w:tcW w:w="1941" w:type="dxa"/>
            <w:vMerge/>
            <w:tcBorders>
              <w:left w:val="nil"/>
              <w:bottom w:val="single" w:sz="4" w:space="0" w:color="auto"/>
              <w:right w:val="single" w:sz="4" w:space="0" w:color="auto"/>
            </w:tcBorders>
            <w:vAlign w:val="center"/>
          </w:tcPr>
          <w:p w14:paraId="5879DD0B" w14:textId="77777777" w:rsidR="008158ED" w:rsidRPr="00BE38DF" w:rsidRDefault="008158ED">
            <w:pPr>
              <w:keepNext/>
              <w:widowControl w:val="0"/>
              <w:rPr>
                <w:color w:val="000000"/>
                <w:sz w:val="20"/>
                <w:szCs w:val="20"/>
                <w:lang w:eastAsia="en-CA"/>
              </w:rPr>
            </w:pPr>
          </w:p>
        </w:tc>
        <w:tc>
          <w:tcPr>
            <w:tcW w:w="2798" w:type="dxa"/>
            <w:tcBorders>
              <w:top w:val="single" w:sz="4" w:space="0" w:color="auto"/>
              <w:left w:val="nil"/>
              <w:bottom w:val="single" w:sz="4" w:space="0" w:color="auto"/>
              <w:right w:val="single" w:sz="4" w:space="0" w:color="auto"/>
            </w:tcBorders>
            <w:tcMar>
              <w:left w:w="57" w:type="dxa"/>
              <w:right w:w="0" w:type="dxa"/>
            </w:tcMar>
            <w:vAlign w:val="center"/>
          </w:tcPr>
          <w:p w14:paraId="5621DF63" w14:textId="77777777" w:rsidR="008158ED" w:rsidRPr="00BE38DF" w:rsidRDefault="008158ED">
            <w:pPr>
              <w:keepNext/>
              <w:widowControl w:val="0"/>
              <w:rPr>
                <w:color w:val="000000"/>
                <w:sz w:val="20"/>
                <w:szCs w:val="20"/>
              </w:rPr>
            </w:pPr>
            <w:r>
              <w:rPr>
                <w:color w:val="000000"/>
                <w:sz w:val="20"/>
                <w:szCs w:val="20"/>
                <w:rtl/>
                <w:lang w:eastAsia="en-CA"/>
              </w:rPr>
              <w:t>طن من مكافئ ثاني أكسيد الكربون</w:t>
            </w:r>
          </w:p>
        </w:tc>
        <w:tc>
          <w:tcPr>
            <w:tcW w:w="720" w:type="dxa"/>
            <w:tcBorders>
              <w:top w:val="single" w:sz="4" w:space="0" w:color="auto"/>
              <w:bottom w:val="single" w:sz="4" w:space="0" w:color="auto"/>
              <w:right w:val="single" w:sz="4" w:space="0" w:color="auto"/>
            </w:tcBorders>
            <w:vAlign w:val="center"/>
          </w:tcPr>
          <w:p w14:paraId="1615BBFD" w14:textId="232C871A" w:rsidR="008158ED" w:rsidRPr="00BE38DF" w:rsidRDefault="00FD02CB" w:rsidP="00B35FF7">
            <w:pPr>
              <w:keepNext/>
              <w:widowControl w:val="0"/>
              <w:jc w:val="left"/>
              <w:rPr>
                <w:color w:val="000000"/>
                <w:sz w:val="20"/>
                <w:szCs w:val="20"/>
              </w:rPr>
            </w:pPr>
            <w:r>
              <w:rPr>
                <w:color w:val="000000"/>
                <w:sz w:val="20"/>
                <w:szCs w:val="20"/>
              </w:rPr>
              <w:t>71,039</w:t>
            </w:r>
          </w:p>
        </w:tc>
        <w:tc>
          <w:tcPr>
            <w:tcW w:w="810" w:type="dxa"/>
            <w:tcBorders>
              <w:top w:val="nil"/>
              <w:left w:val="nil"/>
              <w:bottom w:val="single" w:sz="4" w:space="0" w:color="auto"/>
              <w:right w:val="single" w:sz="4" w:space="0" w:color="auto"/>
            </w:tcBorders>
            <w:vAlign w:val="center"/>
          </w:tcPr>
          <w:p w14:paraId="5AD9A4F6" w14:textId="540197F5" w:rsidR="008158ED" w:rsidRPr="00BE38DF" w:rsidRDefault="00FD02CB" w:rsidP="00B35FF7">
            <w:pPr>
              <w:keepNext/>
              <w:widowControl w:val="0"/>
              <w:jc w:val="left"/>
              <w:rPr>
                <w:color w:val="000000"/>
                <w:sz w:val="20"/>
                <w:szCs w:val="20"/>
              </w:rPr>
            </w:pPr>
            <w:r>
              <w:rPr>
                <w:color w:val="000000"/>
                <w:sz w:val="20"/>
                <w:szCs w:val="20"/>
              </w:rPr>
              <w:t>71,039</w:t>
            </w:r>
          </w:p>
        </w:tc>
        <w:tc>
          <w:tcPr>
            <w:tcW w:w="900" w:type="dxa"/>
            <w:tcBorders>
              <w:top w:val="nil"/>
              <w:left w:val="nil"/>
              <w:bottom w:val="single" w:sz="4" w:space="0" w:color="auto"/>
              <w:right w:val="single" w:sz="4" w:space="0" w:color="auto"/>
            </w:tcBorders>
            <w:vAlign w:val="center"/>
          </w:tcPr>
          <w:p w14:paraId="6A9A5937" w14:textId="7349DB4D" w:rsidR="008158ED" w:rsidRPr="00BE38DF" w:rsidRDefault="00FD02CB" w:rsidP="00B35FF7">
            <w:pPr>
              <w:keepNext/>
              <w:widowControl w:val="0"/>
              <w:jc w:val="left"/>
              <w:rPr>
                <w:color w:val="000000"/>
                <w:sz w:val="20"/>
                <w:szCs w:val="20"/>
              </w:rPr>
            </w:pPr>
            <w:r>
              <w:rPr>
                <w:color w:val="000000"/>
                <w:sz w:val="20"/>
                <w:szCs w:val="20"/>
              </w:rPr>
              <w:t>71,039</w:t>
            </w:r>
          </w:p>
        </w:tc>
        <w:tc>
          <w:tcPr>
            <w:tcW w:w="720" w:type="dxa"/>
            <w:tcBorders>
              <w:top w:val="nil"/>
              <w:left w:val="nil"/>
              <w:bottom w:val="single" w:sz="4" w:space="0" w:color="auto"/>
              <w:right w:val="single" w:sz="4" w:space="0" w:color="auto"/>
            </w:tcBorders>
            <w:vAlign w:val="center"/>
          </w:tcPr>
          <w:p w14:paraId="3E5D89BE" w14:textId="45D5CB8B" w:rsidR="008158ED" w:rsidRPr="00BE38DF" w:rsidRDefault="00AD4804" w:rsidP="00B35FF7">
            <w:pPr>
              <w:keepNext/>
              <w:widowControl w:val="0"/>
              <w:jc w:val="left"/>
              <w:rPr>
                <w:color w:val="000000"/>
                <w:sz w:val="20"/>
                <w:szCs w:val="20"/>
              </w:rPr>
            </w:pPr>
            <w:r>
              <w:rPr>
                <w:color w:val="000000"/>
                <w:sz w:val="20"/>
                <w:szCs w:val="20"/>
              </w:rPr>
              <w:t>63,935</w:t>
            </w:r>
          </w:p>
        </w:tc>
        <w:tc>
          <w:tcPr>
            <w:tcW w:w="891" w:type="dxa"/>
            <w:tcBorders>
              <w:top w:val="nil"/>
              <w:left w:val="nil"/>
              <w:bottom w:val="single" w:sz="4" w:space="0" w:color="auto"/>
              <w:right w:val="single" w:sz="4" w:space="0" w:color="auto"/>
            </w:tcBorders>
            <w:vAlign w:val="center"/>
          </w:tcPr>
          <w:p w14:paraId="257A140B" w14:textId="77777777" w:rsidR="008158ED" w:rsidRPr="00BE38DF" w:rsidRDefault="008158ED" w:rsidP="00A96EFA">
            <w:pPr>
              <w:keepNext/>
              <w:widowControl w:val="0"/>
              <w:jc w:val="center"/>
              <w:rPr>
                <w:color w:val="000000"/>
                <w:sz w:val="20"/>
                <w:szCs w:val="20"/>
              </w:rPr>
            </w:pPr>
            <w:r>
              <w:rPr>
                <w:color w:val="000000"/>
                <w:sz w:val="20"/>
                <w:szCs w:val="20"/>
                <w:rtl/>
              </w:rPr>
              <w:t>لا ينطبق</w:t>
            </w:r>
          </w:p>
        </w:tc>
      </w:tr>
      <w:tr w:rsidR="008158ED" w:rsidRPr="00BE38DF" w14:paraId="7DEDEA42" w14:textId="77777777" w:rsidTr="00A96EFA">
        <w:trPr>
          <w:cantSplit/>
          <w:trHeight w:val="342"/>
          <w:jc w:val="center"/>
        </w:trPr>
        <w:tc>
          <w:tcPr>
            <w:tcW w:w="580" w:type="dxa"/>
            <w:vMerge w:val="restart"/>
            <w:tcBorders>
              <w:top w:val="nil"/>
              <w:left w:val="single" w:sz="4" w:space="0" w:color="auto"/>
              <w:right w:val="single" w:sz="4" w:space="0" w:color="auto"/>
            </w:tcBorders>
            <w:vAlign w:val="center"/>
            <w:hideMark/>
          </w:tcPr>
          <w:p w14:paraId="0D2B59F9" w14:textId="77777777" w:rsidR="008158ED" w:rsidRPr="00BE38DF" w:rsidRDefault="008158ED">
            <w:pPr>
              <w:keepNext/>
              <w:widowControl w:val="0"/>
              <w:rPr>
                <w:color w:val="000000"/>
                <w:sz w:val="20"/>
                <w:szCs w:val="20"/>
                <w:lang w:eastAsia="en-CA"/>
              </w:rPr>
            </w:pPr>
            <w:r>
              <w:rPr>
                <w:color w:val="000000"/>
                <w:sz w:val="20"/>
                <w:szCs w:val="20"/>
                <w:lang w:eastAsia="en-CA"/>
              </w:rPr>
              <w:t>1.2</w:t>
            </w:r>
          </w:p>
        </w:tc>
        <w:tc>
          <w:tcPr>
            <w:tcW w:w="1941" w:type="dxa"/>
            <w:vMerge w:val="restart"/>
            <w:tcBorders>
              <w:top w:val="nil"/>
              <w:left w:val="nil"/>
              <w:right w:val="single" w:sz="4" w:space="0" w:color="auto"/>
            </w:tcBorders>
            <w:vAlign w:val="center"/>
            <w:hideMark/>
          </w:tcPr>
          <w:p w14:paraId="53276093" w14:textId="77777777" w:rsidR="008158ED" w:rsidRPr="00BE38DF" w:rsidRDefault="008158ED">
            <w:pPr>
              <w:keepNext/>
              <w:widowControl w:val="0"/>
              <w:rPr>
                <w:color w:val="000000"/>
                <w:sz w:val="20"/>
                <w:szCs w:val="20"/>
                <w:lang w:eastAsia="en-CA"/>
              </w:rPr>
            </w:pPr>
            <w:r>
              <w:rPr>
                <w:color w:val="000000"/>
                <w:sz w:val="20"/>
                <w:szCs w:val="20"/>
                <w:rtl/>
                <w:lang w:eastAsia="en-CA"/>
              </w:rPr>
              <w:t>الحد الأقصى المسموح به لمجموع استهلاك مواد المرفق واو</w:t>
            </w:r>
          </w:p>
        </w:tc>
        <w:tc>
          <w:tcPr>
            <w:tcW w:w="2798" w:type="dxa"/>
            <w:tcBorders>
              <w:top w:val="single" w:sz="4" w:space="0" w:color="auto"/>
              <w:left w:val="nil"/>
              <w:bottom w:val="single" w:sz="4" w:space="0" w:color="auto"/>
              <w:right w:val="single" w:sz="4" w:space="0" w:color="auto"/>
            </w:tcBorders>
            <w:tcMar>
              <w:left w:w="57" w:type="dxa"/>
              <w:right w:w="0" w:type="dxa"/>
            </w:tcMar>
            <w:vAlign w:val="center"/>
          </w:tcPr>
          <w:p w14:paraId="28B0CD4E" w14:textId="77777777" w:rsidR="008158ED" w:rsidRPr="00BE38DF" w:rsidRDefault="008158ED">
            <w:pPr>
              <w:keepNext/>
              <w:widowControl w:val="0"/>
              <w:rPr>
                <w:color w:val="000000"/>
                <w:sz w:val="20"/>
                <w:szCs w:val="20"/>
                <w:lang w:eastAsia="en-CA"/>
              </w:rPr>
            </w:pPr>
            <w:r>
              <w:rPr>
                <w:sz w:val="20"/>
                <w:szCs w:val="20"/>
                <w:rtl/>
              </w:rPr>
              <w:t>التخفيض بالنسبة المئوية</w:t>
            </w:r>
          </w:p>
        </w:tc>
        <w:tc>
          <w:tcPr>
            <w:tcW w:w="720" w:type="dxa"/>
            <w:tcBorders>
              <w:top w:val="single" w:sz="4" w:space="0" w:color="auto"/>
              <w:bottom w:val="single" w:sz="4" w:space="0" w:color="auto"/>
              <w:right w:val="single" w:sz="4" w:space="0" w:color="auto"/>
            </w:tcBorders>
            <w:vAlign w:val="center"/>
          </w:tcPr>
          <w:p w14:paraId="04D1A4F4" w14:textId="17759F17" w:rsidR="008158ED" w:rsidRPr="00BE38DF" w:rsidRDefault="00841898" w:rsidP="00B35FF7">
            <w:pPr>
              <w:keepNext/>
              <w:widowControl w:val="0"/>
              <w:jc w:val="left"/>
              <w:rPr>
                <w:color w:val="000000"/>
                <w:sz w:val="20"/>
                <w:szCs w:val="20"/>
                <w:lang w:eastAsia="en-CA"/>
              </w:rPr>
            </w:pPr>
            <w:r>
              <w:rPr>
                <w:color w:val="000000"/>
                <w:sz w:val="20"/>
                <w:szCs w:val="20"/>
                <w:lang w:eastAsia="en-CA"/>
              </w:rPr>
              <w:t>45.2</w:t>
            </w:r>
          </w:p>
        </w:tc>
        <w:tc>
          <w:tcPr>
            <w:tcW w:w="810" w:type="dxa"/>
            <w:tcBorders>
              <w:top w:val="nil"/>
              <w:left w:val="nil"/>
              <w:bottom w:val="single" w:sz="4" w:space="0" w:color="auto"/>
              <w:right w:val="single" w:sz="4" w:space="0" w:color="auto"/>
            </w:tcBorders>
            <w:vAlign w:val="center"/>
          </w:tcPr>
          <w:p w14:paraId="79B1E274" w14:textId="41840F55" w:rsidR="008158ED" w:rsidRPr="00BE38DF" w:rsidRDefault="00841898" w:rsidP="00B35FF7">
            <w:pPr>
              <w:keepNext/>
              <w:widowControl w:val="0"/>
              <w:jc w:val="left"/>
              <w:rPr>
                <w:color w:val="000000"/>
                <w:sz w:val="20"/>
                <w:szCs w:val="20"/>
                <w:lang w:eastAsia="en-CA"/>
              </w:rPr>
            </w:pPr>
            <w:r>
              <w:rPr>
                <w:color w:val="000000"/>
                <w:sz w:val="20"/>
                <w:szCs w:val="20"/>
                <w:lang w:eastAsia="en-CA"/>
              </w:rPr>
              <w:t>45.2</w:t>
            </w:r>
          </w:p>
        </w:tc>
        <w:tc>
          <w:tcPr>
            <w:tcW w:w="900" w:type="dxa"/>
            <w:tcBorders>
              <w:top w:val="nil"/>
              <w:left w:val="nil"/>
              <w:bottom w:val="single" w:sz="4" w:space="0" w:color="auto"/>
              <w:right w:val="single" w:sz="4" w:space="0" w:color="auto"/>
            </w:tcBorders>
            <w:vAlign w:val="center"/>
          </w:tcPr>
          <w:p w14:paraId="384976B9" w14:textId="27DE9D1C" w:rsidR="008158ED" w:rsidRPr="00BE38DF" w:rsidRDefault="00841898" w:rsidP="00B35FF7">
            <w:pPr>
              <w:keepNext/>
              <w:widowControl w:val="0"/>
              <w:jc w:val="left"/>
              <w:rPr>
                <w:color w:val="000000"/>
                <w:sz w:val="20"/>
                <w:szCs w:val="20"/>
                <w:lang w:eastAsia="en-CA"/>
              </w:rPr>
            </w:pPr>
            <w:r>
              <w:rPr>
                <w:color w:val="000000"/>
                <w:sz w:val="20"/>
                <w:szCs w:val="20"/>
                <w:lang w:eastAsia="en-CA"/>
              </w:rPr>
              <w:t>45.2</w:t>
            </w:r>
          </w:p>
        </w:tc>
        <w:tc>
          <w:tcPr>
            <w:tcW w:w="720" w:type="dxa"/>
            <w:tcBorders>
              <w:top w:val="nil"/>
              <w:left w:val="nil"/>
              <w:bottom w:val="single" w:sz="4" w:space="0" w:color="auto"/>
              <w:right w:val="single" w:sz="4" w:space="0" w:color="auto"/>
            </w:tcBorders>
            <w:vAlign w:val="center"/>
          </w:tcPr>
          <w:p w14:paraId="755C7756" w14:textId="7FD8BE06" w:rsidR="008158ED" w:rsidRPr="00BE38DF" w:rsidRDefault="00F14D64" w:rsidP="00B35FF7">
            <w:pPr>
              <w:keepNext/>
              <w:widowControl w:val="0"/>
              <w:jc w:val="left"/>
              <w:rPr>
                <w:color w:val="000000"/>
                <w:sz w:val="20"/>
                <w:szCs w:val="20"/>
                <w:lang w:eastAsia="en-CA"/>
              </w:rPr>
            </w:pPr>
            <w:r>
              <w:rPr>
                <w:color w:val="000000"/>
                <w:sz w:val="20"/>
                <w:szCs w:val="20"/>
                <w:lang w:eastAsia="en-CA"/>
              </w:rPr>
              <w:t>50.6</w:t>
            </w:r>
          </w:p>
        </w:tc>
        <w:tc>
          <w:tcPr>
            <w:tcW w:w="891" w:type="dxa"/>
            <w:tcBorders>
              <w:top w:val="nil"/>
              <w:left w:val="nil"/>
              <w:bottom w:val="single" w:sz="4" w:space="0" w:color="auto"/>
              <w:right w:val="single" w:sz="4" w:space="0" w:color="auto"/>
            </w:tcBorders>
            <w:vAlign w:val="center"/>
          </w:tcPr>
          <w:p w14:paraId="775B202A" w14:textId="77777777" w:rsidR="008158ED" w:rsidRPr="00BE38DF" w:rsidRDefault="008158ED" w:rsidP="00A96EFA">
            <w:pPr>
              <w:keepNext/>
              <w:widowControl w:val="0"/>
              <w:jc w:val="center"/>
              <w:rPr>
                <w:color w:val="000000"/>
                <w:sz w:val="20"/>
                <w:szCs w:val="20"/>
                <w:lang w:eastAsia="en-CA"/>
              </w:rPr>
            </w:pPr>
            <w:r>
              <w:rPr>
                <w:color w:val="000000"/>
                <w:sz w:val="20"/>
                <w:szCs w:val="20"/>
                <w:rtl/>
                <w:lang w:eastAsia="en-CA"/>
              </w:rPr>
              <w:t>لا ينطبق</w:t>
            </w:r>
          </w:p>
        </w:tc>
      </w:tr>
      <w:tr w:rsidR="00EF59D9" w:rsidRPr="00BE38DF" w14:paraId="095CC5A1" w14:textId="77777777" w:rsidTr="00A96EFA">
        <w:trPr>
          <w:cantSplit/>
          <w:trHeight w:val="59"/>
          <w:jc w:val="center"/>
        </w:trPr>
        <w:tc>
          <w:tcPr>
            <w:tcW w:w="580" w:type="dxa"/>
            <w:vMerge/>
            <w:tcBorders>
              <w:left w:val="single" w:sz="4" w:space="0" w:color="auto"/>
              <w:bottom w:val="single" w:sz="4" w:space="0" w:color="auto"/>
              <w:right w:val="single" w:sz="4" w:space="0" w:color="auto"/>
            </w:tcBorders>
            <w:vAlign w:val="center"/>
          </w:tcPr>
          <w:p w14:paraId="2B40E1AF" w14:textId="77777777" w:rsidR="00EF59D9" w:rsidRPr="00BE38DF" w:rsidRDefault="00EF59D9" w:rsidP="00EF59D9">
            <w:pPr>
              <w:keepNext/>
              <w:widowControl w:val="0"/>
              <w:rPr>
                <w:color w:val="000000"/>
                <w:sz w:val="20"/>
                <w:szCs w:val="20"/>
              </w:rPr>
            </w:pPr>
          </w:p>
        </w:tc>
        <w:tc>
          <w:tcPr>
            <w:tcW w:w="1941" w:type="dxa"/>
            <w:vMerge/>
            <w:tcBorders>
              <w:left w:val="nil"/>
              <w:bottom w:val="single" w:sz="4" w:space="0" w:color="auto"/>
              <w:right w:val="single" w:sz="4" w:space="0" w:color="auto"/>
            </w:tcBorders>
            <w:vAlign w:val="center"/>
          </w:tcPr>
          <w:p w14:paraId="731ECC37" w14:textId="77777777" w:rsidR="00EF59D9" w:rsidRPr="00BE38DF" w:rsidRDefault="00EF59D9" w:rsidP="00EF59D9">
            <w:pPr>
              <w:keepNext/>
              <w:widowControl w:val="0"/>
              <w:rPr>
                <w:color w:val="000000"/>
                <w:sz w:val="20"/>
                <w:szCs w:val="20"/>
                <w:lang w:eastAsia="en-CA"/>
              </w:rPr>
            </w:pPr>
          </w:p>
        </w:tc>
        <w:tc>
          <w:tcPr>
            <w:tcW w:w="2798" w:type="dxa"/>
            <w:tcBorders>
              <w:top w:val="single" w:sz="4" w:space="0" w:color="auto"/>
              <w:left w:val="nil"/>
              <w:bottom w:val="single" w:sz="4" w:space="0" w:color="auto"/>
              <w:right w:val="single" w:sz="4" w:space="0" w:color="auto"/>
            </w:tcBorders>
            <w:tcMar>
              <w:left w:w="57" w:type="dxa"/>
              <w:right w:w="0" w:type="dxa"/>
            </w:tcMar>
            <w:vAlign w:val="center"/>
          </w:tcPr>
          <w:p w14:paraId="7F8D4B6B" w14:textId="77777777" w:rsidR="00EF59D9" w:rsidRPr="00BE38DF" w:rsidRDefault="00EF59D9" w:rsidP="00EF59D9">
            <w:pPr>
              <w:keepNext/>
              <w:widowControl w:val="0"/>
              <w:rPr>
                <w:color w:val="000000"/>
                <w:sz w:val="20"/>
                <w:szCs w:val="20"/>
              </w:rPr>
            </w:pPr>
            <w:r>
              <w:rPr>
                <w:color w:val="000000"/>
                <w:sz w:val="20"/>
                <w:szCs w:val="20"/>
                <w:rtl/>
                <w:lang w:eastAsia="en-CA"/>
              </w:rPr>
              <w:t>طن من مكافئ ثاني أكسيد الكربون</w:t>
            </w:r>
          </w:p>
        </w:tc>
        <w:tc>
          <w:tcPr>
            <w:tcW w:w="720" w:type="dxa"/>
            <w:tcBorders>
              <w:top w:val="single" w:sz="4" w:space="0" w:color="auto"/>
              <w:bottom w:val="single" w:sz="4" w:space="0" w:color="auto"/>
              <w:right w:val="single" w:sz="4" w:space="0" w:color="auto"/>
            </w:tcBorders>
            <w:vAlign w:val="center"/>
          </w:tcPr>
          <w:p w14:paraId="2F4C5222" w14:textId="7EF7CD46" w:rsidR="00EF59D9" w:rsidRPr="00BE38DF" w:rsidRDefault="00841898" w:rsidP="00B35FF7">
            <w:pPr>
              <w:keepNext/>
              <w:widowControl w:val="0"/>
              <w:jc w:val="left"/>
              <w:rPr>
                <w:color w:val="000000"/>
                <w:sz w:val="20"/>
                <w:szCs w:val="20"/>
              </w:rPr>
            </w:pPr>
            <w:r>
              <w:rPr>
                <w:sz w:val="20"/>
                <w:szCs w:val="20"/>
              </w:rPr>
              <w:t>38,962</w:t>
            </w:r>
          </w:p>
        </w:tc>
        <w:tc>
          <w:tcPr>
            <w:tcW w:w="810" w:type="dxa"/>
            <w:tcBorders>
              <w:top w:val="nil"/>
              <w:left w:val="nil"/>
              <w:bottom w:val="single" w:sz="4" w:space="0" w:color="auto"/>
              <w:right w:val="single" w:sz="4" w:space="0" w:color="auto"/>
            </w:tcBorders>
            <w:vAlign w:val="center"/>
          </w:tcPr>
          <w:p w14:paraId="1DF7B23A" w14:textId="75A0DAD2" w:rsidR="00EF59D9" w:rsidRPr="00BE38DF" w:rsidRDefault="00841898" w:rsidP="00B35FF7">
            <w:pPr>
              <w:keepNext/>
              <w:widowControl w:val="0"/>
              <w:jc w:val="left"/>
              <w:rPr>
                <w:color w:val="000000"/>
                <w:sz w:val="20"/>
                <w:szCs w:val="20"/>
              </w:rPr>
            </w:pPr>
            <w:r>
              <w:rPr>
                <w:sz w:val="20"/>
                <w:szCs w:val="20"/>
              </w:rPr>
              <w:t>38,962</w:t>
            </w:r>
          </w:p>
        </w:tc>
        <w:tc>
          <w:tcPr>
            <w:tcW w:w="900" w:type="dxa"/>
            <w:tcBorders>
              <w:top w:val="nil"/>
              <w:left w:val="nil"/>
              <w:bottom w:val="single" w:sz="4" w:space="0" w:color="auto"/>
              <w:right w:val="single" w:sz="4" w:space="0" w:color="auto"/>
            </w:tcBorders>
            <w:vAlign w:val="center"/>
          </w:tcPr>
          <w:p w14:paraId="427D26AC" w14:textId="0D9C122A" w:rsidR="00EF59D9" w:rsidRPr="00BE38DF" w:rsidRDefault="00841898" w:rsidP="00B35FF7">
            <w:pPr>
              <w:keepNext/>
              <w:widowControl w:val="0"/>
              <w:jc w:val="left"/>
              <w:rPr>
                <w:color w:val="000000"/>
                <w:sz w:val="20"/>
                <w:szCs w:val="20"/>
              </w:rPr>
            </w:pPr>
            <w:r>
              <w:rPr>
                <w:sz w:val="20"/>
                <w:szCs w:val="20"/>
              </w:rPr>
              <w:t>38,962</w:t>
            </w:r>
          </w:p>
        </w:tc>
        <w:tc>
          <w:tcPr>
            <w:tcW w:w="720" w:type="dxa"/>
            <w:tcBorders>
              <w:top w:val="nil"/>
              <w:left w:val="nil"/>
              <w:bottom w:val="single" w:sz="4" w:space="0" w:color="auto"/>
              <w:right w:val="single" w:sz="4" w:space="0" w:color="auto"/>
            </w:tcBorders>
            <w:vAlign w:val="center"/>
          </w:tcPr>
          <w:p w14:paraId="564178E3" w14:textId="17FC5877" w:rsidR="00EF59D9" w:rsidRPr="00BE38DF" w:rsidRDefault="00EF59D9" w:rsidP="00B35FF7">
            <w:pPr>
              <w:keepNext/>
              <w:widowControl w:val="0"/>
              <w:jc w:val="left"/>
              <w:rPr>
                <w:color w:val="000000"/>
                <w:sz w:val="20"/>
                <w:szCs w:val="20"/>
              </w:rPr>
            </w:pPr>
            <w:r>
              <w:rPr>
                <w:sz w:val="20"/>
                <w:szCs w:val="20"/>
              </w:rPr>
              <w:t>35,066</w:t>
            </w:r>
          </w:p>
        </w:tc>
        <w:tc>
          <w:tcPr>
            <w:tcW w:w="891" w:type="dxa"/>
            <w:tcBorders>
              <w:top w:val="nil"/>
              <w:left w:val="nil"/>
              <w:bottom w:val="single" w:sz="4" w:space="0" w:color="auto"/>
              <w:right w:val="single" w:sz="4" w:space="0" w:color="auto"/>
            </w:tcBorders>
            <w:vAlign w:val="center"/>
          </w:tcPr>
          <w:p w14:paraId="28C78597" w14:textId="77777777" w:rsidR="00EF59D9" w:rsidRPr="00BE38DF" w:rsidRDefault="00EF59D9" w:rsidP="00A96EFA">
            <w:pPr>
              <w:keepNext/>
              <w:widowControl w:val="0"/>
              <w:jc w:val="center"/>
              <w:rPr>
                <w:color w:val="000000"/>
                <w:sz w:val="20"/>
                <w:szCs w:val="20"/>
              </w:rPr>
            </w:pPr>
            <w:r>
              <w:rPr>
                <w:color w:val="000000"/>
                <w:sz w:val="20"/>
                <w:szCs w:val="20"/>
                <w:rtl/>
              </w:rPr>
              <w:t>لا ينطبق</w:t>
            </w:r>
          </w:p>
        </w:tc>
      </w:tr>
      <w:tr w:rsidR="00EF59D9" w:rsidRPr="00BE38DF" w14:paraId="110F115B" w14:textId="77777777" w:rsidTr="00A96EFA">
        <w:trPr>
          <w:cantSplit/>
          <w:trHeight w:val="116"/>
          <w:jc w:val="center"/>
        </w:trPr>
        <w:tc>
          <w:tcPr>
            <w:tcW w:w="580" w:type="dxa"/>
            <w:tcBorders>
              <w:top w:val="nil"/>
              <w:left w:val="single" w:sz="4" w:space="0" w:color="auto"/>
              <w:bottom w:val="single" w:sz="4" w:space="0" w:color="auto"/>
              <w:right w:val="single" w:sz="4" w:space="0" w:color="auto"/>
            </w:tcBorders>
            <w:vAlign w:val="center"/>
            <w:hideMark/>
          </w:tcPr>
          <w:p w14:paraId="471667D0" w14:textId="77777777" w:rsidR="00EF59D9" w:rsidRPr="00BE38DF" w:rsidRDefault="00EF59D9" w:rsidP="00EF59D9">
            <w:pPr>
              <w:keepNext/>
              <w:rPr>
                <w:color w:val="000000"/>
                <w:sz w:val="20"/>
                <w:szCs w:val="20"/>
              </w:rPr>
            </w:pPr>
            <w:r>
              <w:rPr>
                <w:color w:val="000000"/>
                <w:sz w:val="20"/>
                <w:szCs w:val="20"/>
              </w:rPr>
              <w:t>2.1</w:t>
            </w:r>
          </w:p>
        </w:tc>
        <w:tc>
          <w:tcPr>
            <w:tcW w:w="4739" w:type="dxa"/>
            <w:gridSpan w:val="2"/>
            <w:tcBorders>
              <w:top w:val="nil"/>
              <w:left w:val="nil"/>
              <w:bottom w:val="single" w:sz="4" w:space="0" w:color="auto"/>
              <w:right w:val="single" w:sz="4" w:space="0" w:color="auto"/>
            </w:tcBorders>
            <w:vAlign w:val="center"/>
            <w:hideMark/>
          </w:tcPr>
          <w:p w14:paraId="4199647D" w14:textId="0AF97B4F" w:rsidR="00EF59D9" w:rsidRPr="00BE38DF" w:rsidRDefault="00EF59D9" w:rsidP="00EF59D9">
            <w:pPr>
              <w:keepNext/>
              <w:ind w:right="-229"/>
              <w:rPr>
                <w:color w:val="000000"/>
                <w:sz w:val="20"/>
                <w:szCs w:val="20"/>
              </w:rPr>
            </w:pPr>
            <w:r>
              <w:rPr>
                <w:color w:val="000000"/>
                <w:sz w:val="20"/>
                <w:szCs w:val="20"/>
                <w:rtl/>
              </w:rPr>
              <w:t>التمويل المتفق عليه للوكالة المنفذة الرئيسية (اليونيب) (بالدولار الأمريكي)</w:t>
            </w:r>
          </w:p>
        </w:tc>
        <w:tc>
          <w:tcPr>
            <w:tcW w:w="720" w:type="dxa"/>
            <w:tcBorders>
              <w:top w:val="single" w:sz="4" w:space="0" w:color="auto"/>
              <w:bottom w:val="single" w:sz="4" w:space="0" w:color="auto"/>
              <w:right w:val="single" w:sz="4" w:space="0" w:color="auto"/>
            </w:tcBorders>
            <w:vAlign w:val="center"/>
          </w:tcPr>
          <w:p w14:paraId="01671422" w14:textId="2D5AA04B" w:rsidR="00EF59D9" w:rsidRPr="00BE38DF" w:rsidRDefault="00EF59D9" w:rsidP="00B35FF7">
            <w:pPr>
              <w:keepNext/>
              <w:jc w:val="left"/>
              <w:rPr>
                <w:color w:val="000000"/>
                <w:sz w:val="20"/>
                <w:szCs w:val="20"/>
              </w:rPr>
            </w:pPr>
            <w:r>
              <w:rPr>
                <w:color w:val="000000"/>
                <w:sz w:val="20"/>
                <w:szCs w:val="20"/>
              </w:rPr>
              <w:t>74,500</w:t>
            </w:r>
          </w:p>
        </w:tc>
        <w:tc>
          <w:tcPr>
            <w:tcW w:w="810" w:type="dxa"/>
            <w:tcBorders>
              <w:top w:val="single" w:sz="4" w:space="0" w:color="auto"/>
              <w:left w:val="nil"/>
              <w:bottom w:val="single" w:sz="4" w:space="0" w:color="auto"/>
              <w:right w:val="single" w:sz="4" w:space="0" w:color="auto"/>
            </w:tcBorders>
            <w:vAlign w:val="center"/>
          </w:tcPr>
          <w:p w14:paraId="6A7C155F" w14:textId="3B661B1B" w:rsidR="00EF59D9" w:rsidRPr="00BE38DF" w:rsidRDefault="00EF59D9" w:rsidP="00B35FF7">
            <w:pPr>
              <w:keepNext/>
              <w:jc w:val="left"/>
              <w:rPr>
                <w:color w:val="000000"/>
                <w:sz w:val="20"/>
                <w:szCs w:val="20"/>
              </w:rPr>
            </w:pPr>
            <w:r>
              <w:rPr>
                <w:color w:val="000000"/>
                <w:sz w:val="20"/>
                <w:szCs w:val="20"/>
              </w:rPr>
              <w:t>0</w:t>
            </w:r>
          </w:p>
        </w:tc>
        <w:tc>
          <w:tcPr>
            <w:tcW w:w="900" w:type="dxa"/>
            <w:tcBorders>
              <w:top w:val="single" w:sz="4" w:space="0" w:color="auto"/>
              <w:left w:val="nil"/>
              <w:bottom w:val="single" w:sz="4" w:space="0" w:color="auto"/>
              <w:right w:val="single" w:sz="4" w:space="0" w:color="auto"/>
            </w:tcBorders>
            <w:vAlign w:val="center"/>
          </w:tcPr>
          <w:p w14:paraId="354CC01F" w14:textId="253BD9A1" w:rsidR="00EF59D9" w:rsidRPr="00BE38DF" w:rsidRDefault="00EF59D9" w:rsidP="00B35FF7">
            <w:pPr>
              <w:keepNext/>
              <w:jc w:val="left"/>
              <w:rPr>
                <w:color w:val="000000"/>
                <w:sz w:val="20"/>
                <w:szCs w:val="20"/>
              </w:rPr>
            </w:pPr>
            <w:r>
              <w:rPr>
                <w:color w:val="000000"/>
                <w:sz w:val="20"/>
                <w:szCs w:val="20"/>
              </w:rPr>
              <w:t>60,500</w:t>
            </w:r>
          </w:p>
        </w:tc>
        <w:tc>
          <w:tcPr>
            <w:tcW w:w="720" w:type="dxa"/>
            <w:tcBorders>
              <w:top w:val="single" w:sz="4" w:space="0" w:color="auto"/>
              <w:left w:val="nil"/>
              <w:bottom w:val="single" w:sz="4" w:space="0" w:color="auto"/>
              <w:right w:val="single" w:sz="4" w:space="0" w:color="auto"/>
            </w:tcBorders>
            <w:vAlign w:val="center"/>
          </w:tcPr>
          <w:p w14:paraId="5C7325B3" w14:textId="79BB44F6" w:rsidR="00EF59D9" w:rsidRPr="00BE38DF" w:rsidRDefault="00EF59D9" w:rsidP="00B35FF7">
            <w:pPr>
              <w:keepNext/>
              <w:jc w:val="left"/>
              <w:rPr>
                <w:color w:val="000000"/>
                <w:sz w:val="20"/>
                <w:szCs w:val="20"/>
              </w:rPr>
            </w:pPr>
            <w:r>
              <w:rPr>
                <w:color w:val="000000"/>
                <w:sz w:val="20"/>
                <w:szCs w:val="20"/>
              </w:rPr>
              <w:t>0</w:t>
            </w:r>
          </w:p>
        </w:tc>
        <w:tc>
          <w:tcPr>
            <w:tcW w:w="891" w:type="dxa"/>
            <w:tcBorders>
              <w:top w:val="single" w:sz="4" w:space="0" w:color="auto"/>
              <w:left w:val="nil"/>
              <w:bottom w:val="single" w:sz="4" w:space="0" w:color="auto"/>
              <w:right w:val="single" w:sz="4" w:space="0" w:color="auto"/>
            </w:tcBorders>
            <w:vAlign w:val="center"/>
          </w:tcPr>
          <w:p w14:paraId="487A25F5" w14:textId="313DAE01" w:rsidR="00EF59D9" w:rsidRPr="00BE38DF" w:rsidRDefault="00EF59D9" w:rsidP="00B35FF7">
            <w:pPr>
              <w:keepNext/>
              <w:jc w:val="left"/>
              <w:rPr>
                <w:color w:val="000000"/>
                <w:sz w:val="20"/>
                <w:szCs w:val="20"/>
              </w:rPr>
            </w:pPr>
            <w:r>
              <w:rPr>
                <w:color w:val="000000"/>
                <w:sz w:val="20"/>
                <w:szCs w:val="20"/>
              </w:rPr>
              <w:t>135,000</w:t>
            </w:r>
          </w:p>
        </w:tc>
      </w:tr>
      <w:tr w:rsidR="00EF59D9" w:rsidRPr="00BE38DF" w14:paraId="788CD18D" w14:textId="77777777" w:rsidTr="00A96EFA">
        <w:trPr>
          <w:cantSplit/>
          <w:trHeight w:val="56"/>
          <w:jc w:val="center"/>
        </w:trPr>
        <w:tc>
          <w:tcPr>
            <w:tcW w:w="580" w:type="dxa"/>
            <w:tcBorders>
              <w:top w:val="nil"/>
              <w:left w:val="single" w:sz="4" w:space="0" w:color="auto"/>
              <w:bottom w:val="single" w:sz="4" w:space="0" w:color="auto"/>
              <w:right w:val="single" w:sz="4" w:space="0" w:color="auto"/>
            </w:tcBorders>
            <w:vAlign w:val="center"/>
            <w:hideMark/>
          </w:tcPr>
          <w:p w14:paraId="0A199260" w14:textId="77777777" w:rsidR="00EF59D9" w:rsidRPr="00BE38DF" w:rsidRDefault="00EF59D9" w:rsidP="00EF59D9">
            <w:pPr>
              <w:keepNext/>
              <w:rPr>
                <w:color w:val="000000"/>
                <w:sz w:val="20"/>
                <w:szCs w:val="20"/>
              </w:rPr>
            </w:pPr>
            <w:r>
              <w:rPr>
                <w:color w:val="000000"/>
                <w:sz w:val="20"/>
                <w:szCs w:val="20"/>
              </w:rPr>
              <w:t>2.2</w:t>
            </w:r>
          </w:p>
        </w:tc>
        <w:tc>
          <w:tcPr>
            <w:tcW w:w="4739" w:type="dxa"/>
            <w:gridSpan w:val="2"/>
            <w:tcBorders>
              <w:top w:val="nil"/>
              <w:left w:val="nil"/>
              <w:bottom w:val="single" w:sz="4" w:space="0" w:color="auto"/>
              <w:right w:val="single" w:sz="4" w:space="0" w:color="auto"/>
            </w:tcBorders>
            <w:vAlign w:val="center"/>
            <w:hideMark/>
          </w:tcPr>
          <w:p w14:paraId="121116D7" w14:textId="77777777" w:rsidR="00EF59D9" w:rsidRPr="00BE38DF" w:rsidRDefault="00EF59D9" w:rsidP="00EF59D9">
            <w:pPr>
              <w:keepNext/>
              <w:ind w:right="-88"/>
              <w:rPr>
                <w:color w:val="000000"/>
                <w:sz w:val="20"/>
                <w:szCs w:val="20"/>
              </w:rPr>
            </w:pPr>
            <w:r>
              <w:rPr>
                <w:color w:val="000000"/>
                <w:sz w:val="20"/>
                <w:szCs w:val="20"/>
                <w:rtl/>
              </w:rPr>
              <w:t>تكاليف دعم الوكالة المنفذة الرئيسية (بالدولار الأمريكي)</w:t>
            </w:r>
          </w:p>
        </w:tc>
        <w:tc>
          <w:tcPr>
            <w:tcW w:w="720" w:type="dxa"/>
            <w:tcBorders>
              <w:top w:val="single" w:sz="4" w:space="0" w:color="auto"/>
              <w:bottom w:val="single" w:sz="4" w:space="0" w:color="auto"/>
              <w:right w:val="single" w:sz="4" w:space="0" w:color="auto"/>
            </w:tcBorders>
            <w:vAlign w:val="center"/>
          </w:tcPr>
          <w:p w14:paraId="5A60DD6C" w14:textId="24AA437F" w:rsidR="00EF59D9" w:rsidRPr="00BE38DF" w:rsidRDefault="00EF59D9" w:rsidP="00B35FF7">
            <w:pPr>
              <w:keepNext/>
              <w:jc w:val="left"/>
              <w:rPr>
                <w:color w:val="000000"/>
                <w:sz w:val="20"/>
                <w:szCs w:val="20"/>
              </w:rPr>
            </w:pPr>
            <w:r>
              <w:rPr>
                <w:color w:val="000000"/>
                <w:sz w:val="20"/>
                <w:szCs w:val="20"/>
              </w:rPr>
              <w:t>9,685</w:t>
            </w:r>
          </w:p>
        </w:tc>
        <w:tc>
          <w:tcPr>
            <w:tcW w:w="810" w:type="dxa"/>
            <w:tcBorders>
              <w:top w:val="single" w:sz="4" w:space="0" w:color="auto"/>
              <w:left w:val="nil"/>
              <w:bottom w:val="single" w:sz="4" w:space="0" w:color="auto"/>
              <w:right w:val="single" w:sz="4" w:space="0" w:color="auto"/>
            </w:tcBorders>
            <w:vAlign w:val="center"/>
          </w:tcPr>
          <w:p w14:paraId="511B639B" w14:textId="01F0FED2" w:rsidR="00EF59D9" w:rsidRPr="00BE38DF" w:rsidRDefault="00EF59D9" w:rsidP="00B35FF7">
            <w:pPr>
              <w:keepNext/>
              <w:jc w:val="left"/>
              <w:rPr>
                <w:color w:val="000000"/>
                <w:sz w:val="20"/>
                <w:szCs w:val="20"/>
              </w:rPr>
            </w:pPr>
            <w:r>
              <w:rPr>
                <w:color w:val="000000"/>
                <w:sz w:val="20"/>
                <w:szCs w:val="20"/>
              </w:rPr>
              <w:t>0</w:t>
            </w:r>
          </w:p>
        </w:tc>
        <w:tc>
          <w:tcPr>
            <w:tcW w:w="900" w:type="dxa"/>
            <w:tcBorders>
              <w:top w:val="single" w:sz="4" w:space="0" w:color="auto"/>
              <w:left w:val="nil"/>
              <w:bottom w:val="single" w:sz="4" w:space="0" w:color="auto"/>
              <w:right w:val="single" w:sz="4" w:space="0" w:color="auto"/>
            </w:tcBorders>
            <w:vAlign w:val="center"/>
          </w:tcPr>
          <w:p w14:paraId="22C91650" w14:textId="147C56D7" w:rsidR="00EF59D9" w:rsidRPr="00BE38DF" w:rsidRDefault="00EF59D9" w:rsidP="00B35FF7">
            <w:pPr>
              <w:keepNext/>
              <w:jc w:val="left"/>
              <w:rPr>
                <w:color w:val="000000"/>
                <w:sz w:val="20"/>
                <w:szCs w:val="20"/>
              </w:rPr>
            </w:pPr>
            <w:r>
              <w:rPr>
                <w:color w:val="000000"/>
                <w:sz w:val="20"/>
                <w:szCs w:val="20"/>
              </w:rPr>
              <w:t>7,865</w:t>
            </w:r>
          </w:p>
        </w:tc>
        <w:tc>
          <w:tcPr>
            <w:tcW w:w="720" w:type="dxa"/>
            <w:tcBorders>
              <w:top w:val="single" w:sz="4" w:space="0" w:color="auto"/>
              <w:left w:val="nil"/>
              <w:bottom w:val="single" w:sz="4" w:space="0" w:color="auto"/>
              <w:right w:val="single" w:sz="4" w:space="0" w:color="auto"/>
            </w:tcBorders>
            <w:vAlign w:val="center"/>
          </w:tcPr>
          <w:p w14:paraId="1769CF36" w14:textId="4DD85239" w:rsidR="00EF59D9" w:rsidRPr="00BE38DF" w:rsidRDefault="00EF59D9" w:rsidP="00B35FF7">
            <w:pPr>
              <w:keepNext/>
              <w:jc w:val="left"/>
              <w:rPr>
                <w:color w:val="000000"/>
                <w:sz w:val="20"/>
                <w:szCs w:val="20"/>
              </w:rPr>
            </w:pPr>
            <w:r>
              <w:rPr>
                <w:color w:val="000000"/>
                <w:sz w:val="20"/>
                <w:szCs w:val="20"/>
              </w:rPr>
              <w:t>0</w:t>
            </w:r>
          </w:p>
        </w:tc>
        <w:tc>
          <w:tcPr>
            <w:tcW w:w="891" w:type="dxa"/>
            <w:tcBorders>
              <w:top w:val="single" w:sz="4" w:space="0" w:color="auto"/>
              <w:left w:val="nil"/>
              <w:bottom w:val="single" w:sz="4" w:space="0" w:color="auto"/>
              <w:right w:val="single" w:sz="4" w:space="0" w:color="auto"/>
            </w:tcBorders>
            <w:vAlign w:val="center"/>
          </w:tcPr>
          <w:p w14:paraId="513EFD6B" w14:textId="5409A3BE" w:rsidR="00EF59D9" w:rsidRPr="00BE38DF" w:rsidRDefault="00EF59D9" w:rsidP="00B35FF7">
            <w:pPr>
              <w:keepNext/>
              <w:jc w:val="left"/>
              <w:rPr>
                <w:color w:val="000000"/>
                <w:sz w:val="20"/>
                <w:szCs w:val="20"/>
              </w:rPr>
            </w:pPr>
            <w:r>
              <w:rPr>
                <w:color w:val="000000"/>
                <w:sz w:val="20"/>
                <w:szCs w:val="20"/>
              </w:rPr>
              <w:t>17,550</w:t>
            </w:r>
          </w:p>
        </w:tc>
      </w:tr>
      <w:tr w:rsidR="00EF59D9" w:rsidRPr="00BE38DF" w14:paraId="41825B41" w14:textId="77777777" w:rsidTr="00A96EFA">
        <w:trPr>
          <w:cantSplit/>
          <w:trHeight w:val="62"/>
          <w:jc w:val="center"/>
        </w:trPr>
        <w:tc>
          <w:tcPr>
            <w:tcW w:w="5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68A721" w14:textId="77777777" w:rsidR="00EF59D9" w:rsidRPr="00BE38DF" w:rsidRDefault="00EF59D9" w:rsidP="00EF59D9">
            <w:pPr>
              <w:keepNext/>
              <w:rPr>
                <w:color w:val="000000"/>
                <w:sz w:val="20"/>
                <w:szCs w:val="20"/>
              </w:rPr>
            </w:pPr>
            <w:r>
              <w:rPr>
                <w:color w:val="000000"/>
                <w:sz w:val="20"/>
                <w:szCs w:val="20"/>
              </w:rPr>
              <w:t>3.1</w:t>
            </w:r>
          </w:p>
        </w:tc>
        <w:tc>
          <w:tcPr>
            <w:tcW w:w="4739" w:type="dxa"/>
            <w:gridSpan w:val="2"/>
            <w:tcBorders>
              <w:top w:val="nil"/>
              <w:left w:val="nil"/>
              <w:bottom w:val="single" w:sz="4" w:space="0" w:color="auto"/>
              <w:right w:val="single" w:sz="4" w:space="0" w:color="auto"/>
            </w:tcBorders>
            <w:vAlign w:val="center"/>
            <w:hideMark/>
          </w:tcPr>
          <w:p w14:paraId="0AE068BF" w14:textId="77777777" w:rsidR="00EF59D9" w:rsidRPr="00BE38DF" w:rsidRDefault="00EF59D9" w:rsidP="00EF59D9">
            <w:pPr>
              <w:keepNext/>
              <w:rPr>
                <w:color w:val="000000"/>
                <w:sz w:val="20"/>
                <w:szCs w:val="20"/>
              </w:rPr>
            </w:pPr>
            <w:r>
              <w:rPr>
                <w:color w:val="000000"/>
                <w:sz w:val="20"/>
                <w:szCs w:val="20"/>
                <w:rtl/>
              </w:rPr>
              <w:t>مجموع التمويل المتفق عليه (بالدولار الأمريكي)</w:t>
            </w:r>
          </w:p>
        </w:tc>
        <w:tc>
          <w:tcPr>
            <w:tcW w:w="720" w:type="dxa"/>
            <w:tcBorders>
              <w:top w:val="single" w:sz="4" w:space="0" w:color="auto"/>
              <w:bottom w:val="single" w:sz="4" w:space="0" w:color="auto"/>
              <w:right w:val="single" w:sz="4" w:space="0" w:color="auto"/>
            </w:tcBorders>
            <w:vAlign w:val="center"/>
          </w:tcPr>
          <w:p w14:paraId="684299E1" w14:textId="7DE3C636" w:rsidR="00EF59D9" w:rsidRPr="00BE38DF" w:rsidRDefault="00EF59D9" w:rsidP="00B35FF7">
            <w:pPr>
              <w:keepNext/>
              <w:jc w:val="left"/>
              <w:rPr>
                <w:color w:val="000000"/>
                <w:sz w:val="20"/>
                <w:szCs w:val="20"/>
              </w:rPr>
            </w:pPr>
            <w:r>
              <w:rPr>
                <w:color w:val="000000"/>
                <w:sz w:val="20"/>
                <w:szCs w:val="20"/>
              </w:rPr>
              <w:t>74,500</w:t>
            </w:r>
          </w:p>
        </w:tc>
        <w:tc>
          <w:tcPr>
            <w:tcW w:w="810" w:type="dxa"/>
            <w:tcBorders>
              <w:top w:val="single" w:sz="4" w:space="0" w:color="auto"/>
              <w:left w:val="nil"/>
              <w:bottom w:val="single" w:sz="4" w:space="0" w:color="auto"/>
              <w:right w:val="single" w:sz="4" w:space="0" w:color="auto"/>
            </w:tcBorders>
            <w:vAlign w:val="center"/>
          </w:tcPr>
          <w:p w14:paraId="5E16479F" w14:textId="65DA14BE" w:rsidR="00EF59D9" w:rsidRPr="00BE38DF" w:rsidRDefault="00EF59D9" w:rsidP="00B35FF7">
            <w:pPr>
              <w:keepNext/>
              <w:jc w:val="left"/>
              <w:rPr>
                <w:color w:val="000000"/>
                <w:sz w:val="20"/>
                <w:szCs w:val="20"/>
              </w:rPr>
            </w:pPr>
            <w:r>
              <w:rPr>
                <w:color w:val="000000"/>
                <w:sz w:val="20"/>
                <w:szCs w:val="20"/>
              </w:rPr>
              <w:t>0</w:t>
            </w:r>
          </w:p>
        </w:tc>
        <w:tc>
          <w:tcPr>
            <w:tcW w:w="900" w:type="dxa"/>
            <w:tcBorders>
              <w:top w:val="single" w:sz="4" w:space="0" w:color="auto"/>
              <w:left w:val="nil"/>
              <w:bottom w:val="single" w:sz="4" w:space="0" w:color="auto"/>
              <w:right w:val="single" w:sz="4" w:space="0" w:color="auto"/>
            </w:tcBorders>
            <w:vAlign w:val="center"/>
          </w:tcPr>
          <w:p w14:paraId="17C67468" w14:textId="46B9DC7B" w:rsidR="00EF59D9" w:rsidRPr="00BE38DF" w:rsidRDefault="00EF59D9" w:rsidP="00B35FF7">
            <w:pPr>
              <w:keepNext/>
              <w:jc w:val="left"/>
              <w:rPr>
                <w:color w:val="000000"/>
                <w:sz w:val="20"/>
                <w:szCs w:val="20"/>
              </w:rPr>
            </w:pPr>
            <w:r>
              <w:rPr>
                <w:color w:val="000000"/>
                <w:sz w:val="20"/>
                <w:szCs w:val="20"/>
              </w:rPr>
              <w:t>60,500</w:t>
            </w:r>
          </w:p>
        </w:tc>
        <w:tc>
          <w:tcPr>
            <w:tcW w:w="720" w:type="dxa"/>
            <w:tcBorders>
              <w:top w:val="single" w:sz="4" w:space="0" w:color="auto"/>
              <w:left w:val="nil"/>
              <w:bottom w:val="single" w:sz="4" w:space="0" w:color="auto"/>
              <w:right w:val="single" w:sz="4" w:space="0" w:color="auto"/>
            </w:tcBorders>
            <w:vAlign w:val="center"/>
          </w:tcPr>
          <w:p w14:paraId="336C84DC" w14:textId="1BF98A4E" w:rsidR="00EF59D9" w:rsidRPr="00BE38DF" w:rsidRDefault="00EF59D9" w:rsidP="00B35FF7">
            <w:pPr>
              <w:keepNext/>
              <w:jc w:val="left"/>
              <w:rPr>
                <w:color w:val="000000"/>
                <w:sz w:val="20"/>
                <w:szCs w:val="20"/>
              </w:rPr>
            </w:pPr>
            <w:r>
              <w:rPr>
                <w:color w:val="000000"/>
                <w:sz w:val="20"/>
                <w:szCs w:val="20"/>
              </w:rPr>
              <w:t>0</w:t>
            </w:r>
          </w:p>
        </w:tc>
        <w:tc>
          <w:tcPr>
            <w:tcW w:w="891" w:type="dxa"/>
            <w:tcBorders>
              <w:top w:val="single" w:sz="4" w:space="0" w:color="auto"/>
              <w:left w:val="nil"/>
              <w:bottom w:val="single" w:sz="4" w:space="0" w:color="auto"/>
              <w:right w:val="single" w:sz="4" w:space="0" w:color="auto"/>
            </w:tcBorders>
            <w:vAlign w:val="center"/>
          </w:tcPr>
          <w:p w14:paraId="6531C5E9" w14:textId="58D796E9" w:rsidR="00EF59D9" w:rsidRPr="00BE38DF" w:rsidRDefault="00EF59D9" w:rsidP="00B35FF7">
            <w:pPr>
              <w:keepNext/>
              <w:jc w:val="left"/>
              <w:rPr>
                <w:color w:val="000000"/>
                <w:sz w:val="20"/>
                <w:szCs w:val="20"/>
              </w:rPr>
            </w:pPr>
            <w:r>
              <w:rPr>
                <w:color w:val="000000"/>
                <w:sz w:val="20"/>
                <w:szCs w:val="20"/>
              </w:rPr>
              <w:t>135,000</w:t>
            </w:r>
          </w:p>
        </w:tc>
      </w:tr>
      <w:tr w:rsidR="00EF59D9" w:rsidRPr="00BE38DF" w14:paraId="3BF432D4" w14:textId="77777777" w:rsidTr="00A96EFA">
        <w:trPr>
          <w:cantSplit/>
          <w:trHeight w:val="62"/>
          <w:jc w:val="center"/>
        </w:trPr>
        <w:tc>
          <w:tcPr>
            <w:tcW w:w="5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F39DC3" w14:textId="77777777" w:rsidR="00EF59D9" w:rsidRPr="00BE38DF" w:rsidRDefault="00EF59D9" w:rsidP="00EF59D9">
            <w:pPr>
              <w:keepNext/>
              <w:rPr>
                <w:color w:val="000000"/>
                <w:sz w:val="20"/>
                <w:szCs w:val="20"/>
              </w:rPr>
            </w:pPr>
            <w:r>
              <w:rPr>
                <w:color w:val="000000"/>
                <w:sz w:val="20"/>
                <w:szCs w:val="20"/>
              </w:rPr>
              <w:t>3.2</w:t>
            </w:r>
          </w:p>
        </w:tc>
        <w:tc>
          <w:tcPr>
            <w:tcW w:w="4739" w:type="dxa"/>
            <w:gridSpan w:val="2"/>
            <w:tcBorders>
              <w:top w:val="nil"/>
              <w:left w:val="nil"/>
              <w:bottom w:val="single" w:sz="4" w:space="0" w:color="auto"/>
              <w:right w:val="single" w:sz="4" w:space="0" w:color="auto"/>
            </w:tcBorders>
            <w:vAlign w:val="center"/>
            <w:hideMark/>
          </w:tcPr>
          <w:p w14:paraId="5CF810D0" w14:textId="77777777" w:rsidR="00EF59D9" w:rsidRPr="00BE38DF" w:rsidRDefault="00EF59D9" w:rsidP="00EF59D9">
            <w:pPr>
              <w:keepNext/>
              <w:rPr>
                <w:color w:val="000000"/>
                <w:sz w:val="20"/>
                <w:szCs w:val="20"/>
              </w:rPr>
            </w:pPr>
            <w:r>
              <w:rPr>
                <w:color w:val="000000"/>
                <w:sz w:val="20"/>
                <w:szCs w:val="20"/>
                <w:rtl/>
              </w:rPr>
              <w:t>مجموع تكاليف الدعم (بالدولار الأمريكي)</w:t>
            </w:r>
          </w:p>
        </w:tc>
        <w:tc>
          <w:tcPr>
            <w:tcW w:w="720" w:type="dxa"/>
            <w:tcBorders>
              <w:top w:val="single" w:sz="4" w:space="0" w:color="auto"/>
              <w:bottom w:val="single" w:sz="4" w:space="0" w:color="auto"/>
              <w:right w:val="single" w:sz="4" w:space="0" w:color="auto"/>
            </w:tcBorders>
            <w:vAlign w:val="center"/>
          </w:tcPr>
          <w:p w14:paraId="1801C459" w14:textId="41CB04C2" w:rsidR="00EF59D9" w:rsidRPr="00BE38DF" w:rsidRDefault="00EF59D9" w:rsidP="00B35FF7">
            <w:pPr>
              <w:keepNext/>
              <w:jc w:val="left"/>
              <w:rPr>
                <w:color w:val="000000"/>
                <w:sz w:val="20"/>
                <w:szCs w:val="20"/>
              </w:rPr>
            </w:pPr>
            <w:r>
              <w:rPr>
                <w:color w:val="000000"/>
                <w:sz w:val="20"/>
                <w:szCs w:val="20"/>
              </w:rPr>
              <w:t>9,685</w:t>
            </w:r>
          </w:p>
        </w:tc>
        <w:tc>
          <w:tcPr>
            <w:tcW w:w="810" w:type="dxa"/>
            <w:tcBorders>
              <w:top w:val="single" w:sz="4" w:space="0" w:color="auto"/>
              <w:left w:val="nil"/>
              <w:bottom w:val="single" w:sz="4" w:space="0" w:color="auto"/>
              <w:right w:val="single" w:sz="4" w:space="0" w:color="auto"/>
            </w:tcBorders>
            <w:vAlign w:val="center"/>
          </w:tcPr>
          <w:p w14:paraId="16D6489A" w14:textId="7B01F2C2" w:rsidR="00EF59D9" w:rsidRPr="00BE38DF" w:rsidRDefault="00EF59D9" w:rsidP="00B35FF7">
            <w:pPr>
              <w:keepNext/>
              <w:jc w:val="left"/>
              <w:rPr>
                <w:color w:val="000000"/>
                <w:sz w:val="20"/>
                <w:szCs w:val="20"/>
              </w:rPr>
            </w:pPr>
            <w:r>
              <w:rPr>
                <w:color w:val="000000"/>
                <w:sz w:val="20"/>
                <w:szCs w:val="20"/>
              </w:rPr>
              <w:t>0</w:t>
            </w:r>
          </w:p>
        </w:tc>
        <w:tc>
          <w:tcPr>
            <w:tcW w:w="900" w:type="dxa"/>
            <w:tcBorders>
              <w:top w:val="single" w:sz="4" w:space="0" w:color="auto"/>
              <w:left w:val="nil"/>
              <w:bottom w:val="single" w:sz="4" w:space="0" w:color="auto"/>
              <w:right w:val="single" w:sz="4" w:space="0" w:color="auto"/>
            </w:tcBorders>
            <w:vAlign w:val="center"/>
          </w:tcPr>
          <w:p w14:paraId="35ABED40" w14:textId="67219085" w:rsidR="00EF59D9" w:rsidRPr="00BE38DF" w:rsidRDefault="00EF59D9" w:rsidP="00B35FF7">
            <w:pPr>
              <w:keepNext/>
              <w:jc w:val="left"/>
              <w:rPr>
                <w:color w:val="000000"/>
                <w:sz w:val="20"/>
                <w:szCs w:val="20"/>
              </w:rPr>
            </w:pPr>
            <w:r>
              <w:rPr>
                <w:color w:val="000000"/>
                <w:sz w:val="20"/>
                <w:szCs w:val="20"/>
              </w:rPr>
              <w:t>7,865</w:t>
            </w:r>
          </w:p>
        </w:tc>
        <w:tc>
          <w:tcPr>
            <w:tcW w:w="720" w:type="dxa"/>
            <w:tcBorders>
              <w:top w:val="single" w:sz="4" w:space="0" w:color="auto"/>
              <w:left w:val="nil"/>
              <w:bottom w:val="single" w:sz="4" w:space="0" w:color="auto"/>
              <w:right w:val="single" w:sz="4" w:space="0" w:color="auto"/>
            </w:tcBorders>
            <w:vAlign w:val="center"/>
          </w:tcPr>
          <w:p w14:paraId="1FB977A9" w14:textId="7D076EAC" w:rsidR="00EF59D9" w:rsidRPr="00BE38DF" w:rsidRDefault="00EF59D9" w:rsidP="00B35FF7">
            <w:pPr>
              <w:keepNext/>
              <w:jc w:val="left"/>
              <w:rPr>
                <w:color w:val="000000"/>
                <w:sz w:val="20"/>
                <w:szCs w:val="20"/>
              </w:rPr>
            </w:pPr>
            <w:r>
              <w:rPr>
                <w:color w:val="000000"/>
                <w:sz w:val="20"/>
                <w:szCs w:val="20"/>
              </w:rPr>
              <w:t>0</w:t>
            </w:r>
          </w:p>
        </w:tc>
        <w:tc>
          <w:tcPr>
            <w:tcW w:w="891" w:type="dxa"/>
            <w:tcBorders>
              <w:top w:val="single" w:sz="4" w:space="0" w:color="auto"/>
              <w:left w:val="nil"/>
              <w:bottom w:val="single" w:sz="4" w:space="0" w:color="auto"/>
              <w:right w:val="single" w:sz="4" w:space="0" w:color="auto"/>
            </w:tcBorders>
            <w:vAlign w:val="center"/>
          </w:tcPr>
          <w:p w14:paraId="293045D8" w14:textId="2087796D" w:rsidR="00EF59D9" w:rsidRPr="00BE38DF" w:rsidRDefault="00EF59D9" w:rsidP="00B35FF7">
            <w:pPr>
              <w:keepNext/>
              <w:jc w:val="left"/>
              <w:rPr>
                <w:color w:val="000000"/>
                <w:sz w:val="20"/>
                <w:szCs w:val="20"/>
              </w:rPr>
            </w:pPr>
            <w:r>
              <w:rPr>
                <w:color w:val="000000"/>
                <w:sz w:val="20"/>
                <w:szCs w:val="20"/>
              </w:rPr>
              <w:t>17,550</w:t>
            </w:r>
          </w:p>
        </w:tc>
      </w:tr>
      <w:tr w:rsidR="00EF59D9" w:rsidRPr="00BE38DF" w14:paraId="32FE69B4" w14:textId="77777777" w:rsidTr="00A96EFA">
        <w:trPr>
          <w:cantSplit/>
          <w:trHeight w:val="54"/>
          <w:jc w:val="center"/>
        </w:trPr>
        <w:tc>
          <w:tcPr>
            <w:tcW w:w="5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4ED42C" w14:textId="77777777" w:rsidR="00EF59D9" w:rsidRPr="00BE38DF" w:rsidRDefault="00EF59D9" w:rsidP="00EF59D9">
            <w:pPr>
              <w:rPr>
                <w:color w:val="000000"/>
                <w:sz w:val="20"/>
                <w:szCs w:val="20"/>
              </w:rPr>
            </w:pPr>
            <w:r>
              <w:rPr>
                <w:color w:val="000000"/>
                <w:sz w:val="20"/>
                <w:szCs w:val="20"/>
              </w:rPr>
              <w:t>3.3</w:t>
            </w:r>
          </w:p>
        </w:tc>
        <w:tc>
          <w:tcPr>
            <w:tcW w:w="4739" w:type="dxa"/>
            <w:gridSpan w:val="2"/>
            <w:tcBorders>
              <w:top w:val="nil"/>
              <w:left w:val="nil"/>
              <w:bottom w:val="single" w:sz="4" w:space="0" w:color="auto"/>
              <w:right w:val="single" w:sz="4" w:space="0" w:color="auto"/>
            </w:tcBorders>
            <w:vAlign w:val="center"/>
            <w:hideMark/>
          </w:tcPr>
          <w:p w14:paraId="452E57B4" w14:textId="77777777" w:rsidR="00EF59D9" w:rsidRPr="00BE38DF" w:rsidRDefault="00EF59D9" w:rsidP="00EF59D9">
            <w:pPr>
              <w:rPr>
                <w:color w:val="000000"/>
                <w:sz w:val="20"/>
                <w:szCs w:val="20"/>
              </w:rPr>
            </w:pPr>
            <w:r>
              <w:rPr>
                <w:color w:val="000000"/>
                <w:sz w:val="20"/>
                <w:szCs w:val="20"/>
                <w:rtl/>
              </w:rPr>
              <w:t>مجموع التكاليف المتفق عليها (بالدولار الأمريكي)</w:t>
            </w:r>
          </w:p>
        </w:tc>
        <w:tc>
          <w:tcPr>
            <w:tcW w:w="720" w:type="dxa"/>
            <w:tcBorders>
              <w:top w:val="single" w:sz="4" w:space="0" w:color="auto"/>
              <w:bottom w:val="single" w:sz="4" w:space="0" w:color="auto"/>
              <w:right w:val="single" w:sz="4" w:space="0" w:color="auto"/>
            </w:tcBorders>
            <w:vAlign w:val="center"/>
          </w:tcPr>
          <w:p w14:paraId="51268E7F" w14:textId="239B3A00" w:rsidR="00EF59D9" w:rsidRPr="00BE38DF" w:rsidRDefault="00EF59D9" w:rsidP="00B35FF7">
            <w:pPr>
              <w:jc w:val="left"/>
              <w:rPr>
                <w:color w:val="000000"/>
                <w:sz w:val="20"/>
                <w:szCs w:val="20"/>
              </w:rPr>
            </w:pPr>
            <w:r>
              <w:rPr>
                <w:color w:val="000000"/>
                <w:sz w:val="20"/>
                <w:szCs w:val="20"/>
              </w:rPr>
              <w:t>84,185</w:t>
            </w:r>
          </w:p>
        </w:tc>
        <w:tc>
          <w:tcPr>
            <w:tcW w:w="810" w:type="dxa"/>
            <w:tcBorders>
              <w:top w:val="single" w:sz="4" w:space="0" w:color="auto"/>
              <w:left w:val="nil"/>
              <w:bottom w:val="single" w:sz="4" w:space="0" w:color="auto"/>
              <w:right w:val="single" w:sz="4" w:space="0" w:color="auto"/>
            </w:tcBorders>
            <w:vAlign w:val="center"/>
          </w:tcPr>
          <w:p w14:paraId="4F356F35" w14:textId="5850ACF7" w:rsidR="00EF59D9" w:rsidRPr="00BE38DF" w:rsidRDefault="00EF59D9" w:rsidP="00B35FF7">
            <w:pPr>
              <w:jc w:val="left"/>
              <w:rPr>
                <w:color w:val="000000"/>
                <w:sz w:val="20"/>
                <w:szCs w:val="20"/>
              </w:rPr>
            </w:pPr>
            <w:r>
              <w:rPr>
                <w:color w:val="000000"/>
                <w:sz w:val="20"/>
                <w:szCs w:val="20"/>
              </w:rPr>
              <w:t>0</w:t>
            </w:r>
          </w:p>
        </w:tc>
        <w:tc>
          <w:tcPr>
            <w:tcW w:w="900" w:type="dxa"/>
            <w:tcBorders>
              <w:top w:val="single" w:sz="4" w:space="0" w:color="auto"/>
              <w:left w:val="nil"/>
              <w:bottom w:val="single" w:sz="4" w:space="0" w:color="auto"/>
              <w:right w:val="single" w:sz="4" w:space="0" w:color="auto"/>
            </w:tcBorders>
            <w:vAlign w:val="center"/>
          </w:tcPr>
          <w:p w14:paraId="4FF8329F" w14:textId="16CAE8AA" w:rsidR="00EF59D9" w:rsidRPr="00BE38DF" w:rsidRDefault="00EF59D9" w:rsidP="00B35FF7">
            <w:pPr>
              <w:jc w:val="left"/>
              <w:rPr>
                <w:color w:val="000000"/>
                <w:sz w:val="20"/>
                <w:szCs w:val="20"/>
              </w:rPr>
            </w:pPr>
            <w:r>
              <w:rPr>
                <w:color w:val="000000"/>
                <w:sz w:val="20"/>
                <w:szCs w:val="20"/>
              </w:rPr>
              <w:t>68,365</w:t>
            </w:r>
          </w:p>
        </w:tc>
        <w:tc>
          <w:tcPr>
            <w:tcW w:w="720" w:type="dxa"/>
            <w:tcBorders>
              <w:top w:val="single" w:sz="4" w:space="0" w:color="auto"/>
              <w:left w:val="nil"/>
              <w:bottom w:val="single" w:sz="4" w:space="0" w:color="auto"/>
              <w:right w:val="single" w:sz="4" w:space="0" w:color="auto"/>
            </w:tcBorders>
            <w:vAlign w:val="center"/>
          </w:tcPr>
          <w:p w14:paraId="7FBAECF4" w14:textId="02D3293A" w:rsidR="00EF59D9" w:rsidRPr="00BE38DF" w:rsidRDefault="00EF59D9" w:rsidP="00B35FF7">
            <w:pPr>
              <w:jc w:val="left"/>
              <w:rPr>
                <w:color w:val="000000"/>
                <w:sz w:val="20"/>
                <w:szCs w:val="20"/>
              </w:rPr>
            </w:pPr>
            <w:r>
              <w:rPr>
                <w:color w:val="000000"/>
                <w:sz w:val="20"/>
                <w:szCs w:val="20"/>
              </w:rPr>
              <w:t>0</w:t>
            </w:r>
          </w:p>
        </w:tc>
        <w:tc>
          <w:tcPr>
            <w:tcW w:w="891" w:type="dxa"/>
            <w:tcBorders>
              <w:top w:val="single" w:sz="4" w:space="0" w:color="auto"/>
              <w:left w:val="nil"/>
              <w:bottom w:val="single" w:sz="4" w:space="0" w:color="auto"/>
              <w:right w:val="single" w:sz="4" w:space="0" w:color="auto"/>
            </w:tcBorders>
            <w:vAlign w:val="center"/>
          </w:tcPr>
          <w:p w14:paraId="41213BC2" w14:textId="5384C7F0" w:rsidR="00EF59D9" w:rsidRPr="00BE38DF" w:rsidRDefault="00EF59D9" w:rsidP="00B35FF7">
            <w:pPr>
              <w:jc w:val="left"/>
              <w:rPr>
                <w:color w:val="000000"/>
                <w:sz w:val="20"/>
                <w:szCs w:val="20"/>
              </w:rPr>
            </w:pPr>
            <w:r>
              <w:rPr>
                <w:color w:val="000000"/>
                <w:sz w:val="20"/>
                <w:szCs w:val="20"/>
              </w:rPr>
              <w:t>152,550</w:t>
            </w:r>
          </w:p>
        </w:tc>
      </w:tr>
    </w:tbl>
    <w:p w14:paraId="387713E2" w14:textId="77777777" w:rsidR="00CB0432" w:rsidRPr="00BE38DF" w:rsidRDefault="00CB0432" w:rsidP="00CB0432">
      <w:pPr>
        <w:keepNext/>
        <w:spacing w:before="360" w:after="240"/>
        <w:rPr>
          <w:b/>
          <w:bCs/>
          <w:sz w:val="26"/>
          <w:szCs w:val="26"/>
        </w:rPr>
      </w:pPr>
      <w:r>
        <w:rPr>
          <w:b/>
          <w:bCs/>
          <w:sz w:val="26"/>
          <w:szCs w:val="26"/>
          <w:rtl/>
        </w:rPr>
        <w:t>التذييل 3</w:t>
      </w:r>
      <w:r>
        <w:rPr>
          <w:b/>
          <w:bCs/>
          <w:sz w:val="26"/>
          <w:szCs w:val="26"/>
          <w:rtl/>
        </w:rPr>
        <w:noBreakHyphen/>
        <w:t>ألف: الجدول الزمني للموافقة على التمويل</w:t>
      </w:r>
    </w:p>
    <w:p w14:paraId="4B42A130" w14:textId="4C532A93" w:rsidR="00CB0432" w:rsidRPr="00BE38DF" w:rsidRDefault="00CB0432" w:rsidP="00DE2C96">
      <w:pPr>
        <w:pStyle w:val="Heading1"/>
        <w:numPr>
          <w:ilvl w:val="0"/>
          <w:numId w:val="10"/>
        </w:numPr>
        <w:rPr>
          <w:sz w:val="26"/>
          <w:szCs w:val="26"/>
        </w:rPr>
      </w:pPr>
      <w:r>
        <w:rPr>
          <w:sz w:val="26"/>
          <w:szCs w:val="26"/>
          <w:rtl/>
        </w:rPr>
        <w:t>سيُنظر في تمويل الشرائح المقبلة للموافقة عليه في الاجتماع الثاني من السنة المحددة في التذييل 2</w:t>
      </w:r>
      <w:r>
        <w:rPr>
          <w:sz w:val="26"/>
          <w:szCs w:val="26"/>
          <w:rtl/>
        </w:rPr>
        <w:noBreakHyphen/>
        <w:t>ألف.</w:t>
      </w:r>
    </w:p>
    <w:p w14:paraId="562E9158" w14:textId="601A51D4" w:rsidR="00CB0432" w:rsidRPr="00BE38DF" w:rsidRDefault="00CB0432" w:rsidP="00CB0432">
      <w:pPr>
        <w:keepNext/>
        <w:spacing w:before="360" w:after="240"/>
        <w:rPr>
          <w:b/>
          <w:bCs/>
          <w:sz w:val="26"/>
          <w:szCs w:val="26"/>
        </w:rPr>
      </w:pPr>
      <w:r>
        <w:rPr>
          <w:b/>
          <w:bCs/>
          <w:sz w:val="26"/>
          <w:szCs w:val="26"/>
          <w:rtl/>
        </w:rPr>
        <w:t>التذييل 4</w:t>
      </w:r>
      <w:r>
        <w:rPr>
          <w:b/>
          <w:bCs/>
          <w:sz w:val="26"/>
          <w:szCs w:val="26"/>
          <w:rtl/>
        </w:rPr>
        <w:noBreakHyphen/>
        <w:t>ألف: شكل تقارير وخطط تنفيذ الشرائح</w:t>
      </w:r>
    </w:p>
    <w:p w14:paraId="538AADD1" w14:textId="77777777" w:rsidR="00CB0432" w:rsidRPr="00BE38DF" w:rsidRDefault="00CB0432" w:rsidP="00DE2C96">
      <w:pPr>
        <w:pStyle w:val="Heading1"/>
        <w:numPr>
          <w:ilvl w:val="0"/>
          <w:numId w:val="11"/>
        </w:numPr>
        <w:rPr>
          <w:sz w:val="26"/>
          <w:szCs w:val="26"/>
        </w:rPr>
      </w:pPr>
      <w:r>
        <w:rPr>
          <w:sz w:val="26"/>
          <w:szCs w:val="26"/>
          <w:rtl/>
        </w:rPr>
        <w:t>يتألف تقرير تنفيذ الشريحة وخططها المقدمة مع كل طلب لشريحة من أربعة أجزاء:</w:t>
      </w:r>
    </w:p>
    <w:p w14:paraId="0A3B0465" w14:textId="77777777" w:rsidR="00CB0432" w:rsidRPr="00BE38DF" w:rsidRDefault="00CB0432" w:rsidP="00CB0432">
      <w:pPr>
        <w:pStyle w:val="Heading2"/>
        <w:rPr>
          <w:sz w:val="26"/>
          <w:szCs w:val="26"/>
        </w:rPr>
      </w:pPr>
      <w:r>
        <w:rPr>
          <w:sz w:val="26"/>
          <w:szCs w:val="26"/>
          <w:rtl/>
        </w:rPr>
        <w:t xml:space="preserve">تقرير سردي، مع تقديم البيانات حسب الشريحة، يصف التقدم المحرز منذ التقرير السابق، ويعكس حالة البلد فيما يتعلق بالتخفيض التدريجي لمواد المرفق واو، وكيفية إسهام مختلف الأنشطة في ذلك، وكيفية ارتباطها ببعضها، بما في ذلك، عند الاقتضاء، الأنشطة المتعلقة بكفاءة استخدام الطاقة الموافق عليها في سياق التخفيض التدريجي للمواد الهيدروفلوروكربونية عملاً بالمقرر 91/65. وينبغي أن يتضمن التقرير كمية استهلاك مواد المرفق واو التي خُفضت نتيجة مباشرة لتنفيذ الأنشطة، حسب المادة، والتكنولوجيا البديلة المستخدمة وما يتصل بها من إدخال تدريجي للبدائل، لتمكين الأمانة من إبلاغ اللجنة التنفيذية بالتغير الناتج في الانبعاثات ذات الصلة بالمناخ. وينبغي أن يتضمن التقرير </w:t>
      </w:r>
      <w:r>
        <w:rPr>
          <w:sz w:val="26"/>
          <w:szCs w:val="26"/>
          <w:rtl/>
        </w:rPr>
        <w:lastRenderedPageBreak/>
        <w:t>أيضاً معلومات كمية عن الأنشطة المنفذة، وأن يبرز كذلك النجاحات والتجارب والتحديات المتصلة بمختلف الأنشطة المدرجة في الخطة، بما يعكس أي تغييرات في الظروف السائدة في البلد، وأن يقدم معلومات أخرى ذات صلة. وينبغي أن يتضمن التقرير أيضاً معلومات عن أي تغييرات مقارنة بخطة (خطط) تنفيذ الشرائح المقدمة سابقاً، ومبررات تلك التغييرات، مثل التأخيرات، واستخدام المرونة في إعادة تخصيص الأموال أثناء تنفيذ الشريحة على النحو المنصوص عليه في الفقرة 7 من هذا الاتفاق، أو غير ذلك من التغييرات؛</w:t>
      </w:r>
    </w:p>
    <w:p w14:paraId="15244586" w14:textId="77777777" w:rsidR="00CB0432" w:rsidRPr="00BE38DF" w:rsidRDefault="00CB0432" w:rsidP="00CB0432">
      <w:pPr>
        <w:pStyle w:val="Heading2"/>
        <w:rPr>
          <w:sz w:val="26"/>
          <w:szCs w:val="26"/>
        </w:rPr>
      </w:pPr>
      <w:r>
        <w:rPr>
          <w:sz w:val="26"/>
          <w:szCs w:val="26"/>
          <w:rtl/>
        </w:rPr>
        <w:t>تقرير تحقق مستقل عن نتائج الخطة واستهلاك مواد المرفق واو، وفقاً للفقرة الفرعية 5(ب) من الاتفاق. وما لم تقرر اللجنة التنفيذية خلاف ذلك، يجب تقديم هذا التحقق من بيانات الاستهلاك مع كل طلب لشريحة، بحيث يشمل جميع السنوات المعنية التي لم تُقرّ اللجنة بعدُ بتلقي تقرير تحقق بشأنها، على النحو المحدد في الفقرة الفرعية 5(أ) من الاتفاق؛</w:t>
      </w:r>
    </w:p>
    <w:p w14:paraId="2B8BED50" w14:textId="77777777" w:rsidR="00CB0432" w:rsidRPr="00BE38DF" w:rsidRDefault="00CB0432" w:rsidP="00CB0432">
      <w:pPr>
        <w:pStyle w:val="Heading2"/>
        <w:rPr>
          <w:sz w:val="26"/>
          <w:szCs w:val="26"/>
        </w:rPr>
      </w:pPr>
      <w:r>
        <w:rPr>
          <w:sz w:val="26"/>
          <w:szCs w:val="26"/>
          <w:rtl/>
        </w:rPr>
        <w:t>وصف خطي للأنشطة المقرر الاضطلاع بها خلال الفترة التي تشملها الشريحة المطلوبة، بما في ذلك معلومات كمية، يبرز المعالم الرئيسية للتنفيذ وموعد الإنجاز والترابط بين الأنشطة، مع مراعاة التجارب المكتسبة والتقدم المحرز في تنفيذ الشرائح السابقة؛ وتُقدَّم البيانات الواردة في الخطة حسب السنة التقويمية. وينبغي أن يتضمن الوصف إشارة إلى الخطة الشاملة والتقدم المحرز، وكذلك إلى أي تغييرات ممكنة متوقعة في الخطة الشاملة. وينبغي أن يحدد الوصف أيضاً هذه التغييرات في الخطة الشاملة ويشرحها بالتفصيل. ويمكن تقديم وصف الأنشطة المقبلة هذا جزءاً من الوثيقة نفسها التي تتضمن التقرير السردي المشار إليه في الفقرة الفرعية 1(أ) أعلاه؛</w:t>
      </w:r>
    </w:p>
    <w:p w14:paraId="321BE26A" w14:textId="77777777" w:rsidR="00CB0432" w:rsidRPr="00BE38DF" w:rsidRDefault="00CB0432" w:rsidP="00CB0432">
      <w:pPr>
        <w:pStyle w:val="Heading2"/>
        <w:rPr>
          <w:sz w:val="26"/>
          <w:szCs w:val="26"/>
        </w:rPr>
      </w:pPr>
      <w:r>
        <w:rPr>
          <w:sz w:val="26"/>
          <w:szCs w:val="26"/>
          <w:rtl/>
        </w:rPr>
        <w:t>موجز تنفيذي يتألف من نحو خمس فقرات، يلخص المعلومات الواردة في الفقرات الفرعية 1(أ) إلى 1(ج) أعلاه.</w:t>
      </w:r>
    </w:p>
    <w:p w14:paraId="72C9D9DE" w14:textId="77777777" w:rsidR="00CB0432" w:rsidRPr="00BE38DF" w:rsidRDefault="00CB0432" w:rsidP="00CB0432">
      <w:pPr>
        <w:keepNext/>
        <w:shd w:val="clear" w:color="auto" w:fill="FFFFFF" w:themeFill="background1"/>
        <w:spacing w:before="360" w:after="240"/>
        <w:rPr>
          <w:b/>
          <w:bCs/>
          <w:sz w:val="26"/>
          <w:szCs w:val="26"/>
        </w:rPr>
      </w:pPr>
      <w:r>
        <w:rPr>
          <w:b/>
          <w:bCs/>
          <w:sz w:val="26"/>
          <w:szCs w:val="26"/>
          <w:rtl/>
        </w:rPr>
        <w:t>التذييل 5</w:t>
      </w:r>
      <w:r>
        <w:rPr>
          <w:b/>
          <w:bCs/>
          <w:sz w:val="26"/>
          <w:szCs w:val="26"/>
          <w:rtl/>
        </w:rPr>
        <w:noBreakHyphen/>
        <w:t>ألف: مؤسسات الرصد وأدوارها</w:t>
      </w:r>
    </w:p>
    <w:p w14:paraId="59AD4FD1" w14:textId="74FA9C35" w:rsidR="00486098" w:rsidRPr="00282520" w:rsidRDefault="00486098" w:rsidP="00DE2C96">
      <w:pPr>
        <w:pStyle w:val="Heading1"/>
        <w:numPr>
          <w:ilvl w:val="0"/>
          <w:numId w:val="15"/>
        </w:numPr>
        <w:rPr>
          <w:sz w:val="26"/>
          <w:szCs w:val="26"/>
          <w:lang w:val="en-GB"/>
        </w:rPr>
      </w:pPr>
      <w:r>
        <w:rPr>
          <w:sz w:val="26"/>
          <w:szCs w:val="26"/>
          <w:rtl/>
          <w:lang w:val="en-GB"/>
        </w:rPr>
        <w:t>تتولى وحدة الأوزون الوطنية، التابعة لوزارة البيئة والشباب والسياحة المستدامة في سان تومي وبرينسيبي، مسؤولية رصد التقدم المحرز في تنفيذ الأنشطة الواردة في الخطة.</w:t>
      </w:r>
    </w:p>
    <w:p w14:paraId="68DBDBB1" w14:textId="693EBD58" w:rsidR="00486098" w:rsidRPr="00BE38DF" w:rsidRDefault="00486098" w:rsidP="00282520">
      <w:pPr>
        <w:pStyle w:val="Heading1"/>
        <w:rPr>
          <w:sz w:val="26"/>
          <w:szCs w:val="26"/>
          <w:lang w:val="en-GB"/>
        </w:rPr>
      </w:pPr>
      <w:r>
        <w:rPr>
          <w:sz w:val="26"/>
          <w:szCs w:val="26"/>
          <w:rtl/>
          <w:lang w:val="en-GB"/>
        </w:rPr>
        <w:t>سيُجرى الرصد أثناء تنفيذ الخطة لضمان التنفيذ الكفء والفعال؛ والتنسيق العام للمشروع؛ وإشراك أصحاب المصلحة والتنسيق فيما بينهم؛ والتنفيذ السلس للأنشطة المقررة في إطار مختلف الشرائح؛ وتقديم الدورات التدريبية وتحقيق النواتج المتوقعة الأخرى؛ وتيسير التحقق من استهلاك المواد الهيدروفلوروكربونية الذي تضطلع به الوكالة المنفذة الرئيسية.</w:t>
      </w:r>
    </w:p>
    <w:p w14:paraId="2F0AF3E0" w14:textId="6DA4E17E" w:rsidR="00486098" w:rsidRPr="00BE38DF" w:rsidRDefault="00486098" w:rsidP="00282520">
      <w:pPr>
        <w:pStyle w:val="Heading1"/>
        <w:rPr>
          <w:sz w:val="26"/>
          <w:szCs w:val="26"/>
          <w:lang w:val="en-GB"/>
        </w:rPr>
      </w:pPr>
      <w:r>
        <w:rPr>
          <w:sz w:val="26"/>
          <w:szCs w:val="26"/>
          <w:rtl/>
          <w:lang w:val="en-GB"/>
        </w:rPr>
        <w:t>تكون وزارة البيئة والشباب والسياحة المستدامة في البلد مسؤولة عن استدامة أهداف خفض الاستهلاك المحققة من خلال الاتفاق.</w:t>
      </w:r>
    </w:p>
    <w:p w14:paraId="35F48CBD" w14:textId="77777777" w:rsidR="00CB0432" w:rsidRPr="00BE38DF" w:rsidRDefault="00CB0432" w:rsidP="00CB0432">
      <w:pPr>
        <w:keepNext/>
        <w:spacing w:before="360" w:after="240"/>
        <w:rPr>
          <w:b/>
          <w:bCs/>
          <w:sz w:val="26"/>
          <w:szCs w:val="26"/>
        </w:rPr>
      </w:pPr>
      <w:r>
        <w:rPr>
          <w:b/>
          <w:bCs/>
          <w:sz w:val="26"/>
          <w:szCs w:val="26"/>
          <w:rtl/>
        </w:rPr>
        <w:t>التذييل 6</w:t>
      </w:r>
      <w:r>
        <w:rPr>
          <w:b/>
          <w:bCs/>
          <w:sz w:val="26"/>
          <w:szCs w:val="26"/>
          <w:rtl/>
        </w:rPr>
        <w:noBreakHyphen/>
        <w:t>ألف: دور الوكالة المنفذة الرئيسية</w:t>
      </w:r>
    </w:p>
    <w:p w14:paraId="01C81098" w14:textId="77777777" w:rsidR="00CB0432" w:rsidRPr="00BE38DF" w:rsidRDefault="00CB0432" w:rsidP="00DE2C96">
      <w:pPr>
        <w:pStyle w:val="Heading1"/>
        <w:numPr>
          <w:ilvl w:val="0"/>
          <w:numId w:val="12"/>
        </w:numPr>
        <w:rPr>
          <w:sz w:val="26"/>
          <w:szCs w:val="26"/>
        </w:rPr>
      </w:pPr>
      <w:r>
        <w:rPr>
          <w:sz w:val="26"/>
          <w:szCs w:val="26"/>
          <w:rtl/>
        </w:rPr>
        <w:t>تكون الوكالة المنفذة الرئيسية مسؤولة عن مجموعة من الأنشطة، تشمل على الأقل ما يلي:</w:t>
      </w:r>
    </w:p>
    <w:p w14:paraId="73315A34" w14:textId="77777777" w:rsidR="00CB0432" w:rsidRPr="00BE38DF" w:rsidRDefault="00CB0432" w:rsidP="00CB0432">
      <w:pPr>
        <w:pStyle w:val="Heading2"/>
        <w:rPr>
          <w:sz w:val="26"/>
          <w:szCs w:val="26"/>
        </w:rPr>
      </w:pPr>
      <w:r>
        <w:rPr>
          <w:sz w:val="26"/>
          <w:szCs w:val="26"/>
          <w:rtl/>
        </w:rPr>
        <w:t>ضمان التحقق من الأداء والتحقق المالي وفقاً لهذا الاتفاق ولإجراءاتها ومتطلباتها الداخلية المحددة على النحو المبين في خطة البلد؛</w:t>
      </w:r>
    </w:p>
    <w:p w14:paraId="475E6591" w14:textId="77777777" w:rsidR="00CB0432" w:rsidRPr="00BE38DF" w:rsidRDefault="00CB0432" w:rsidP="00CB0432">
      <w:pPr>
        <w:pStyle w:val="Heading2"/>
        <w:rPr>
          <w:sz w:val="26"/>
          <w:szCs w:val="26"/>
        </w:rPr>
      </w:pPr>
      <w:r>
        <w:rPr>
          <w:sz w:val="26"/>
          <w:szCs w:val="26"/>
          <w:rtl/>
        </w:rPr>
        <w:t>مساعدة البلد في إعداد تقارير وخطط تنفيذ الشرائح وفقاً للتذييل 4</w:t>
      </w:r>
      <w:r>
        <w:rPr>
          <w:sz w:val="26"/>
          <w:szCs w:val="26"/>
          <w:rtl/>
        </w:rPr>
        <w:noBreakHyphen/>
        <w:t>ألف؛</w:t>
      </w:r>
    </w:p>
    <w:p w14:paraId="0B6B5301" w14:textId="77777777" w:rsidR="00CB0432" w:rsidRPr="00BE38DF" w:rsidRDefault="00CB0432" w:rsidP="00CB0432">
      <w:pPr>
        <w:pStyle w:val="Heading2"/>
        <w:rPr>
          <w:sz w:val="26"/>
          <w:szCs w:val="26"/>
        </w:rPr>
      </w:pPr>
      <w:r>
        <w:rPr>
          <w:sz w:val="26"/>
          <w:szCs w:val="26"/>
          <w:rtl/>
        </w:rPr>
        <w:lastRenderedPageBreak/>
        <w:t>تقديم تحقق مستقل إلى اللجنة التنفيذية يثبت أن الأهداف قد تحققت وأن أنشطة الشريحة المرتبطة بها قد أُنجزت على النحو المبين في خطة تنفيذ الشريحة، بما يتسق مع التذييل 4</w:t>
      </w:r>
      <w:r>
        <w:rPr>
          <w:sz w:val="26"/>
          <w:szCs w:val="26"/>
          <w:rtl/>
        </w:rPr>
        <w:noBreakHyphen/>
        <w:t>ألف؛</w:t>
      </w:r>
    </w:p>
    <w:p w14:paraId="2F5C1359" w14:textId="77777777" w:rsidR="00CB0432" w:rsidRPr="00BE38DF" w:rsidRDefault="00CB0432" w:rsidP="00CB0432">
      <w:pPr>
        <w:pStyle w:val="Heading2"/>
        <w:rPr>
          <w:sz w:val="26"/>
          <w:szCs w:val="26"/>
        </w:rPr>
      </w:pPr>
      <w:r>
        <w:rPr>
          <w:sz w:val="26"/>
          <w:szCs w:val="26"/>
          <w:rtl/>
        </w:rPr>
        <w:t>ضمان انعكاس التجارب المكتسبة والتقدم المحرز في تحديثات الخطة الشاملة وفي خطط تنفيذ الشرائح المقبلة، بما يتسق مع الفقرة الفرعية 1(ج) من التذييل 4</w:t>
      </w:r>
      <w:r>
        <w:rPr>
          <w:sz w:val="26"/>
          <w:szCs w:val="26"/>
          <w:rtl/>
        </w:rPr>
        <w:noBreakHyphen/>
        <w:t>ألف؛</w:t>
      </w:r>
    </w:p>
    <w:p w14:paraId="7A5F09D5" w14:textId="41349916" w:rsidR="00CB0432" w:rsidRPr="00BE38DF" w:rsidRDefault="00CB0432" w:rsidP="00CB0432">
      <w:pPr>
        <w:pStyle w:val="Heading2"/>
        <w:rPr>
          <w:sz w:val="26"/>
          <w:szCs w:val="26"/>
        </w:rPr>
      </w:pPr>
      <w:r>
        <w:rPr>
          <w:sz w:val="26"/>
          <w:szCs w:val="26"/>
          <w:rtl/>
        </w:rPr>
        <w:t>استيفاء متطلبات الإبلاغ المتعلقة بتقارير وخطط تنفيذ الشرائح وبالخطة الشاملة على النحو المحدد في التذييل 4</w:t>
      </w:r>
      <w:r>
        <w:rPr>
          <w:sz w:val="26"/>
          <w:szCs w:val="26"/>
          <w:rtl/>
        </w:rPr>
        <w:noBreakHyphen/>
        <w:t>ألف لتقديمها إلى اللجنة التنفيذية؛</w:t>
      </w:r>
    </w:p>
    <w:p w14:paraId="2B091BAE" w14:textId="77777777" w:rsidR="00CB0432" w:rsidRPr="00BE38DF" w:rsidRDefault="00CB0432" w:rsidP="00CB0432">
      <w:pPr>
        <w:pStyle w:val="Heading2"/>
        <w:rPr>
          <w:sz w:val="26"/>
          <w:szCs w:val="26"/>
        </w:rPr>
      </w:pPr>
      <w:r>
        <w:rPr>
          <w:sz w:val="26"/>
          <w:szCs w:val="26"/>
          <w:rtl/>
        </w:rPr>
        <w:t>في حال طلب شريحة التمويل الأخيرة قبل سنة أو أكثر من السنة الأخيرة التي حُدد لها هدف للاستهلاك، ينبغي تقديم تقارير سنوية عن تنفيذ الشرائح، وعند الاقتضاء، تقارير تحقق عن المرحلة الحالية من الخطة إلى أن تُستكمل جميع الأنشطة المتوقعة وتتحقق أهداف استهلاك المواد الهيدروفلوروكربونية؛</w:t>
      </w:r>
    </w:p>
    <w:p w14:paraId="177799E3" w14:textId="77777777" w:rsidR="00CB0432" w:rsidRPr="00BE38DF" w:rsidRDefault="00CB0432" w:rsidP="00CB0432">
      <w:pPr>
        <w:pStyle w:val="Heading2"/>
        <w:rPr>
          <w:sz w:val="26"/>
          <w:szCs w:val="26"/>
        </w:rPr>
      </w:pPr>
      <w:r>
        <w:rPr>
          <w:sz w:val="26"/>
          <w:szCs w:val="26"/>
          <w:rtl/>
        </w:rPr>
        <w:t>ضمان قيام خبراء تقنيين مستقلين مؤهلين بإجراء الاستعراضات التقنية؛</w:t>
      </w:r>
    </w:p>
    <w:p w14:paraId="62574B5E" w14:textId="77777777" w:rsidR="00CB0432" w:rsidRPr="00BE38DF" w:rsidRDefault="00CB0432" w:rsidP="00CB0432">
      <w:pPr>
        <w:pStyle w:val="Heading2"/>
        <w:rPr>
          <w:sz w:val="26"/>
          <w:szCs w:val="26"/>
        </w:rPr>
      </w:pPr>
      <w:r>
        <w:rPr>
          <w:sz w:val="26"/>
          <w:szCs w:val="26"/>
          <w:rtl/>
        </w:rPr>
        <w:t>الاضطلاع بالبعثات الإشرافية المطلوبة؛</w:t>
      </w:r>
    </w:p>
    <w:p w14:paraId="49F32DF0" w14:textId="77777777" w:rsidR="00CB0432" w:rsidRPr="00BE38DF" w:rsidRDefault="00CB0432" w:rsidP="00CB0432">
      <w:pPr>
        <w:pStyle w:val="Heading2"/>
        <w:rPr>
          <w:sz w:val="26"/>
          <w:szCs w:val="26"/>
        </w:rPr>
      </w:pPr>
      <w:r>
        <w:rPr>
          <w:sz w:val="26"/>
          <w:szCs w:val="26"/>
          <w:rtl/>
        </w:rPr>
        <w:t>ضمان وجود آلية تشغيلية تتيح التنفيذ الفعال والشفاف لخطة تنفيذ الشريحة والإبلاغ الدقيق عن البيانات؛</w:t>
      </w:r>
    </w:p>
    <w:p w14:paraId="675E700C" w14:textId="7456CE04" w:rsidR="00CB0432" w:rsidRPr="00BE38DF" w:rsidRDefault="00CB0432" w:rsidP="00CB0432">
      <w:pPr>
        <w:pStyle w:val="Heading2"/>
        <w:rPr>
          <w:sz w:val="26"/>
          <w:szCs w:val="26"/>
        </w:rPr>
      </w:pPr>
      <w:r>
        <w:rPr>
          <w:sz w:val="26"/>
          <w:szCs w:val="26"/>
          <w:rtl/>
        </w:rPr>
        <w:t>في حالة تخفيض التمويل بسبب عدم الامتثال وفقاً للفقرة 11 من الاتفاق، القيام، بالتشاور مع البلد، بتحديد توزيع التخفيضات على مختلف بنود الميزانية وعلى تمويل الوكالة المنفذة الرئيسية؛</w:t>
      </w:r>
    </w:p>
    <w:p w14:paraId="2CFD6BB4" w14:textId="77777777" w:rsidR="00CB0432" w:rsidRPr="00BE38DF" w:rsidRDefault="00CB0432" w:rsidP="00CB0432">
      <w:pPr>
        <w:pStyle w:val="Heading2"/>
        <w:rPr>
          <w:sz w:val="26"/>
          <w:szCs w:val="26"/>
        </w:rPr>
      </w:pPr>
      <w:r>
        <w:rPr>
          <w:sz w:val="26"/>
          <w:szCs w:val="26"/>
          <w:rtl/>
        </w:rPr>
        <w:t>ضمان أن تستند المدفوعات المقدمة إلى البلد إلى استخدام المؤشرات؛</w:t>
      </w:r>
    </w:p>
    <w:p w14:paraId="1119AF16" w14:textId="0C56D779" w:rsidR="00CB0432" w:rsidRPr="00BE38DF" w:rsidRDefault="00CB0432" w:rsidP="00CB0432">
      <w:pPr>
        <w:pStyle w:val="Heading2"/>
        <w:rPr>
          <w:sz w:val="26"/>
          <w:szCs w:val="26"/>
        </w:rPr>
      </w:pPr>
      <w:r>
        <w:rPr>
          <w:sz w:val="26"/>
          <w:szCs w:val="26"/>
          <w:rtl/>
        </w:rPr>
        <w:t>تقديم المساعدة في مجال السياسات العامة والدعم الإداري والتقني عند الاقتضاء؛</w:t>
      </w:r>
    </w:p>
    <w:p w14:paraId="450EACCA" w14:textId="77777777" w:rsidR="00CB0432" w:rsidRPr="00BE38DF" w:rsidRDefault="00CB0432" w:rsidP="00CB0432">
      <w:pPr>
        <w:pStyle w:val="Heading2"/>
        <w:rPr>
          <w:sz w:val="26"/>
          <w:szCs w:val="26"/>
        </w:rPr>
      </w:pPr>
      <w:r>
        <w:rPr>
          <w:sz w:val="26"/>
          <w:szCs w:val="26"/>
          <w:rtl/>
        </w:rPr>
        <w:t>الإفراج عن الأموال في الوقت المناسب للبلد/المؤسسات المشاركة لاستكمال الأنشطة المتعلقة بالمشروع.</w:t>
      </w:r>
    </w:p>
    <w:p w14:paraId="5F07A63C" w14:textId="77777777" w:rsidR="00CB0432" w:rsidRPr="00BE38DF" w:rsidRDefault="00CB0432" w:rsidP="00CB0432">
      <w:pPr>
        <w:pStyle w:val="Heading1"/>
        <w:rPr>
          <w:sz w:val="26"/>
          <w:szCs w:val="26"/>
        </w:rPr>
      </w:pPr>
      <w:r>
        <w:rPr>
          <w:sz w:val="26"/>
          <w:szCs w:val="26"/>
          <w:rtl/>
        </w:rPr>
        <w:t>بعد التشاور مع البلد ومراعاة أي آراء يُعرب عنها، تختار الوكالة المنفذة الرئيسية كياناً مستقلاً وتكلفه بإجراء التحقق من نتائج الخطة ومن استهلاك مواد المرفق واو المذكورة في التذييل 1</w:t>
      </w:r>
      <w:r>
        <w:rPr>
          <w:sz w:val="26"/>
          <w:szCs w:val="26"/>
          <w:rtl/>
        </w:rPr>
        <w:noBreakHyphen/>
        <w:t>ألف، وفقاً للفقرة الفرعية 5(ب) من الاتفاق والفقرة الفرعية 1(ب) من التذييل 4</w:t>
      </w:r>
      <w:r>
        <w:rPr>
          <w:sz w:val="26"/>
          <w:szCs w:val="26"/>
          <w:rtl/>
        </w:rPr>
        <w:noBreakHyphen/>
        <w:t>ألف.</w:t>
      </w:r>
    </w:p>
    <w:p w14:paraId="55F9ABB9" w14:textId="77777777" w:rsidR="00CB0432" w:rsidRPr="00BE38DF" w:rsidRDefault="00CB0432" w:rsidP="00CB0432">
      <w:pPr>
        <w:spacing w:before="360" w:after="240"/>
        <w:rPr>
          <w:b/>
          <w:bCs/>
          <w:sz w:val="26"/>
          <w:szCs w:val="26"/>
        </w:rPr>
      </w:pPr>
      <w:r>
        <w:rPr>
          <w:b/>
          <w:bCs/>
          <w:sz w:val="26"/>
          <w:szCs w:val="26"/>
          <w:rtl/>
        </w:rPr>
        <w:t>التذييل 7</w:t>
      </w:r>
      <w:r>
        <w:rPr>
          <w:b/>
          <w:bCs/>
          <w:sz w:val="26"/>
          <w:szCs w:val="26"/>
          <w:rtl/>
        </w:rPr>
        <w:noBreakHyphen/>
        <w:t>ألف: التخفيضات في التمويل بسبب عدم الامتثال للأهداف الواردة في الاتفاق</w:t>
      </w:r>
    </w:p>
    <w:p w14:paraId="663DB950" w14:textId="2AE493C2" w:rsidR="00CB0432" w:rsidRPr="00BE38DF" w:rsidRDefault="00CB0432" w:rsidP="00DE2C96">
      <w:pPr>
        <w:pStyle w:val="Heading1"/>
        <w:numPr>
          <w:ilvl w:val="0"/>
          <w:numId w:val="13"/>
        </w:numPr>
        <w:rPr>
          <w:sz w:val="26"/>
          <w:szCs w:val="26"/>
        </w:rPr>
      </w:pPr>
      <w:r>
        <w:rPr>
          <w:sz w:val="26"/>
          <w:szCs w:val="26"/>
          <w:rtl/>
        </w:rPr>
        <w:t>وفقاً للفقرة 11 من الاتفاق، يجوز تخفيض مبلغ التمويل المقدم بمقدار 7.00 دولارات أمريكية عن كل طن من مكافئ ثاني أكسيد الكربون من الاستهلاك الذي يتجاوز المستوى المحدد في الصف 1.2 من التذييل 2</w:t>
      </w:r>
      <w:r>
        <w:rPr>
          <w:sz w:val="26"/>
          <w:szCs w:val="26"/>
          <w:rtl/>
        </w:rPr>
        <w:noBreakHyphen/>
        <w:t>ألف عن كل سنة لم يتحقق فيها الهدف المحدد في الصف 1.2 من التذييل 2</w:t>
      </w:r>
      <w:r>
        <w:rPr>
          <w:sz w:val="26"/>
          <w:szCs w:val="26"/>
          <w:rtl/>
        </w:rPr>
        <w:noBreakHyphen/>
        <w:t>ألف، على أساس أن الحد الأقصى لتخفيض التمويل لن يتجاوز مستوى تمويل الشريحة المطلوبة. ويجوز النظر في تدابير إضافية في الحالات التي يستمر فيها عدم الامتثال لسنتين متتاليتين. وفي حال عدم امتثال البلد للاتفاق بسبب الاتجار غير المشروع، لا يُطبَّق تخفيض التمويل إذا ضُبطت المواد الخاضعة للرقابة المتجر بها بصورة غير مشروعة ثم صودرت أو أُتلفت أو صُدِّرت أو أُعيدت إلى بلد المنشأ.</w:t>
      </w:r>
    </w:p>
    <w:p w14:paraId="55C71949" w14:textId="77777777" w:rsidR="00CB0432" w:rsidRPr="00BE38DF" w:rsidRDefault="00CB0432" w:rsidP="00CB0432">
      <w:pPr>
        <w:suppressAutoHyphens/>
        <w:rPr>
          <w:b/>
          <w:bCs/>
          <w:sz w:val="26"/>
          <w:szCs w:val="26"/>
        </w:rPr>
        <w:sectPr w:rsidR="00CB0432" w:rsidRPr="00BE38DF" w:rsidSect="00CB0432">
          <w:headerReference w:type="even" r:id="rId29"/>
          <w:headerReference w:type="default" r:id="rId30"/>
          <w:footerReference w:type="even" r:id="rId31"/>
          <w:footerReference w:type="default" r:id="rId32"/>
          <w:headerReference w:type="first" r:id="rId33"/>
          <w:footnotePr>
            <w:numRestart w:val="eachSect"/>
          </w:footnotePr>
          <w:pgSz w:w="12240" w:h="15840" w:code="1"/>
          <w:pgMar w:top="864" w:right="1440" w:bottom="720" w:left="1440" w:header="720" w:footer="475" w:gutter="0"/>
          <w:pgNumType w:start="1"/>
          <w:cols w:space="720"/>
          <w:docGrid w:linePitch="299"/>
        </w:sectPr>
      </w:pPr>
    </w:p>
    <w:p w14:paraId="563BBD72" w14:textId="77777777" w:rsidR="005A7ACB" w:rsidRPr="00BE38DF" w:rsidRDefault="005A7ACB" w:rsidP="005A7ACB">
      <w:pPr>
        <w:suppressAutoHyphens/>
        <w:spacing w:after="240"/>
        <w:jc w:val="center"/>
        <w:rPr>
          <w:b/>
          <w:bCs/>
        </w:rPr>
      </w:pPr>
      <w:r>
        <w:rPr>
          <w:b/>
          <w:bCs/>
        </w:rPr>
        <w:lastRenderedPageBreak/>
        <w:t xml:space="preserve">Annex </w:t>
      </w:r>
      <w:r>
        <w:rPr>
          <w:b/>
        </w:rPr>
        <w:t>III</w:t>
      </w:r>
    </w:p>
    <w:p w14:paraId="4CDF8F56" w14:textId="77777777" w:rsidR="005A7ACB" w:rsidRPr="00BE38DF" w:rsidRDefault="005A7ACB" w:rsidP="005A7ACB">
      <w:pPr>
        <w:suppressAutoHyphens/>
        <w:jc w:val="center"/>
        <w:rPr>
          <w:b/>
          <w:bCs/>
        </w:rPr>
      </w:pPr>
      <w:r>
        <w:rPr>
          <w:b/>
          <w:bCs/>
        </w:rPr>
        <w:t>SIMULTANEOUS IMPLEMENTATION OF THE HCFC PHASE-OUT MANAGEMENT PLAN</w:t>
      </w:r>
    </w:p>
    <w:p w14:paraId="378AB6AD" w14:textId="77777777" w:rsidR="005A7ACB" w:rsidRPr="00BE38DF" w:rsidRDefault="005A7ACB" w:rsidP="005A7ACB">
      <w:pPr>
        <w:suppressAutoHyphens/>
        <w:spacing w:after="240"/>
        <w:jc w:val="center"/>
        <w:rPr>
          <w:b/>
          <w:bCs/>
        </w:rPr>
      </w:pPr>
      <w:r>
        <w:rPr>
          <w:b/>
          <w:bCs/>
        </w:rPr>
        <w:t>AND THE KIGALI HFC IMPLEMENTATION PLAN IN SAO TOME AND PRINCIPE</w:t>
      </w:r>
    </w:p>
    <w:tbl>
      <w:tblPr>
        <w:tblpPr w:leftFromText="180" w:rightFromText="180" w:vertAnchor="text" w:tblpXSpec="center" w:tblpY="1"/>
        <w:tblOverlap w:val="never"/>
        <w:tblW w:w="5000" w:type="pct"/>
        <w:jc w:val="center"/>
        <w:tblLook w:val="04A0" w:firstRow="1" w:lastRow="0" w:firstColumn="1" w:lastColumn="0" w:noHBand="0" w:noVBand="1"/>
      </w:tblPr>
      <w:tblGrid>
        <w:gridCol w:w="2057"/>
        <w:gridCol w:w="2199"/>
        <w:gridCol w:w="866"/>
        <w:gridCol w:w="2108"/>
        <w:gridCol w:w="984"/>
        <w:gridCol w:w="1226"/>
      </w:tblGrid>
      <w:tr w:rsidR="005A7ACB" w:rsidRPr="00BE38DF" w14:paraId="087D6437" w14:textId="77777777" w:rsidTr="002C57DE">
        <w:trPr>
          <w:trHeight w:val="341"/>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5F8EDBEB" w14:textId="77777777" w:rsidR="005A7ACB" w:rsidRPr="00BE38DF" w:rsidRDefault="005A7ACB" w:rsidP="002C57DE">
            <w:pPr>
              <w:suppressAutoHyphens/>
              <w:jc w:val="center"/>
              <w:rPr>
                <w:b/>
                <w:bCs/>
                <w:sz w:val="20"/>
                <w:szCs w:val="20"/>
                <w:lang w:eastAsia="en-CA"/>
              </w:rPr>
            </w:pPr>
          </w:p>
        </w:tc>
        <w:tc>
          <w:tcPr>
            <w:tcW w:w="1623" w:type="pct"/>
            <w:gridSpan w:val="2"/>
            <w:tcBorders>
              <w:top w:val="single" w:sz="4" w:space="0" w:color="auto"/>
              <w:left w:val="single" w:sz="4" w:space="0" w:color="auto"/>
              <w:bottom w:val="single" w:sz="4" w:space="0" w:color="auto"/>
              <w:right w:val="single" w:sz="4" w:space="0" w:color="auto"/>
            </w:tcBorders>
            <w:vAlign w:val="center"/>
          </w:tcPr>
          <w:p w14:paraId="0697B4BF" w14:textId="77777777" w:rsidR="005A7ACB" w:rsidRPr="00BE38DF" w:rsidRDefault="005A7ACB" w:rsidP="002C57DE">
            <w:pPr>
              <w:suppressAutoHyphens/>
              <w:ind w:left="-246" w:right="-247"/>
              <w:jc w:val="center"/>
              <w:rPr>
                <w:b/>
                <w:bCs/>
                <w:sz w:val="20"/>
                <w:szCs w:val="20"/>
                <w:lang w:eastAsia="en-CA"/>
              </w:rPr>
            </w:pPr>
            <w:r>
              <w:rPr>
                <w:b/>
                <w:bCs/>
                <w:sz w:val="20"/>
                <w:szCs w:val="20"/>
                <w:lang w:eastAsia="en-CA"/>
              </w:rPr>
              <w:t>HPMP</w:t>
            </w:r>
            <w:r>
              <w:rPr>
                <w:b/>
                <w:bCs/>
              </w:rPr>
              <w:t xml:space="preserve"> –</w:t>
            </w:r>
            <w:r>
              <w:t xml:space="preserve"> </w:t>
            </w:r>
            <w:r>
              <w:rPr>
                <w:b/>
                <w:bCs/>
                <w:sz w:val="20"/>
                <w:szCs w:val="20"/>
                <w:lang w:eastAsia="en-CA"/>
              </w:rPr>
              <w:t xml:space="preserve">stage II </w:t>
            </w:r>
          </w:p>
        </w:tc>
        <w:tc>
          <w:tcPr>
            <w:tcW w:w="1638" w:type="pct"/>
            <w:gridSpan w:val="2"/>
            <w:tcBorders>
              <w:top w:val="single" w:sz="4" w:space="0" w:color="auto"/>
              <w:left w:val="single" w:sz="4" w:space="0" w:color="auto"/>
              <w:bottom w:val="single" w:sz="4" w:space="0" w:color="auto"/>
              <w:right w:val="single" w:sz="4" w:space="0" w:color="auto"/>
            </w:tcBorders>
            <w:vAlign w:val="center"/>
            <w:hideMark/>
          </w:tcPr>
          <w:p w14:paraId="04FDA5DC" w14:textId="77777777" w:rsidR="005A7ACB" w:rsidRPr="00BE38DF" w:rsidRDefault="005A7ACB" w:rsidP="002C57DE">
            <w:pPr>
              <w:suppressAutoHyphens/>
              <w:jc w:val="center"/>
              <w:rPr>
                <w:b/>
                <w:bCs/>
                <w:sz w:val="20"/>
                <w:szCs w:val="20"/>
                <w:lang w:eastAsia="en-CA"/>
              </w:rPr>
            </w:pPr>
            <w:r>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vAlign w:val="center"/>
            <w:hideMark/>
          </w:tcPr>
          <w:p w14:paraId="11D08B51" w14:textId="77777777" w:rsidR="005A7ACB" w:rsidRPr="00BE38DF" w:rsidRDefault="005A7ACB" w:rsidP="002C57DE">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Pr>
                <w:b/>
                <w:bCs/>
                <w:sz w:val="20"/>
                <w:szCs w:val="20"/>
              </w:rPr>
              <w:t>(US $)</w:t>
            </w:r>
          </w:p>
        </w:tc>
      </w:tr>
      <w:tr w:rsidR="005A7ACB" w:rsidRPr="00BE38DF" w14:paraId="305EFEF7" w14:textId="77777777" w:rsidTr="002C57DE">
        <w:trPr>
          <w:trHeight w:val="289"/>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4D7A57E3" w14:textId="77777777" w:rsidR="005A7ACB" w:rsidRPr="00BE38DF" w:rsidRDefault="005A7ACB" w:rsidP="002C57DE">
            <w:pPr>
              <w:suppressAutoHyphens/>
              <w:jc w:val="left"/>
              <w:rPr>
                <w:b/>
                <w:bCs/>
                <w:sz w:val="20"/>
                <w:szCs w:val="20"/>
                <w:lang w:eastAsia="en-CA"/>
              </w:rPr>
            </w:pPr>
            <w:r>
              <w:rPr>
                <w:b/>
                <w:bCs/>
                <w:sz w:val="20"/>
                <w:szCs w:val="20"/>
                <w:lang w:eastAsia="en-CA"/>
              </w:rPr>
              <w:t>Category of activity</w:t>
            </w:r>
          </w:p>
        </w:tc>
        <w:tc>
          <w:tcPr>
            <w:tcW w:w="1165" w:type="pct"/>
            <w:tcBorders>
              <w:top w:val="nil"/>
              <w:left w:val="nil"/>
              <w:bottom w:val="single" w:sz="4" w:space="0" w:color="auto"/>
              <w:right w:val="single" w:sz="4" w:space="0" w:color="auto"/>
            </w:tcBorders>
            <w:vAlign w:val="center"/>
            <w:hideMark/>
          </w:tcPr>
          <w:p w14:paraId="698A8B5C" w14:textId="77777777" w:rsidR="005A7ACB" w:rsidRPr="00BE38DF" w:rsidRDefault="005A7ACB" w:rsidP="002C57DE">
            <w:pPr>
              <w:suppressAutoHyphens/>
              <w:jc w:val="center"/>
              <w:rPr>
                <w:b/>
                <w:bCs/>
                <w:sz w:val="20"/>
                <w:szCs w:val="20"/>
                <w:lang w:eastAsia="en-CA"/>
              </w:rPr>
            </w:pPr>
            <w:r>
              <w:rPr>
                <w:b/>
                <w:bCs/>
                <w:sz w:val="20"/>
                <w:szCs w:val="20"/>
                <w:lang w:eastAsia="en-CA"/>
              </w:rPr>
              <w:t>Activity</w:t>
            </w:r>
          </w:p>
        </w:tc>
        <w:tc>
          <w:tcPr>
            <w:tcW w:w="459" w:type="pct"/>
            <w:tcBorders>
              <w:top w:val="single" w:sz="4" w:space="0" w:color="auto"/>
              <w:left w:val="nil"/>
              <w:bottom w:val="single" w:sz="4" w:space="0" w:color="auto"/>
              <w:right w:val="single" w:sz="4" w:space="0" w:color="auto"/>
            </w:tcBorders>
            <w:vAlign w:val="center"/>
            <w:hideMark/>
          </w:tcPr>
          <w:p w14:paraId="031137D8" w14:textId="77777777" w:rsidR="005A7ACB" w:rsidRPr="00BE38DF" w:rsidRDefault="005A7ACB" w:rsidP="002C57DE">
            <w:pPr>
              <w:suppressAutoHyphens/>
              <w:jc w:val="center"/>
              <w:rPr>
                <w:b/>
                <w:bCs/>
                <w:sz w:val="20"/>
                <w:szCs w:val="20"/>
                <w:lang w:eastAsia="en-CA"/>
              </w:rPr>
            </w:pPr>
            <w:r>
              <w:rPr>
                <w:b/>
                <w:bCs/>
                <w:sz w:val="20"/>
                <w:szCs w:val="20"/>
                <w:lang w:eastAsia="en-CA"/>
              </w:rPr>
              <w:t>Cost (US $)</w:t>
            </w:r>
          </w:p>
        </w:tc>
        <w:tc>
          <w:tcPr>
            <w:tcW w:w="1117" w:type="pct"/>
            <w:tcBorders>
              <w:top w:val="single" w:sz="4" w:space="0" w:color="auto"/>
              <w:left w:val="single" w:sz="4" w:space="0" w:color="auto"/>
              <w:bottom w:val="single" w:sz="4" w:space="0" w:color="auto"/>
              <w:right w:val="single" w:sz="4" w:space="0" w:color="auto"/>
            </w:tcBorders>
            <w:vAlign w:val="center"/>
            <w:hideMark/>
          </w:tcPr>
          <w:p w14:paraId="469810C4" w14:textId="77777777" w:rsidR="005A7ACB" w:rsidRPr="00BE38DF" w:rsidRDefault="005A7ACB" w:rsidP="002C57DE">
            <w:pPr>
              <w:suppressAutoHyphens/>
              <w:jc w:val="center"/>
              <w:rPr>
                <w:b/>
                <w:bCs/>
                <w:sz w:val="20"/>
                <w:szCs w:val="20"/>
                <w:lang w:eastAsia="en-CA"/>
              </w:rPr>
            </w:pPr>
            <w:r>
              <w:rPr>
                <w:b/>
                <w:bCs/>
                <w:sz w:val="20"/>
                <w:szCs w:val="20"/>
                <w:lang w:eastAsia="en-CA"/>
              </w:rPr>
              <w:t>Activity</w:t>
            </w:r>
          </w:p>
        </w:tc>
        <w:tc>
          <w:tcPr>
            <w:tcW w:w="521" w:type="pct"/>
            <w:tcBorders>
              <w:top w:val="single" w:sz="4" w:space="0" w:color="auto"/>
              <w:left w:val="single" w:sz="4" w:space="0" w:color="auto"/>
              <w:bottom w:val="single" w:sz="4" w:space="0" w:color="auto"/>
              <w:right w:val="single" w:sz="4" w:space="0" w:color="auto"/>
            </w:tcBorders>
            <w:vAlign w:val="center"/>
            <w:hideMark/>
          </w:tcPr>
          <w:p w14:paraId="52C80AFE" w14:textId="77777777" w:rsidR="005A7ACB" w:rsidRPr="00BE38DF" w:rsidRDefault="005A7ACB" w:rsidP="002C57DE">
            <w:pPr>
              <w:suppressAutoHyphens/>
              <w:jc w:val="center"/>
              <w:rPr>
                <w:b/>
                <w:bCs/>
                <w:sz w:val="20"/>
                <w:szCs w:val="20"/>
                <w:lang w:eastAsia="en-CA"/>
              </w:rPr>
            </w:pPr>
            <w:r>
              <w:rPr>
                <w:b/>
                <w:bCs/>
                <w:sz w:val="20"/>
                <w:szCs w:val="20"/>
                <w:lang w:eastAsia="en-CA"/>
              </w:rPr>
              <w:t>Cost</w:t>
            </w:r>
            <w:r>
              <w:rPr>
                <w:b/>
                <w:bCs/>
                <w:sz w:val="20"/>
                <w:szCs w:val="20"/>
                <w:lang w:eastAsia="en-CA"/>
              </w:rPr>
              <w:br/>
              <w:t>(US $)</w:t>
            </w:r>
          </w:p>
        </w:tc>
        <w:tc>
          <w:tcPr>
            <w:tcW w:w="649" w:type="pct"/>
            <w:vMerge/>
            <w:tcBorders>
              <w:left w:val="single" w:sz="4" w:space="0" w:color="auto"/>
              <w:bottom w:val="single" w:sz="4" w:space="0" w:color="auto"/>
              <w:right w:val="single" w:sz="4" w:space="0" w:color="auto"/>
            </w:tcBorders>
            <w:vAlign w:val="center"/>
            <w:hideMark/>
          </w:tcPr>
          <w:p w14:paraId="5F5A904F" w14:textId="77777777" w:rsidR="005A7ACB" w:rsidRPr="00BE38DF" w:rsidRDefault="005A7ACB" w:rsidP="002C57DE">
            <w:pPr>
              <w:suppressAutoHyphens/>
              <w:jc w:val="left"/>
              <w:rPr>
                <w:b/>
                <w:bCs/>
                <w:sz w:val="20"/>
                <w:szCs w:val="20"/>
                <w:lang w:eastAsia="en-CA"/>
              </w:rPr>
            </w:pPr>
          </w:p>
        </w:tc>
      </w:tr>
      <w:tr w:rsidR="005A7ACB" w:rsidRPr="00BE38DF" w14:paraId="22DA58A6" w14:textId="77777777" w:rsidTr="002C57DE">
        <w:trPr>
          <w:trHeight w:val="227"/>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47682285" w14:textId="77777777" w:rsidR="005A7ACB" w:rsidRPr="00BE38DF" w:rsidRDefault="005A7ACB" w:rsidP="007E29B4">
            <w:pPr>
              <w:suppressAutoHyphens/>
              <w:jc w:val="right"/>
              <w:rPr>
                <w:sz w:val="20"/>
                <w:szCs w:val="20"/>
                <w:lang w:eastAsia="en-CA"/>
              </w:rPr>
            </w:pPr>
          </w:p>
          <w:p w14:paraId="01012B87" w14:textId="77777777" w:rsidR="005A7ACB" w:rsidRPr="00BE38DF" w:rsidRDefault="005A7ACB" w:rsidP="007E29B4">
            <w:pPr>
              <w:suppressAutoHyphens/>
              <w:jc w:val="right"/>
              <w:rPr>
                <w:sz w:val="20"/>
                <w:szCs w:val="20"/>
                <w:lang w:eastAsia="en-CA"/>
              </w:rPr>
            </w:pPr>
            <w:r>
              <w:rPr>
                <w:sz w:val="20"/>
                <w:szCs w:val="20"/>
                <w:lang w:eastAsia="en-CA"/>
              </w:rPr>
              <w:t>Legal and regulatory framework</w:t>
            </w:r>
          </w:p>
        </w:tc>
        <w:tc>
          <w:tcPr>
            <w:tcW w:w="1165" w:type="pct"/>
            <w:tcBorders>
              <w:top w:val="single" w:sz="4" w:space="0" w:color="auto"/>
              <w:left w:val="nil"/>
              <w:bottom w:val="single" w:sz="4" w:space="0" w:color="auto"/>
              <w:right w:val="single" w:sz="4" w:space="0" w:color="auto"/>
            </w:tcBorders>
            <w:vAlign w:val="center"/>
          </w:tcPr>
          <w:p w14:paraId="24EF7A0A" w14:textId="77777777" w:rsidR="005A7ACB" w:rsidRPr="00BE38DF" w:rsidRDefault="005A7ACB" w:rsidP="007E29B4">
            <w:pPr>
              <w:suppressAutoHyphens/>
              <w:jc w:val="right"/>
              <w:rPr>
                <w:sz w:val="20"/>
                <w:szCs w:val="20"/>
                <w:lang w:eastAsia="en-CA"/>
              </w:rPr>
            </w:pPr>
            <w:r>
              <w:rPr>
                <w:sz w:val="20"/>
                <w:szCs w:val="20"/>
                <w:lang w:val="en-US" w:eastAsia="en-CA"/>
              </w:rPr>
              <w:t>Introduction of regulatory measures to ensure the country’s compliance with the HCFC phase-out schedule</w:t>
            </w:r>
          </w:p>
        </w:tc>
        <w:tc>
          <w:tcPr>
            <w:tcW w:w="459" w:type="pct"/>
            <w:tcBorders>
              <w:top w:val="single" w:sz="4" w:space="0" w:color="auto"/>
              <w:left w:val="nil"/>
              <w:bottom w:val="single" w:sz="4" w:space="0" w:color="auto"/>
              <w:right w:val="single" w:sz="4" w:space="0" w:color="auto"/>
            </w:tcBorders>
            <w:vAlign w:val="center"/>
          </w:tcPr>
          <w:p w14:paraId="12299A9E" w14:textId="77777777" w:rsidR="005A7ACB" w:rsidRPr="00BE38DF" w:rsidRDefault="005A7ACB" w:rsidP="002C57DE">
            <w:pPr>
              <w:suppressAutoHyphens/>
              <w:jc w:val="right"/>
              <w:rPr>
                <w:sz w:val="20"/>
                <w:szCs w:val="20"/>
                <w:lang w:eastAsia="en-CA"/>
              </w:rPr>
            </w:pPr>
            <w:r>
              <w:rPr>
                <w:sz w:val="20"/>
                <w:szCs w:val="20"/>
                <w:lang w:eastAsia="en-CA"/>
              </w:rPr>
              <w:t>12,000</w:t>
            </w:r>
          </w:p>
        </w:tc>
        <w:tc>
          <w:tcPr>
            <w:tcW w:w="1117" w:type="pct"/>
            <w:tcBorders>
              <w:top w:val="single" w:sz="4" w:space="0" w:color="auto"/>
              <w:left w:val="single" w:sz="4" w:space="0" w:color="auto"/>
              <w:bottom w:val="single" w:sz="4" w:space="0" w:color="auto"/>
              <w:right w:val="single" w:sz="4" w:space="0" w:color="auto"/>
            </w:tcBorders>
            <w:vAlign w:val="center"/>
          </w:tcPr>
          <w:p w14:paraId="611D5B3A" w14:textId="77777777" w:rsidR="005A7ACB" w:rsidRPr="00BE38DF" w:rsidRDefault="005A7ACB" w:rsidP="007E29B4">
            <w:pPr>
              <w:suppressAutoHyphens/>
              <w:jc w:val="right"/>
              <w:rPr>
                <w:sz w:val="20"/>
                <w:szCs w:val="20"/>
                <w:lang w:eastAsia="en-CA"/>
              </w:rPr>
            </w:pPr>
            <w:r>
              <w:rPr>
                <w:sz w:val="20"/>
                <w:szCs w:val="20"/>
                <w:lang w:eastAsia="en-CA"/>
              </w:rPr>
              <w:t>Develop and adopt the decree on HFCs; conduct one stakeholder workshop before adoption on scope of work for 100 participants; and one awareness-raising workshop after development on implementation for 100 participants</w:t>
            </w:r>
          </w:p>
        </w:tc>
        <w:tc>
          <w:tcPr>
            <w:tcW w:w="521" w:type="pct"/>
            <w:tcBorders>
              <w:top w:val="single" w:sz="4" w:space="0" w:color="auto"/>
              <w:left w:val="nil"/>
              <w:bottom w:val="single" w:sz="4" w:space="0" w:color="auto"/>
              <w:right w:val="single" w:sz="4" w:space="0" w:color="auto"/>
            </w:tcBorders>
            <w:vAlign w:val="center"/>
          </w:tcPr>
          <w:p w14:paraId="3E41AEA1" w14:textId="77777777" w:rsidR="005A7ACB" w:rsidRPr="00BE38DF" w:rsidRDefault="005A7ACB" w:rsidP="007E29B4">
            <w:pPr>
              <w:suppressAutoHyphens/>
              <w:jc w:val="left"/>
              <w:rPr>
                <w:sz w:val="20"/>
                <w:szCs w:val="20"/>
                <w:lang w:eastAsia="en-CA"/>
              </w:rPr>
            </w:pPr>
            <w:r>
              <w:rPr>
                <w:sz w:val="20"/>
                <w:szCs w:val="20"/>
                <w:lang w:eastAsia="en-CA"/>
              </w:rPr>
              <w:t>8,000</w:t>
            </w:r>
          </w:p>
        </w:tc>
        <w:tc>
          <w:tcPr>
            <w:tcW w:w="649" w:type="pct"/>
            <w:vMerge w:val="restart"/>
            <w:tcBorders>
              <w:top w:val="single" w:sz="4" w:space="0" w:color="auto"/>
              <w:left w:val="nil"/>
              <w:bottom w:val="single" w:sz="4" w:space="0" w:color="auto"/>
              <w:right w:val="single" w:sz="4" w:space="0" w:color="auto"/>
            </w:tcBorders>
            <w:vAlign w:val="center"/>
          </w:tcPr>
          <w:p w14:paraId="78D51D84" w14:textId="77777777" w:rsidR="005A7ACB" w:rsidRPr="00BE38DF" w:rsidRDefault="005A7ACB" w:rsidP="002C57DE">
            <w:pPr>
              <w:suppressAutoHyphens/>
              <w:jc w:val="right"/>
              <w:rPr>
                <w:sz w:val="20"/>
                <w:szCs w:val="20"/>
                <w:lang w:eastAsia="en-CA"/>
              </w:rPr>
            </w:pPr>
          </w:p>
        </w:tc>
      </w:tr>
      <w:tr w:rsidR="005A7ACB" w:rsidRPr="00BE38DF" w14:paraId="5A59692D" w14:textId="77777777" w:rsidTr="002C57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D87B059" w14:textId="77777777" w:rsidR="005A7ACB" w:rsidRPr="00BE38DF" w:rsidRDefault="005A7ACB" w:rsidP="002C57DE">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49850A38" w14:textId="77777777" w:rsidR="005A7ACB" w:rsidRPr="00BE38DF" w:rsidRDefault="005A7ACB" w:rsidP="007E29B4">
            <w:pPr>
              <w:suppressAutoHyphens/>
              <w:jc w:val="right"/>
              <w:rPr>
                <w:sz w:val="20"/>
                <w:szCs w:val="20"/>
                <w:lang w:eastAsia="en-CA"/>
              </w:rPr>
            </w:pPr>
            <w:r>
              <w:rPr>
                <w:sz w:val="20"/>
                <w:szCs w:val="20"/>
                <w:lang w:val="en-US" w:eastAsia="en-CA"/>
              </w:rPr>
              <w:t>Improving the collection, systematization and reporting of data and strengthening the collaboration among stakeholders</w:t>
            </w:r>
          </w:p>
        </w:tc>
        <w:tc>
          <w:tcPr>
            <w:tcW w:w="45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0FE5CF8D" w14:textId="77777777" w:rsidR="005A7ACB" w:rsidRPr="00BE38DF" w:rsidRDefault="005A7ACB" w:rsidP="002C57DE">
            <w:pPr>
              <w:suppressAutoHyphens/>
              <w:jc w:val="right"/>
              <w:rPr>
                <w:sz w:val="20"/>
                <w:szCs w:val="20"/>
                <w:lang w:eastAsia="en-CA"/>
              </w:rPr>
            </w:pPr>
            <w:r>
              <w:rPr>
                <w:sz w:val="20"/>
                <w:szCs w:val="20"/>
                <w:lang w:eastAsia="en-CA"/>
              </w:rPr>
              <w:t>30,000</w:t>
            </w:r>
          </w:p>
          <w:p w14:paraId="7E581974"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14D5710D" w14:textId="77777777" w:rsidR="005A7ACB" w:rsidRPr="00BE38DF" w:rsidRDefault="005A7ACB" w:rsidP="007E29B4">
            <w:pPr>
              <w:suppressAutoHyphens/>
              <w:jc w:val="right"/>
              <w:rPr>
                <w:sz w:val="20"/>
                <w:szCs w:val="20"/>
                <w:lang w:eastAsia="en-CA"/>
              </w:rPr>
            </w:pPr>
            <w:r>
              <w:rPr>
                <w:sz w:val="20"/>
                <w:szCs w:val="20"/>
                <w:lang w:eastAsia="en-CA"/>
              </w:rPr>
              <w:t>Consider bans on import and restrictions on installation of HFC-based equipment, including one meeting with importers, one market assessment study, drafting of further regulatory framework for the HFC phase-down, and one awareness-raising meeting on implementation of regulations with relevant stakeholders for 100 participants</w:t>
            </w:r>
          </w:p>
        </w:tc>
        <w:tc>
          <w:tcPr>
            <w:tcW w:w="521" w:type="pct"/>
            <w:tcBorders>
              <w:top w:val="single" w:sz="4" w:space="0" w:color="auto"/>
              <w:left w:val="nil"/>
              <w:bottom w:val="single" w:sz="4" w:space="0" w:color="auto"/>
              <w:right w:val="single" w:sz="4" w:space="0" w:color="auto"/>
            </w:tcBorders>
            <w:vAlign w:val="center"/>
          </w:tcPr>
          <w:p w14:paraId="5B5EC794" w14:textId="77777777" w:rsidR="005A7ACB" w:rsidRPr="00BE38DF" w:rsidRDefault="005A7ACB" w:rsidP="007E29B4">
            <w:pPr>
              <w:suppressAutoHyphens/>
              <w:jc w:val="lef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5E1B5A05" w14:textId="77777777" w:rsidR="005A7ACB" w:rsidRPr="00BE38DF" w:rsidRDefault="005A7ACB" w:rsidP="002C57DE">
            <w:pPr>
              <w:suppressAutoHyphens/>
              <w:jc w:val="right"/>
              <w:rPr>
                <w:sz w:val="20"/>
                <w:szCs w:val="20"/>
                <w:lang w:eastAsia="en-CA"/>
              </w:rPr>
            </w:pPr>
          </w:p>
        </w:tc>
      </w:tr>
      <w:tr w:rsidR="005A7ACB" w:rsidRPr="00BE38DF" w14:paraId="13BC5DE5" w14:textId="77777777" w:rsidTr="002C57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324CAC0" w14:textId="77777777" w:rsidR="005A7ACB" w:rsidRPr="00BE38DF" w:rsidRDefault="005A7ACB" w:rsidP="002C57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2582F4B4" w14:textId="77777777" w:rsidR="005A7ACB" w:rsidRPr="00BE38DF" w:rsidRDefault="005A7ACB" w:rsidP="002C57DE">
            <w:pPr>
              <w:suppressAutoHyphens/>
              <w:jc w:val="left"/>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2BF265C6"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0D37223E" w14:textId="77777777" w:rsidR="005A7ACB" w:rsidRPr="00BE38DF" w:rsidRDefault="005A7ACB" w:rsidP="007E29B4">
            <w:pPr>
              <w:suppressAutoHyphens/>
              <w:jc w:val="right"/>
              <w:rPr>
                <w:sz w:val="20"/>
                <w:szCs w:val="20"/>
                <w:lang w:eastAsia="en-CA"/>
              </w:rPr>
            </w:pPr>
            <w:r>
              <w:rPr>
                <w:sz w:val="20"/>
                <w:szCs w:val="20"/>
                <w:lang w:eastAsia="en-CA"/>
              </w:rPr>
              <w:t>Develop a guide on ODS and HFC legislation, and disseminate in four workshops and meetings to relevant stakeholders (organized under other activities)</w:t>
            </w:r>
          </w:p>
        </w:tc>
        <w:tc>
          <w:tcPr>
            <w:tcW w:w="521" w:type="pct"/>
            <w:tcBorders>
              <w:top w:val="single" w:sz="4" w:space="0" w:color="auto"/>
              <w:left w:val="nil"/>
              <w:bottom w:val="single" w:sz="4" w:space="0" w:color="auto"/>
              <w:right w:val="single" w:sz="4" w:space="0" w:color="auto"/>
            </w:tcBorders>
            <w:vAlign w:val="center"/>
          </w:tcPr>
          <w:p w14:paraId="172958AD" w14:textId="77777777" w:rsidR="005A7ACB" w:rsidRPr="00BE38DF" w:rsidRDefault="005A7ACB" w:rsidP="007E29B4">
            <w:pPr>
              <w:suppressAutoHyphens/>
              <w:jc w:val="lef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283BA882" w14:textId="77777777" w:rsidR="005A7ACB" w:rsidRPr="00BE38DF" w:rsidRDefault="005A7ACB" w:rsidP="002C57DE">
            <w:pPr>
              <w:suppressAutoHyphens/>
              <w:jc w:val="right"/>
              <w:rPr>
                <w:sz w:val="20"/>
                <w:szCs w:val="20"/>
                <w:lang w:eastAsia="en-CA"/>
              </w:rPr>
            </w:pPr>
          </w:p>
        </w:tc>
      </w:tr>
      <w:tr w:rsidR="005A7ACB" w:rsidRPr="00BE38DF" w14:paraId="14487CF5" w14:textId="77777777" w:rsidTr="002C57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C6AC56D" w14:textId="77777777" w:rsidR="005A7ACB" w:rsidRPr="00BE38DF" w:rsidRDefault="005A7ACB" w:rsidP="002C57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6724B904" w14:textId="77777777" w:rsidR="005A7ACB" w:rsidRPr="00BE38DF" w:rsidRDefault="005A7ACB" w:rsidP="002C57DE">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06DAC72B"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121761A4" w14:textId="77777777" w:rsidR="005A7ACB" w:rsidRPr="00BE38DF" w:rsidRDefault="005A7ACB" w:rsidP="007E29B4">
            <w:pPr>
              <w:suppressAutoHyphens/>
              <w:jc w:val="right"/>
              <w:rPr>
                <w:sz w:val="20"/>
                <w:szCs w:val="20"/>
                <w:lang w:eastAsia="en-CA"/>
              </w:rPr>
            </w:pPr>
            <w:r>
              <w:rPr>
                <w:sz w:val="20"/>
                <w:szCs w:val="20"/>
                <w:lang w:eastAsia="en-CA"/>
              </w:rPr>
              <w:t>Update and strengthen the licensing and quota system for HFCs; and one workshop with importers, customs, and the Ministry of Trade on HFC licensing and quota system for 50 participants</w:t>
            </w:r>
          </w:p>
        </w:tc>
        <w:tc>
          <w:tcPr>
            <w:tcW w:w="521" w:type="pct"/>
            <w:tcBorders>
              <w:top w:val="single" w:sz="4" w:space="0" w:color="auto"/>
              <w:left w:val="nil"/>
              <w:bottom w:val="single" w:sz="4" w:space="0" w:color="auto"/>
              <w:right w:val="single" w:sz="4" w:space="0" w:color="auto"/>
            </w:tcBorders>
            <w:vAlign w:val="center"/>
          </w:tcPr>
          <w:p w14:paraId="260979B7" w14:textId="77777777" w:rsidR="005A7ACB" w:rsidRPr="00BE38DF" w:rsidRDefault="005A7ACB" w:rsidP="007E29B4">
            <w:pPr>
              <w:suppressAutoHyphens/>
              <w:jc w:val="left"/>
              <w:rPr>
                <w:sz w:val="20"/>
                <w:szCs w:val="20"/>
                <w:lang w:eastAsia="en-CA"/>
              </w:rPr>
            </w:pPr>
            <w:r>
              <w:rPr>
                <w:sz w:val="20"/>
                <w:szCs w:val="20"/>
                <w:lang w:eastAsia="en-CA"/>
              </w:rPr>
              <w:t>9,000</w:t>
            </w:r>
          </w:p>
        </w:tc>
        <w:tc>
          <w:tcPr>
            <w:tcW w:w="649" w:type="pct"/>
            <w:vMerge/>
            <w:tcBorders>
              <w:top w:val="single" w:sz="4" w:space="0" w:color="auto"/>
              <w:left w:val="nil"/>
              <w:bottom w:val="single" w:sz="4" w:space="0" w:color="auto"/>
              <w:right w:val="single" w:sz="4" w:space="0" w:color="auto"/>
            </w:tcBorders>
            <w:vAlign w:val="center"/>
          </w:tcPr>
          <w:p w14:paraId="548F309B" w14:textId="77777777" w:rsidR="005A7ACB" w:rsidRPr="00BE38DF" w:rsidRDefault="005A7ACB" w:rsidP="002C57DE">
            <w:pPr>
              <w:suppressAutoHyphens/>
              <w:jc w:val="right"/>
              <w:rPr>
                <w:sz w:val="20"/>
                <w:szCs w:val="20"/>
                <w:lang w:eastAsia="en-CA"/>
              </w:rPr>
            </w:pPr>
          </w:p>
        </w:tc>
      </w:tr>
      <w:tr w:rsidR="005A7ACB" w:rsidRPr="00BE38DF" w14:paraId="67C9E5E7" w14:textId="77777777" w:rsidTr="002C57DE">
        <w:trPr>
          <w:trHeight w:val="575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BEE83E4" w14:textId="77777777" w:rsidR="005A7ACB" w:rsidRPr="00BE38DF" w:rsidRDefault="005A7ACB" w:rsidP="002C57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4846A735" w14:textId="77777777" w:rsidR="005A7ACB" w:rsidRPr="00BE38DF" w:rsidRDefault="005A7ACB" w:rsidP="002C57DE">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59896CE0"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right w:val="single" w:sz="4" w:space="0" w:color="auto"/>
            </w:tcBorders>
            <w:vAlign w:val="center"/>
          </w:tcPr>
          <w:p w14:paraId="0822B84D" w14:textId="77777777" w:rsidR="005A7ACB" w:rsidRPr="00BE38DF" w:rsidRDefault="005A7ACB" w:rsidP="007E29B4">
            <w:pPr>
              <w:suppressAutoHyphens/>
              <w:jc w:val="right"/>
              <w:rPr>
                <w:sz w:val="20"/>
                <w:szCs w:val="20"/>
                <w:lang w:eastAsia="en-CA"/>
              </w:rPr>
            </w:pPr>
            <w:r>
              <w:rPr>
                <w:sz w:val="20"/>
                <w:szCs w:val="20"/>
                <w:lang w:eastAsia="en-CA"/>
              </w:rPr>
              <w:t>Develop the national technical standards and protocols on the use of flammable and/or toxic substances in RAC equipment with support of an international consultant; two stakeholder consultation meetings for development and finalisation of standards; organise two workshops for the standards officers, customs officials, owners of larger RAC workshops, training centres and importers (total 200 participants) for creating awareness and building their capacity on implementation of standards</w:t>
            </w:r>
          </w:p>
        </w:tc>
        <w:tc>
          <w:tcPr>
            <w:tcW w:w="521" w:type="pct"/>
            <w:tcBorders>
              <w:top w:val="single" w:sz="4" w:space="0" w:color="auto"/>
              <w:left w:val="nil"/>
              <w:right w:val="single" w:sz="4" w:space="0" w:color="auto"/>
            </w:tcBorders>
            <w:vAlign w:val="center"/>
          </w:tcPr>
          <w:p w14:paraId="37051D2B" w14:textId="77777777" w:rsidR="005A7ACB" w:rsidRPr="00BE38DF" w:rsidRDefault="005A7ACB" w:rsidP="007E29B4">
            <w:pPr>
              <w:suppressAutoHyphens/>
              <w:jc w:val="left"/>
              <w:rPr>
                <w:sz w:val="20"/>
                <w:szCs w:val="20"/>
                <w:lang w:eastAsia="en-CA"/>
              </w:rPr>
            </w:pPr>
            <w:r>
              <w:rPr>
                <w:sz w:val="20"/>
                <w:szCs w:val="20"/>
                <w:lang w:eastAsia="en-CA"/>
              </w:rPr>
              <w:t>17,000</w:t>
            </w:r>
          </w:p>
        </w:tc>
        <w:tc>
          <w:tcPr>
            <w:tcW w:w="649" w:type="pct"/>
            <w:vMerge/>
            <w:tcBorders>
              <w:top w:val="single" w:sz="4" w:space="0" w:color="auto"/>
              <w:left w:val="nil"/>
              <w:bottom w:val="single" w:sz="4" w:space="0" w:color="auto"/>
              <w:right w:val="single" w:sz="4" w:space="0" w:color="auto"/>
            </w:tcBorders>
            <w:vAlign w:val="center"/>
          </w:tcPr>
          <w:p w14:paraId="5A3CC121" w14:textId="77777777" w:rsidR="005A7ACB" w:rsidRPr="00BE38DF" w:rsidRDefault="005A7ACB" w:rsidP="002C57DE">
            <w:pPr>
              <w:suppressAutoHyphens/>
              <w:jc w:val="right"/>
              <w:rPr>
                <w:sz w:val="20"/>
                <w:szCs w:val="20"/>
                <w:lang w:eastAsia="en-CA"/>
              </w:rPr>
            </w:pPr>
          </w:p>
        </w:tc>
      </w:tr>
      <w:tr w:rsidR="005A7ACB" w:rsidRPr="00BE38DF" w14:paraId="0C8BF4C3" w14:textId="77777777" w:rsidTr="002C57DE">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4785C3BB" w14:textId="77777777" w:rsidR="005A7ACB" w:rsidRPr="00BE38DF" w:rsidRDefault="005A7ACB" w:rsidP="007E29B4">
            <w:pPr>
              <w:suppressAutoHyphens/>
              <w:jc w:val="right"/>
              <w:rPr>
                <w:b/>
                <w:bCs/>
                <w:sz w:val="20"/>
                <w:szCs w:val="20"/>
                <w:lang w:eastAsia="en-CA"/>
              </w:rPr>
            </w:pPr>
            <w:r>
              <w:rPr>
                <w:b/>
                <w:bCs/>
                <w:sz w:val="20"/>
                <w:szCs w:val="20"/>
                <w:lang w:eastAsia="en-CA"/>
              </w:rPr>
              <w:t>Subtotal</w:t>
            </w:r>
          </w:p>
          <w:p w14:paraId="71B2BD97" w14:textId="77777777" w:rsidR="005A7ACB" w:rsidRPr="00BE38DF" w:rsidRDefault="005A7ACB" w:rsidP="002C57DE">
            <w:pPr>
              <w:suppressAutoHyphens/>
              <w:rPr>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71202FD5" w14:textId="77777777" w:rsidR="005A7ACB" w:rsidRPr="00BE38DF" w:rsidRDefault="005A7ACB" w:rsidP="002C57DE">
            <w:pPr>
              <w:suppressAutoHyphens/>
              <w:jc w:val="right"/>
              <w:rPr>
                <w:b/>
                <w:bCs/>
                <w:sz w:val="20"/>
                <w:szCs w:val="20"/>
                <w:lang w:eastAsia="en-CA"/>
              </w:rPr>
            </w:pPr>
            <w:r>
              <w:rPr>
                <w:b/>
                <w:bCs/>
                <w:sz w:val="20"/>
                <w:szCs w:val="20"/>
                <w:lang w:eastAsia="en-CA"/>
              </w:rPr>
              <w:t>42,000</w:t>
            </w:r>
          </w:p>
        </w:tc>
        <w:tc>
          <w:tcPr>
            <w:tcW w:w="1117" w:type="pct"/>
            <w:tcBorders>
              <w:top w:val="single" w:sz="4" w:space="0" w:color="auto"/>
              <w:left w:val="single" w:sz="4" w:space="0" w:color="auto"/>
              <w:bottom w:val="single" w:sz="4" w:space="0" w:color="auto"/>
              <w:right w:val="single" w:sz="4" w:space="0" w:color="auto"/>
            </w:tcBorders>
            <w:vAlign w:val="center"/>
          </w:tcPr>
          <w:p w14:paraId="7AD7E075" w14:textId="77777777" w:rsidR="005A7ACB" w:rsidRPr="00BE38DF" w:rsidRDefault="005A7ACB" w:rsidP="002C57DE">
            <w:pPr>
              <w:suppressAutoHyphens/>
              <w:jc w:val="right"/>
              <w:rPr>
                <w:b/>
                <w:bCs/>
                <w:sz w:val="20"/>
                <w:szCs w:val="20"/>
                <w:lang w:eastAsia="en-CA"/>
              </w:rPr>
            </w:pPr>
          </w:p>
        </w:tc>
        <w:tc>
          <w:tcPr>
            <w:tcW w:w="521" w:type="pct"/>
            <w:tcBorders>
              <w:top w:val="single" w:sz="4" w:space="0" w:color="auto"/>
              <w:left w:val="single" w:sz="4" w:space="0" w:color="auto"/>
              <w:bottom w:val="single" w:sz="4" w:space="0" w:color="auto"/>
              <w:right w:val="single" w:sz="4" w:space="0" w:color="auto"/>
            </w:tcBorders>
            <w:vAlign w:val="center"/>
          </w:tcPr>
          <w:p w14:paraId="46CADFDD" w14:textId="77777777" w:rsidR="005A7ACB" w:rsidRPr="00BE38DF" w:rsidRDefault="005A7ACB" w:rsidP="002C57DE">
            <w:pPr>
              <w:suppressAutoHyphens/>
              <w:jc w:val="right"/>
              <w:rPr>
                <w:b/>
                <w:bCs/>
                <w:sz w:val="20"/>
                <w:szCs w:val="20"/>
                <w:lang w:eastAsia="en-CA"/>
              </w:rPr>
            </w:pPr>
            <w:r>
              <w:rPr>
                <w:b/>
                <w:bCs/>
                <w:sz w:val="20"/>
                <w:szCs w:val="20"/>
                <w:lang w:eastAsia="en-CA"/>
              </w:rPr>
              <w:t>50,000</w:t>
            </w:r>
          </w:p>
        </w:tc>
        <w:tc>
          <w:tcPr>
            <w:tcW w:w="649" w:type="pct"/>
            <w:tcBorders>
              <w:top w:val="single" w:sz="4" w:space="0" w:color="auto"/>
              <w:left w:val="nil"/>
              <w:bottom w:val="single" w:sz="4" w:space="0" w:color="auto"/>
              <w:right w:val="single" w:sz="4" w:space="0" w:color="auto"/>
            </w:tcBorders>
            <w:vAlign w:val="center"/>
          </w:tcPr>
          <w:p w14:paraId="6FFB08C2" w14:textId="77777777" w:rsidR="005A7ACB" w:rsidRPr="00BE38DF" w:rsidRDefault="005A7ACB" w:rsidP="002C57DE">
            <w:pPr>
              <w:suppressAutoHyphens/>
              <w:jc w:val="right"/>
              <w:rPr>
                <w:b/>
                <w:bCs/>
                <w:sz w:val="20"/>
                <w:szCs w:val="20"/>
                <w:lang w:eastAsia="en-CA"/>
              </w:rPr>
            </w:pPr>
            <w:r>
              <w:rPr>
                <w:b/>
                <w:bCs/>
                <w:sz w:val="20"/>
                <w:szCs w:val="20"/>
                <w:lang w:eastAsia="en-CA"/>
              </w:rPr>
              <w:t>92,000</w:t>
            </w:r>
          </w:p>
        </w:tc>
      </w:tr>
      <w:tr w:rsidR="005A7ACB" w:rsidRPr="00BE38DF" w14:paraId="38D6AF02" w14:textId="77777777" w:rsidTr="002C57DE">
        <w:trPr>
          <w:trHeight w:val="1081"/>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7039A119" w14:textId="77777777" w:rsidR="005A7ACB" w:rsidRPr="00BE38DF" w:rsidRDefault="005A7ACB" w:rsidP="002C57DE">
            <w:pPr>
              <w:suppressAutoHyphens/>
              <w:jc w:val="left"/>
              <w:rPr>
                <w:sz w:val="20"/>
                <w:szCs w:val="20"/>
                <w:lang w:eastAsia="en-CA"/>
              </w:rPr>
            </w:pPr>
          </w:p>
          <w:p w14:paraId="6DE62820" w14:textId="77777777" w:rsidR="005A7ACB" w:rsidRPr="00BE38DF" w:rsidRDefault="005A7ACB" w:rsidP="002C57DE">
            <w:pPr>
              <w:suppressAutoHyphens/>
              <w:jc w:val="left"/>
              <w:rPr>
                <w:sz w:val="20"/>
                <w:szCs w:val="20"/>
                <w:lang w:eastAsia="en-CA"/>
              </w:rPr>
            </w:pPr>
            <w:r>
              <w:rPr>
                <w:sz w:val="20"/>
                <w:szCs w:val="20"/>
                <w:lang w:eastAsia="en-CA"/>
              </w:rPr>
              <w:t>Capacity-building of servicing technicians</w:t>
            </w:r>
          </w:p>
        </w:tc>
        <w:tc>
          <w:tcPr>
            <w:tcW w:w="1165" w:type="pct"/>
            <w:tcBorders>
              <w:top w:val="single" w:sz="4" w:space="0" w:color="auto"/>
              <w:left w:val="nil"/>
              <w:bottom w:val="single" w:sz="4" w:space="0" w:color="auto"/>
              <w:right w:val="single" w:sz="4" w:space="0" w:color="auto"/>
            </w:tcBorders>
            <w:vAlign w:val="center"/>
          </w:tcPr>
          <w:p w14:paraId="319E5122" w14:textId="77777777" w:rsidR="005A7ACB" w:rsidRPr="00BE38DF" w:rsidRDefault="005A7ACB" w:rsidP="007E29B4">
            <w:pPr>
              <w:suppressAutoHyphens/>
              <w:jc w:val="right"/>
              <w:rPr>
                <w:sz w:val="20"/>
                <w:szCs w:val="20"/>
                <w:lang w:eastAsia="en-CA"/>
              </w:rPr>
            </w:pPr>
            <w:r>
              <w:rPr>
                <w:sz w:val="20"/>
                <w:szCs w:val="20"/>
                <w:lang w:val="en-US" w:eastAsia="en-CA"/>
              </w:rPr>
              <w:t>Training of RAC technicians in good servicing practices</w:t>
            </w:r>
          </w:p>
        </w:tc>
        <w:tc>
          <w:tcPr>
            <w:tcW w:w="459" w:type="pct"/>
            <w:tcBorders>
              <w:top w:val="single" w:sz="4" w:space="0" w:color="auto"/>
              <w:left w:val="nil"/>
              <w:bottom w:val="single" w:sz="4" w:space="0" w:color="auto"/>
              <w:right w:val="single" w:sz="4" w:space="0" w:color="auto"/>
            </w:tcBorders>
            <w:vAlign w:val="center"/>
          </w:tcPr>
          <w:p w14:paraId="219B426C" w14:textId="77777777" w:rsidR="005A7ACB" w:rsidRPr="00BE38DF" w:rsidRDefault="005A7ACB" w:rsidP="002C57DE">
            <w:pPr>
              <w:suppressAutoHyphens/>
              <w:jc w:val="right"/>
              <w:rPr>
                <w:sz w:val="20"/>
                <w:szCs w:val="20"/>
                <w:lang w:eastAsia="en-CA"/>
              </w:rPr>
            </w:pPr>
            <w:r>
              <w:rPr>
                <w:sz w:val="20"/>
                <w:szCs w:val="20"/>
                <w:lang w:eastAsia="en-CA"/>
              </w:rPr>
              <w:t>20,000</w:t>
            </w:r>
          </w:p>
        </w:tc>
        <w:tc>
          <w:tcPr>
            <w:tcW w:w="1117" w:type="pct"/>
            <w:vMerge w:val="restart"/>
            <w:tcBorders>
              <w:top w:val="single" w:sz="4" w:space="0" w:color="auto"/>
              <w:left w:val="single" w:sz="4" w:space="0" w:color="auto"/>
              <w:bottom w:val="single" w:sz="4" w:space="0" w:color="auto"/>
              <w:right w:val="single" w:sz="4" w:space="0" w:color="auto"/>
            </w:tcBorders>
            <w:vAlign w:val="center"/>
          </w:tcPr>
          <w:p w14:paraId="5C4FDE22" w14:textId="77777777" w:rsidR="005A7ACB" w:rsidRPr="00BE38DF" w:rsidRDefault="005A7ACB" w:rsidP="007E29B4">
            <w:pPr>
              <w:suppressAutoHyphens/>
              <w:jc w:val="right"/>
              <w:rPr>
                <w:sz w:val="20"/>
                <w:szCs w:val="20"/>
                <w:lang w:eastAsia="en-CA"/>
              </w:rPr>
            </w:pPr>
            <w:r>
              <w:rPr>
                <w:sz w:val="20"/>
                <w:szCs w:val="20"/>
                <w:lang w:eastAsia="en-CA"/>
              </w:rPr>
              <w:t xml:space="preserve">Update the curriculum of vocational schools </w:t>
            </w:r>
          </w:p>
        </w:tc>
        <w:tc>
          <w:tcPr>
            <w:tcW w:w="521" w:type="pct"/>
            <w:vMerge w:val="restart"/>
            <w:tcBorders>
              <w:top w:val="nil"/>
              <w:left w:val="nil"/>
              <w:right w:val="single" w:sz="4" w:space="0" w:color="auto"/>
            </w:tcBorders>
            <w:vAlign w:val="center"/>
          </w:tcPr>
          <w:p w14:paraId="7F09A154" w14:textId="77777777" w:rsidR="005A7ACB" w:rsidRPr="00BE38DF" w:rsidRDefault="005A7ACB" w:rsidP="007E29B4">
            <w:pPr>
              <w:suppressAutoHyphens/>
              <w:jc w:val="left"/>
              <w:rPr>
                <w:sz w:val="20"/>
                <w:szCs w:val="20"/>
                <w:lang w:eastAsia="en-CA"/>
              </w:rPr>
            </w:pPr>
            <w:r>
              <w:rPr>
                <w:sz w:val="20"/>
                <w:szCs w:val="20"/>
                <w:lang w:eastAsia="en-CA"/>
              </w:rPr>
              <w:t>6,000</w:t>
            </w:r>
          </w:p>
        </w:tc>
        <w:tc>
          <w:tcPr>
            <w:tcW w:w="649" w:type="pct"/>
            <w:vMerge w:val="restart"/>
            <w:tcBorders>
              <w:top w:val="nil"/>
              <w:left w:val="nil"/>
              <w:right w:val="single" w:sz="4" w:space="0" w:color="auto"/>
            </w:tcBorders>
            <w:vAlign w:val="center"/>
          </w:tcPr>
          <w:p w14:paraId="2F7F11B2" w14:textId="77777777" w:rsidR="005A7ACB" w:rsidRPr="00BE38DF" w:rsidRDefault="005A7ACB" w:rsidP="002C57DE">
            <w:pPr>
              <w:suppressAutoHyphens/>
              <w:jc w:val="right"/>
              <w:rPr>
                <w:sz w:val="20"/>
                <w:szCs w:val="20"/>
                <w:lang w:eastAsia="en-CA"/>
              </w:rPr>
            </w:pPr>
          </w:p>
        </w:tc>
      </w:tr>
      <w:tr w:rsidR="005A7ACB" w:rsidRPr="00BE38DF" w14:paraId="16C52EAE" w14:textId="77777777" w:rsidTr="002C57DE">
        <w:trPr>
          <w:trHeight w:val="1408"/>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1F04B54C" w14:textId="77777777" w:rsidR="005A7ACB" w:rsidRPr="00BE38DF" w:rsidRDefault="005A7ACB" w:rsidP="002C57DE">
            <w:pPr>
              <w:suppressAutoHyphens/>
              <w:jc w:val="left"/>
              <w:rPr>
                <w:sz w:val="20"/>
                <w:szCs w:val="20"/>
                <w:lang w:eastAsia="en-CA"/>
              </w:rPr>
            </w:pPr>
          </w:p>
        </w:tc>
        <w:tc>
          <w:tcPr>
            <w:tcW w:w="1165" w:type="pct"/>
            <w:tcBorders>
              <w:top w:val="single" w:sz="4" w:space="0" w:color="auto"/>
              <w:left w:val="nil"/>
              <w:bottom w:val="single" w:sz="4" w:space="0" w:color="auto"/>
              <w:right w:val="single" w:sz="4" w:space="0" w:color="auto"/>
            </w:tcBorders>
            <w:vAlign w:val="center"/>
          </w:tcPr>
          <w:p w14:paraId="12ABE8B9" w14:textId="77777777" w:rsidR="005A7ACB" w:rsidRPr="00BE38DF" w:rsidRDefault="005A7ACB" w:rsidP="007E29B4">
            <w:pPr>
              <w:suppressAutoHyphens/>
              <w:jc w:val="right"/>
              <w:rPr>
                <w:sz w:val="20"/>
                <w:szCs w:val="20"/>
                <w:lang w:eastAsia="en-CA"/>
              </w:rPr>
            </w:pPr>
            <w:r>
              <w:rPr>
                <w:sz w:val="20"/>
                <w:szCs w:val="20"/>
                <w:lang w:val="en-US" w:eastAsia="en-CA"/>
              </w:rPr>
              <w:t>Establishment of a certification scheme for RAC technicians</w:t>
            </w:r>
          </w:p>
        </w:tc>
        <w:tc>
          <w:tcPr>
            <w:tcW w:w="459" w:type="pct"/>
            <w:tcBorders>
              <w:top w:val="single" w:sz="4" w:space="0" w:color="auto"/>
              <w:left w:val="nil"/>
              <w:bottom w:val="single" w:sz="4" w:space="0" w:color="auto"/>
              <w:right w:val="single" w:sz="4" w:space="0" w:color="auto"/>
            </w:tcBorders>
            <w:vAlign w:val="center"/>
          </w:tcPr>
          <w:p w14:paraId="680BB8F4" w14:textId="77777777" w:rsidR="005A7ACB" w:rsidRPr="00BE38DF" w:rsidRDefault="005A7ACB" w:rsidP="002C57DE">
            <w:pPr>
              <w:suppressAutoHyphens/>
              <w:jc w:val="right"/>
              <w:rPr>
                <w:sz w:val="20"/>
                <w:szCs w:val="20"/>
                <w:lang w:eastAsia="en-CA"/>
              </w:rPr>
            </w:pPr>
            <w:r>
              <w:rPr>
                <w:sz w:val="20"/>
                <w:szCs w:val="20"/>
                <w:lang w:eastAsia="en-CA"/>
              </w:rPr>
              <w:t>60,000</w:t>
            </w:r>
          </w:p>
        </w:tc>
        <w:tc>
          <w:tcPr>
            <w:tcW w:w="1117" w:type="pct"/>
            <w:vMerge/>
            <w:tcBorders>
              <w:top w:val="single" w:sz="4" w:space="0" w:color="auto"/>
              <w:left w:val="single" w:sz="4" w:space="0" w:color="auto"/>
              <w:bottom w:val="single" w:sz="4" w:space="0" w:color="auto"/>
              <w:right w:val="single" w:sz="4" w:space="0" w:color="auto"/>
            </w:tcBorders>
            <w:vAlign w:val="center"/>
          </w:tcPr>
          <w:p w14:paraId="24C347E0" w14:textId="77777777" w:rsidR="005A7ACB" w:rsidRPr="00BE38DF" w:rsidRDefault="005A7ACB" w:rsidP="007E29B4">
            <w:pPr>
              <w:suppressAutoHyphens/>
              <w:jc w:val="right"/>
              <w:rPr>
                <w:sz w:val="20"/>
                <w:szCs w:val="20"/>
                <w:lang w:eastAsia="en-CA"/>
              </w:rPr>
            </w:pPr>
          </w:p>
        </w:tc>
        <w:tc>
          <w:tcPr>
            <w:tcW w:w="521" w:type="pct"/>
            <w:vMerge/>
            <w:tcBorders>
              <w:left w:val="nil"/>
              <w:bottom w:val="single" w:sz="4" w:space="0" w:color="auto"/>
              <w:right w:val="single" w:sz="4" w:space="0" w:color="auto"/>
            </w:tcBorders>
            <w:vAlign w:val="center"/>
          </w:tcPr>
          <w:p w14:paraId="72A9310B" w14:textId="77777777" w:rsidR="005A7ACB" w:rsidRPr="00BE38DF" w:rsidRDefault="005A7ACB" w:rsidP="007E29B4">
            <w:pPr>
              <w:suppressAutoHyphens/>
              <w:jc w:val="left"/>
              <w:rPr>
                <w:sz w:val="20"/>
                <w:szCs w:val="20"/>
                <w:lang w:eastAsia="en-CA"/>
              </w:rPr>
            </w:pPr>
          </w:p>
        </w:tc>
        <w:tc>
          <w:tcPr>
            <w:tcW w:w="649" w:type="pct"/>
            <w:vMerge/>
            <w:tcBorders>
              <w:left w:val="nil"/>
              <w:right w:val="single" w:sz="4" w:space="0" w:color="auto"/>
            </w:tcBorders>
            <w:vAlign w:val="center"/>
          </w:tcPr>
          <w:p w14:paraId="5FCB5693" w14:textId="77777777" w:rsidR="005A7ACB" w:rsidRPr="00BE38DF" w:rsidRDefault="005A7ACB" w:rsidP="002C57DE">
            <w:pPr>
              <w:suppressAutoHyphens/>
              <w:jc w:val="right"/>
              <w:rPr>
                <w:sz w:val="20"/>
                <w:szCs w:val="20"/>
                <w:lang w:eastAsia="en-CA"/>
              </w:rPr>
            </w:pPr>
          </w:p>
        </w:tc>
      </w:tr>
      <w:tr w:rsidR="005A7ACB" w:rsidRPr="00BE38DF" w14:paraId="1F9583FC" w14:textId="77777777" w:rsidTr="002C57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59C848E" w14:textId="77777777" w:rsidR="005A7ACB" w:rsidRPr="00BE38DF" w:rsidRDefault="005A7ACB" w:rsidP="002C57DE">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vAlign w:val="center"/>
          </w:tcPr>
          <w:p w14:paraId="00961009" w14:textId="77777777" w:rsidR="005A7ACB" w:rsidRPr="00BE38DF" w:rsidRDefault="005A7ACB" w:rsidP="007E29B4">
            <w:pPr>
              <w:suppressAutoHyphens/>
              <w:jc w:val="right"/>
              <w:rPr>
                <w:sz w:val="20"/>
                <w:szCs w:val="20"/>
                <w:lang w:eastAsia="en-CA"/>
              </w:rPr>
            </w:pPr>
            <w:r>
              <w:rPr>
                <w:sz w:val="20"/>
                <w:szCs w:val="20"/>
                <w:lang w:val="en-US" w:eastAsia="en-CA"/>
              </w:rPr>
              <w:t>Targeted campaign and support for female students in the RAC field</w:t>
            </w:r>
          </w:p>
        </w:tc>
        <w:tc>
          <w:tcPr>
            <w:tcW w:w="459" w:type="pct"/>
            <w:vMerge w:val="restart"/>
            <w:tcBorders>
              <w:top w:val="single" w:sz="4" w:space="0" w:color="auto"/>
              <w:left w:val="nil"/>
              <w:bottom w:val="single" w:sz="4" w:space="0" w:color="auto"/>
              <w:right w:val="single" w:sz="4" w:space="0" w:color="auto"/>
            </w:tcBorders>
            <w:vAlign w:val="center"/>
          </w:tcPr>
          <w:p w14:paraId="17F1D195" w14:textId="77777777" w:rsidR="005A7ACB" w:rsidRPr="00BE38DF" w:rsidRDefault="005A7ACB" w:rsidP="002C57DE">
            <w:pPr>
              <w:suppressAutoHyphens/>
              <w:jc w:val="right"/>
              <w:rPr>
                <w:sz w:val="20"/>
                <w:szCs w:val="20"/>
                <w:lang w:eastAsia="en-CA"/>
              </w:rPr>
            </w:pPr>
            <w:r>
              <w:rPr>
                <w:sz w:val="20"/>
                <w:szCs w:val="20"/>
                <w:lang w:eastAsia="en-CA"/>
              </w:rPr>
              <w:t>7,000</w:t>
            </w:r>
          </w:p>
        </w:tc>
        <w:tc>
          <w:tcPr>
            <w:tcW w:w="1117" w:type="pct"/>
            <w:tcBorders>
              <w:top w:val="single" w:sz="4" w:space="0" w:color="auto"/>
              <w:left w:val="single" w:sz="4" w:space="0" w:color="auto"/>
              <w:bottom w:val="single" w:sz="4" w:space="0" w:color="auto"/>
              <w:right w:val="single" w:sz="4" w:space="0" w:color="auto"/>
            </w:tcBorders>
            <w:vAlign w:val="center"/>
          </w:tcPr>
          <w:p w14:paraId="33021055" w14:textId="77777777" w:rsidR="005A7ACB" w:rsidRPr="00BE38DF" w:rsidRDefault="005A7ACB" w:rsidP="007E29B4">
            <w:pPr>
              <w:suppressAutoHyphens/>
              <w:jc w:val="right"/>
              <w:rPr>
                <w:sz w:val="20"/>
                <w:szCs w:val="20"/>
                <w:lang w:eastAsia="en-CA"/>
              </w:rPr>
            </w:pPr>
            <w:r>
              <w:rPr>
                <w:sz w:val="20"/>
                <w:szCs w:val="20"/>
                <w:lang w:eastAsia="en-CA"/>
              </w:rPr>
              <w:t>Develop training material for training of MAC technicians; organize training of trainers, organize two training programmes of MAC and RAC technicians, 20 participants each, total 40 participants on new technologies, safety standards, leakage control, and energy efficiency</w:t>
            </w:r>
          </w:p>
        </w:tc>
        <w:tc>
          <w:tcPr>
            <w:tcW w:w="521" w:type="pct"/>
            <w:tcBorders>
              <w:top w:val="nil"/>
              <w:left w:val="nil"/>
              <w:bottom w:val="single" w:sz="4" w:space="0" w:color="auto"/>
              <w:right w:val="single" w:sz="4" w:space="0" w:color="auto"/>
            </w:tcBorders>
            <w:vAlign w:val="center"/>
          </w:tcPr>
          <w:p w14:paraId="71394BA1" w14:textId="77777777" w:rsidR="005A7ACB" w:rsidRPr="00BE38DF" w:rsidRDefault="005A7ACB" w:rsidP="007E29B4">
            <w:pPr>
              <w:suppressAutoHyphens/>
              <w:jc w:val="lef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3E175144" w14:textId="77777777" w:rsidR="005A7ACB" w:rsidRPr="00BE38DF" w:rsidRDefault="005A7ACB" w:rsidP="002C57DE">
            <w:pPr>
              <w:suppressAutoHyphens/>
              <w:jc w:val="right"/>
              <w:rPr>
                <w:sz w:val="20"/>
                <w:szCs w:val="20"/>
                <w:lang w:eastAsia="en-CA"/>
              </w:rPr>
            </w:pPr>
          </w:p>
        </w:tc>
      </w:tr>
      <w:tr w:rsidR="005A7ACB" w:rsidRPr="00BE38DF" w14:paraId="45C1020B" w14:textId="77777777" w:rsidTr="002C57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45F50BB3" w14:textId="77777777" w:rsidR="005A7ACB" w:rsidRPr="00BE38DF" w:rsidRDefault="005A7ACB" w:rsidP="002C57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vAlign w:val="center"/>
          </w:tcPr>
          <w:p w14:paraId="64CEB1DC" w14:textId="77777777" w:rsidR="005A7ACB" w:rsidRPr="00BE38DF" w:rsidRDefault="005A7ACB" w:rsidP="002C57DE">
            <w:pPr>
              <w:suppressAutoHyphens/>
              <w:jc w:val="left"/>
              <w:rPr>
                <w:sz w:val="20"/>
                <w:szCs w:val="20"/>
                <w:lang w:val="en-US" w:eastAsia="en-CA"/>
              </w:rPr>
            </w:pPr>
          </w:p>
        </w:tc>
        <w:tc>
          <w:tcPr>
            <w:tcW w:w="459" w:type="pct"/>
            <w:vMerge/>
            <w:tcBorders>
              <w:top w:val="single" w:sz="4" w:space="0" w:color="auto"/>
              <w:left w:val="nil"/>
              <w:right w:val="single" w:sz="4" w:space="0" w:color="auto"/>
            </w:tcBorders>
            <w:vAlign w:val="center"/>
          </w:tcPr>
          <w:p w14:paraId="688A2AF9"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179F7B6F" w14:textId="77777777" w:rsidR="005A7ACB" w:rsidRPr="00BE38DF" w:rsidRDefault="005A7ACB" w:rsidP="007E29B4">
            <w:pPr>
              <w:suppressAutoHyphens/>
              <w:jc w:val="right"/>
              <w:rPr>
                <w:sz w:val="20"/>
                <w:szCs w:val="20"/>
                <w:lang w:eastAsia="en-CA"/>
              </w:rPr>
            </w:pPr>
            <w:r>
              <w:rPr>
                <w:sz w:val="20"/>
                <w:szCs w:val="20"/>
                <w:lang w:eastAsia="en-CA"/>
              </w:rPr>
              <w:t>Purchase and deliver two sets of HFC-32-based residential air-conditioners, leak detectors and recycling stations to training centres for training purposes</w:t>
            </w:r>
          </w:p>
        </w:tc>
        <w:tc>
          <w:tcPr>
            <w:tcW w:w="521" w:type="pct"/>
            <w:tcBorders>
              <w:top w:val="nil"/>
              <w:left w:val="nil"/>
              <w:bottom w:val="single" w:sz="4" w:space="0" w:color="auto"/>
              <w:right w:val="single" w:sz="4" w:space="0" w:color="auto"/>
            </w:tcBorders>
            <w:vAlign w:val="center"/>
          </w:tcPr>
          <w:p w14:paraId="5C4F1728" w14:textId="77777777" w:rsidR="005A7ACB" w:rsidRPr="00BE38DF" w:rsidRDefault="005A7ACB" w:rsidP="007E29B4">
            <w:pPr>
              <w:suppressAutoHyphens/>
              <w:jc w:val="left"/>
              <w:rPr>
                <w:sz w:val="20"/>
                <w:szCs w:val="20"/>
                <w:lang w:eastAsia="en-CA"/>
              </w:rPr>
            </w:pPr>
            <w:r>
              <w:rPr>
                <w:sz w:val="20"/>
                <w:szCs w:val="20"/>
                <w:lang w:eastAsia="en-CA"/>
              </w:rPr>
              <w:t>2,500</w:t>
            </w:r>
          </w:p>
        </w:tc>
        <w:tc>
          <w:tcPr>
            <w:tcW w:w="649" w:type="pct"/>
            <w:vMerge w:val="restart"/>
            <w:tcBorders>
              <w:left w:val="nil"/>
              <w:right w:val="single" w:sz="4" w:space="0" w:color="auto"/>
            </w:tcBorders>
            <w:vAlign w:val="center"/>
          </w:tcPr>
          <w:p w14:paraId="61383E75" w14:textId="77777777" w:rsidR="005A7ACB" w:rsidRPr="00BE38DF" w:rsidRDefault="005A7ACB" w:rsidP="002C57DE">
            <w:pPr>
              <w:suppressAutoHyphens/>
              <w:jc w:val="right"/>
              <w:rPr>
                <w:sz w:val="20"/>
                <w:szCs w:val="20"/>
                <w:lang w:eastAsia="en-CA"/>
              </w:rPr>
            </w:pPr>
          </w:p>
        </w:tc>
      </w:tr>
      <w:tr w:rsidR="005A7ACB" w:rsidRPr="00BE38DF" w14:paraId="4D03E908" w14:textId="77777777" w:rsidTr="002C57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18783D49" w14:textId="77777777" w:rsidR="005A7ACB" w:rsidRPr="00BE38DF" w:rsidRDefault="005A7ACB" w:rsidP="002C57DE">
            <w:pPr>
              <w:suppressAutoHyphens/>
              <w:jc w:val="left"/>
              <w:rPr>
                <w:sz w:val="20"/>
                <w:szCs w:val="20"/>
                <w:lang w:eastAsia="en-CA"/>
              </w:rPr>
            </w:pPr>
          </w:p>
        </w:tc>
        <w:tc>
          <w:tcPr>
            <w:tcW w:w="1165" w:type="pct"/>
            <w:vMerge/>
            <w:tcBorders>
              <w:top w:val="single" w:sz="4" w:space="0" w:color="auto"/>
              <w:left w:val="nil"/>
              <w:right w:val="single" w:sz="4" w:space="0" w:color="auto"/>
            </w:tcBorders>
            <w:vAlign w:val="center"/>
          </w:tcPr>
          <w:p w14:paraId="57D3D277" w14:textId="77777777" w:rsidR="005A7ACB" w:rsidRPr="00BE38DF" w:rsidRDefault="005A7ACB" w:rsidP="002C57DE">
            <w:pPr>
              <w:suppressAutoHyphens/>
              <w:jc w:val="left"/>
              <w:rPr>
                <w:sz w:val="20"/>
                <w:szCs w:val="20"/>
                <w:lang w:val="en-US" w:eastAsia="en-CA"/>
              </w:rPr>
            </w:pPr>
          </w:p>
        </w:tc>
        <w:tc>
          <w:tcPr>
            <w:tcW w:w="459" w:type="pct"/>
            <w:vMerge/>
            <w:tcBorders>
              <w:left w:val="nil"/>
              <w:right w:val="single" w:sz="4" w:space="0" w:color="auto"/>
            </w:tcBorders>
            <w:vAlign w:val="center"/>
          </w:tcPr>
          <w:p w14:paraId="743DFADD"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08CDF61C" w14:textId="77777777" w:rsidR="005A7ACB" w:rsidRPr="00BE38DF" w:rsidRDefault="005A7ACB" w:rsidP="007E29B4">
            <w:pPr>
              <w:suppressAutoHyphens/>
              <w:jc w:val="right"/>
              <w:rPr>
                <w:sz w:val="20"/>
                <w:szCs w:val="20"/>
                <w:lang w:eastAsia="en-CA"/>
              </w:rPr>
            </w:pPr>
            <w:r>
              <w:rPr>
                <w:sz w:val="20"/>
                <w:szCs w:val="20"/>
                <w:lang w:eastAsia="en-CA"/>
              </w:rPr>
              <w:t>Develop and disseminate manual on safe handling of flammable and/or toxic refrigerants for at least 300 users</w:t>
            </w:r>
          </w:p>
        </w:tc>
        <w:tc>
          <w:tcPr>
            <w:tcW w:w="521" w:type="pct"/>
            <w:tcBorders>
              <w:top w:val="nil"/>
              <w:left w:val="nil"/>
              <w:bottom w:val="single" w:sz="4" w:space="0" w:color="auto"/>
              <w:right w:val="single" w:sz="4" w:space="0" w:color="auto"/>
            </w:tcBorders>
            <w:vAlign w:val="center"/>
          </w:tcPr>
          <w:p w14:paraId="60675388" w14:textId="77777777" w:rsidR="005A7ACB" w:rsidRPr="00BE38DF" w:rsidRDefault="005A7ACB" w:rsidP="007E29B4">
            <w:pPr>
              <w:suppressAutoHyphens/>
              <w:jc w:val="lef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76FC6D8E" w14:textId="77777777" w:rsidR="005A7ACB" w:rsidRPr="00BE38DF" w:rsidRDefault="005A7ACB" w:rsidP="002C57DE">
            <w:pPr>
              <w:suppressAutoHyphens/>
              <w:jc w:val="right"/>
              <w:rPr>
                <w:sz w:val="20"/>
                <w:szCs w:val="20"/>
                <w:lang w:eastAsia="en-CA"/>
              </w:rPr>
            </w:pPr>
          </w:p>
        </w:tc>
      </w:tr>
      <w:tr w:rsidR="005A7ACB" w:rsidRPr="00BE38DF" w14:paraId="34FDD574" w14:textId="77777777" w:rsidTr="002C57DE">
        <w:trPr>
          <w:trHeight w:val="1620"/>
          <w:jc w:val="center"/>
        </w:trPr>
        <w:tc>
          <w:tcPr>
            <w:tcW w:w="1090" w:type="pct"/>
            <w:vMerge/>
            <w:tcBorders>
              <w:left w:val="single" w:sz="4" w:space="0" w:color="auto"/>
              <w:bottom w:val="single" w:sz="4" w:space="0" w:color="auto"/>
              <w:right w:val="single" w:sz="4" w:space="0" w:color="auto"/>
            </w:tcBorders>
            <w:vAlign w:val="center"/>
          </w:tcPr>
          <w:p w14:paraId="2A0FA8E8" w14:textId="77777777" w:rsidR="005A7ACB" w:rsidRPr="00BE38DF" w:rsidRDefault="005A7ACB" w:rsidP="002C57DE">
            <w:pPr>
              <w:suppressAutoHyphens/>
              <w:jc w:val="left"/>
              <w:rPr>
                <w:sz w:val="20"/>
                <w:szCs w:val="20"/>
                <w:lang w:eastAsia="en-CA"/>
              </w:rPr>
            </w:pPr>
          </w:p>
        </w:tc>
        <w:tc>
          <w:tcPr>
            <w:tcW w:w="1165" w:type="pct"/>
            <w:vMerge/>
            <w:tcBorders>
              <w:left w:val="nil"/>
              <w:right w:val="single" w:sz="4" w:space="0" w:color="auto"/>
            </w:tcBorders>
            <w:vAlign w:val="center"/>
          </w:tcPr>
          <w:p w14:paraId="35CF8D52" w14:textId="77777777" w:rsidR="005A7ACB" w:rsidRPr="00BE38DF" w:rsidRDefault="005A7ACB" w:rsidP="002C57DE">
            <w:pPr>
              <w:suppressAutoHyphens/>
              <w:jc w:val="left"/>
              <w:rPr>
                <w:sz w:val="20"/>
                <w:szCs w:val="20"/>
                <w:lang w:val="en-US" w:eastAsia="en-CA"/>
              </w:rPr>
            </w:pPr>
          </w:p>
        </w:tc>
        <w:tc>
          <w:tcPr>
            <w:tcW w:w="459" w:type="pct"/>
            <w:vMerge/>
            <w:tcBorders>
              <w:left w:val="nil"/>
              <w:right w:val="single" w:sz="4" w:space="0" w:color="auto"/>
            </w:tcBorders>
            <w:vAlign w:val="center"/>
          </w:tcPr>
          <w:p w14:paraId="766D4FBD"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5A98F467" w14:textId="77777777" w:rsidR="005A7ACB" w:rsidRPr="00BE38DF" w:rsidRDefault="005A7ACB" w:rsidP="007E29B4">
            <w:pPr>
              <w:suppressAutoHyphens/>
              <w:jc w:val="right"/>
              <w:rPr>
                <w:sz w:val="20"/>
                <w:szCs w:val="20"/>
                <w:lang w:eastAsia="en-CA"/>
              </w:rPr>
            </w:pPr>
            <w:r>
              <w:rPr>
                <w:sz w:val="20"/>
                <w:szCs w:val="20"/>
                <w:lang w:eastAsia="en-CA"/>
              </w:rPr>
              <w:t>Develop a leakage control guide for all those involved in installation, servicing, maintenance and decommissioning of RAC equipment,  and carry out at least two “Zero Leaks” workshops to guide and demonstrate to end-users</w:t>
            </w:r>
          </w:p>
        </w:tc>
        <w:tc>
          <w:tcPr>
            <w:tcW w:w="521" w:type="pct"/>
            <w:tcBorders>
              <w:top w:val="nil"/>
              <w:left w:val="nil"/>
              <w:bottom w:val="single" w:sz="4" w:space="0" w:color="auto"/>
              <w:right w:val="single" w:sz="4" w:space="0" w:color="auto"/>
            </w:tcBorders>
            <w:vAlign w:val="center"/>
          </w:tcPr>
          <w:p w14:paraId="38E4FF3E" w14:textId="77777777" w:rsidR="005A7ACB" w:rsidRPr="00BE38DF" w:rsidRDefault="005A7ACB" w:rsidP="007E29B4">
            <w:pPr>
              <w:suppressAutoHyphens/>
              <w:jc w:val="lef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4420AF9C" w14:textId="77777777" w:rsidR="005A7ACB" w:rsidRPr="00BE38DF" w:rsidRDefault="005A7ACB" w:rsidP="002C57DE">
            <w:pPr>
              <w:suppressAutoHyphens/>
              <w:jc w:val="right"/>
              <w:rPr>
                <w:sz w:val="20"/>
                <w:szCs w:val="20"/>
                <w:lang w:eastAsia="en-CA"/>
              </w:rPr>
            </w:pPr>
          </w:p>
        </w:tc>
      </w:tr>
      <w:tr w:rsidR="005A7ACB" w:rsidRPr="00BE38DF" w14:paraId="562B1000" w14:textId="77777777" w:rsidTr="002C57DE">
        <w:trPr>
          <w:trHeight w:val="1620"/>
          <w:jc w:val="center"/>
        </w:trPr>
        <w:tc>
          <w:tcPr>
            <w:tcW w:w="1090" w:type="pct"/>
            <w:vMerge/>
            <w:tcBorders>
              <w:left w:val="single" w:sz="4" w:space="0" w:color="auto"/>
              <w:bottom w:val="single" w:sz="4" w:space="0" w:color="auto"/>
              <w:right w:val="single" w:sz="4" w:space="0" w:color="auto"/>
            </w:tcBorders>
            <w:vAlign w:val="center"/>
          </w:tcPr>
          <w:p w14:paraId="08F29E8F" w14:textId="77777777" w:rsidR="005A7ACB" w:rsidRPr="00BE38DF" w:rsidRDefault="005A7ACB" w:rsidP="002C57DE">
            <w:pPr>
              <w:suppressAutoHyphens/>
              <w:jc w:val="left"/>
              <w:rPr>
                <w:sz w:val="20"/>
                <w:szCs w:val="20"/>
                <w:lang w:eastAsia="en-CA"/>
              </w:rPr>
            </w:pPr>
          </w:p>
        </w:tc>
        <w:tc>
          <w:tcPr>
            <w:tcW w:w="1165" w:type="pct"/>
            <w:vMerge/>
            <w:tcBorders>
              <w:left w:val="nil"/>
              <w:bottom w:val="single" w:sz="4" w:space="0" w:color="auto"/>
              <w:right w:val="single" w:sz="4" w:space="0" w:color="auto"/>
            </w:tcBorders>
            <w:vAlign w:val="center"/>
          </w:tcPr>
          <w:p w14:paraId="5EB97823" w14:textId="77777777" w:rsidR="005A7ACB" w:rsidRPr="00BE38DF" w:rsidRDefault="005A7ACB" w:rsidP="002C57DE">
            <w:pPr>
              <w:suppressAutoHyphens/>
              <w:jc w:val="left"/>
              <w:rPr>
                <w:sz w:val="20"/>
                <w:szCs w:val="20"/>
                <w:lang w:val="en-US" w:eastAsia="en-CA"/>
              </w:rPr>
            </w:pPr>
          </w:p>
        </w:tc>
        <w:tc>
          <w:tcPr>
            <w:tcW w:w="459" w:type="pct"/>
            <w:vMerge/>
            <w:tcBorders>
              <w:left w:val="nil"/>
              <w:bottom w:val="single" w:sz="4" w:space="0" w:color="auto"/>
              <w:right w:val="single" w:sz="4" w:space="0" w:color="auto"/>
            </w:tcBorders>
            <w:vAlign w:val="center"/>
          </w:tcPr>
          <w:p w14:paraId="0C42CCA8" w14:textId="77777777" w:rsidR="005A7ACB" w:rsidRPr="00BE38DF" w:rsidRDefault="005A7ACB" w:rsidP="002C57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9B1F8C2" w14:textId="77777777" w:rsidR="005A7ACB" w:rsidRPr="00BE38DF" w:rsidRDefault="005A7ACB" w:rsidP="007E29B4">
            <w:pPr>
              <w:suppressAutoHyphens/>
              <w:jc w:val="right"/>
              <w:rPr>
                <w:sz w:val="20"/>
                <w:szCs w:val="20"/>
                <w:lang w:eastAsia="en-CA"/>
              </w:rPr>
            </w:pPr>
            <w:r>
              <w:rPr>
                <w:sz w:val="20"/>
                <w:szCs w:val="20"/>
                <w:lang w:eastAsia="en-CA"/>
              </w:rPr>
              <w:t>Organize four awareness-raising campaigns for a total of 400 stakeholders on low-GWP energy efficient alternatives and their economic and environmental benefits, as well as on preventive maintenance</w:t>
            </w:r>
          </w:p>
        </w:tc>
        <w:tc>
          <w:tcPr>
            <w:tcW w:w="521" w:type="pct"/>
            <w:tcBorders>
              <w:top w:val="nil"/>
              <w:left w:val="nil"/>
              <w:bottom w:val="single" w:sz="4" w:space="0" w:color="auto"/>
              <w:right w:val="single" w:sz="4" w:space="0" w:color="auto"/>
            </w:tcBorders>
            <w:vAlign w:val="center"/>
          </w:tcPr>
          <w:p w14:paraId="3BA11F5E" w14:textId="77777777" w:rsidR="005A7ACB" w:rsidRPr="00BE38DF" w:rsidRDefault="005A7ACB" w:rsidP="007E29B4">
            <w:pPr>
              <w:suppressAutoHyphens/>
              <w:jc w:val="lef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2F3D1A6A" w14:textId="77777777" w:rsidR="005A7ACB" w:rsidRPr="00BE38DF" w:rsidRDefault="005A7ACB" w:rsidP="002C57DE">
            <w:pPr>
              <w:suppressAutoHyphens/>
              <w:jc w:val="right"/>
              <w:rPr>
                <w:sz w:val="20"/>
                <w:szCs w:val="20"/>
                <w:lang w:eastAsia="en-CA"/>
              </w:rPr>
            </w:pPr>
          </w:p>
        </w:tc>
      </w:tr>
      <w:tr w:rsidR="005A7ACB" w:rsidRPr="00BE38DF" w14:paraId="741BE061" w14:textId="77777777" w:rsidTr="002C57DE">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4D11B261" w14:textId="77777777" w:rsidR="005A7ACB" w:rsidRPr="00BE38DF" w:rsidRDefault="005A7ACB" w:rsidP="007E29B4">
            <w:pPr>
              <w:suppressAutoHyphens/>
              <w:jc w:val="right"/>
              <w:rPr>
                <w:b/>
                <w:bCs/>
                <w:sz w:val="20"/>
                <w:szCs w:val="20"/>
                <w:lang w:eastAsia="en-CA"/>
              </w:rPr>
            </w:pPr>
            <w:r>
              <w:rPr>
                <w:b/>
                <w:bCs/>
                <w:sz w:val="20"/>
                <w:szCs w:val="20"/>
                <w:lang w:eastAsia="en-CA"/>
              </w:rPr>
              <w:t>Subtotal</w:t>
            </w:r>
          </w:p>
        </w:tc>
        <w:tc>
          <w:tcPr>
            <w:tcW w:w="459" w:type="pct"/>
            <w:tcBorders>
              <w:top w:val="single" w:sz="4" w:space="0" w:color="auto"/>
              <w:left w:val="nil"/>
              <w:bottom w:val="single" w:sz="4" w:space="0" w:color="auto"/>
              <w:right w:val="single" w:sz="4" w:space="0" w:color="auto"/>
            </w:tcBorders>
            <w:vAlign w:val="center"/>
          </w:tcPr>
          <w:p w14:paraId="3AF52009" w14:textId="77777777" w:rsidR="005A7ACB" w:rsidRPr="00BE38DF" w:rsidRDefault="005A7ACB" w:rsidP="002C57DE">
            <w:pPr>
              <w:suppressAutoHyphens/>
              <w:jc w:val="right"/>
              <w:rPr>
                <w:b/>
                <w:bCs/>
                <w:sz w:val="20"/>
                <w:szCs w:val="20"/>
                <w:lang w:eastAsia="en-CA"/>
              </w:rPr>
            </w:pPr>
            <w:r>
              <w:rPr>
                <w:b/>
                <w:bCs/>
                <w:sz w:val="20"/>
                <w:szCs w:val="20"/>
                <w:lang w:eastAsia="en-CA"/>
              </w:rPr>
              <w:t>87,000</w:t>
            </w:r>
          </w:p>
        </w:tc>
        <w:tc>
          <w:tcPr>
            <w:tcW w:w="1117" w:type="pct"/>
            <w:tcBorders>
              <w:top w:val="single" w:sz="4" w:space="0" w:color="auto"/>
              <w:left w:val="single" w:sz="4" w:space="0" w:color="auto"/>
              <w:bottom w:val="single" w:sz="4" w:space="0" w:color="auto"/>
              <w:right w:val="single" w:sz="4" w:space="0" w:color="auto"/>
            </w:tcBorders>
            <w:vAlign w:val="center"/>
          </w:tcPr>
          <w:p w14:paraId="68DAC937" w14:textId="77777777" w:rsidR="005A7ACB" w:rsidRPr="00BE38DF" w:rsidRDefault="005A7ACB" w:rsidP="007E29B4">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2C663BEB" w14:textId="77777777" w:rsidR="005A7ACB" w:rsidRPr="00BE38DF" w:rsidRDefault="005A7ACB" w:rsidP="007E29B4">
            <w:pPr>
              <w:suppressAutoHyphens/>
              <w:jc w:val="left"/>
              <w:rPr>
                <w:b/>
                <w:bCs/>
                <w:sz w:val="20"/>
                <w:szCs w:val="20"/>
                <w:lang w:eastAsia="en-CA"/>
              </w:rPr>
            </w:pPr>
            <w:r>
              <w:rPr>
                <w:b/>
                <w:bCs/>
                <w:sz w:val="20"/>
                <w:szCs w:val="20"/>
                <w:lang w:eastAsia="en-CA"/>
              </w:rPr>
              <w:t>54,500</w:t>
            </w:r>
          </w:p>
        </w:tc>
        <w:tc>
          <w:tcPr>
            <w:tcW w:w="649" w:type="pct"/>
            <w:tcBorders>
              <w:top w:val="single" w:sz="4" w:space="0" w:color="auto"/>
              <w:left w:val="nil"/>
              <w:bottom w:val="single" w:sz="4" w:space="0" w:color="auto"/>
              <w:right w:val="single" w:sz="4" w:space="0" w:color="auto"/>
            </w:tcBorders>
            <w:vAlign w:val="center"/>
          </w:tcPr>
          <w:p w14:paraId="6915604A" w14:textId="77777777" w:rsidR="005A7ACB" w:rsidRPr="00BE38DF" w:rsidRDefault="005A7ACB" w:rsidP="007E29B4">
            <w:pPr>
              <w:suppressAutoHyphens/>
              <w:jc w:val="left"/>
              <w:rPr>
                <w:b/>
                <w:bCs/>
                <w:sz w:val="20"/>
                <w:szCs w:val="20"/>
                <w:lang w:eastAsia="en-CA"/>
              </w:rPr>
            </w:pPr>
            <w:r>
              <w:rPr>
                <w:b/>
                <w:bCs/>
                <w:sz w:val="20"/>
                <w:szCs w:val="20"/>
                <w:lang w:eastAsia="en-CA"/>
              </w:rPr>
              <w:t>141,500</w:t>
            </w:r>
          </w:p>
        </w:tc>
      </w:tr>
      <w:tr w:rsidR="005A7ACB" w:rsidRPr="00BE38DF" w14:paraId="62A2289C" w14:textId="77777777" w:rsidTr="002C57DE">
        <w:trPr>
          <w:trHeight w:val="1380"/>
          <w:jc w:val="center"/>
        </w:trPr>
        <w:tc>
          <w:tcPr>
            <w:tcW w:w="1090" w:type="pct"/>
            <w:vMerge w:val="restart"/>
            <w:tcBorders>
              <w:top w:val="nil"/>
              <w:left w:val="single" w:sz="4" w:space="0" w:color="auto"/>
              <w:right w:val="single" w:sz="4" w:space="0" w:color="auto"/>
            </w:tcBorders>
            <w:vAlign w:val="center"/>
          </w:tcPr>
          <w:p w14:paraId="6C7BDFD9" w14:textId="77777777" w:rsidR="005A7ACB" w:rsidRPr="00BE38DF" w:rsidRDefault="005A7ACB" w:rsidP="007E29B4">
            <w:pPr>
              <w:suppressAutoHyphens/>
              <w:jc w:val="right"/>
              <w:rPr>
                <w:sz w:val="20"/>
                <w:szCs w:val="20"/>
                <w:lang w:eastAsia="en-CA"/>
              </w:rPr>
            </w:pPr>
            <w:r>
              <w:rPr>
                <w:sz w:val="20"/>
                <w:szCs w:val="20"/>
                <w:lang w:eastAsia="en-CA"/>
              </w:rPr>
              <w:t xml:space="preserve">Capacity building of customs and enforcement officers </w:t>
            </w:r>
          </w:p>
          <w:p w14:paraId="67477659" w14:textId="77777777" w:rsidR="005A7ACB" w:rsidRPr="00BE38DF" w:rsidRDefault="005A7ACB" w:rsidP="007E29B4">
            <w:pPr>
              <w:suppressAutoHyphens/>
              <w:jc w:val="right"/>
              <w:rPr>
                <w:sz w:val="20"/>
                <w:szCs w:val="20"/>
                <w:lang w:eastAsia="en-CA"/>
              </w:rPr>
            </w:pPr>
          </w:p>
        </w:tc>
        <w:tc>
          <w:tcPr>
            <w:tcW w:w="1165" w:type="pct"/>
            <w:vMerge w:val="restart"/>
            <w:tcBorders>
              <w:top w:val="nil"/>
              <w:left w:val="nil"/>
              <w:right w:val="single" w:sz="4" w:space="0" w:color="auto"/>
            </w:tcBorders>
            <w:shd w:val="clear" w:color="auto" w:fill="FFFFFF" w:themeFill="background1"/>
            <w:vAlign w:val="center"/>
          </w:tcPr>
          <w:p w14:paraId="3B94318A" w14:textId="77777777" w:rsidR="005A7ACB" w:rsidRPr="00BE38DF" w:rsidRDefault="005A7ACB" w:rsidP="007E29B4">
            <w:pPr>
              <w:suppressAutoHyphens/>
              <w:jc w:val="right"/>
              <w:rPr>
                <w:sz w:val="20"/>
                <w:szCs w:val="20"/>
                <w:lang w:eastAsia="en-CA"/>
              </w:rPr>
            </w:pPr>
            <w:r>
              <w:rPr>
                <w:sz w:val="20"/>
                <w:szCs w:val="20"/>
                <w:lang w:eastAsia="en-CA"/>
              </w:rPr>
              <w:t xml:space="preserve">Training of customs and fiscal police officers </w:t>
            </w:r>
          </w:p>
        </w:tc>
        <w:tc>
          <w:tcPr>
            <w:tcW w:w="459" w:type="pct"/>
            <w:vMerge w:val="restart"/>
            <w:tcBorders>
              <w:top w:val="nil"/>
              <w:left w:val="nil"/>
              <w:right w:val="single" w:sz="4" w:space="0" w:color="auto"/>
            </w:tcBorders>
            <w:shd w:val="clear" w:color="auto" w:fill="FFFFFF" w:themeFill="background1"/>
            <w:vAlign w:val="center"/>
          </w:tcPr>
          <w:p w14:paraId="3F3D429D" w14:textId="77777777" w:rsidR="005A7ACB" w:rsidRPr="00BE38DF" w:rsidRDefault="005A7ACB" w:rsidP="007E29B4">
            <w:pPr>
              <w:suppressAutoHyphens/>
              <w:jc w:val="left"/>
              <w:rPr>
                <w:sz w:val="20"/>
                <w:szCs w:val="20"/>
                <w:lang w:eastAsia="en-CA"/>
              </w:rPr>
            </w:pPr>
            <w:r>
              <w:rPr>
                <w:sz w:val="20"/>
                <w:szCs w:val="20"/>
                <w:lang w:eastAsia="en-CA"/>
              </w:rPr>
              <w:t>40,000</w:t>
            </w:r>
          </w:p>
          <w:p w14:paraId="2C3165D1" w14:textId="77777777" w:rsidR="005A7ACB" w:rsidRPr="00BE38DF" w:rsidRDefault="005A7ACB" w:rsidP="007E29B4">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BC229" w14:textId="77777777" w:rsidR="005A7ACB" w:rsidRPr="00BE38DF" w:rsidRDefault="005A7ACB" w:rsidP="007E29B4">
            <w:pPr>
              <w:suppressAutoHyphens/>
              <w:jc w:val="right"/>
              <w:rPr>
                <w:sz w:val="20"/>
                <w:szCs w:val="20"/>
                <w:lang w:eastAsia="en-CA"/>
              </w:rPr>
            </w:pPr>
            <w:r>
              <w:rPr>
                <w:sz w:val="20"/>
                <w:szCs w:val="20"/>
                <w:lang w:eastAsia="en-CA"/>
              </w:rPr>
              <w:t>Prepare and disseminate posters and information material on the main rules and regulations on imports</w:t>
            </w:r>
          </w:p>
        </w:tc>
        <w:tc>
          <w:tcPr>
            <w:tcW w:w="521" w:type="pct"/>
            <w:tcBorders>
              <w:top w:val="nil"/>
              <w:left w:val="nil"/>
              <w:bottom w:val="single" w:sz="4" w:space="0" w:color="auto"/>
              <w:right w:val="single" w:sz="4" w:space="0" w:color="auto"/>
            </w:tcBorders>
            <w:vAlign w:val="center"/>
          </w:tcPr>
          <w:p w14:paraId="09F4AACA" w14:textId="77777777" w:rsidR="005A7ACB" w:rsidRPr="00BE38DF" w:rsidRDefault="005A7ACB" w:rsidP="007E29B4">
            <w:pPr>
              <w:suppressAutoHyphens/>
              <w:jc w:val="left"/>
              <w:rPr>
                <w:sz w:val="20"/>
                <w:szCs w:val="20"/>
                <w:lang w:eastAsia="en-CA"/>
              </w:rPr>
            </w:pPr>
            <w:r>
              <w:rPr>
                <w:sz w:val="20"/>
                <w:szCs w:val="20"/>
                <w:lang w:eastAsia="en-CA"/>
              </w:rPr>
              <w:t>2,500</w:t>
            </w:r>
          </w:p>
        </w:tc>
        <w:tc>
          <w:tcPr>
            <w:tcW w:w="649" w:type="pct"/>
            <w:vMerge w:val="restart"/>
            <w:tcBorders>
              <w:top w:val="nil"/>
              <w:left w:val="nil"/>
              <w:right w:val="single" w:sz="4" w:space="0" w:color="auto"/>
            </w:tcBorders>
            <w:vAlign w:val="center"/>
          </w:tcPr>
          <w:p w14:paraId="0A48BFA8" w14:textId="77777777" w:rsidR="005A7ACB" w:rsidRPr="00BE38DF" w:rsidRDefault="005A7ACB" w:rsidP="002C57DE">
            <w:pPr>
              <w:suppressAutoHyphens/>
              <w:jc w:val="right"/>
              <w:rPr>
                <w:sz w:val="20"/>
                <w:szCs w:val="20"/>
                <w:lang w:eastAsia="en-CA"/>
              </w:rPr>
            </w:pPr>
          </w:p>
          <w:p w14:paraId="23ED5352" w14:textId="77777777" w:rsidR="005A7ACB" w:rsidRPr="00BE38DF" w:rsidRDefault="005A7ACB" w:rsidP="002C57DE">
            <w:pPr>
              <w:suppressAutoHyphens/>
              <w:jc w:val="right"/>
              <w:rPr>
                <w:sz w:val="20"/>
                <w:szCs w:val="20"/>
                <w:lang w:eastAsia="en-CA"/>
              </w:rPr>
            </w:pPr>
          </w:p>
        </w:tc>
      </w:tr>
      <w:tr w:rsidR="005A7ACB" w:rsidRPr="00BE38DF" w14:paraId="76825EA4" w14:textId="77777777" w:rsidTr="002C57DE">
        <w:trPr>
          <w:trHeight w:val="227"/>
          <w:jc w:val="center"/>
        </w:trPr>
        <w:tc>
          <w:tcPr>
            <w:tcW w:w="1090" w:type="pct"/>
            <w:vMerge/>
            <w:tcBorders>
              <w:left w:val="single" w:sz="4" w:space="0" w:color="auto"/>
              <w:bottom w:val="single" w:sz="4" w:space="0" w:color="auto"/>
              <w:right w:val="single" w:sz="4" w:space="0" w:color="auto"/>
            </w:tcBorders>
            <w:vAlign w:val="center"/>
          </w:tcPr>
          <w:p w14:paraId="01FCCEE1" w14:textId="77777777" w:rsidR="005A7ACB" w:rsidRPr="00BE38DF" w:rsidRDefault="005A7ACB" w:rsidP="007E29B4">
            <w:pPr>
              <w:suppressAutoHyphens/>
              <w:jc w:val="right"/>
              <w:rPr>
                <w:sz w:val="20"/>
                <w:szCs w:val="20"/>
                <w:lang w:eastAsia="en-CA"/>
              </w:rPr>
            </w:pPr>
          </w:p>
        </w:tc>
        <w:tc>
          <w:tcPr>
            <w:tcW w:w="1165" w:type="pct"/>
            <w:vMerge/>
            <w:tcBorders>
              <w:left w:val="nil"/>
              <w:bottom w:val="single" w:sz="4" w:space="0" w:color="auto"/>
              <w:right w:val="single" w:sz="4" w:space="0" w:color="auto"/>
            </w:tcBorders>
            <w:shd w:val="clear" w:color="auto" w:fill="FFFFFF" w:themeFill="background1"/>
            <w:vAlign w:val="center"/>
          </w:tcPr>
          <w:p w14:paraId="5A9937EC" w14:textId="77777777" w:rsidR="005A7ACB" w:rsidRPr="00BE38DF" w:rsidRDefault="005A7ACB" w:rsidP="007E29B4">
            <w:pPr>
              <w:suppressAutoHyphens/>
              <w:jc w:val="right"/>
              <w:rPr>
                <w:sz w:val="20"/>
                <w:szCs w:val="20"/>
                <w:lang w:eastAsia="en-CA"/>
              </w:rPr>
            </w:pPr>
          </w:p>
        </w:tc>
        <w:tc>
          <w:tcPr>
            <w:tcW w:w="459" w:type="pct"/>
            <w:vMerge/>
            <w:tcBorders>
              <w:left w:val="nil"/>
              <w:bottom w:val="single" w:sz="4" w:space="0" w:color="auto"/>
              <w:right w:val="single" w:sz="4" w:space="0" w:color="auto"/>
            </w:tcBorders>
            <w:shd w:val="clear" w:color="auto" w:fill="FFFFFF" w:themeFill="background1"/>
            <w:vAlign w:val="center"/>
          </w:tcPr>
          <w:p w14:paraId="43033CB1" w14:textId="77777777" w:rsidR="005A7ACB" w:rsidRPr="00BE38DF" w:rsidRDefault="005A7ACB" w:rsidP="007E29B4">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C289E" w14:textId="77777777" w:rsidR="005A7ACB" w:rsidRPr="00BE38DF" w:rsidRDefault="005A7ACB" w:rsidP="007E29B4">
            <w:pPr>
              <w:suppressAutoHyphens/>
              <w:jc w:val="right"/>
              <w:rPr>
                <w:sz w:val="20"/>
                <w:szCs w:val="20"/>
                <w:lang w:eastAsia="en-CA"/>
              </w:rPr>
            </w:pPr>
            <w:r>
              <w:rPr>
                <w:sz w:val="20"/>
                <w:szCs w:val="20"/>
                <w:lang w:eastAsia="en-CA"/>
              </w:rPr>
              <w:t xml:space="preserve">Conduct two study tours to exchange information and experience with other member countries of the Economic Community of Central African States (ECCAS), including </w:t>
            </w:r>
            <w:r>
              <w:rPr>
                <w:sz w:val="20"/>
                <w:szCs w:val="20"/>
                <w:lang w:eastAsia="en-CA"/>
              </w:rPr>
              <w:lastRenderedPageBreak/>
              <w:t>two missions with three officers per mission, to a total six officers</w:t>
            </w:r>
          </w:p>
        </w:tc>
        <w:tc>
          <w:tcPr>
            <w:tcW w:w="521" w:type="pct"/>
            <w:tcBorders>
              <w:top w:val="nil"/>
              <w:left w:val="nil"/>
              <w:bottom w:val="single" w:sz="4" w:space="0" w:color="auto"/>
              <w:right w:val="single" w:sz="4" w:space="0" w:color="auto"/>
            </w:tcBorders>
            <w:vAlign w:val="center"/>
          </w:tcPr>
          <w:p w14:paraId="14EF18D5" w14:textId="77777777" w:rsidR="005A7ACB" w:rsidRPr="00BE38DF" w:rsidRDefault="005A7ACB" w:rsidP="007E29B4">
            <w:pPr>
              <w:suppressAutoHyphens/>
              <w:jc w:val="left"/>
              <w:rPr>
                <w:sz w:val="20"/>
                <w:szCs w:val="20"/>
                <w:lang w:eastAsia="en-CA"/>
              </w:rPr>
            </w:pPr>
            <w:r>
              <w:rPr>
                <w:sz w:val="20"/>
                <w:szCs w:val="20"/>
                <w:lang w:eastAsia="en-CA"/>
              </w:rPr>
              <w:lastRenderedPageBreak/>
              <w:t>15,000</w:t>
            </w:r>
          </w:p>
        </w:tc>
        <w:tc>
          <w:tcPr>
            <w:tcW w:w="649" w:type="pct"/>
            <w:vMerge/>
            <w:tcBorders>
              <w:left w:val="nil"/>
              <w:bottom w:val="single" w:sz="4" w:space="0" w:color="auto"/>
              <w:right w:val="single" w:sz="4" w:space="0" w:color="auto"/>
            </w:tcBorders>
            <w:vAlign w:val="center"/>
          </w:tcPr>
          <w:p w14:paraId="3398585B" w14:textId="77777777" w:rsidR="005A7ACB" w:rsidRPr="00BE38DF" w:rsidRDefault="005A7ACB" w:rsidP="002C57DE">
            <w:pPr>
              <w:suppressAutoHyphens/>
              <w:jc w:val="right"/>
              <w:rPr>
                <w:sz w:val="20"/>
                <w:szCs w:val="20"/>
                <w:lang w:eastAsia="en-CA"/>
              </w:rPr>
            </w:pPr>
          </w:p>
        </w:tc>
      </w:tr>
      <w:tr w:rsidR="005A7ACB" w:rsidRPr="00BE38DF" w14:paraId="48BDE178" w14:textId="77777777" w:rsidTr="002C57DE">
        <w:trPr>
          <w:trHeight w:val="227"/>
          <w:jc w:val="center"/>
        </w:trPr>
        <w:tc>
          <w:tcPr>
            <w:tcW w:w="1090" w:type="pct"/>
            <w:tcBorders>
              <w:top w:val="nil"/>
              <w:left w:val="single" w:sz="4" w:space="0" w:color="auto"/>
              <w:bottom w:val="single" w:sz="4" w:space="0" w:color="auto"/>
              <w:right w:val="single" w:sz="4" w:space="0" w:color="auto"/>
            </w:tcBorders>
            <w:vAlign w:val="center"/>
          </w:tcPr>
          <w:p w14:paraId="0275B3A4" w14:textId="77777777" w:rsidR="005A7ACB" w:rsidRPr="00BE38DF" w:rsidRDefault="005A7ACB" w:rsidP="007E29B4">
            <w:pPr>
              <w:suppressAutoHyphens/>
              <w:jc w:val="right"/>
              <w:rPr>
                <w:sz w:val="20"/>
                <w:szCs w:val="20"/>
                <w:lang w:eastAsia="en-CA"/>
              </w:rPr>
            </w:pPr>
            <w:r>
              <w:rPr>
                <w:sz w:val="20"/>
                <w:szCs w:val="20"/>
                <w:lang w:eastAsia="en-CA"/>
              </w:rPr>
              <w:t xml:space="preserve"> </w:t>
            </w:r>
            <w:r>
              <w:rPr>
                <w:b/>
                <w:bCs/>
                <w:sz w:val="20"/>
                <w:szCs w:val="20"/>
                <w:lang w:eastAsia="en-CA"/>
              </w:rPr>
              <w:t>Subtotal</w:t>
            </w:r>
          </w:p>
        </w:tc>
        <w:tc>
          <w:tcPr>
            <w:tcW w:w="1165" w:type="pct"/>
            <w:tcBorders>
              <w:top w:val="nil"/>
              <w:left w:val="nil"/>
              <w:bottom w:val="single" w:sz="4" w:space="0" w:color="auto"/>
              <w:right w:val="single" w:sz="4" w:space="0" w:color="auto"/>
            </w:tcBorders>
            <w:shd w:val="clear" w:color="auto" w:fill="FFFFFF" w:themeFill="background1"/>
            <w:vAlign w:val="center"/>
          </w:tcPr>
          <w:p w14:paraId="78794A01" w14:textId="77777777" w:rsidR="005A7ACB" w:rsidRPr="00BE38DF" w:rsidRDefault="005A7ACB" w:rsidP="002C57DE">
            <w:pPr>
              <w:suppressAutoHyphens/>
              <w:rPr>
                <w:b/>
                <w:bCs/>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601907BE" w14:textId="77777777" w:rsidR="005A7ACB" w:rsidRPr="00BE38DF" w:rsidRDefault="005A7ACB" w:rsidP="002C57DE">
            <w:pPr>
              <w:suppressAutoHyphens/>
              <w:jc w:val="right"/>
              <w:rPr>
                <w:b/>
                <w:bCs/>
                <w:sz w:val="20"/>
                <w:szCs w:val="20"/>
                <w:lang w:eastAsia="en-CA"/>
              </w:rPr>
            </w:pPr>
            <w:r>
              <w:rPr>
                <w:b/>
                <w:bCs/>
                <w:sz w:val="20"/>
                <w:szCs w:val="20"/>
                <w:lang w:eastAsia="en-CA"/>
              </w:rPr>
              <w:t>40,000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AECD9" w14:textId="77777777" w:rsidR="005A7ACB" w:rsidRPr="00BE38DF" w:rsidRDefault="005A7ACB" w:rsidP="002C57DE">
            <w:pPr>
              <w:suppressAutoHyphens/>
              <w:jc w:val="left"/>
              <w:rPr>
                <w:b/>
                <w:bCs/>
                <w:sz w:val="20"/>
                <w:szCs w:val="20"/>
                <w:lang w:eastAsia="en-CA"/>
              </w:rPr>
            </w:pPr>
          </w:p>
        </w:tc>
        <w:tc>
          <w:tcPr>
            <w:tcW w:w="521" w:type="pct"/>
            <w:tcBorders>
              <w:top w:val="nil"/>
              <w:left w:val="nil"/>
              <w:bottom w:val="single" w:sz="4" w:space="0" w:color="auto"/>
              <w:right w:val="single" w:sz="4" w:space="0" w:color="auto"/>
            </w:tcBorders>
            <w:vAlign w:val="center"/>
          </w:tcPr>
          <w:p w14:paraId="446D1F18" w14:textId="77777777" w:rsidR="005A7ACB" w:rsidRPr="00BE38DF" w:rsidRDefault="005A7ACB" w:rsidP="002C57DE">
            <w:pPr>
              <w:suppressAutoHyphens/>
              <w:jc w:val="right"/>
              <w:rPr>
                <w:b/>
                <w:bCs/>
                <w:sz w:val="20"/>
                <w:szCs w:val="20"/>
                <w:lang w:eastAsia="en-CA"/>
              </w:rPr>
            </w:pPr>
            <w:r>
              <w:rPr>
                <w:b/>
                <w:bCs/>
                <w:sz w:val="20"/>
                <w:szCs w:val="20"/>
                <w:lang w:eastAsia="en-CA"/>
              </w:rPr>
              <w:t>17,500</w:t>
            </w:r>
          </w:p>
        </w:tc>
        <w:tc>
          <w:tcPr>
            <w:tcW w:w="649" w:type="pct"/>
            <w:tcBorders>
              <w:top w:val="nil"/>
              <w:left w:val="nil"/>
              <w:bottom w:val="single" w:sz="4" w:space="0" w:color="auto"/>
              <w:right w:val="single" w:sz="4" w:space="0" w:color="auto"/>
            </w:tcBorders>
            <w:vAlign w:val="center"/>
          </w:tcPr>
          <w:p w14:paraId="294EA287" w14:textId="77777777" w:rsidR="005A7ACB" w:rsidRPr="00BE38DF" w:rsidRDefault="005A7ACB" w:rsidP="002C57DE">
            <w:pPr>
              <w:suppressAutoHyphens/>
              <w:jc w:val="right"/>
              <w:rPr>
                <w:b/>
                <w:bCs/>
                <w:sz w:val="20"/>
                <w:szCs w:val="20"/>
                <w:lang w:eastAsia="en-CA"/>
              </w:rPr>
            </w:pPr>
            <w:r>
              <w:rPr>
                <w:b/>
                <w:bCs/>
                <w:sz w:val="20"/>
                <w:szCs w:val="20"/>
                <w:lang w:eastAsia="en-CA"/>
              </w:rPr>
              <w:t>57,500</w:t>
            </w:r>
          </w:p>
        </w:tc>
      </w:tr>
      <w:tr w:rsidR="005A7ACB" w:rsidRPr="00BE38DF" w14:paraId="15469AB6" w14:textId="77777777" w:rsidTr="002C57DE">
        <w:trPr>
          <w:trHeight w:val="1178"/>
          <w:jc w:val="center"/>
        </w:trPr>
        <w:tc>
          <w:tcPr>
            <w:tcW w:w="1090" w:type="pct"/>
            <w:tcBorders>
              <w:top w:val="single" w:sz="4" w:space="0" w:color="auto"/>
              <w:left w:val="single" w:sz="4" w:space="0" w:color="auto"/>
              <w:bottom w:val="single" w:sz="4" w:space="0" w:color="auto"/>
              <w:right w:val="single" w:sz="4" w:space="0" w:color="auto"/>
            </w:tcBorders>
            <w:vAlign w:val="center"/>
          </w:tcPr>
          <w:p w14:paraId="377F9CEC" w14:textId="77777777" w:rsidR="005A7ACB" w:rsidRPr="00BE38DF" w:rsidRDefault="005A7ACB" w:rsidP="007E29B4">
            <w:pPr>
              <w:suppressAutoHyphens/>
              <w:jc w:val="right"/>
              <w:rPr>
                <w:sz w:val="20"/>
                <w:szCs w:val="20"/>
                <w:lang w:eastAsia="en-CA"/>
              </w:rPr>
            </w:pPr>
            <w:r>
              <w:rPr>
                <w:sz w:val="20"/>
                <w:szCs w:val="20"/>
                <w:lang w:eastAsia="en-CA"/>
              </w:rPr>
              <w:t xml:space="preserve">Monitoring, evaluation and reporting </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35B3EBE4" w14:textId="77777777" w:rsidR="005A7ACB" w:rsidRPr="00BE38DF" w:rsidRDefault="005A7ACB" w:rsidP="007E29B4">
            <w:pPr>
              <w:suppressAutoHyphens/>
              <w:jc w:val="right"/>
              <w:rPr>
                <w:b/>
                <w:bCs/>
                <w:sz w:val="20"/>
                <w:szCs w:val="20"/>
                <w:lang w:eastAsia="en-CA"/>
              </w:rPr>
            </w:pPr>
            <w:r>
              <w:rPr>
                <w:sz w:val="20"/>
                <w:szCs w:val="20"/>
                <w:lang w:eastAsia="en-CA"/>
              </w:rPr>
              <w:t>Monitoring, evaluation and reporting</w:t>
            </w: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526D61B8" w14:textId="77777777" w:rsidR="005A7ACB" w:rsidRPr="00BE38DF" w:rsidRDefault="005A7ACB" w:rsidP="007E29B4">
            <w:pPr>
              <w:suppressAutoHyphens/>
              <w:jc w:val="right"/>
              <w:rPr>
                <w:b/>
                <w:bCs/>
                <w:sz w:val="20"/>
                <w:szCs w:val="20"/>
                <w:lang w:eastAsia="en-CA"/>
              </w:rPr>
            </w:pPr>
            <w:r>
              <w:rPr>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AC28" w14:textId="77777777" w:rsidR="005A7ACB" w:rsidRPr="00BE38DF" w:rsidRDefault="005A7ACB" w:rsidP="007E29B4">
            <w:pPr>
              <w:suppressAutoHyphens/>
              <w:jc w:val="right"/>
              <w:rPr>
                <w:b/>
                <w:bCs/>
                <w:sz w:val="20"/>
                <w:szCs w:val="20"/>
                <w:lang w:eastAsia="en-CA"/>
              </w:rPr>
            </w:pPr>
            <w:r>
              <w:rPr>
                <w:sz w:val="20"/>
                <w:szCs w:val="20"/>
                <w:lang w:eastAsia="en-CA"/>
              </w:rPr>
              <w:t>Monitoring, evaluation and reporting</w:t>
            </w:r>
          </w:p>
        </w:tc>
        <w:tc>
          <w:tcPr>
            <w:tcW w:w="521" w:type="pct"/>
            <w:tcBorders>
              <w:top w:val="single" w:sz="4" w:space="0" w:color="auto"/>
              <w:left w:val="nil"/>
              <w:bottom w:val="single" w:sz="4" w:space="0" w:color="auto"/>
              <w:right w:val="single" w:sz="4" w:space="0" w:color="auto"/>
            </w:tcBorders>
            <w:vAlign w:val="center"/>
          </w:tcPr>
          <w:p w14:paraId="50BB4BFA" w14:textId="77777777" w:rsidR="005A7ACB" w:rsidRPr="00BE38DF" w:rsidRDefault="005A7ACB" w:rsidP="002C57DE">
            <w:pPr>
              <w:suppressAutoHyphens/>
              <w:jc w:val="right"/>
              <w:rPr>
                <w:b/>
                <w:bCs/>
                <w:sz w:val="20"/>
                <w:szCs w:val="20"/>
                <w:lang w:eastAsia="en-CA"/>
              </w:rPr>
            </w:pPr>
            <w:r>
              <w:rPr>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3C5EA0AB" w14:textId="77777777" w:rsidR="005A7ACB" w:rsidRPr="00BE38DF" w:rsidRDefault="005A7ACB" w:rsidP="002C57DE">
            <w:pPr>
              <w:suppressAutoHyphens/>
              <w:jc w:val="right"/>
              <w:rPr>
                <w:b/>
                <w:bCs/>
                <w:sz w:val="20"/>
                <w:szCs w:val="20"/>
                <w:lang w:eastAsia="en-CA"/>
              </w:rPr>
            </w:pPr>
          </w:p>
        </w:tc>
      </w:tr>
      <w:tr w:rsidR="005A7ACB" w:rsidRPr="00BE38DF" w14:paraId="2023C395" w14:textId="77777777" w:rsidTr="002C57DE">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50AA02BF" w14:textId="77777777" w:rsidR="005A7ACB" w:rsidRPr="00BE38DF" w:rsidRDefault="005A7ACB" w:rsidP="007E29B4">
            <w:pPr>
              <w:suppressAutoHyphens/>
              <w:jc w:val="right"/>
              <w:rPr>
                <w:sz w:val="20"/>
                <w:szCs w:val="20"/>
                <w:lang w:eastAsia="en-CA"/>
              </w:rPr>
            </w:pPr>
            <w:r>
              <w:rPr>
                <w:b/>
                <w:bCs/>
                <w:sz w:val="20"/>
                <w:szCs w:val="20"/>
                <w:lang w:eastAsia="en-CA"/>
              </w:rPr>
              <w:t>Subtotal</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25382FEE" w14:textId="77777777" w:rsidR="005A7ACB" w:rsidRPr="00BE38DF" w:rsidRDefault="005A7ACB" w:rsidP="002C57DE">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77938F6E" w14:textId="77777777" w:rsidR="005A7ACB" w:rsidRPr="00BE38DF" w:rsidRDefault="005A7ACB" w:rsidP="007E29B4">
            <w:pPr>
              <w:suppressAutoHyphens/>
              <w:jc w:val="left"/>
              <w:rPr>
                <w:b/>
                <w:bCs/>
                <w:sz w:val="20"/>
                <w:szCs w:val="20"/>
                <w:lang w:eastAsia="en-CA"/>
              </w:rPr>
            </w:pPr>
            <w:r>
              <w:rPr>
                <w:b/>
                <w:bCs/>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26439" w14:textId="77777777" w:rsidR="005A7ACB" w:rsidRPr="00BE38DF" w:rsidRDefault="005A7ACB" w:rsidP="007E29B4">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57FBC2E3" w14:textId="77777777" w:rsidR="005A7ACB" w:rsidRPr="00BE38DF" w:rsidRDefault="005A7ACB" w:rsidP="007E29B4">
            <w:pPr>
              <w:suppressAutoHyphens/>
              <w:jc w:val="left"/>
              <w:rPr>
                <w:b/>
                <w:bCs/>
                <w:sz w:val="20"/>
                <w:szCs w:val="20"/>
                <w:lang w:eastAsia="en-CA"/>
              </w:rPr>
            </w:pPr>
            <w:r>
              <w:rPr>
                <w:b/>
                <w:bCs/>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707052C2" w14:textId="77777777" w:rsidR="005A7ACB" w:rsidRPr="00BE38DF" w:rsidRDefault="005A7ACB" w:rsidP="007E29B4">
            <w:pPr>
              <w:suppressAutoHyphens/>
              <w:jc w:val="left"/>
              <w:rPr>
                <w:b/>
                <w:bCs/>
                <w:sz w:val="20"/>
                <w:szCs w:val="20"/>
                <w:lang w:eastAsia="en-CA"/>
              </w:rPr>
            </w:pPr>
            <w:r>
              <w:rPr>
                <w:b/>
                <w:bCs/>
                <w:sz w:val="20"/>
                <w:szCs w:val="20"/>
                <w:lang w:eastAsia="en-CA"/>
              </w:rPr>
              <w:t>35,000</w:t>
            </w:r>
          </w:p>
        </w:tc>
      </w:tr>
      <w:tr w:rsidR="005A7ACB" w:rsidRPr="00BE38DF" w14:paraId="0977B071" w14:textId="77777777" w:rsidTr="002C57DE">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1712DC36" w14:textId="77777777" w:rsidR="005A7ACB" w:rsidRPr="00BE38DF" w:rsidRDefault="005A7ACB" w:rsidP="007E29B4">
            <w:pPr>
              <w:suppressAutoHyphens/>
              <w:jc w:val="right"/>
              <w:rPr>
                <w:b/>
                <w:bCs/>
                <w:sz w:val="20"/>
                <w:szCs w:val="20"/>
                <w:lang w:eastAsia="en-CA"/>
              </w:rPr>
            </w:pPr>
            <w:r>
              <w:rPr>
                <w:b/>
                <w:bCs/>
                <w:sz w:val="20"/>
                <w:szCs w:val="20"/>
                <w:lang w:eastAsia="en-CA"/>
              </w:rPr>
              <w:t>Total</w:t>
            </w:r>
          </w:p>
        </w:tc>
        <w:tc>
          <w:tcPr>
            <w:tcW w:w="1165" w:type="pct"/>
            <w:tcBorders>
              <w:top w:val="single" w:sz="4" w:space="0" w:color="auto"/>
              <w:left w:val="nil"/>
              <w:bottom w:val="single" w:sz="4" w:space="0" w:color="auto"/>
              <w:right w:val="single" w:sz="4" w:space="0" w:color="auto"/>
            </w:tcBorders>
            <w:vAlign w:val="center"/>
          </w:tcPr>
          <w:p w14:paraId="4996B61E" w14:textId="77777777" w:rsidR="005A7ACB" w:rsidRPr="00BE38DF" w:rsidRDefault="005A7ACB" w:rsidP="002C57DE">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35D58713" w14:textId="77777777" w:rsidR="005A7ACB" w:rsidRPr="00BE38DF" w:rsidRDefault="005A7ACB" w:rsidP="007E29B4">
            <w:pPr>
              <w:suppressAutoHyphens/>
              <w:jc w:val="left"/>
              <w:rPr>
                <w:b/>
                <w:bCs/>
                <w:sz w:val="20"/>
                <w:szCs w:val="20"/>
                <w:lang w:eastAsia="en-CA"/>
              </w:rPr>
            </w:pPr>
            <w:r>
              <w:rPr>
                <w:b/>
                <w:bCs/>
                <w:sz w:val="20"/>
                <w:szCs w:val="20"/>
                <w:lang w:eastAsia="en-CA"/>
              </w:rPr>
              <w:t>191,000</w:t>
            </w:r>
          </w:p>
        </w:tc>
        <w:tc>
          <w:tcPr>
            <w:tcW w:w="1117" w:type="pct"/>
            <w:tcBorders>
              <w:top w:val="single" w:sz="4" w:space="0" w:color="auto"/>
              <w:left w:val="single" w:sz="4" w:space="0" w:color="auto"/>
              <w:bottom w:val="single" w:sz="4" w:space="0" w:color="auto"/>
              <w:right w:val="single" w:sz="4" w:space="0" w:color="auto"/>
            </w:tcBorders>
            <w:vAlign w:val="center"/>
          </w:tcPr>
          <w:p w14:paraId="5BABA623" w14:textId="77777777" w:rsidR="005A7ACB" w:rsidRPr="00BE38DF" w:rsidRDefault="005A7ACB" w:rsidP="007E29B4">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63117C6E" w14:textId="77777777" w:rsidR="005A7ACB" w:rsidRPr="00BE38DF" w:rsidRDefault="005A7ACB" w:rsidP="007E29B4">
            <w:pPr>
              <w:suppressAutoHyphens/>
              <w:jc w:val="left"/>
              <w:rPr>
                <w:b/>
                <w:bCs/>
                <w:sz w:val="20"/>
                <w:szCs w:val="20"/>
                <w:lang w:eastAsia="en-CA"/>
              </w:rPr>
            </w:pPr>
            <w:r>
              <w:rPr>
                <w:b/>
                <w:bCs/>
                <w:sz w:val="20"/>
                <w:szCs w:val="20"/>
                <w:lang w:eastAsia="en-CA"/>
              </w:rPr>
              <w:t>135,000</w:t>
            </w:r>
          </w:p>
        </w:tc>
        <w:tc>
          <w:tcPr>
            <w:tcW w:w="649" w:type="pct"/>
            <w:tcBorders>
              <w:top w:val="single" w:sz="4" w:space="0" w:color="auto"/>
              <w:left w:val="nil"/>
              <w:bottom w:val="single" w:sz="4" w:space="0" w:color="auto"/>
              <w:right w:val="single" w:sz="4" w:space="0" w:color="auto"/>
            </w:tcBorders>
            <w:vAlign w:val="center"/>
          </w:tcPr>
          <w:p w14:paraId="30DF817F" w14:textId="77777777" w:rsidR="005A7ACB" w:rsidRPr="00BE38DF" w:rsidRDefault="005A7ACB" w:rsidP="007E29B4">
            <w:pPr>
              <w:suppressAutoHyphens/>
              <w:jc w:val="left"/>
              <w:rPr>
                <w:b/>
                <w:bCs/>
                <w:sz w:val="20"/>
                <w:szCs w:val="20"/>
                <w:lang w:eastAsia="en-CA"/>
              </w:rPr>
            </w:pPr>
            <w:r>
              <w:rPr>
                <w:b/>
                <w:bCs/>
                <w:sz w:val="20"/>
                <w:szCs w:val="20"/>
                <w:lang w:eastAsia="en-CA"/>
              </w:rPr>
              <w:t>326,000</w:t>
            </w:r>
          </w:p>
        </w:tc>
      </w:tr>
      <w:tr w:rsidR="005A7ACB" w:rsidRPr="00973AA9" w14:paraId="40699350" w14:textId="77777777" w:rsidTr="002C57DE">
        <w:trPr>
          <w:trHeight w:val="50"/>
          <w:jc w:val="center"/>
        </w:trPr>
        <w:tc>
          <w:tcPr>
            <w:tcW w:w="1090" w:type="pct"/>
            <w:tcBorders>
              <w:top w:val="single" w:sz="4" w:space="0" w:color="auto"/>
              <w:left w:val="single" w:sz="4" w:space="0" w:color="auto"/>
              <w:bottom w:val="single" w:sz="4" w:space="0" w:color="auto"/>
              <w:right w:val="single" w:sz="4" w:space="0" w:color="auto"/>
            </w:tcBorders>
            <w:vAlign w:val="center"/>
          </w:tcPr>
          <w:p w14:paraId="4FB8A795" w14:textId="77777777" w:rsidR="005A7ACB" w:rsidRPr="00BE38DF" w:rsidRDefault="005A7ACB" w:rsidP="007E29B4">
            <w:pPr>
              <w:suppressAutoHyphens/>
              <w:jc w:val="right"/>
              <w:rPr>
                <w:b/>
                <w:bCs/>
                <w:sz w:val="20"/>
                <w:szCs w:val="20"/>
                <w:lang w:eastAsia="en-CA"/>
              </w:rPr>
            </w:pPr>
            <w:r>
              <w:rPr>
                <w:b/>
                <w:bCs/>
                <w:sz w:val="20"/>
                <w:szCs w:val="20"/>
                <w:lang w:eastAsia="en-CA"/>
              </w:rPr>
              <w:t>Percentage of total (%)</w:t>
            </w:r>
          </w:p>
        </w:tc>
        <w:tc>
          <w:tcPr>
            <w:tcW w:w="1165" w:type="pct"/>
            <w:tcBorders>
              <w:top w:val="single" w:sz="4" w:space="0" w:color="auto"/>
              <w:left w:val="nil"/>
              <w:bottom w:val="single" w:sz="4" w:space="0" w:color="auto"/>
              <w:right w:val="single" w:sz="4" w:space="0" w:color="auto"/>
            </w:tcBorders>
            <w:vAlign w:val="center"/>
          </w:tcPr>
          <w:p w14:paraId="7A01D25F" w14:textId="77777777" w:rsidR="005A7ACB" w:rsidRPr="00BE38DF" w:rsidRDefault="005A7ACB" w:rsidP="002C57DE">
            <w:pPr>
              <w:suppressAutoHyphens/>
              <w:jc w:val="lef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32F07F26" w14:textId="77777777" w:rsidR="005A7ACB" w:rsidRPr="00BE38DF" w:rsidRDefault="005A7ACB" w:rsidP="007E29B4">
            <w:pPr>
              <w:suppressAutoHyphens/>
              <w:jc w:val="left"/>
              <w:rPr>
                <w:b/>
                <w:bCs/>
                <w:sz w:val="20"/>
                <w:szCs w:val="20"/>
                <w:lang w:eastAsia="en-CA"/>
              </w:rPr>
            </w:pPr>
            <w:r>
              <w:rPr>
                <w:b/>
                <w:bCs/>
                <w:sz w:val="20"/>
                <w:szCs w:val="20"/>
                <w:lang w:eastAsia="en-CA"/>
              </w:rPr>
              <w:t>59</w:t>
            </w:r>
          </w:p>
        </w:tc>
        <w:tc>
          <w:tcPr>
            <w:tcW w:w="1117" w:type="pct"/>
            <w:tcBorders>
              <w:top w:val="single" w:sz="4" w:space="0" w:color="auto"/>
              <w:left w:val="single" w:sz="4" w:space="0" w:color="auto"/>
              <w:bottom w:val="single" w:sz="4" w:space="0" w:color="auto"/>
              <w:right w:val="single" w:sz="4" w:space="0" w:color="auto"/>
            </w:tcBorders>
            <w:vAlign w:val="center"/>
          </w:tcPr>
          <w:p w14:paraId="4F4A995D" w14:textId="77777777" w:rsidR="005A7ACB" w:rsidRPr="00BE38DF" w:rsidRDefault="005A7ACB" w:rsidP="007E29B4">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BEA6657" w14:textId="77777777" w:rsidR="005A7ACB" w:rsidRPr="00BE38DF" w:rsidRDefault="005A7ACB" w:rsidP="007E29B4">
            <w:pPr>
              <w:suppressAutoHyphens/>
              <w:jc w:val="left"/>
              <w:rPr>
                <w:b/>
                <w:bCs/>
                <w:sz w:val="20"/>
                <w:szCs w:val="20"/>
                <w:lang w:eastAsia="en-CA"/>
              </w:rPr>
            </w:pPr>
            <w:r>
              <w:rPr>
                <w:b/>
                <w:bCs/>
                <w:sz w:val="20"/>
                <w:szCs w:val="20"/>
                <w:lang w:eastAsia="en-CA"/>
              </w:rPr>
              <w:t>41</w:t>
            </w:r>
          </w:p>
        </w:tc>
        <w:tc>
          <w:tcPr>
            <w:tcW w:w="649" w:type="pct"/>
            <w:tcBorders>
              <w:top w:val="single" w:sz="4" w:space="0" w:color="auto"/>
              <w:left w:val="nil"/>
              <w:bottom w:val="single" w:sz="4" w:space="0" w:color="auto"/>
              <w:right w:val="single" w:sz="4" w:space="0" w:color="auto"/>
            </w:tcBorders>
            <w:vAlign w:val="center"/>
          </w:tcPr>
          <w:p w14:paraId="6A650479" w14:textId="77777777" w:rsidR="005A7ACB" w:rsidRPr="00973AA9" w:rsidRDefault="005A7ACB" w:rsidP="007E29B4">
            <w:pPr>
              <w:suppressAutoHyphens/>
              <w:jc w:val="left"/>
              <w:rPr>
                <w:b/>
                <w:bCs/>
                <w:sz w:val="20"/>
                <w:szCs w:val="20"/>
                <w:lang w:eastAsia="en-CA"/>
              </w:rPr>
            </w:pPr>
            <w:r>
              <w:rPr>
                <w:b/>
                <w:bCs/>
                <w:sz w:val="20"/>
                <w:szCs w:val="20"/>
                <w:lang w:eastAsia="en-CA"/>
              </w:rPr>
              <w:t>100</w:t>
            </w:r>
          </w:p>
        </w:tc>
      </w:tr>
    </w:tbl>
    <w:p w14:paraId="2D45397B" w14:textId="77777777" w:rsidR="005A7ACB" w:rsidRDefault="005A7ACB" w:rsidP="005A7A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7ACB" w:rsidRPr="009B0D30" w14:paraId="391C7AB1" w14:textId="77777777" w:rsidTr="002C57DE">
        <w:tc>
          <w:tcPr>
            <w:tcW w:w="1871" w:type="dxa"/>
          </w:tcPr>
          <w:p w14:paraId="53BB0038" w14:textId="77777777" w:rsidR="005A7ACB" w:rsidRPr="009B0D30" w:rsidRDefault="005A7ACB" w:rsidP="002C57DE">
            <w:r>
              <w:tab/>
            </w:r>
          </w:p>
        </w:tc>
        <w:tc>
          <w:tcPr>
            <w:tcW w:w="1872" w:type="dxa"/>
          </w:tcPr>
          <w:p w14:paraId="48044AB2" w14:textId="77777777" w:rsidR="005A7ACB" w:rsidRPr="009B0D30" w:rsidRDefault="005A7ACB" w:rsidP="002C57DE"/>
        </w:tc>
        <w:tc>
          <w:tcPr>
            <w:tcW w:w="1872" w:type="dxa"/>
            <w:tcBorders>
              <w:bottom w:val="single" w:sz="4" w:space="0" w:color="auto"/>
            </w:tcBorders>
          </w:tcPr>
          <w:p w14:paraId="67B26D26" w14:textId="77777777" w:rsidR="005A7ACB" w:rsidRPr="009B0D30" w:rsidRDefault="005A7ACB" w:rsidP="002C57DE"/>
        </w:tc>
        <w:tc>
          <w:tcPr>
            <w:tcW w:w="1872" w:type="dxa"/>
          </w:tcPr>
          <w:p w14:paraId="43122684" w14:textId="77777777" w:rsidR="005A7ACB" w:rsidRPr="009B0D30" w:rsidRDefault="005A7ACB" w:rsidP="002C57DE"/>
        </w:tc>
        <w:tc>
          <w:tcPr>
            <w:tcW w:w="1873" w:type="dxa"/>
          </w:tcPr>
          <w:p w14:paraId="2A5C7C62" w14:textId="77777777" w:rsidR="005A7ACB" w:rsidRPr="009B0D30" w:rsidRDefault="005A7ACB" w:rsidP="002C57DE"/>
        </w:tc>
      </w:tr>
    </w:tbl>
    <w:p w14:paraId="149BAFE5" w14:textId="77777777" w:rsidR="005A7ACB" w:rsidRPr="009B0D30" w:rsidRDefault="005A7ACB" w:rsidP="005A7ACB"/>
    <w:p w14:paraId="0BE63D1E" w14:textId="77777777" w:rsidR="00720EE7" w:rsidRPr="009B0D30" w:rsidRDefault="00720EE7" w:rsidP="005A7ACB">
      <w:pPr>
        <w:suppressAutoHyphens/>
        <w:spacing w:after="240"/>
        <w:jc w:val="center"/>
        <w:rPr>
          <w:sz w:val="26"/>
          <w:szCs w:val="26"/>
        </w:rPr>
      </w:pPr>
    </w:p>
    <w:sectPr w:rsidR="00720EE7" w:rsidRPr="009B0D30" w:rsidSect="005A7ACB">
      <w:headerReference w:type="even" r:id="rId34"/>
      <w:headerReference w:type="default" r:id="rId35"/>
      <w:footerReference w:type="even" r:id="rId36"/>
      <w:footerReference w:type="default" r:id="rId37"/>
      <w:footerReference w:type="first" r:id="rId3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5CD9" w14:textId="77777777" w:rsidR="009E059F" w:rsidRDefault="009E059F" w:rsidP="004A504B">
      <w:r>
        <w:rPr>
          <w:rtl/>
        </w:rPr>
        <w:separator/>
      </w:r>
    </w:p>
  </w:endnote>
  <w:endnote w:type="continuationSeparator" w:id="0">
    <w:p w14:paraId="0A0D79A4" w14:textId="77777777" w:rsidR="009E059F" w:rsidRDefault="009E059F" w:rsidP="004A504B">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roman"/>
    <w:pitch w:val="default"/>
  </w:font>
  <w:font w:name="Akhbar MT">
    <w:altName w:val="Cambria"/>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CA13" w14:textId="77777777" w:rsidR="00037539" w:rsidRPr="0033525D" w:rsidRDefault="00037539">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2</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8EC1" w14:textId="77777777" w:rsidR="00037539" w:rsidRPr="0033525D" w:rsidRDefault="00037539">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3</w:t>
    </w:r>
    <w:r>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8E31" w14:textId="77777777" w:rsidR="00E4574B" w:rsidRPr="009E4D1E" w:rsidRDefault="00E4574B" w:rsidP="00072348">
    <w:pPr>
      <w:pBdr>
        <w:top w:val="single" w:sz="4" w:space="2" w:color="auto"/>
        <w:left w:val="single" w:sz="4" w:space="0" w:color="auto"/>
        <w:bottom w:val="single" w:sz="4" w:space="1" w:color="auto"/>
        <w:right w:val="single" w:sz="4" w:space="0" w:color="auto"/>
      </w:pBdr>
      <w:spacing w:after="60"/>
      <w:jc w:val="center"/>
      <w:textAlignment w:val="center"/>
      <w:rPr>
        <w:sz w:val="20"/>
        <w:szCs w:val="20"/>
        <w:rtl/>
      </w:rPr>
    </w:pPr>
    <w:r w:rsidRPr="009E4D1E">
      <w:rPr>
        <w:sz w:val="20"/>
        <w:szCs w:val="20"/>
        <w:rtl/>
      </w:rPr>
      <w:t>إن وثائق ما قبل دورات اللجنة التنفيذية للصندوق المتعدد الأطراف لتنفيذ بروتوكول مونتريال</w:t>
    </w:r>
    <w:r w:rsidRPr="009E4D1E">
      <w:rPr>
        <w:sz w:val="20"/>
        <w:szCs w:val="20"/>
      </w:rPr>
      <w:t xml:space="preserve"> </w:t>
    </w:r>
  </w:p>
  <w:p w14:paraId="4F68F353" w14:textId="3E0B5D14" w:rsidR="00E4574B" w:rsidRPr="009E4D1E" w:rsidRDefault="00E4574B" w:rsidP="00072348">
    <w:pPr>
      <w:pBdr>
        <w:top w:val="single" w:sz="4" w:space="2" w:color="auto"/>
        <w:left w:val="single" w:sz="4" w:space="0" w:color="auto"/>
        <w:bottom w:val="single" w:sz="4" w:space="1" w:color="auto"/>
        <w:right w:val="single" w:sz="4" w:space="0" w:color="auto"/>
      </w:pBdr>
      <w:jc w:val="center"/>
      <w:textAlignment w:val="center"/>
      <w:rPr>
        <w:sz w:val="20"/>
        <w:szCs w:val="20"/>
        <w:lang w:val="en-US"/>
      </w:rPr>
    </w:pPr>
    <w:r w:rsidRPr="009E4D1E">
      <w:rPr>
        <w:sz w:val="20"/>
        <w:szCs w:val="20"/>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96EF" w14:textId="77777777" w:rsidR="00CB0432" w:rsidRPr="0033525D" w:rsidRDefault="00CB0432">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14</w:t>
    </w:r>
    <w:r>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0141" w14:textId="77777777" w:rsidR="00CB0432" w:rsidRPr="0033525D" w:rsidRDefault="00CB0432">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13</w:t>
    </w:r>
    <w:r>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8242" w14:textId="77777777" w:rsidR="00CB0432" w:rsidRPr="002D16B5" w:rsidRDefault="00CB0432" w:rsidP="002D16B5">
    <w:pPr>
      <w:pBdr>
        <w:top w:val="single" w:sz="4" w:space="1" w:color="auto"/>
        <w:left w:val="single" w:sz="4" w:space="4" w:color="auto"/>
        <w:bottom w:val="single" w:sz="4" w:space="1" w:color="auto"/>
        <w:right w:val="single" w:sz="4" w:space="4" w:color="auto"/>
      </w:pBdr>
      <w:jc w:val="center"/>
      <w:rPr>
        <w:sz w:val="10"/>
        <w:szCs w:val="10"/>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088B" w14:textId="77777777" w:rsidR="00795A44" w:rsidRPr="0033525D" w:rsidRDefault="00795A44">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13</w:t>
    </w:r>
    <w:r>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8AF1" w14:textId="711B76B5" w:rsidR="002D16B5" w:rsidRPr="002D16B5" w:rsidRDefault="00795A44" w:rsidP="00795A44">
    <w:pPr>
      <w:pBdr>
        <w:top w:val="single" w:sz="4" w:space="1" w:color="auto"/>
        <w:left w:val="single" w:sz="4" w:space="4" w:color="auto"/>
        <w:bottom w:val="single" w:sz="4" w:space="1" w:color="auto"/>
        <w:right w:val="single" w:sz="4" w:space="4" w:color="auto"/>
      </w:pBdr>
      <w:tabs>
        <w:tab w:val="left" w:pos="7188"/>
      </w:tabs>
      <w:rPr>
        <w:sz w:val="10"/>
        <w:szCs w:val="10"/>
        <w:lang w:val="en-US"/>
      </w:rPr>
    </w:pPr>
    <w:r>
      <w:rPr>
        <w:sz w:val="10"/>
        <w:szCs w:val="10"/>
        <w:rtl/>
        <w:lang w:val="en-US"/>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4594" w14:textId="77777777" w:rsidR="00CB0432" w:rsidRPr="0033525D" w:rsidRDefault="00CB0432">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14</w:t>
    </w:r>
    <w:r>
      <w:rPr>
        <w:noProof/>
        <w:sz w:val="24"/>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B93" w14:textId="77777777" w:rsidR="00CB0432" w:rsidRPr="0033525D" w:rsidRDefault="00CB0432">
    <w:pPr>
      <w:bidi w:val="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13</w:t>
    </w:r>
    <w:r>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DEC0" w14:textId="77777777" w:rsidR="005A7ACB" w:rsidRPr="0033525D" w:rsidRDefault="005A7ACB">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ED7D" w14:textId="77777777" w:rsidR="005A7ACB" w:rsidRPr="0033525D" w:rsidRDefault="005A7ACB">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883C" w14:textId="77777777" w:rsidR="005A7ACB" w:rsidRPr="00F435B3" w:rsidRDefault="005A7ACB" w:rsidP="004E7F9C">
    <w:pPr>
      <w:pBdr>
        <w:top w:val="single" w:sz="4" w:space="1" w:color="auto"/>
        <w:left w:val="single" w:sz="4" w:space="4" w:color="auto"/>
        <w:bottom w:val="single" w:sz="4" w:space="1" w:color="auto"/>
        <w:right w:val="single" w:sz="4" w:space="4" w:color="auto"/>
      </w:pBdr>
      <w:jc w:val="center"/>
      <w:rPr>
        <w:sz w:val="8"/>
        <w:szCs w:val="8"/>
      </w:rPr>
    </w:pPr>
  </w:p>
  <w:p w14:paraId="63AE49C0" w14:textId="77777777" w:rsidR="005A7ACB" w:rsidRDefault="005A7AC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503094" w14:textId="77777777" w:rsidR="005A7ACB" w:rsidRPr="00F435B3" w:rsidRDefault="005A7ACB"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E748" w14:textId="77777777" w:rsidR="009E059F" w:rsidRDefault="009E059F" w:rsidP="00B81C95">
      <w:pPr>
        <w:jc w:val="left"/>
      </w:pPr>
      <w:r>
        <w:rPr>
          <w:rtl/>
        </w:rPr>
        <w:separator/>
      </w:r>
    </w:p>
  </w:footnote>
  <w:footnote w:type="continuationSeparator" w:id="0">
    <w:p w14:paraId="6445B520" w14:textId="77777777" w:rsidR="009E059F" w:rsidRDefault="009E059F" w:rsidP="004A504B">
      <w:pPr>
        <w:jc w:val="right"/>
      </w:pPr>
      <w:r>
        <w:rPr>
          <w:rtl/>
        </w:rPr>
        <w:continuationSeparator/>
      </w:r>
    </w:p>
  </w:footnote>
  <w:footnote w:id="1">
    <w:p w14:paraId="0FEE825D" w14:textId="77777777" w:rsidR="00CB0432" w:rsidRPr="001E1147" w:rsidRDefault="00CB0432" w:rsidP="00CB0432">
      <w:pPr>
        <w:pStyle w:val="FootnoteText"/>
        <w:spacing w:after="120"/>
        <w:rPr>
          <w:lang w:val="en-US"/>
        </w:rPr>
      </w:pPr>
      <w:r w:rsidRPr="001A24C6">
        <w:rPr>
          <w:rStyle w:val="FootnoteReference"/>
          <w:rtl/>
        </w:rPr>
        <w:footnoteRef/>
      </w:r>
      <w:r w:rsidRPr="001A24C6">
        <w:rPr>
          <w:rtl/>
        </w:rPr>
        <w:t xml:space="preserve"> </w:t>
      </w:r>
      <w:r w:rsidRPr="001E1147">
        <w:rPr>
          <w:rtl/>
          <w:lang w:val="en-US"/>
        </w:rPr>
        <w:t>UNEP/OzL.Pro/ExCom/99/1</w:t>
      </w:r>
    </w:p>
  </w:footnote>
  <w:footnote w:id="2">
    <w:p w14:paraId="12BA0C90" w14:textId="5FE4F828" w:rsidR="00037539" w:rsidRPr="00B60607" w:rsidRDefault="00037539" w:rsidP="00037539">
      <w:pPr>
        <w:pStyle w:val="FootnoteText"/>
        <w:rPr>
          <w:lang w:val="en-US"/>
        </w:rPr>
      </w:pPr>
      <w:r>
        <w:rPr>
          <w:rStyle w:val="FootnoteReference"/>
          <w:rtl/>
        </w:rPr>
        <w:footnoteRef/>
      </w:r>
      <w:r>
        <w:rPr>
          <w:rtl/>
        </w:rPr>
        <w:t xml:space="preserve"> </w:t>
      </w:r>
      <w:r>
        <w:rPr>
          <w:rtl/>
          <w:lang w:val="en-US"/>
        </w:rPr>
        <w:t>وفقاً للرسالة المؤرخة</w:t>
      </w:r>
      <w:r w:rsidR="00BB3083">
        <w:rPr>
          <w:rtl/>
          <w:lang w:val="en-US"/>
        </w:rPr>
        <w:t xml:space="preserve"> 18 </w:t>
      </w:r>
      <w:r>
        <w:rPr>
          <w:rtl/>
          <w:lang w:val="en-US"/>
        </w:rPr>
        <w:t xml:space="preserve">آب/أغسطس 2026 الموجهة من وزارة البيئة والشباب والسياحة المستدامة في </w:t>
      </w:r>
      <w:r w:rsidR="00736840">
        <w:rPr>
          <w:rtl/>
          <w:lang w:val="en-US"/>
        </w:rPr>
        <w:t xml:space="preserve">سان تومي </w:t>
      </w:r>
      <w:r>
        <w:rPr>
          <w:rtl/>
          <w:lang w:val="en-US"/>
        </w:rPr>
        <w:t>وبرينسيبي إلى الأمانة.</w:t>
      </w:r>
    </w:p>
  </w:footnote>
  <w:footnote w:id="3">
    <w:p w14:paraId="0680B4BA" w14:textId="77777777" w:rsidR="00037539" w:rsidRPr="00B60607" w:rsidRDefault="00037539" w:rsidP="00037539">
      <w:pPr>
        <w:pStyle w:val="FootnoteText"/>
        <w:rPr>
          <w:lang w:val="en-US"/>
        </w:rPr>
      </w:pPr>
      <w:r>
        <w:rPr>
          <w:rStyle w:val="FootnoteReference"/>
          <w:rtl/>
        </w:rPr>
        <w:footnoteRef/>
      </w:r>
      <w:r>
        <w:rPr>
          <w:rtl/>
        </w:rPr>
        <w:t xml:space="preserve"> </w:t>
      </w:r>
      <w:r>
        <w:rPr>
          <w:rtl/>
          <w:lang w:val="en-US"/>
        </w:rPr>
        <w:t>المقرر 63/42</w:t>
      </w:r>
    </w:p>
  </w:footnote>
  <w:footnote w:id="4">
    <w:p w14:paraId="12A1F0D5" w14:textId="77777777" w:rsidR="00037539" w:rsidRPr="00016AE6" w:rsidRDefault="00037539" w:rsidP="00037539">
      <w:pPr>
        <w:pStyle w:val="FootnoteText"/>
        <w:rPr>
          <w:lang w:val="en-US"/>
        </w:rPr>
      </w:pPr>
      <w:r>
        <w:rPr>
          <w:rStyle w:val="FootnoteReference"/>
          <w:rtl/>
        </w:rPr>
        <w:footnoteRef/>
      </w:r>
      <w:r>
        <w:rPr>
          <w:rtl/>
        </w:rPr>
        <w:t>يجوز أن يتجاوز استهلاك المواد الهيدروكلوروفلوروكربونية الصفر في أي سنة شريطة ألا يتجاوز مجموع مستويات استهلاكها المحسوبة على مدى فترة السنوات العشر من 1 كانون الثاني/يناير 2030 إلى 1 كانون الثاني/يناير 2040، مقسوماً على 10، نسبة 2.5 في المائة من خط أساس المواد الهيدروكلوروفلوروكربونية.</w:t>
      </w:r>
    </w:p>
  </w:footnote>
  <w:footnote w:id="5">
    <w:p w14:paraId="3F4A5057" w14:textId="7C5565C5" w:rsidR="009E102B" w:rsidRPr="009E102B" w:rsidRDefault="009E102B">
      <w:pPr>
        <w:pStyle w:val="FootnoteText"/>
        <w:rPr>
          <w:lang w:val="en-US"/>
        </w:rPr>
      </w:pPr>
      <w:r>
        <w:rPr>
          <w:rStyle w:val="FootnoteReference"/>
          <w:rtl/>
        </w:rPr>
        <w:footnoteRef/>
      </w:r>
      <w:r>
        <w:rPr>
          <w:rtl/>
        </w:rPr>
        <w:t xml:space="preserve"> </w:t>
      </w:r>
      <w:r w:rsidR="004B66E5">
        <w:rPr>
          <w:rtl/>
          <w:lang w:val="en-US"/>
        </w:rPr>
        <w:t>وفقاً للرسالة المؤرخة 10 آب/أغسطس 2026 الموجهة من وزارة البيئة والشباب والسياحة المستدامة في سان تومي وبرينسيبي إلى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3C3" w14:textId="2C253FE8" w:rsidR="00037539" w:rsidRPr="0033525D" w:rsidRDefault="00623413">
    <w:pPr>
      <w:bidi w:val="0"/>
      <w:jc w:val="left"/>
      <w:rPr>
        <w:sz w:val="24"/>
        <w:szCs w:val="24"/>
      </w:rPr>
    </w:pPr>
    <w:fldSimple w:instr=" DOCPROPERTY &quot;Document number&quot;  \* MERGEFORMAT ">
      <w:r>
        <w:rPr>
          <w:sz w:val="24"/>
          <w:szCs w:val="24"/>
        </w:rPr>
        <w:t>UNEP/OzL.Pro/ExCom/99/69</w:t>
      </w:r>
    </w:fldSimple>
  </w:p>
  <w:p w14:paraId="57830C5F" w14:textId="77777777" w:rsidR="00037539" w:rsidRDefault="00037539">
    <w:pPr>
      <w:bidi w:val="0"/>
      <w:jc w:val="left"/>
      <w:rPr>
        <w:sz w:val="24"/>
        <w:szCs w:val="24"/>
      </w:rPr>
    </w:pPr>
  </w:p>
  <w:p w14:paraId="597E6E01" w14:textId="77777777" w:rsidR="00037539" w:rsidRPr="0033525D" w:rsidRDefault="00037539">
    <w:pPr>
      <w:bidi w:val="0"/>
      <w:jc w:val="left"/>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C9E2" w14:textId="6E7F2833" w:rsidR="00037539" w:rsidRPr="0033525D" w:rsidRDefault="00623413">
    <w:pPr>
      <w:bidi w:val="0"/>
      <w:jc w:val="right"/>
      <w:rPr>
        <w:sz w:val="24"/>
        <w:szCs w:val="24"/>
      </w:rPr>
    </w:pPr>
    <w:fldSimple w:instr=" DOCPROPERTY &quot;Document number&quot;  \* MERGEFORMAT ">
      <w:r>
        <w:rPr>
          <w:sz w:val="24"/>
          <w:szCs w:val="24"/>
        </w:rPr>
        <w:t>UNEP/OzL.Pro/ExCom/99/69</w:t>
      </w:r>
    </w:fldSimple>
  </w:p>
  <w:p w14:paraId="17DF9B9A" w14:textId="77777777" w:rsidR="00037539" w:rsidRDefault="00037539">
    <w:pPr>
      <w:pStyle w:val="Header"/>
      <w:bidi w:val="0"/>
      <w:jc w:val="right"/>
    </w:pPr>
  </w:p>
  <w:p w14:paraId="786114C5" w14:textId="77777777" w:rsidR="00037539" w:rsidRPr="0033525D" w:rsidRDefault="00037539">
    <w:pPr>
      <w:pStyle w:val="Header"/>
      <w:bidi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2BC0" w14:textId="3E33BBEF" w:rsidR="00CB0432" w:rsidRPr="009B0D30" w:rsidRDefault="00623413">
    <w:pPr>
      <w:bidi w:val="0"/>
      <w:rPr>
        <w:sz w:val="24"/>
        <w:szCs w:val="24"/>
      </w:rPr>
    </w:pPr>
    <w:fldSimple w:instr=" DOCPROPERTY &quot;Document number&quot;  \* MERGEFORMAT ">
      <w:r>
        <w:rPr>
          <w:sz w:val="24"/>
          <w:szCs w:val="24"/>
        </w:rPr>
        <w:t>UNEP/OzL.Pro/ExCom/99/69</w:t>
      </w:r>
    </w:fldSimple>
  </w:p>
  <w:p w14:paraId="2212280A" w14:textId="13AA59C0" w:rsidR="00CB0432" w:rsidRDefault="00CB0432">
    <w:pPr>
      <w:bidi w:val="0"/>
      <w:rPr>
        <w:sz w:val="24"/>
        <w:szCs w:val="24"/>
      </w:rPr>
    </w:pPr>
  </w:p>
  <w:p w14:paraId="2D96BF75" w14:textId="77777777" w:rsidR="00CB0432" w:rsidRPr="0033525D" w:rsidRDefault="00CB0432">
    <w:pPr>
      <w:bidi w:val="0"/>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1F85" w14:textId="4870748F" w:rsidR="00CB0432" w:rsidRPr="009B0D30" w:rsidRDefault="00623413">
    <w:pPr>
      <w:bidi w:val="0"/>
      <w:jc w:val="right"/>
      <w:rPr>
        <w:sz w:val="24"/>
        <w:szCs w:val="24"/>
      </w:rPr>
    </w:pPr>
    <w:fldSimple w:instr=" DOCPROPERTY &quot;Document number&quot;  \* MERGEFORMAT ">
      <w:r>
        <w:rPr>
          <w:sz w:val="24"/>
          <w:szCs w:val="24"/>
        </w:rPr>
        <w:t>UNEP/OzL.Pro/ExCom/99/69</w:t>
      </w:r>
    </w:fldSimple>
  </w:p>
  <w:p w14:paraId="43AAEEE8" w14:textId="77777777" w:rsidR="00CB0432" w:rsidRPr="0033525D" w:rsidRDefault="00CB0432">
    <w:pPr>
      <w:bidi w:val="0"/>
      <w:jc w:val="right"/>
      <w:rPr>
        <w:sz w:val="24"/>
        <w:szCs w:val="24"/>
      </w:rPr>
    </w:pPr>
  </w:p>
  <w:p w14:paraId="0F9C1FF6" w14:textId="77777777" w:rsidR="00CB0432" w:rsidRPr="0033525D" w:rsidRDefault="00CB0432">
    <w:pPr>
      <w:pStyle w:val="Header"/>
      <w:bidi w:val="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8E1F" w14:textId="77777777" w:rsidR="00C2222D" w:rsidRDefault="00C2222D">
    <w:pPr>
      <w:pStyle w:val="Header"/>
      <w:bidi w:v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B2D7" w14:textId="6F09CF98" w:rsidR="002D16B5" w:rsidRPr="009B0D30" w:rsidRDefault="00623413">
    <w:pPr>
      <w:bidi w:val="0"/>
      <w:rPr>
        <w:sz w:val="24"/>
        <w:szCs w:val="24"/>
      </w:rPr>
    </w:pPr>
    <w:fldSimple w:instr=" DOCPROPERTY &quot;Document number&quot;  \* MERGEFORMAT ">
      <w:r>
        <w:rPr>
          <w:sz w:val="24"/>
          <w:szCs w:val="24"/>
        </w:rPr>
        <w:t>UNEP/OzL.Pro/ExCom/99/69</w:t>
      </w:r>
    </w:fldSimple>
  </w:p>
  <w:p w14:paraId="3F9AD6B2" w14:textId="77777777" w:rsidR="002D16B5" w:rsidRDefault="002D16B5">
    <w:pPr>
      <w:bidi w:val="0"/>
      <w:rPr>
        <w:sz w:val="24"/>
        <w:szCs w:val="24"/>
      </w:rPr>
    </w:pPr>
    <w:r>
      <w:rPr>
        <w:sz w:val="24"/>
        <w:szCs w:val="24"/>
      </w:rPr>
      <w:t>Annex I</w:t>
    </w:r>
  </w:p>
  <w:p w14:paraId="322B366B" w14:textId="77777777" w:rsidR="002D16B5" w:rsidRPr="0033525D" w:rsidRDefault="002D16B5">
    <w:pPr>
      <w:bidi w:val="0"/>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3AFC" w14:textId="56E574C1" w:rsidR="002D16B5" w:rsidRPr="009B0D30" w:rsidRDefault="00623413" w:rsidP="0098063E">
    <w:pPr>
      <w:bidi w:val="0"/>
      <w:jc w:val="right"/>
      <w:rPr>
        <w:sz w:val="24"/>
        <w:szCs w:val="24"/>
      </w:rPr>
    </w:pPr>
    <w:fldSimple w:instr=" DOCPROPERTY &quot;Document number&quot;  \* MERGEFORMAT ">
      <w:r>
        <w:rPr>
          <w:sz w:val="24"/>
          <w:szCs w:val="24"/>
        </w:rPr>
        <w:t>UNEP/OzL.Pro/ExCom/99/69</w:t>
      </w:r>
    </w:fldSimple>
  </w:p>
  <w:p w14:paraId="15670010" w14:textId="0765A4C6" w:rsidR="002D16B5" w:rsidRPr="0033525D" w:rsidRDefault="002D16B5" w:rsidP="0098063E">
    <w:pPr>
      <w:bidi w:val="0"/>
      <w:jc w:val="right"/>
      <w:rPr>
        <w:sz w:val="24"/>
        <w:szCs w:val="24"/>
      </w:rPr>
    </w:pPr>
    <w:r>
      <w:rPr>
        <w:sz w:val="24"/>
        <w:szCs w:val="24"/>
      </w:rPr>
      <w:t>Annex I</w:t>
    </w:r>
  </w:p>
  <w:p w14:paraId="69D9BF7F" w14:textId="77777777" w:rsidR="002D16B5" w:rsidRPr="0033525D" w:rsidRDefault="002D16B5">
    <w:pPr>
      <w:pStyle w:val="Header"/>
      <w:bidi w:val="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9C99" w14:textId="16767881" w:rsidR="002D16B5" w:rsidRDefault="002D16B5" w:rsidP="002D16B5">
    <w:pPr>
      <w:pStyle w:val="Header"/>
      <w:bidi w:val="0"/>
      <w:jc w:val="right"/>
    </w:pPr>
    <w:fldSimple w:instr=" DOCPROPERTY  &quot;Document number&quot;  \* MERGEFORMAT ">
      <w:r>
        <w:t>UNEP/OzL.Pro/ExCom/99/XX</w:t>
      </w:r>
    </w:fldSimple>
  </w:p>
  <w:p w14:paraId="5CC4AA85" w14:textId="519656DC" w:rsidR="002D16B5" w:rsidRDefault="002D16B5" w:rsidP="002D16B5">
    <w:pPr>
      <w:pStyle w:val="Header"/>
      <w:bidi w:val="0"/>
      <w:jc w:val="right"/>
    </w:pPr>
    <w:r>
      <w:t>Annex I</w:t>
    </w:r>
  </w:p>
  <w:p w14:paraId="346871BE" w14:textId="77777777" w:rsidR="002D16B5" w:rsidRDefault="002D16B5" w:rsidP="002D16B5">
    <w:pPr>
      <w:pStyle w:val="Header"/>
      <w:bidi w:val="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5499" w14:textId="7A36BEF1" w:rsidR="00CB0432" w:rsidRPr="009B0D30" w:rsidRDefault="00623413">
    <w:pPr>
      <w:bidi w:val="0"/>
      <w:rPr>
        <w:sz w:val="24"/>
        <w:szCs w:val="24"/>
      </w:rPr>
    </w:pPr>
    <w:fldSimple w:instr=" DOCPROPERTY &quot;Document number&quot;  \* MERGEFORMAT ">
      <w:r>
        <w:rPr>
          <w:sz w:val="24"/>
          <w:szCs w:val="24"/>
        </w:rPr>
        <w:t>UNEP/OzL.Pro/ExCom/99/69</w:t>
      </w:r>
    </w:fldSimple>
  </w:p>
  <w:p w14:paraId="21005BAF" w14:textId="415E435F" w:rsidR="00CB0432" w:rsidRPr="0033525D" w:rsidRDefault="00CB0432">
    <w:pPr>
      <w:bidi w:val="0"/>
      <w:rPr>
        <w:sz w:val="24"/>
        <w:szCs w:val="24"/>
      </w:rPr>
    </w:pPr>
    <w:r>
      <w:rPr>
        <w:sz w:val="24"/>
        <w:szCs w:val="24"/>
      </w:rPr>
      <w:t>Annex I</w:t>
    </w:r>
    <w:r w:rsidR="00596CF3">
      <w:rPr>
        <w:sz w:val="24"/>
        <w:szCs w:val="24"/>
      </w:rPr>
      <w:t>I</w:t>
    </w:r>
  </w:p>
  <w:p w14:paraId="25CA03D8" w14:textId="77777777" w:rsidR="00CB0432" w:rsidRPr="0033525D" w:rsidRDefault="00CB0432">
    <w:pPr>
      <w:bidi w:val="0"/>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10B6" w14:textId="3F1A7F84" w:rsidR="00CB0432" w:rsidRPr="009B0D30" w:rsidRDefault="00623413">
    <w:pPr>
      <w:bidi w:val="0"/>
      <w:jc w:val="right"/>
      <w:rPr>
        <w:sz w:val="24"/>
        <w:szCs w:val="24"/>
      </w:rPr>
    </w:pPr>
    <w:fldSimple w:instr=" DOCPROPERTY &quot;Document number&quot;  \* MERGEFORMAT ">
      <w:r>
        <w:rPr>
          <w:sz w:val="24"/>
          <w:szCs w:val="24"/>
        </w:rPr>
        <w:t>UNEP/OzL.Pro/ExCom/99/69</w:t>
      </w:r>
    </w:fldSimple>
  </w:p>
  <w:p w14:paraId="11C0E4F2" w14:textId="68C0A3F1" w:rsidR="00CB0432" w:rsidRPr="0033525D" w:rsidRDefault="00CB0432">
    <w:pPr>
      <w:bidi w:val="0"/>
      <w:jc w:val="right"/>
      <w:rPr>
        <w:sz w:val="24"/>
        <w:szCs w:val="24"/>
      </w:rPr>
    </w:pPr>
    <w:r>
      <w:rPr>
        <w:sz w:val="24"/>
        <w:szCs w:val="24"/>
      </w:rPr>
      <w:t>Annex I</w:t>
    </w:r>
    <w:r w:rsidR="00596CF3">
      <w:rPr>
        <w:sz w:val="24"/>
        <w:szCs w:val="24"/>
      </w:rPr>
      <w:t>I</w:t>
    </w:r>
  </w:p>
  <w:p w14:paraId="301BCEB0" w14:textId="77777777" w:rsidR="00CB0432" w:rsidRPr="0033525D" w:rsidRDefault="00CB0432">
    <w:pPr>
      <w:pStyle w:val="Header"/>
      <w:bidi w:val="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2BCE" w14:textId="77777777" w:rsidR="00CB0432" w:rsidRPr="009B0D30" w:rsidRDefault="004909D4">
    <w:pPr>
      <w:bidi w:val="0"/>
      <w:jc w:val="right"/>
      <w:rPr>
        <w:sz w:val="24"/>
        <w:szCs w:val="24"/>
      </w:rPr>
    </w:pPr>
    <w:fldSimple w:instr=" DOCPROPERTY &quot;Document number&quot;  \* MERGEFORMAT ">
      <w:r>
        <w:rPr>
          <w:sz w:val="24"/>
          <w:szCs w:val="24"/>
        </w:rPr>
        <w:t>UNEP/OzL.Pro/ExCom/99/1</w:t>
      </w:r>
    </w:fldSimple>
  </w:p>
  <w:p w14:paraId="7CAD7139" w14:textId="77777777" w:rsidR="00CB0432" w:rsidRDefault="00CB0432">
    <w:pPr>
      <w:pStyle w:val="Header"/>
      <w:bidi w:val="0"/>
      <w:jc w:val="right"/>
    </w:pPr>
    <w:r>
      <w:t>Annex I</w:t>
    </w:r>
  </w:p>
  <w:p w14:paraId="24DD8D6C" w14:textId="77777777" w:rsidR="00CB0432" w:rsidRDefault="00CB0432">
    <w:pPr>
      <w:pStyle w:val="Header"/>
      <w:bidi w:val="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A4A1" w14:textId="77777777" w:rsidR="005A7ACB" w:rsidRPr="0033525D" w:rsidRDefault="005A7ACB" w:rsidP="005A7ACB">
    <w:pPr>
      <w:jc w:val="right"/>
    </w:pPr>
    <w:fldSimple w:instr=" DOCPROPERTY &quot;Document number&quot;  \* MERGEFORMAT ">
      <w:r>
        <w:t>UNEP/OzL.Pro/ExCom/99/69</w:t>
      </w:r>
    </w:fldSimple>
  </w:p>
  <w:p w14:paraId="2733966C" w14:textId="77777777" w:rsidR="005A7ACB" w:rsidRPr="0033525D" w:rsidRDefault="005A7ACB" w:rsidP="005A7ACB">
    <w:pPr>
      <w:jc w:val="right"/>
    </w:pPr>
    <w:r>
      <w:t>Annex III</w:t>
    </w:r>
  </w:p>
  <w:p w14:paraId="011E7039" w14:textId="77777777" w:rsidR="005A7ACB" w:rsidRPr="0033525D" w:rsidRDefault="005A7ACB" w:rsidP="002E0FDF">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7925" w14:textId="77777777" w:rsidR="005A7ACB" w:rsidRPr="0033525D" w:rsidRDefault="005A7ACB" w:rsidP="005A7ACB">
    <w:pPr>
      <w:jc w:val="left"/>
    </w:pPr>
    <w:fldSimple w:instr=" DOCPROPERTY &quot;Document number&quot;  \* MERGEFORMAT ">
      <w:r>
        <w:t>UNEP/OzL.Pro/ExCom/99/69</w:t>
      </w:r>
    </w:fldSimple>
  </w:p>
  <w:p w14:paraId="000A34A2" w14:textId="77777777" w:rsidR="005A7ACB" w:rsidRPr="0033525D" w:rsidRDefault="005A7ACB" w:rsidP="005A7ACB">
    <w:pPr>
      <w:jc w:val="left"/>
    </w:pPr>
    <w:r>
      <w:t>Annex III</w:t>
    </w:r>
  </w:p>
  <w:p w14:paraId="2291DED1" w14:textId="77777777" w:rsidR="005A7ACB" w:rsidRPr="0033525D" w:rsidRDefault="005A7ACB" w:rsidP="002E0FD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1542F0A"/>
    <w:lvl w:ilvl="0">
      <w:start w:val="1"/>
      <w:numFmt w:val="decimal"/>
      <w:pStyle w:val="Heading1"/>
      <w:lvlText w:val="%1."/>
      <w:lvlJc w:val="left"/>
      <w:pPr>
        <w:tabs>
          <w:tab w:val="num" w:pos="0"/>
        </w:tabs>
        <w:ind w:left="0" w:firstLine="0"/>
      </w:pPr>
      <w:rPr>
        <w:rFonts w:ascii="Times New Roman" w:hAnsi="Times New Roman" w:cs="Times New Roman" w:hint="default"/>
        <w:b w:val="0"/>
        <w:bCs w:val="0"/>
        <w:sz w:val="26"/>
        <w:szCs w:val="26"/>
      </w:rPr>
    </w:lvl>
    <w:lvl w:ilvl="1">
      <w:start w:val="1"/>
      <w:numFmt w:val="arabicAbjad"/>
      <w:pStyle w:val="Heading2"/>
      <w:lvlText w:val="(%2)"/>
      <w:lvlJc w:val="left"/>
      <w:pPr>
        <w:tabs>
          <w:tab w:val="num" w:pos="0"/>
        </w:tabs>
        <w:ind w:left="1440" w:hanging="720"/>
      </w:pPr>
      <w:rPr>
        <w:rFonts w:ascii="Times New Roman" w:hAnsi="Times New Roman" w:cs="Times New Roman" w:hint="default"/>
        <w:b w:val="0"/>
        <w:bCs w:val="0"/>
        <w:sz w:val="26"/>
        <w:szCs w:val="26"/>
      </w:rPr>
    </w:lvl>
    <w:lvl w:ilvl="2">
      <w:start w:val="1"/>
      <w:numFmt w:val="decimal"/>
      <w:pStyle w:val="Heading3"/>
      <w:lvlText w:val="(%3)"/>
      <w:lvlJc w:val="left"/>
      <w:pPr>
        <w:tabs>
          <w:tab w:val="num" w:pos="0"/>
        </w:tabs>
        <w:ind w:left="2160" w:hanging="720"/>
      </w:pPr>
      <w:rPr>
        <w:rFonts w:ascii="Times New Roman" w:hAnsi="Times New Roman" w:cs="Times New Roman" w:hint="default"/>
        <w:b w:val="0"/>
        <w:bCs w:val="0"/>
        <w:sz w:val="26"/>
        <w:szCs w:val="26"/>
      </w:rPr>
    </w:lvl>
    <w:lvl w:ilvl="3">
      <w:start w:val="1"/>
      <w:numFmt w:val="arabicAbjad"/>
      <w:pStyle w:val="Heading4"/>
      <w:lvlText w:val="%4."/>
      <w:lvlJc w:val="left"/>
      <w:pPr>
        <w:tabs>
          <w:tab w:val="num" w:pos="2160"/>
        </w:tabs>
        <w:ind w:left="2880" w:hanging="720"/>
      </w:pPr>
      <w:rPr>
        <w:rFonts w:ascii="Times New Roman" w:hAnsi="Times New Roman" w:cs="Times New Roman" w:hint="default"/>
        <w:b w:val="0"/>
        <w:bCs w:val="0"/>
        <w:sz w:val="26"/>
        <w:szCs w:val="26"/>
      </w:rPr>
    </w:lvl>
    <w:lvl w:ilvl="4">
      <w:start w:val="1"/>
      <w:numFmt w:val="decimal"/>
      <w:pStyle w:val="Heading5"/>
      <w:lvlText w:val="%5."/>
      <w:lvlJc w:val="left"/>
      <w:pPr>
        <w:tabs>
          <w:tab w:val="num" w:pos="3600"/>
        </w:tabs>
        <w:ind w:left="3600" w:hanging="720"/>
      </w:pPr>
      <w:rPr>
        <w:rFonts w:ascii="Times New Roman" w:hAnsi="Times New Roman" w:cs="Times New Roman" w:hint="default"/>
        <w:b w:val="0"/>
        <w:bCs w:val="0"/>
        <w:sz w:val="26"/>
        <w:szCs w:val="26"/>
      </w:rPr>
    </w:lvl>
    <w:lvl w:ilvl="5">
      <w:start w:val="1"/>
      <w:numFmt w:val="arabicAbjad"/>
      <w:pStyle w:val="Heading6"/>
      <w:lvlText w:val="(%6)"/>
      <w:lvlJc w:val="left"/>
      <w:pPr>
        <w:tabs>
          <w:tab w:val="num" w:pos="0"/>
        </w:tabs>
        <w:ind w:left="4291" w:hanging="720"/>
      </w:pPr>
      <w:rPr>
        <w:rFonts w:ascii="Times New Roman" w:hAnsi="Times New Roman" w:cs="Times New Roman" w:hint="default"/>
        <w:b w:val="0"/>
        <w:bCs w:val="0"/>
        <w:sz w:val="26"/>
        <w:szCs w:val="26"/>
      </w:rPr>
    </w:lvl>
    <w:lvl w:ilvl="6">
      <w:start w:val="1"/>
      <w:numFmt w:val="decimal"/>
      <w:pStyle w:val="Heading7"/>
      <w:lvlText w:val="(%7)"/>
      <w:lvlJc w:val="left"/>
      <w:pPr>
        <w:tabs>
          <w:tab w:val="num" w:pos="0"/>
        </w:tabs>
        <w:ind w:left="4997" w:hanging="706"/>
      </w:pPr>
      <w:rPr>
        <w:rFonts w:ascii="Times New Roman" w:hAnsi="Times New Roman" w:cs="Times New Roman" w:hint="default"/>
        <w:b w:val="0"/>
        <w:bCs w:val="0"/>
        <w:sz w:val="26"/>
        <w:szCs w:val="26"/>
      </w:rPr>
    </w:lvl>
    <w:lvl w:ilvl="7">
      <w:start w:val="1"/>
      <w:numFmt w:val="arabicAbjad"/>
      <w:lvlText w:val="(%8)"/>
      <w:lvlJc w:val="left"/>
      <w:pPr>
        <w:tabs>
          <w:tab w:val="num" w:pos="0"/>
        </w:tabs>
        <w:ind w:left="5702" w:hanging="705"/>
      </w:pPr>
      <w:rPr>
        <w:rFonts w:ascii="Times New Roman" w:hAnsi="Times New Roman" w:cs="Times New Roman" w:hint="default"/>
        <w:b w:val="0"/>
        <w:bCs w:val="0"/>
        <w:sz w:val="26"/>
        <w:szCs w:val="26"/>
      </w:rPr>
    </w:lvl>
    <w:lvl w:ilvl="8">
      <w:start w:val="1"/>
      <w:numFmt w:val="decimal"/>
      <w:pStyle w:val="Heading9"/>
      <w:lvlText w:val="(%9)"/>
      <w:lvlJc w:val="left"/>
      <w:pPr>
        <w:tabs>
          <w:tab w:val="num" w:pos="0"/>
        </w:tabs>
        <w:ind w:left="6408" w:hanging="706"/>
      </w:pPr>
      <w:rPr>
        <w:rFonts w:ascii="Times New Roman" w:hAnsi="Times New Roman" w:cs="Times New Roman" w:hint="default"/>
        <w:b w:val="0"/>
        <w:bCs w:val="0"/>
        <w:sz w:val="26"/>
        <w:szCs w:val="26"/>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ascii="Times New Roman" w:hAnsi="Times New Roman" w:cs="Times New Roman" w:hint="default"/>
        <w:b w:val="0"/>
        <w:bCs w:val="0"/>
        <w:sz w:val="26"/>
        <w:szCs w:val="26"/>
      </w:rPr>
    </w:lvl>
    <w:lvl w:ilvl="1" w:tplc="10090019" w:tentative="1">
      <w:start w:val="1"/>
      <w:numFmt w:val="arabicAbjad"/>
      <w:lvlText w:val="%2."/>
      <w:lvlJc w:val="left"/>
      <w:pPr>
        <w:ind w:left="1440" w:hanging="360"/>
      </w:pPr>
      <w:rPr>
        <w:rFonts w:ascii="Times New Roman" w:hAnsi="Times New Roman" w:cs="Times New Roman"/>
        <w:b w:val="0"/>
        <w:bCs w:val="0"/>
        <w:sz w:val="26"/>
        <w:szCs w:val="26"/>
      </w:rPr>
    </w:lvl>
    <w:lvl w:ilvl="2" w:tplc="1009001B" w:tentative="1">
      <w:start w:val="1"/>
      <w:numFmt w:val="decimal"/>
      <w:lvlText w:val="%3."/>
      <w:lvlJc w:val="right"/>
      <w:pPr>
        <w:ind w:left="2160" w:hanging="180"/>
      </w:pPr>
      <w:rPr>
        <w:rFonts w:ascii="Times New Roman" w:hAnsi="Times New Roman" w:cs="Times New Roman"/>
        <w:b w:val="0"/>
        <w:bCs w:val="0"/>
        <w:sz w:val="26"/>
        <w:szCs w:val="26"/>
      </w:rPr>
    </w:lvl>
    <w:lvl w:ilvl="3" w:tplc="1009000F" w:tentative="1">
      <w:start w:val="1"/>
      <w:numFmt w:val="decimal"/>
      <w:lvlText w:val="%4."/>
      <w:lvlJc w:val="left"/>
      <w:pPr>
        <w:ind w:left="2880" w:hanging="360"/>
      </w:pPr>
      <w:rPr>
        <w:rFonts w:ascii="Times New Roman" w:hAnsi="Times New Roman" w:cs="Times New Roman"/>
        <w:b w:val="0"/>
        <w:bCs w:val="0"/>
        <w:sz w:val="26"/>
        <w:szCs w:val="26"/>
      </w:rPr>
    </w:lvl>
    <w:lvl w:ilvl="4" w:tplc="10090019" w:tentative="1">
      <w:start w:val="1"/>
      <w:numFmt w:val="arabicAbjad"/>
      <w:lvlText w:val="%5."/>
      <w:lvlJc w:val="left"/>
      <w:pPr>
        <w:ind w:left="3600" w:hanging="360"/>
      </w:pPr>
      <w:rPr>
        <w:rFonts w:ascii="Times New Roman" w:hAnsi="Times New Roman" w:cs="Times New Roman"/>
        <w:b w:val="0"/>
        <w:bCs w:val="0"/>
        <w:sz w:val="26"/>
        <w:szCs w:val="26"/>
      </w:rPr>
    </w:lvl>
    <w:lvl w:ilvl="5" w:tplc="1009001B" w:tentative="1">
      <w:start w:val="1"/>
      <w:numFmt w:val="decimal"/>
      <w:lvlText w:val="%6."/>
      <w:lvlJc w:val="right"/>
      <w:pPr>
        <w:ind w:left="4320" w:hanging="180"/>
      </w:pPr>
      <w:rPr>
        <w:rFonts w:ascii="Times New Roman" w:hAnsi="Times New Roman" w:cs="Times New Roman"/>
        <w:b w:val="0"/>
        <w:bCs w:val="0"/>
        <w:sz w:val="26"/>
        <w:szCs w:val="26"/>
      </w:rPr>
    </w:lvl>
    <w:lvl w:ilvl="6" w:tplc="1009000F" w:tentative="1">
      <w:start w:val="1"/>
      <w:numFmt w:val="decimal"/>
      <w:lvlText w:val="%7."/>
      <w:lvlJc w:val="left"/>
      <w:pPr>
        <w:ind w:left="5040" w:hanging="360"/>
      </w:pPr>
      <w:rPr>
        <w:rFonts w:ascii="Times New Roman" w:hAnsi="Times New Roman" w:cs="Times New Roman"/>
        <w:b w:val="0"/>
        <w:bCs w:val="0"/>
        <w:sz w:val="26"/>
        <w:szCs w:val="26"/>
      </w:rPr>
    </w:lvl>
    <w:lvl w:ilvl="7" w:tplc="10090019" w:tentative="1">
      <w:start w:val="1"/>
      <w:numFmt w:val="arabicAbjad"/>
      <w:lvlText w:val="%8."/>
      <w:lvlJc w:val="left"/>
      <w:pPr>
        <w:ind w:left="5760" w:hanging="360"/>
      </w:pPr>
      <w:rPr>
        <w:rFonts w:ascii="Times New Roman" w:hAnsi="Times New Roman" w:cs="Times New Roman"/>
        <w:b w:val="0"/>
        <w:bCs w:val="0"/>
        <w:sz w:val="26"/>
        <w:szCs w:val="26"/>
      </w:rPr>
    </w:lvl>
    <w:lvl w:ilvl="8" w:tplc="1009001B" w:tentative="1">
      <w:start w:val="1"/>
      <w:numFmt w:val="decimal"/>
      <w:lvlText w:val="%9."/>
      <w:lvlJc w:val="right"/>
      <w:pPr>
        <w:ind w:left="6480" w:hanging="180"/>
      </w:pPr>
      <w:rPr>
        <w:rFonts w:ascii="Times New Roman" w:hAnsi="Times New Roman" w:cs="Times New Roman"/>
        <w:b w:val="0"/>
        <w:bCs w:val="0"/>
        <w:sz w:val="26"/>
        <w:szCs w:val="26"/>
      </w:rPr>
    </w:lvl>
  </w:abstractNum>
  <w:abstractNum w:abstractNumId="2" w15:restartNumberingAfterBreak="0">
    <w:nsid w:val="18547D52"/>
    <w:multiLevelType w:val="hybridMultilevel"/>
    <w:tmpl w:val="1CB0CF84"/>
    <w:lvl w:ilvl="0" w:tplc="1009000F">
      <w:start w:val="1"/>
      <w:numFmt w:val="decimal"/>
      <w:lvlText w:val="%1."/>
      <w:lvlJc w:val="left"/>
      <w:pPr>
        <w:ind w:left="360" w:hanging="360"/>
      </w:pPr>
      <w:rPr>
        <w:rFonts w:ascii="Times New Roman" w:hAnsi="Times New Roman" w:cs="Times New Roman" w:hint="default"/>
        <w:b w:val="0"/>
        <w:bCs w:val="0"/>
        <w:sz w:val="26"/>
        <w:szCs w:val="26"/>
      </w:rPr>
    </w:lvl>
    <w:lvl w:ilvl="1" w:tplc="10090019" w:tentative="1">
      <w:start w:val="1"/>
      <w:numFmt w:val="arabicAbjad"/>
      <w:lvlText w:val="%2."/>
      <w:lvlJc w:val="left"/>
      <w:pPr>
        <w:ind w:left="1080" w:hanging="360"/>
      </w:pPr>
      <w:rPr>
        <w:rFonts w:ascii="Times New Roman" w:hAnsi="Times New Roman" w:cs="Times New Roman"/>
        <w:b w:val="0"/>
        <w:bCs w:val="0"/>
        <w:sz w:val="26"/>
        <w:szCs w:val="26"/>
      </w:rPr>
    </w:lvl>
    <w:lvl w:ilvl="2" w:tplc="1009001B" w:tentative="1">
      <w:start w:val="1"/>
      <w:numFmt w:val="decimal"/>
      <w:lvlText w:val="%3."/>
      <w:lvlJc w:val="right"/>
      <w:pPr>
        <w:ind w:left="1800" w:hanging="180"/>
      </w:pPr>
      <w:rPr>
        <w:rFonts w:ascii="Times New Roman" w:hAnsi="Times New Roman" w:cs="Times New Roman"/>
        <w:b w:val="0"/>
        <w:bCs w:val="0"/>
        <w:sz w:val="26"/>
        <w:szCs w:val="26"/>
      </w:rPr>
    </w:lvl>
    <w:lvl w:ilvl="3" w:tplc="1009000F" w:tentative="1">
      <w:start w:val="1"/>
      <w:numFmt w:val="decimal"/>
      <w:lvlText w:val="%4."/>
      <w:lvlJc w:val="left"/>
      <w:pPr>
        <w:ind w:left="2520" w:hanging="360"/>
      </w:pPr>
      <w:rPr>
        <w:rFonts w:ascii="Times New Roman" w:hAnsi="Times New Roman" w:cs="Times New Roman"/>
        <w:b w:val="0"/>
        <w:bCs w:val="0"/>
        <w:sz w:val="26"/>
        <w:szCs w:val="26"/>
      </w:rPr>
    </w:lvl>
    <w:lvl w:ilvl="4" w:tplc="10090019" w:tentative="1">
      <w:start w:val="1"/>
      <w:numFmt w:val="arabicAbjad"/>
      <w:lvlText w:val="%5."/>
      <w:lvlJc w:val="left"/>
      <w:pPr>
        <w:ind w:left="3240" w:hanging="360"/>
      </w:pPr>
      <w:rPr>
        <w:rFonts w:ascii="Times New Roman" w:hAnsi="Times New Roman" w:cs="Times New Roman"/>
        <w:b w:val="0"/>
        <w:bCs w:val="0"/>
        <w:sz w:val="26"/>
        <w:szCs w:val="26"/>
      </w:rPr>
    </w:lvl>
    <w:lvl w:ilvl="5" w:tplc="1009001B" w:tentative="1">
      <w:start w:val="1"/>
      <w:numFmt w:val="decimal"/>
      <w:lvlText w:val="%6."/>
      <w:lvlJc w:val="right"/>
      <w:pPr>
        <w:ind w:left="3960" w:hanging="180"/>
      </w:pPr>
      <w:rPr>
        <w:rFonts w:ascii="Times New Roman" w:hAnsi="Times New Roman" w:cs="Times New Roman"/>
        <w:b w:val="0"/>
        <w:bCs w:val="0"/>
        <w:sz w:val="26"/>
        <w:szCs w:val="26"/>
      </w:rPr>
    </w:lvl>
    <w:lvl w:ilvl="6" w:tplc="1009000F" w:tentative="1">
      <w:start w:val="1"/>
      <w:numFmt w:val="decimal"/>
      <w:lvlText w:val="%7."/>
      <w:lvlJc w:val="left"/>
      <w:pPr>
        <w:ind w:left="4680" w:hanging="360"/>
      </w:pPr>
      <w:rPr>
        <w:rFonts w:ascii="Times New Roman" w:hAnsi="Times New Roman" w:cs="Times New Roman"/>
        <w:b w:val="0"/>
        <w:bCs w:val="0"/>
        <w:sz w:val="26"/>
        <w:szCs w:val="26"/>
      </w:rPr>
    </w:lvl>
    <w:lvl w:ilvl="7" w:tplc="10090019" w:tentative="1">
      <w:start w:val="1"/>
      <w:numFmt w:val="arabicAbjad"/>
      <w:lvlText w:val="%8."/>
      <w:lvlJc w:val="left"/>
      <w:pPr>
        <w:ind w:left="5400" w:hanging="360"/>
      </w:pPr>
      <w:rPr>
        <w:rFonts w:ascii="Times New Roman" w:hAnsi="Times New Roman" w:cs="Times New Roman"/>
        <w:b w:val="0"/>
        <w:bCs w:val="0"/>
        <w:sz w:val="26"/>
        <w:szCs w:val="26"/>
      </w:rPr>
    </w:lvl>
    <w:lvl w:ilvl="8" w:tplc="1009001B" w:tentative="1">
      <w:start w:val="1"/>
      <w:numFmt w:val="decimal"/>
      <w:lvlText w:val="%9."/>
      <w:lvlJc w:val="right"/>
      <w:pPr>
        <w:ind w:left="6120" w:hanging="180"/>
      </w:pPr>
      <w:rPr>
        <w:rFonts w:ascii="Times New Roman" w:hAnsi="Times New Roman" w:cs="Times New Roman"/>
        <w:b w:val="0"/>
        <w:bCs w:val="0"/>
        <w:sz w:val="26"/>
        <w:szCs w:val="26"/>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ascii="Times New Roman" w:hAnsi="Times New Roman" w:cs="Times New Roman"/>
        <w:b w:val="0"/>
        <w:bCs w:val="0"/>
        <w:sz w:val="26"/>
        <w:szCs w:val="26"/>
      </w:rPr>
    </w:lvl>
    <w:lvl w:ilvl="1">
      <w:start w:val="1"/>
      <w:numFmt w:val="decimal"/>
      <w:lvlText w:val="%1.%2."/>
      <w:lvlJc w:val="left"/>
      <w:pPr>
        <w:tabs>
          <w:tab w:val="num" w:pos="792"/>
        </w:tabs>
        <w:ind w:left="792" w:hanging="432"/>
      </w:pPr>
      <w:rPr>
        <w:rFonts w:ascii="Times New Roman" w:hAnsi="Times New Roman" w:cs="Times New Roman"/>
        <w:b w:val="0"/>
        <w:bCs w:val="0"/>
        <w:sz w:val="26"/>
        <w:szCs w:val="26"/>
      </w:rPr>
    </w:lvl>
    <w:lvl w:ilvl="2">
      <w:start w:val="1"/>
      <w:numFmt w:val="decimal"/>
      <w:lvlText w:val="%1.%2.%3."/>
      <w:lvlJc w:val="left"/>
      <w:pPr>
        <w:tabs>
          <w:tab w:val="num" w:pos="1440"/>
        </w:tabs>
        <w:ind w:left="1224" w:hanging="504"/>
      </w:pPr>
      <w:rPr>
        <w:rFonts w:ascii="Times New Roman" w:hAnsi="Times New Roman" w:cs="Times New Roman"/>
        <w:b w:val="0"/>
        <w:bCs w:val="0"/>
        <w:sz w:val="26"/>
        <w:szCs w:val="26"/>
      </w:rPr>
    </w:lvl>
    <w:lvl w:ilvl="3">
      <w:start w:val="1"/>
      <w:numFmt w:val="decimal"/>
      <w:lvlText w:val="%1.%2.%3.%4."/>
      <w:lvlJc w:val="left"/>
      <w:pPr>
        <w:tabs>
          <w:tab w:val="num" w:pos="1800"/>
        </w:tabs>
        <w:ind w:left="1728" w:hanging="648"/>
      </w:pPr>
      <w:rPr>
        <w:rFonts w:ascii="Times New Roman" w:hAnsi="Times New Roman" w:cs="Times New Roman"/>
        <w:b w:val="0"/>
        <w:bCs w:val="0"/>
        <w:sz w:val="26"/>
        <w:szCs w:val="26"/>
      </w:rPr>
    </w:lvl>
    <w:lvl w:ilvl="4">
      <w:start w:val="1"/>
      <w:numFmt w:val="decimal"/>
      <w:lvlText w:val="%1.%2.%3.%4.%5."/>
      <w:lvlJc w:val="left"/>
      <w:pPr>
        <w:tabs>
          <w:tab w:val="num" w:pos="2520"/>
        </w:tabs>
        <w:ind w:left="2232" w:hanging="792"/>
      </w:pPr>
      <w:rPr>
        <w:rFonts w:ascii="Times New Roman" w:hAnsi="Times New Roman" w:cs="Times New Roman"/>
        <w:b w:val="0"/>
        <w:bCs w:val="0"/>
        <w:sz w:val="26"/>
        <w:szCs w:val="26"/>
      </w:rPr>
    </w:lvl>
    <w:lvl w:ilvl="5">
      <w:start w:val="1"/>
      <w:numFmt w:val="decimal"/>
      <w:lvlText w:val="%1.%2.%3.%4.%5.%6."/>
      <w:lvlJc w:val="left"/>
      <w:pPr>
        <w:tabs>
          <w:tab w:val="num" w:pos="2880"/>
        </w:tabs>
        <w:ind w:left="2736" w:hanging="936"/>
      </w:pPr>
      <w:rPr>
        <w:rFonts w:ascii="Times New Roman" w:hAnsi="Times New Roman" w:cs="Times New Roman"/>
        <w:b w:val="0"/>
        <w:bCs w:val="0"/>
        <w:sz w:val="26"/>
        <w:szCs w:val="26"/>
      </w:rPr>
    </w:lvl>
    <w:lvl w:ilvl="6">
      <w:start w:val="1"/>
      <w:numFmt w:val="decimal"/>
      <w:lvlText w:val="%1.%2.%3.%4.%5.%6.%7."/>
      <w:lvlJc w:val="left"/>
      <w:pPr>
        <w:tabs>
          <w:tab w:val="num" w:pos="3600"/>
        </w:tabs>
        <w:ind w:left="3240" w:hanging="1080"/>
      </w:pPr>
      <w:rPr>
        <w:rFonts w:ascii="Times New Roman" w:hAnsi="Times New Roman" w:cs="Times New Roman"/>
        <w:b w:val="0"/>
        <w:bCs w:val="0"/>
        <w:sz w:val="26"/>
        <w:szCs w:val="26"/>
      </w:rPr>
    </w:lvl>
    <w:lvl w:ilvl="7">
      <w:start w:val="1"/>
      <w:numFmt w:val="decimal"/>
      <w:lvlText w:val="%1.%2.%3.%4.%5.%6.%7.%8."/>
      <w:lvlJc w:val="left"/>
      <w:pPr>
        <w:tabs>
          <w:tab w:val="num" w:pos="3960"/>
        </w:tabs>
        <w:ind w:left="3744" w:hanging="1224"/>
      </w:pPr>
      <w:rPr>
        <w:rFonts w:ascii="Times New Roman" w:hAnsi="Times New Roman" w:cs="Times New Roman"/>
        <w:b w:val="0"/>
        <w:bCs w:val="0"/>
        <w:sz w:val="26"/>
        <w:szCs w:val="26"/>
      </w:rPr>
    </w:lvl>
    <w:lvl w:ilvl="8">
      <w:start w:val="1"/>
      <w:numFmt w:val="decimal"/>
      <w:lvlText w:val="%1.%2.%3.%4.%5.%6.%7.%8.%9."/>
      <w:lvlJc w:val="left"/>
      <w:pPr>
        <w:tabs>
          <w:tab w:val="num" w:pos="4680"/>
        </w:tabs>
        <w:ind w:left="4320" w:hanging="1440"/>
      </w:pPr>
      <w:rPr>
        <w:rFonts w:ascii="Times New Roman" w:hAnsi="Times New Roman" w:cs="Times New Roman"/>
        <w:b w:val="0"/>
        <w:bCs w:val="0"/>
        <w:sz w:val="26"/>
        <w:szCs w:val="26"/>
      </w:r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sz w:val="26"/>
        <w:szCs w:val="26"/>
      </w:rPr>
    </w:lvl>
    <w:lvl w:ilvl="1" w:tplc="CDC0F378">
      <w:start w:val="1"/>
      <w:numFmt w:val="bullet"/>
      <w:lvlText w:val="o"/>
      <w:lvlJc w:val="left"/>
      <w:pPr>
        <w:ind w:left="1440" w:hanging="360"/>
      </w:pPr>
      <w:rPr>
        <w:rFonts w:ascii="Courier New" w:hAnsi="Courier New" w:hint="default"/>
        <w:sz w:val="26"/>
        <w:szCs w:val="26"/>
      </w:rPr>
    </w:lvl>
    <w:lvl w:ilvl="2" w:tplc="E15AE6E2">
      <w:start w:val="1"/>
      <w:numFmt w:val="bullet"/>
      <w:lvlText w:val=""/>
      <w:lvlJc w:val="left"/>
      <w:pPr>
        <w:ind w:left="2160" w:hanging="360"/>
      </w:pPr>
      <w:rPr>
        <w:rFonts w:ascii="Wingdings" w:hAnsi="Wingdings" w:hint="default"/>
        <w:sz w:val="26"/>
        <w:szCs w:val="26"/>
      </w:rPr>
    </w:lvl>
    <w:lvl w:ilvl="3" w:tplc="1EF61CC2">
      <w:start w:val="1"/>
      <w:numFmt w:val="bullet"/>
      <w:lvlText w:val=""/>
      <w:lvlJc w:val="left"/>
      <w:pPr>
        <w:ind w:left="2880" w:hanging="360"/>
      </w:pPr>
      <w:rPr>
        <w:rFonts w:ascii="Symbol" w:hAnsi="Symbol" w:hint="default"/>
        <w:sz w:val="26"/>
        <w:szCs w:val="26"/>
      </w:rPr>
    </w:lvl>
    <w:lvl w:ilvl="4" w:tplc="B9A09DE4">
      <w:start w:val="1"/>
      <w:numFmt w:val="bullet"/>
      <w:lvlText w:val="o"/>
      <w:lvlJc w:val="left"/>
      <w:pPr>
        <w:ind w:left="3600" w:hanging="360"/>
      </w:pPr>
      <w:rPr>
        <w:rFonts w:ascii="Courier New" w:hAnsi="Courier New" w:hint="default"/>
        <w:sz w:val="26"/>
        <w:szCs w:val="26"/>
      </w:rPr>
    </w:lvl>
    <w:lvl w:ilvl="5" w:tplc="E5F0A592">
      <w:start w:val="1"/>
      <w:numFmt w:val="bullet"/>
      <w:lvlText w:val=""/>
      <w:lvlJc w:val="left"/>
      <w:pPr>
        <w:ind w:left="4320" w:hanging="360"/>
      </w:pPr>
      <w:rPr>
        <w:rFonts w:ascii="Wingdings" w:hAnsi="Wingdings" w:hint="default"/>
        <w:sz w:val="26"/>
        <w:szCs w:val="26"/>
      </w:rPr>
    </w:lvl>
    <w:lvl w:ilvl="6" w:tplc="3AD20C7A">
      <w:start w:val="1"/>
      <w:numFmt w:val="bullet"/>
      <w:lvlText w:val=""/>
      <w:lvlJc w:val="left"/>
      <w:pPr>
        <w:ind w:left="5040" w:hanging="360"/>
      </w:pPr>
      <w:rPr>
        <w:rFonts w:ascii="Symbol" w:hAnsi="Symbol" w:hint="default"/>
        <w:sz w:val="26"/>
        <w:szCs w:val="26"/>
      </w:rPr>
    </w:lvl>
    <w:lvl w:ilvl="7" w:tplc="F6C696D8">
      <w:start w:val="1"/>
      <w:numFmt w:val="bullet"/>
      <w:lvlText w:val="o"/>
      <w:lvlJc w:val="left"/>
      <w:pPr>
        <w:ind w:left="5760" w:hanging="360"/>
      </w:pPr>
      <w:rPr>
        <w:rFonts w:ascii="Courier New" w:hAnsi="Courier New" w:hint="default"/>
        <w:sz w:val="26"/>
        <w:szCs w:val="26"/>
      </w:rPr>
    </w:lvl>
    <w:lvl w:ilvl="8" w:tplc="4DDE91F8">
      <w:start w:val="1"/>
      <w:numFmt w:val="bullet"/>
      <w:lvlText w:val=""/>
      <w:lvlJc w:val="left"/>
      <w:pPr>
        <w:ind w:left="6480" w:hanging="360"/>
      </w:pPr>
      <w:rPr>
        <w:rFonts w:ascii="Wingdings" w:hAnsi="Wingdings" w:hint="default"/>
        <w:sz w:val="26"/>
        <w:szCs w:val="26"/>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b w:val="0"/>
        <w:bCs w:val="0"/>
        <w:sz w:val="26"/>
        <w:szCs w:val="26"/>
      </w:rPr>
    </w:lvl>
    <w:lvl w:ilvl="1">
      <w:start w:val="1"/>
      <w:numFmt w:val="arabicAbjad"/>
      <w:lvlText w:val="%2)"/>
      <w:lvlJc w:val="left"/>
      <w:pPr>
        <w:tabs>
          <w:tab w:val="num" w:pos="720"/>
        </w:tabs>
        <w:ind w:left="720" w:hanging="360"/>
      </w:pPr>
      <w:rPr>
        <w:rFonts w:ascii="Times New Roman" w:hAnsi="Times New Roman" w:cs="Times New Roman"/>
        <w:b w:val="0"/>
        <w:bCs w:val="0"/>
        <w:sz w:val="26"/>
        <w:szCs w:val="26"/>
      </w:rPr>
    </w:lvl>
    <w:lvl w:ilvl="2">
      <w:start w:val="1"/>
      <w:numFmt w:val="decimal"/>
      <w:lvlText w:val="%3)"/>
      <w:lvlJc w:val="left"/>
      <w:pPr>
        <w:tabs>
          <w:tab w:val="num" w:pos="1080"/>
        </w:tabs>
        <w:ind w:left="1080" w:hanging="360"/>
      </w:pPr>
      <w:rPr>
        <w:rFonts w:ascii="Times New Roman" w:hAnsi="Times New Roman" w:cs="Times New Roman"/>
        <w:b w:val="0"/>
        <w:bCs w:val="0"/>
        <w:sz w:val="26"/>
        <w:szCs w:val="26"/>
      </w:rPr>
    </w:lvl>
    <w:lvl w:ilvl="3">
      <w:start w:val="1"/>
      <w:numFmt w:val="decimal"/>
      <w:lvlText w:val="(%4)"/>
      <w:lvlJc w:val="left"/>
      <w:pPr>
        <w:tabs>
          <w:tab w:val="num" w:pos="1440"/>
        </w:tabs>
        <w:ind w:left="1440" w:hanging="360"/>
      </w:pPr>
      <w:rPr>
        <w:rFonts w:ascii="Times New Roman" w:hAnsi="Times New Roman" w:cs="Times New Roman"/>
        <w:b w:val="0"/>
        <w:bCs w:val="0"/>
        <w:sz w:val="26"/>
        <w:szCs w:val="26"/>
      </w:rPr>
    </w:lvl>
    <w:lvl w:ilvl="4">
      <w:start w:val="1"/>
      <w:numFmt w:val="arabicAbjad"/>
      <w:lvlText w:val="(%5)"/>
      <w:lvlJc w:val="left"/>
      <w:pPr>
        <w:tabs>
          <w:tab w:val="num" w:pos="1800"/>
        </w:tabs>
        <w:ind w:left="1800" w:hanging="360"/>
      </w:pPr>
      <w:rPr>
        <w:rFonts w:ascii="Times New Roman" w:hAnsi="Times New Roman" w:cs="Times New Roman"/>
        <w:b w:val="0"/>
        <w:bCs w:val="0"/>
        <w:sz w:val="26"/>
        <w:szCs w:val="26"/>
      </w:rPr>
    </w:lvl>
    <w:lvl w:ilvl="5">
      <w:start w:val="1"/>
      <w:numFmt w:val="decimal"/>
      <w:lvlText w:val="(%6)"/>
      <w:lvlJc w:val="left"/>
      <w:pPr>
        <w:tabs>
          <w:tab w:val="num" w:pos="2160"/>
        </w:tabs>
        <w:ind w:left="2160" w:hanging="360"/>
      </w:pPr>
      <w:rPr>
        <w:rFonts w:ascii="Times New Roman" w:hAnsi="Times New Roman" w:cs="Times New Roman"/>
        <w:b w:val="0"/>
        <w:bCs w:val="0"/>
        <w:sz w:val="26"/>
        <w:szCs w:val="26"/>
      </w:rPr>
    </w:lvl>
    <w:lvl w:ilvl="6">
      <w:start w:val="1"/>
      <w:numFmt w:val="decimal"/>
      <w:lvlText w:val="%7."/>
      <w:lvlJc w:val="left"/>
      <w:pPr>
        <w:tabs>
          <w:tab w:val="num" w:pos="2520"/>
        </w:tabs>
        <w:ind w:left="2520" w:hanging="360"/>
      </w:pPr>
      <w:rPr>
        <w:rFonts w:ascii="Times New Roman" w:hAnsi="Times New Roman" w:cs="Times New Roman"/>
        <w:b w:val="0"/>
        <w:bCs w:val="0"/>
        <w:sz w:val="26"/>
        <w:szCs w:val="26"/>
      </w:rPr>
    </w:lvl>
    <w:lvl w:ilvl="7">
      <w:start w:val="1"/>
      <w:numFmt w:val="arabicAbjad"/>
      <w:lvlText w:val="%8."/>
      <w:lvlJc w:val="left"/>
      <w:pPr>
        <w:tabs>
          <w:tab w:val="num" w:pos="2880"/>
        </w:tabs>
        <w:ind w:left="2880" w:hanging="360"/>
      </w:pPr>
      <w:rPr>
        <w:rFonts w:ascii="Times New Roman" w:hAnsi="Times New Roman" w:cs="Times New Roman"/>
        <w:b w:val="0"/>
        <w:bCs w:val="0"/>
        <w:sz w:val="26"/>
        <w:szCs w:val="26"/>
      </w:rPr>
    </w:lvl>
    <w:lvl w:ilvl="8">
      <w:start w:val="1"/>
      <w:numFmt w:val="decimal"/>
      <w:lvlText w:val="%9."/>
      <w:lvlJc w:val="left"/>
      <w:pPr>
        <w:tabs>
          <w:tab w:val="num" w:pos="3240"/>
        </w:tabs>
        <w:ind w:left="3240" w:hanging="360"/>
      </w:pPr>
      <w:rPr>
        <w:rFonts w:ascii="Times New Roman" w:hAnsi="Times New Roman" w:cs="Times New Roman"/>
        <w:b w:val="0"/>
        <w:bCs w:val="0"/>
        <w:sz w:val="26"/>
        <w:szCs w:val="26"/>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rPr>
        <w:rFonts w:ascii="Times New Roman" w:hAnsi="Times New Roman" w:cs="Times New Roman"/>
        <w:b w:val="0"/>
        <w:bCs w:val="0"/>
        <w:sz w:val="26"/>
        <w:szCs w:val="26"/>
      </w:rPr>
    </w:lvl>
    <w:lvl w:ilvl="1">
      <w:start w:val="1"/>
      <w:numFmt w:val="decimalZero"/>
      <w:isLgl/>
      <w:lvlText w:val="Section %1.%2"/>
      <w:lvlJc w:val="left"/>
      <w:pPr>
        <w:tabs>
          <w:tab w:val="num" w:pos="1080"/>
        </w:tabs>
        <w:ind w:left="0" w:firstLine="0"/>
      </w:pPr>
      <w:rPr>
        <w:rFonts w:ascii="Times New Roman" w:hAnsi="Times New Roman" w:cs="Times New Roman"/>
        <w:b w:val="0"/>
        <w:bCs w:val="0"/>
        <w:sz w:val="26"/>
        <w:szCs w:val="26"/>
      </w:rPr>
    </w:lvl>
    <w:lvl w:ilvl="2">
      <w:start w:val="1"/>
      <w:numFmt w:val="arabicAbjad"/>
      <w:lvlText w:val="(%3)"/>
      <w:lvlJc w:val="left"/>
      <w:pPr>
        <w:tabs>
          <w:tab w:val="num" w:pos="720"/>
        </w:tabs>
        <w:ind w:left="720" w:hanging="432"/>
      </w:pPr>
      <w:rPr>
        <w:rFonts w:ascii="Times New Roman" w:hAnsi="Times New Roman" w:cs="Times New Roman"/>
        <w:b w:val="0"/>
        <w:bCs w:val="0"/>
        <w:sz w:val="26"/>
        <w:szCs w:val="26"/>
      </w:rPr>
    </w:lvl>
    <w:lvl w:ilvl="3">
      <w:start w:val="1"/>
      <w:numFmt w:val="decimal"/>
      <w:lvlText w:val="(%4)"/>
      <w:lvlJc w:val="right"/>
      <w:pPr>
        <w:tabs>
          <w:tab w:val="num" w:pos="864"/>
        </w:tabs>
        <w:ind w:left="864" w:hanging="144"/>
      </w:pPr>
      <w:rPr>
        <w:rFonts w:ascii="Times New Roman" w:hAnsi="Times New Roman" w:cs="Times New Roman"/>
        <w:b w:val="0"/>
        <w:bCs w:val="0"/>
        <w:sz w:val="26"/>
        <w:szCs w:val="26"/>
      </w:rPr>
    </w:lvl>
    <w:lvl w:ilvl="4">
      <w:start w:val="1"/>
      <w:numFmt w:val="decimal"/>
      <w:lvlText w:val="%5)"/>
      <w:lvlJc w:val="left"/>
      <w:pPr>
        <w:tabs>
          <w:tab w:val="num" w:pos="1008"/>
        </w:tabs>
        <w:ind w:left="1008" w:hanging="432"/>
      </w:pPr>
      <w:rPr>
        <w:rFonts w:ascii="Times New Roman" w:hAnsi="Times New Roman" w:cs="Times New Roman"/>
        <w:b w:val="0"/>
        <w:bCs w:val="0"/>
        <w:sz w:val="26"/>
        <w:szCs w:val="26"/>
      </w:rPr>
    </w:lvl>
    <w:lvl w:ilvl="5">
      <w:start w:val="1"/>
      <w:numFmt w:val="arabicAbjad"/>
      <w:lvlText w:val="%6)"/>
      <w:lvlJc w:val="left"/>
      <w:pPr>
        <w:tabs>
          <w:tab w:val="num" w:pos="1152"/>
        </w:tabs>
        <w:ind w:left="1152" w:hanging="432"/>
      </w:pPr>
      <w:rPr>
        <w:rFonts w:ascii="Times New Roman" w:hAnsi="Times New Roman" w:cs="Times New Roman"/>
        <w:b w:val="0"/>
        <w:bCs w:val="0"/>
        <w:sz w:val="26"/>
        <w:szCs w:val="26"/>
      </w:rPr>
    </w:lvl>
    <w:lvl w:ilvl="6">
      <w:start w:val="1"/>
      <w:numFmt w:val="decimal"/>
      <w:lvlText w:val="%7)"/>
      <w:lvlJc w:val="right"/>
      <w:pPr>
        <w:tabs>
          <w:tab w:val="num" w:pos="1296"/>
        </w:tabs>
        <w:ind w:left="1296" w:hanging="288"/>
      </w:pPr>
      <w:rPr>
        <w:rFonts w:ascii="Times New Roman" w:hAnsi="Times New Roman" w:cs="Times New Roman"/>
        <w:b w:val="0"/>
        <w:bCs w:val="0"/>
        <w:sz w:val="26"/>
        <w:szCs w:val="26"/>
      </w:rPr>
    </w:lvl>
    <w:lvl w:ilvl="7">
      <w:start w:val="1"/>
      <w:numFmt w:val="arabicAbjad"/>
      <w:lvlText w:val="%8."/>
      <w:lvlJc w:val="left"/>
      <w:pPr>
        <w:tabs>
          <w:tab w:val="num" w:pos="1440"/>
        </w:tabs>
        <w:ind w:left="1440" w:hanging="432"/>
      </w:pPr>
      <w:rPr>
        <w:rFonts w:ascii="Times New Roman" w:hAnsi="Times New Roman" w:cs="Times New Roman"/>
        <w:b w:val="0"/>
        <w:bCs w:val="0"/>
        <w:sz w:val="26"/>
        <w:szCs w:val="26"/>
      </w:rPr>
    </w:lvl>
    <w:lvl w:ilvl="8">
      <w:start w:val="1"/>
      <w:numFmt w:val="decimal"/>
      <w:lvlText w:val="%9."/>
      <w:lvlJc w:val="right"/>
      <w:pPr>
        <w:tabs>
          <w:tab w:val="num" w:pos="1584"/>
        </w:tabs>
        <w:ind w:left="1584" w:hanging="144"/>
      </w:pPr>
      <w:rPr>
        <w:rFonts w:ascii="Times New Roman" w:hAnsi="Times New Roman" w:cs="Times New Roman"/>
        <w:b w:val="0"/>
        <w:bCs w:val="0"/>
        <w:sz w:val="26"/>
        <w:szCs w:val="26"/>
      </w:r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rPr>
        <w:rFonts w:ascii="Times New Roman" w:hAnsi="Times New Roman" w:cs="Times New Roman"/>
        <w:b w:val="0"/>
        <w:bCs w:val="0"/>
        <w:sz w:val="26"/>
        <w:szCs w:val="26"/>
      </w:rPr>
    </w:lvl>
    <w:lvl w:ilvl="1">
      <w:start w:val="1"/>
      <w:numFmt w:val="arabicAbjad"/>
      <w:lvlText w:val="%2."/>
      <w:lvlJc w:val="left"/>
      <w:pPr>
        <w:ind w:left="1440" w:hanging="360"/>
      </w:pPr>
      <w:rPr>
        <w:rFonts w:ascii="Times New Roman" w:hAnsi="Times New Roman" w:cs="Times New Roman"/>
        <w:b w:val="0"/>
        <w:bCs w:val="0"/>
        <w:sz w:val="26"/>
        <w:szCs w:val="26"/>
      </w:rPr>
    </w:lvl>
    <w:lvl w:ilvl="2">
      <w:start w:val="1"/>
      <w:numFmt w:val="decimal"/>
      <w:lvlText w:val="%3."/>
      <w:lvlJc w:val="right"/>
      <w:pPr>
        <w:ind w:left="2160" w:hanging="180"/>
      </w:pPr>
      <w:rPr>
        <w:rFonts w:ascii="Times New Roman" w:hAnsi="Times New Roman" w:cs="Times New Roman"/>
        <w:b w:val="0"/>
        <w:bCs w:val="0"/>
        <w:sz w:val="26"/>
        <w:szCs w:val="26"/>
      </w:rPr>
    </w:lvl>
    <w:lvl w:ilvl="3">
      <w:start w:val="1"/>
      <w:numFmt w:val="decimal"/>
      <w:lvlText w:val="%4."/>
      <w:lvlJc w:val="left"/>
      <w:pPr>
        <w:ind w:left="2880" w:hanging="360"/>
      </w:pPr>
      <w:rPr>
        <w:rFonts w:ascii="Times New Roman" w:hAnsi="Times New Roman" w:cs="Times New Roman"/>
        <w:b w:val="0"/>
        <w:bCs w:val="0"/>
        <w:sz w:val="26"/>
        <w:szCs w:val="26"/>
      </w:rPr>
    </w:lvl>
    <w:lvl w:ilvl="4">
      <w:start w:val="1"/>
      <w:numFmt w:val="arabicAbjad"/>
      <w:lvlText w:val="%5."/>
      <w:lvlJc w:val="left"/>
      <w:pPr>
        <w:ind w:left="3600" w:hanging="360"/>
      </w:pPr>
      <w:rPr>
        <w:rFonts w:ascii="Times New Roman" w:hAnsi="Times New Roman" w:cs="Times New Roman"/>
        <w:b w:val="0"/>
        <w:bCs w:val="0"/>
        <w:sz w:val="26"/>
        <w:szCs w:val="26"/>
      </w:rPr>
    </w:lvl>
    <w:lvl w:ilvl="5">
      <w:start w:val="1"/>
      <w:numFmt w:val="decimal"/>
      <w:lvlText w:val="%6."/>
      <w:lvlJc w:val="right"/>
      <w:pPr>
        <w:ind w:left="4320" w:hanging="180"/>
      </w:pPr>
      <w:rPr>
        <w:rFonts w:ascii="Times New Roman" w:hAnsi="Times New Roman" w:cs="Times New Roman"/>
        <w:b w:val="0"/>
        <w:bCs w:val="0"/>
        <w:sz w:val="26"/>
        <w:szCs w:val="26"/>
      </w:rPr>
    </w:lvl>
    <w:lvl w:ilvl="6">
      <w:start w:val="1"/>
      <w:numFmt w:val="decimal"/>
      <w:lvlText w:val="%7."/>
      <w:lvlJc w:val="left"/>
      <w:pPr>
        <w:ind w:left="5040" w:hanging="360"/>
      </w:pPr>
      <w:rPr>
        <w:rFonts w:ascii="Times New Roman" w:hAnsi="Times New Roman" w:cs="Times New Roman"/>
        <w:b w:val="0"/>
        <w:bCs w:val="0"/>
        <w:sz w:val="26"/>
        <w:szCs w:val="26"/>
      </w:rPr>
    </w:lvl>
    <w:lvl w:ilvl="7">
      <w:start w:val="1"/>
      <w:numFmt w:val="arabicAbjad"/>
      <w:lvlText w:val="%8."/>
      <w:lvlJc w:val="left"/>
      <w:pPr>
        <w:ind w:left="5760" w:hanging="360"/>
      </w:pPr>
      <w:rPr>
        <w:rFonts w:ascii="Times New Roman" w:hAnsi="Times New Roman" w:cs="Times New Roman"/>
        <w:b w:val="0"/>
        <w:bCs w:val="0"/>
        <w:sz w:val="26"/>
        <w:szCs w:val="26"/>
      </w:rPr>
    </w:lvl>
    <w:lvl w:ilvl="8">
      <w:start w:val="1"/>
      <w:numFmt w:val="decimal"/>
      <w:lvlText w:val="%9."/>
      <w:lvlJc w:val="right"/>
      <w:pPr>
        <w:ind w:left="6480" w:hanging="180"/>
      </w:pPr>
      <w:rPr>
        <w:rFonts w:ascii="Times New Roman" w:hAnsi="Times New Roman" w:cs="Times New Roman"/>
        <w:b w:val="0"/>
        <w:bCs w:val="0"/>
        <w:sz w:val="26"/>
        <w:szCs w:val="26"/>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sz w:val="26"/>
        <w:szCs w:val="26"/>
      </w:rPr>
    </w:lvl>
    <w:lvl w:ilvl="1" w:tplc="10090003" w:tentative="1">
      <w:start w:val="1"/>
      <w:numFmt w:val="bullet"/>
      <w:lvlText w:val="o"/>
      <w:lvlJc w:val="left"/>
      <w:pPr>
        <w:ind w:left="1440" w:hanging="360"/>
      </w:pPr>
      <w:rPr>
        <w:rFonts w:ascii="Courier New" w:hAnsi="Courier New" w:cs="Courier New" w:hint="default"/>
        <w:sz w:val="26"/>
        <w:szCs w:val="26"/>
      </w:rPr>
    </w:lvl>
    <w:lvl w:ilvl="2" w:tplc="10090005" w:tentative="1">
      <w:start w:val="1"/>
      <w:numFmt w:val="bullet"/>
      <w:lvlText w:val=""/>
      <w:lvlJc w:val="left"/>
      <w:pPr>
        <w:ind w:left="2160" w:hanging="360"/>
      </w:pPr>
      <w:rPr>
        <w:rFonts w:ascii="Wingdings" w:hAnsi="Wingdings" w:hint="default"/>
        <w:sz w:val="26"/>
        <w:szCs w:val="26"/>
      </w:rPr>
    </w:lvl>
    <w:lvl w:ilvl="3" w:tplc="10090001" w:tentative="1">
      <w:start w:val="1"/>
      <w:numFmt w:val="bullet"/>
      <w:lvlText w:val=""/>
      <w:lvlJc w:val="left"/>
      <w:pPr>
        <w:ind w:left="2880" w:hanging="360"/>
      </w:pPr>
      <w:rPr>
        <w:rFonts w:ascii="Symbol" w:hAnsi="Symbol" w:hint="default"/>
        <w:sz w:val="26"/>
        <w:szCs w:val="26"/>
      </w:rPr>
    </w:lvl>
    <w:lvl w:ilvl="4" w:tplc="10090003" w:tentative="1">
      <w:start w:val="1"/>
      <w:numFmt w:val="bullet"/>
      <w:lvlText w:val="o"/>
      <w:lvlJc w:val="left"/>
      <w:pPr>
        <w:ind w:left="3600" w:hanging="360"/>
      </w:pPr>
      <w:rPr>
        <w:rFonts w:ascii="Courier New" w:hAnsi="Courier New" w:cs="Courier New" w:hint="default"/>
        <w:sz w:val="26"/>
        <w:szCs w:val="26"/>
      </w:rPr>
    </w:lvl>
    <w:lvl w:ilvl="5" w:tplc="10090005" w:tentative="1">
      <w:start w:val="1"/>
      <w:numFmt w:val="bullet"/>
      <w:lvlText w:val=""/>
      <w:lvlJc w:val="left"/>
      <w:pPr>
        <w:ind w:left="4320" w:hanging="360"/>
      </w:pPr>
      <w:rPr>
        <w:rFonts w:ascii="Wingdings" w:hAnsi="Wingdings" w:hint="default"/>
        <w:sz w:val="26"/>
        <w:szCs w:val="26"/>
      </w:rPr>
    </w:lvl>
    <w:lvl w:ilvl="6" w:tplc="10090001" w:tentative="1">
      <w:start w:val="1"/>
      <w:numFmt w:val="bullet"/>
      <w:lvlText w:val=""/>
      <w:lvlJc w:val="left"/>
      <w:pPr>
        <w:ind w:left="5040" w:hanging="360"/>
      </w:pPr>
      <w:rPr>
        <w:rFonts w:ascii="Symbol" w:hAnsi="Symbol" w:hint="default"/>
        <w:sz w:val="26"/>
        <w:szCs w:val="26"/>
      </w:rPr>
    </w:lvl>
    <w:lvl w:ilvl="7" w:tplc="10090003" w:tentative="1">
      <w:start w:val="1"/>
      <w:numFmt w:val="bullet"/>
      <w:lvlText w:val="o"/>
      <w:lvlJc w:val="left"/>
      <w:pPr>
        <w:ind w:left="5760" w:hanging="360"/>
      </w:pPr>
      <w:rPr>
        <w:rFonts w:ascii="Courier New" w:hAnsi="Courier New" w:cs="Courier New" w:hint="default"/>
        <w:sz w:val="26"/>
        <w:szCs w:val="26"/>
      </w:rPr>
    </w:lvl>
    <w:lvl w:ilvl="8" w:tplc="10090005" w:tentative="1">
      <w:start w:val="1"/>
      <w:numFmt w:val="bullet"/>
      <w:lvlText w:val=""/>
      <w:lvlJc w:val="left"/>
      <w:pPr>
        <w:ind w:left="6480" w:hanging="360"/>
      </w:pPr>
      <w:rPr>
        <w:rFonts w:ascii="Wingdings" w:hAnsi="Wingdings" w:hint="default"/>
        <w:sz w:val="26"/>
        <w:szCs w:val="26"/>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rPr>
        <w:rFonts w:ascii="Times New Roman" w:hAnsi="Times New Roman" w:cs="Times New Roman"/>
        <w:b w:val="0"/>
        <w:bCs w:val="0"/>
        <w:sz w:val="26"/>
        <w:szCs w:val="26"/>
      </w:rPr>
    </w:lvl>
    <w:lvl w:ilvl="1" w:tplc="BED803D2">
      <w:start w:val="1"/>
      <w:numFmt w:val="arabicAbjad"/>
      <w:lvlText w:val="%2."/>
      <w:lvlJc w:val="left"/>
      <w:pPr>
        <w:ind w:left="1440" w:hanging="360"/>
      </w:pPr>
      <w:rPr>
        <w:rFonts w:ascii="Times New Roman" w:hAnsi="Times New Roman" w:cs="Times New Roman"/>
        <w:b w:val="0"/>
        <w:bCs w:val="0"/>
        <w:sz w:val="26"/>
        <w:szCs w:val="26"/>
      </w:rPr>
    </w:lvl>
    <w:lvl w:ilvl="2" w:tplc="DE7009B4">
      <w:start w:val="1"/>
      <w:numFmt w:val="decimal"/>
      <w:lvlText w:val="%3."/>
      <w:lvlJc w:val="right"/>
      <w:pPr>
        <w:ind w:left="2160" w:hanging="180"/>
      </w:pPr>
      <w:rPr>
        <w:rFonts w:ascii="Times New Roman" w:hAnsi="Times New Roman" w:cs="Times New Roman"/>
        <w:b w:val="0"/>
        <w:bCs w:val="0"/>
        <w:sz w:val="26"/>
        <w:szCs w:val="26"/>
      </w:rPr>
    </w:lvl>
    <w:lvl w:ilvl="3" w:tplc="B1FEF442">
      <w:start w:val="1"/>
      <w:numFmt w:val="decimal"/>
      <w:lvlText w:val="%4."/>
      <w:lvlJc w:val="left"/>
      <w:pPr>
        <w:ind w:left="2880" w:hanging="360"/>
      </w:pPr>
      <w:rPr>
        <w:rFonts w:ascii="Times New Roman" w:hAnsi="Times New Roman" w:cs="Times New Roman"/>
        <w:b w:val="0"/>
        <w:bCs w:val="0"/>
        <w:sz w:val="26"/>
        <w:szCs w:val="26"/>
      </w:rPr>
    </w:lvl>
    <w:lvl w:ilvl="4" w:tplc="3C8642EE">
      <w:start w:val="1"/>
      <w:numFmt w:val="arabicAbjad"/>
      <w:lvlText w:val="%5."/>
      <w:lvlJc w:val="left"/>
      <w:pPr>
        <w:ind w:left="3600" w:hanging="360"/>
      </w:pPr>
      <w:rPr>
        <w:rFonts w:ascii="Times New Roman" w:hAnsi="Times New Roman" w:cs="Times New Roman"/>
        <w:b w:val="0"/>
        <w:bCs w:val="0"/>
        <w:sz w:val="26"/>
        <w:szCs w:val="26"/>
      </w:rPr>
    </w:lvl>
    <w:lvl w:ilvl="5" w:tplc="F8268DA6">
      <w:start w:val="1"/>
      <w:numFmt w:val="decimal"/>
      <w:lvlText w:val="%6."/>
      <w:lvlJc w:val="right"/>
      <w:pPr>
        <w:ind w:left="4320" w:hanging="180"/>
      </w:pPr>
      <w:rPr>
        <w:rFonts w:ascii="Times New Roman" w:hAnsi="Times New Roman" w:cs="Times New Roman"/>
        <w:b w:val="0"/>
        <w:bCs w:val="0"/>
        <w:sz w:val="26"/>
        <w:szCs w:val="26"/>
      </w:rPr>
    </w:lvl>
    <w:lvl w:ilvl="6" w:tplc="ABD8042C">
      <w:start w:val="1"/>
      <w:numFmt w:val="decimal"/>
      <w:lvlText w:val="%7."/>
      <w:lvlJc w:val="left"/>
      <w:pPr>
        <w:ind w:left="5040" w:hanging="360"/>
      </w:pPr>
      <w:rPr>
        <w:rFonts w:ascii="Times New Roman" w:hAnsi="Times New Roman" w:cs="Times New Roman"/>
        <w:b w:val="0"/>
        <w:bCs w:val="0"/>
        <w:sz w:val="26"/>
        <w:szCs w:val="26"/>
      </w:rPr>
    </w:lvl>
    <w:lvl w:ilvl="7" w:tplc="6E0C3DE8">
      <w:start w:val="1"/>
      <w:numFmt w:val="arabicAbjad"/>
      <w:lvlText w:val="%8."/>
      <w:lvlJc w:val="left"/>
      <w:pPr>
        <w:ind w:left="5760" w:hanging="360"/>
      </w:pPr>
      <w:rPr>
        <w:rFonts w:ascii="Times New Roman" w:hAnsi="Times New Roman" w:cs="Times New Roman"/>
        <w:b w:val="0"/>
        <w:bCs w:val="0"/>
        <w:sz w:val="26"/>
        <w:szCs w:val="26"/>
      </w:rPr>
    </w:lvl>
    <w:lvl w:ilvl="8" w:tplc="402665E8">
      <w:start w:val="1"/>
      <w:numFmt w:val="decimal"/>
      <w:lvlText w:val="%9."/>
      <w:lvlJc w:val="right"/>
      <w:pPr>
        <w:ind w:left="6480" w:hanging="180"/>
      </w:pPr>
      <w:rPr>
        <w:rFonts w:ascii="Times New Roman" w:hAnsi="Times New Roman" w:cs="Times New Roman"/>
        <w:b w:val="0"/>
        <w:bCs w:val="0"/>
        <w:sz w:val="26"/>
        <w:szCs w:val="26"/>
      </w:rPr>
    </w:lvl>
  </w:abstractNum>
  <w:abstractNum w:abstractNumId="10" w15:restartNumberingAfterBreak="0">
    <w:nsid w:val="7E100F2A"/>
    <w:multiLevelType w:val="hybridMultilevel"/>
    <w:tmpl w:val="BD0C0614"/>
    <w:lvl w:ilvl="0" w:tplc="10C23008">
      <w:start w:val="1"/>
      <w:numFmt w:val="arabicAbjad"/>
      <w:pStyle w:val="Header4"/>
      <w:lvlText w:val="%1."/>
      <w:lvlJc w:val="left"/>
      <w:pPr>
        <w:tabs>
          <w:tab w:val="num" w:pos="3600"/>
        </w:tabs>
        <w:ind w:left="3600" w:hanging="360"/>
      </w:pPr>
      <w:rPr>
        <w:rFonts w:ascii="Times New Roman" w:hAnsi="Times New Roman" w:cs="Times New Roman"/>
        <w:b w:val="0"/>
        <w:bCs w:val="0"/>
        <w:sz w:val="26"/>
        <w:szCs w:val="26"/>
      </w:rPr>
    </w:lvl>
    <w:lvl w:ilvl="1" w:tplc="04090019" w:tentative="1">
      <w:start w:val="1"/>
      <w:numFmt w:val="arabicAbjad"/>
      <w:lvlText w:val="%2."/>
      <w:lvlJc w:val="left"/>
      <w:pPr>
        <w:tabs>
          <w:tab w:val="num" w:pos="4320"/>
        </w:tabs>
        <w:ind w:left="4320" w:hanging="360"/>
      </w:pPr>
      <w:rPr>
        <w:rFonts w:ascii="Times New Roman" w:hAnsi="Times New Roman" w:cs="Times New Roman"/>
        <w:b w:val="0"/>
        <w:bCs w:val="0"/>
        <w:sz w:val="26"/>
        <w:szCs w:val="26"/>
      </w:rPr>
    </w:lvl>
    <w:lvl w:ilvl="2" w:tplc="0409001B">
      <w:start w:val="1"/>
      <w:numFmt w:val="decimal"/>
      <w:lvlText w:val="%3."/>
      <w:lvlJc w:val="right"/>
      <w:pPr>
        <w:tabs>
          <w:tab w:val="num" w:pos="5040"/>
        </w:tabs>
        <w:ind w:left="5040" w:hanging="180"/>
      </w:pPr>
      <w:rPr>
        <w:rFonts w:ascii="Times New Roman" w:hAnsi="Times New Roman" w:cs="Times New Roman"/>
        <w:b w:val="0"/>
        <w:bCs w:val="0"/>
        <w:sz w:val="26"/>
        <w:szCs w:val="26"/>
      </w:rPr>
    </w:lvl>
    <w:lvl w:ilvl="3" w:tplc="0409000F">
      <w:start w:val="1"/>
      <w:numFmt w:val="decimal"/>
      <w:pStyle w:val="Header4"/>
      <w:lvlText w:val="%4."/>
      <w:lvlJc w:val="left"/>
      <w:pPr>
        <w:tabs>
          <w:tab w:val="num" w:pos="5760"/>
        </w:tabs>
        <w:ind w:left="5760" w:hanging="360"/>
      </w:pPr>
      <w:rPr>
        <w:rFonts w:ascii="Times New Roman" w:hAnsi="Times New Roman" w:cs="Times New Roman"/>
        <w:b w:val="0"/>
        <w:bCs w:val="0"/>
        <w:sz w:val="26"/>
        <w:szCs w:val="26"/>
      </w:rPr>
    </w:lvl>
    <w:lvl w:ilvl="4" w:tplc="04090019" w:tentative="1">
      <w:start w:val="1"/>
      <w:numFmt w:val="arabicAbjad"/>
      <w:lvlText w:val="%5."/>
      <w:lvlJc w:val="left"/>
      <w:pPr>
        <w:tabs>
          <w:tab w:val="num" w:pos="6480"/>
        </w:tabs>
        <w:ind w:left="6480" w:hanging="360"/>
      </w:pPr>
      <w:rPr>
        <w:rFonts w:ascii="Times New Roman" w:hAnsi="Times New Roman" w:cs="Times New Roman"/>
        <w:b w:val="0"/>
        <w:bCs w:val="0"/>
        <w:sz w:val="26"/>
        <w:szCs w:val="26"/>
      </w:rPr>
    </w:lvl>
    <w:lvl w:ilvl="5" w:tplc="0409001B" w:tentative="1">
      <w:start w:val="1"/>
      <w:numFmt w:val="decimal"/>
      <w:lvlText w:val="%6."/>
      <w:lvlJc w:val="right"/>
      <w:pPr>
        <w:tabs>
          <w:tab w:val="num" w:pos="7200"/>
        </w:tabs>
        <w:ind w:left="7200" w:hanging="180"/>
      </w:pPr>
      <w:rPr>
        <w:rFonts w:ascii="Times New Roman" w:hAnsi="Times New Roman" w:cs="Times New Roman"/>
        <w:b w:val="0"/>
        <w:bCs w:val="0"/>
        <w:sz w:val="26"/>
        <w:szCs w:val="26"/>
      </w:rPr>
    </w:lvl>
    <w:lvl w:ilvl="6" w:tplc="0409000F" w:tentative="1">
      <w:start w:val="1"/>
      <w:numFmt w:val="decimal"/>
      <w:lvlText w:val="%7."/>
      <w:lvlJc w:val="left"/>
      <w:pPr>
        <w:tabs>
          <w:tab w:val="num" w:pos="7920"/>
        </w:tabs>
        <w:ind w:left="7920" w:hanging="360"/>
      </w:pPr>
      <w:rPr>
        <w:rFonts w:ascii="Times New Roman" w:hAnsi="Times New Roman" w:cs="Times New Roman"/>
        <w:b w:val="0"/>
        <w:bCs w:val="0"/>
        <w:sz w:val="26"/>
        <w:szCs w:val="26"/>
      </w:rPr>
    </w:lvl>
    <w:lvl w:ilvl="7" w:tplc="04090019" w:tentative="1">
      <w:start w:val="1"/>
      <w:numFmt w:val="arabicAbjad"/>
      <w:lvlText w:val="%8."/>
      <w:lvlJc w:val="left"/>
      <w:pPr>
        <w:tabs>
          <w:tab w:val="num" w:pos="8640"/>
        </w:tabs>
        <w:ind w:left="8640" w:hanging="360"/>
      </w:pPr>
      <w:rPr>
        <w:rFonts w:ascii="Times New Roman" w:hAnsi="Times New Roman" w:cs="Times New Roman"/>
        <w:b w:val="0"/>
        <w:bCs w:val="0"/>
        <w:sz w:val="26"/>
        <w:szCs w:val="26"/>
      </w:rPr>
    </w:lvl>
    <w:lvl w:ilvl="8" w:tplc="0409001B" w:tentative="1">
      <w:start w:val="1"/>
      <w:numFmt w:val="decimal"/>
      <w:lvlText w:val="%9."/>
      <w:lvlJc w:val="right"/>
      <w:pPr>
        <w:tabs>
          <w:tab w:val="num" w:pos="9360"/>
        </w:tabs>
        <w:ind w:left="9360" w:hanging="180"/>
      </w:pPr>
      <w:rPr>
        <w:rFonts w:ascii="Times New Roman" w:hAnsi="Times New Roman" w:cs="Times New Roman"/>
        <w:b w:val="0"/>
        <w:bCs w:val="0"/>
        <w:sz w:val="26"/>
        <w:szCs w:val="26"/>
      </w:r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283435">
    <w:abstractNumId w:val="2"/>
  </w:num>
  <w:num w:numId="15" w16cid:durableId="154239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813681">
    <w:abstractNumId w:val="7"/>
  </w:num>
  <w:num w:numId="17" w16cid:durableId="1725564835">
    <w:abstractNumId w:val="4"/>
  </w:num>
  <w:num w:numId="18" w16cid:durableId="1269001707">
    <w:abstractNumId w:val="9"/>
  </w:num>
  <w:num w:numId="19" w16cid:durableId="364064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516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2714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66455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366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909D4"/>
    <w:rsid w:val="00000B00"/>
    <w:rsid w:val="00000FED"/>
    <w:rsid w:val="00001516"/>
    <w:rsid w:val="00002E09"/>
    <w:rsid w:val="0000434E"/>
    <w:rsid w:val="00004664"/>
    <w:rsid w:val="00005A7C"/>
    <w:rsid w:val="00006ADB"/>
    <w:rsid w:val="00007324"/>
    <w:rsid w:val="00007688"/>
    <w:rsid w:val="00007CB6"/>
    <w:rsid w:val="00010DDA"/>
    <w:rsid w:val="000126EC"/>
    <w:rsid w:val="00013749"/>
    <w:rsid w:val="00013CC3"/>
    <w:rsid w:val="00014CD6"/>
    <w:rsid w:val="00014FAB"/>
    <w:rsid w:val="00015641"/>
    <w:rsid w:val="00015817"/>
    <w:rsid w:val="0001596D"/>
    <w:rsid w:val="00016260"/>
    <w:rsid w:val="00016483"/>
    <w:rsid w:val="00016D21"/>
    <w:rsid w:val="000174A6"/>
    <w:rsid w:val="0002008F"/>
    <w:rsid w:val="00020255"/>
    <w:rsid w:val="00020419"/>
    <w:rsid w:val="000219FC"/>
    <w:rsid w:val="00021E2F"/>
    <w:rsid w:val="00021E94"/>
    <w:rsid w:val="00022B2E"/>
    <w:rsid w:val="00023BB5"/>
    <w:rsid w:val="000246E3"/>
    <w:rsid w:val="00024ADA"/>
    <w:rsid w:val="000258B2"/>
    <w:rsid w:val="00027178"/>
    <w:rsid w:val="000276AB"/>
    <w:rsid w:val="00027F30"/>
    <w:rsid w:val="00030205"/>
    <w:rsid w:val="00030761"/>
    <w:rsid w:val="00030996"/>
    <w:rsid w:val="00031260"/>
    <w:rsid w:val="00031267"/>
    <w:rsid w:val="00031416"/>
    <w:rsid w:val="00031504"/>
    <w:rsid w:val="00031911"/>
    <w:rsid w:val="00031D3F"/>
    <w:rsid w:val="000325D1"/>
    <w:rsid w:val="00033336"/>
    <w:rsid w:val="00033A68"/>
    <w:rsid w:val="000343E1"/>
    <w:rsid w:val="00034839"/>
    <w:rsid w:val="0003557F"/>
    <w:rsid w:val="0003667C"/>
    <w:rsid w:val="0003681A"/>
    <w:rsid w:val="00037539"/>
    <w:rsid w:val="00037F80"/>
    <w:rsid w:val="000400DA"/>
    <w:rsid w:val="000424AD"/>
    <w:rsid w:val="00042BDE"/>
    <w:rsid w:val="00043227"/>
    <w:rsid w:val="00043606"/>
    <w:rsid w:val="00045061"/>
    <w:rsid w:val="000460C4"/>
    <w:rsid w:val="00047E1A"/>
    <w:rsid w:val="00050E68"/>
    <w:rsid w:val="000515D2"/>
    <w:rsid w:val="00051D43"/>
    <w:rsid w:val="00053674"/>
    <w:rsid w:val="000548F9"/>
    <w:rsid w:val="00054A4A"/>
    <w:rsid w:val="00054DA8"/>
    <w:rsid w:val="00055053"/>
    <w:rsid w:val="000550CE"/>
    <w:rsid w:val="000554FD"/>
    <w:rsid w:val="0005650E"/>
    <w:rsid w:val="000565EB"/>
    <w:rsid w:val="00056BA9"/>
    <w:rsid w:val="00056D6E"/>
    <w:rsid w:val="000574E5"/>
    <w:rsid w:val="000579EF"/>
    <w:rsid w:val="00060028"/>
    <w:rsid w:val="00061C9D"/>
    <w:rsid w:val="00063F8A"/>
    <w:rsid w:val="00064F73"/>
    <w:rsid w:val="00065B24"/>
    <w:rsid w:val="00065D34"/>
    <w:rsid w:val="00065D6A"/>
    <w:rsid w:val="00065EE8"/>
    <w:rsid w:val="0006607F"/>
    <w:rsid w:val="00066C79"/>
    <w:rsid w:val="0006769A"/>
    <w:rsid w:val="00070104"/>
    <w:rsid w:val="00070264"/>
    <w:rsid w:val="00070C38"/>
    <w:rsid w:val="000710C2"/>
    <w:rsid w:val="000717FE"/>
    <w:rsid w:val="00072B13"/>
    <w:rsid w:val="00074B9A"/>
    <w:rsid w:val="000750A4"/>
    <w:rsid w:val="00075457"/>
    <w:rsid w:val="000758CD"/>
    <w:rsid w:val="00075C28"/>
    <w:rsid w:val="00075D10"/>
    <w:rsid w:val="00076B60"/>
    <w:rsid w:val="00076CBC"/>
    <w:rsid w:val="00076CEE"/>
    <w:rsid w:val="00077E33"/>
    <w:rsid w:val="00077F99"/>
    <w:rsid w:val="00080312"/>
    <w:rsid w:val="00080614"/>
    <w:rsid w:val="00080A8C"/>
    <w:rsid w:val="00080ED0"/>
    <w:rsid w:val="00081104"/>
    <w:rsid w:val="00082558"/>
    <w:rsid w:val="000827BA"/>
    <w:rsid w:val="0008289C"/>
    <w:rsid w:val="00083F1D"/>
    <w:rsid w:val="00085B8F"/>
    <w:rsid w:val="00085F80"/>
    <w:rsid w:val="000871F4"/>
    <w:rsid w:val="00087AFC"/>
    <w:rsid w:val="00090481"/>
    <w:rsid w:val="000908C8"/>
    <w:rsid w:val="00091A22"/>
    <w:rsid w:val="000923BA"/>
    <w:rsid w:val="00092DFB"/>
    <w:rsid w:val="00093FCD"/>
    <w:rsid w:val="000952F5"/>
    <w:rsid w:val="00096648"/>
    <w:rsid w:val="00096C16"/>
    <w:rsid w:val="00096E92"/>
    <w:rsid w:val="000A0882"/>
    <w:rsid w:val="000A0D69"/>
    <w:rsid w:val="000A34C3"/>
    <w:rsid w:val="000A3F08"/>
    <w:rsid w:val="000B324E"/>
    <w:rsid w:val="000B3315"/>
    <w:rsid w:val="000B3C8B"/>
    <w:rsid w:val="000B3E62"/>
    <w:rsid w:val="000B5B26"/>
    <w:rsid w:val="000B5D0B"/>
    <w:rsid w:val="000B7088"/>
    <w:rsid w:val="000B775D"/>
    <w:rsid w:val="000C0287"/>
    <w:rsid w:val="000C167B"/>
    <w:rsid w:val="000C29A1"/>
    <w:rsid w:val="000C2F7E"/>
    <w:rsid w:val="000C3A47"/>
    <w:rsid w:val="000C3B3E"/>
    <w:rsid w:val="000C40F0"/>
    <w:rsid w:val="000C5EF0"/>
    <w:rsid w:val="000C7EF8"/>
    <w:rsid w:val="000D04EA"/>
    <w:rsid w:val="000D0641"/>
    <w:rsid w:val="000D1693"/>
    <w:rsid w:val="000D1889"/>
    <w:rsid w:val="000D18CF"/>
    <w:rsid w:val="000D38E0"/>
    <w:rsid w:val="000D5A54"/>
    <w:rsid w:val="000D62D2"/>
    <w:rsid w:val="000D7A90"/>
    <w:rsid w:val="000D7B88"/>
    <w:rsid w:val="000E01D4"/>
    <w:rsid w:val="000E0414"/>
    <w:rsid w:val="000E07BC"/>
    <w:rsid w:val="000E0D81"/>
    <w:rsid w:val="000E0EBE"/>
    <w:rsid w:val="000E1955"/>
    <w:rsid w:val="000E2313"/>
    <w:rsid w:val="000E2817"/>
    <w:rsid w:val="000E2C3A"/>
    <w:rsid w:val="000E3086"/>
    <w:rsid w:val="000E3377"/>
    <w:rsid w:val="000E45E1"/>
    <w:rsid w:val="000E5480"/>
    <w:rsid w:val="000E5B2F"/>
    <w:rsid w:val="000E6F75"/>
    <w:rsid w:val="000E7281"/>
    <w:rsid w:val="000E7B61"/>
    <w:rsid w:val="000F00EE"/>
    <w:rsid w:val="000F0506"/>
    <w:rsid w:val="000F1115"/>
    <w:rsid w:val="000F1CD4"/>
    <w:rsid w:val="000F3CCE"/>
    <w:rsid w:val="000F4103"/>
    <w:rsid w:val="000F4178"/>
    <w:rsid w:val="000F42F0"/>
    <w:rsid w:val="000F43BC"/>
    <w:rsid w:val="000F4E86"/>
    <w:rsid w:val="000F6C9B"/>
    <w:rsid w:val="000F70A7"/>
    <w:rsid w:val="000F79ED"/>
    <w:rsid w:val="0010207A"/>
    <w:rsid w:val="00102569"/>
    <w:rsid w:val="00102959"/>
    <w:rsid w:val="00102C33"/>
    <w:rsid w:val="00104568"/>
    <w:rsid w:val="001049B8"/>
    <w:rsid w:val="001052BA"/>
    <w:rsid w:val="00105B9D"/>
    <w:rsid w:val="00105BE1"/>
    <w:rsid w:val="00107A64"/>
    <w:rsid w:val="00107B26"/>
    <w:rsid w:val="001115D9"/>
    <w:rsid w:val="001139D2"/>
    <w:rsid w:val="00113B80"/>
    <w:rsid w:val="001142DB"/>
    <w:rsid w:val="00114F96"/>
    <w:rsid w:val="00116333"/>
    <w:rsid w:val="00116B72"/>
    <w:rsid w:val="001201F8"/>
    <w:rsid w:val="00120820"/>
    <w:rsid w:val="00120AE4"/>
    <w:rsid w:val="00121044"/>
    <w:rsid w:val="00123EA2"/>
    <w:rsid w:val="001247C5"/>
    <w:rsid w:val="00124800"/>
    <w:rsid w:val="00124B2E"/>
    <w:rsid w:val="001254DC"/>
    <w:rsid w:val="00126734"/>
    <w:rsid w:val="00126A82"/>
    <w:rsid w:val="00127B0F"/>
    <w:rsid w:val="00127C2D"/>
    <w:rsid w:val="00130EA8"/>
    <w:rsid w:val="0013115F"/>
    <w:rsid w:val="001312DB"/>
    <w:rsid w:val="00131B1A"/>
    <w:rsid w:val="00132388"/>
    <w:rsid w:val="00132431"/>
    <w:rsid w:val="00132741"/>
    <w:rsid w:val="00132E8E"/>
    <w:rsid w:val="00133B6E"/>
    <w:rsid w:val="00133C10"/>
    <w:rsid w:val="001348F0"/>
    <w:rsid w:val="00134BD9"/>
    <w:rsid w:val="00135980"/>
    <w:rsid w:val="00135F90"/>
    <w:rsid w:val="0013797B"/>
    <w:rsid w:val="00140110"/>
    <w:rsid w:val="00140199"/>
    <w:rsid w:val="001413D2"/>
    <w:rsid w:val="00141C8B"/>
    <w:rsid w:val="00143F85"/>
    <w:rsid w:val="00145F7A"/>
    <w:rsid w:val="00147451"/>
    <w:rsid w:val="0015070E"/>
    <w:rsid w:val="00151990"/>
    <w:rsid w:val="001539E1"/>
    <w:rsid w:val="00153C45"/>
    <w:rsid w:val="00154357"/>
    <w:rsid w:val="00155FD6"/>
    <w:rsid w:val="00160611"/>
    <w:rsid w:val="0016163E"/>
    <w:rsid w:val="0016244F"/>
    <w:rsid w:val="001635BD"/>
    <w:rsid w:val="00163D33"/>
    <w:rsid w:val="0016453C"/>
    <w:rsid w:val="00164719"/>
    <w:rsid w:val="0016522B"/>
    <w:rsid w:val="00166FC4"/>
    <w:rsid w:val="001677AC"/>
    <w:rsid w:val="00171C85"/>
    <w:rsid w:val="00171E9A"/>
    <w:rsid w:val="00174B79"/>
    <w:rsid w:val="00175910"/>
    <w:rsid w:val="00177842"/>
    <w:rsid w:val="00177BF2"/>
    <w:rsid w:val="001803BD"/>
    <w:rsid w:val="001812C6"/>
    <w:rsid w:val="001825CE"/>
    <w:rsid w:val="001838E6"/>
    <w:rsid w:val="00183CB1"/>
    <w:rsid w:val="0018434C"/>
    <w:rsid w:val="001849EC"/>
    <w:rsid w:val="00184E3E"/>
    <w:rsid w:val="00185225"/>
    <w:rsid w:val="001856F1"/>
    <w:rsid w:val="001857E1"/>
    <w:rsid w:val="00185D45"/>
    <w:rsid w:val="00185D8E"/>
    <w:rsid w:val="001865FF"/>
    <w:rsid w:val="00186A9F"/>
    <w:rsid w:val="001908E0"/>
    <w:rsid w:val="00190A61"/>
    <w:rsid w:val="00191532"/>
    <w:rsid w:val="0019266B"/>
    <w:rsid w:val="00192AA0"/>
    <w:rsid w:val="00193A33"/>
    <w:rsid w:val="00195322"/>
    <w:rsid w:val="00196344"/>
    <w:rsid w:val="0019759B"/>
    <w:rsid w:val="00197AED"/>
    <w:rsid w:val="001A0A95"/>
    <w:rsid w:val="001A0CD8"/>
    <w:rsid w:val="001A113A"/>
    <w:rsid w:val="001A13FA"/>
    <w:rsid w:val="001A18CA"/>
    <w:rsid w:val="001A27EC"/>
    <w:rsid w:val="001A3342"/>
    <w:rsid w:val="001A3C39"/>
    <w:rsid w:val="001A3E3D"/>
    <w:rsid w:val="001A4D66"/>
    <w:rsid w:val="001A749C"/>
    <w:rsid w:val="001B0224"/>
    <w:rsid w:val="001B10A2"/>
    <w:rsid w:val="001B1E40"/>
    <w:rsid w:val="001B1FFC"/>
    <w:rsid w:val="001B2290"/>
    <w:rsid w:val="001B2304"/>
    <w:rsid w:val="001B45CB"/>
    <w:rsid w:val="001B4C38"/>
    <w:rsid w:val="001B6403"/>
    <w:rsid w:val="001B662D"/>
    <w:rsid w:val="001B7002"/>
    <w:rsid w:val="001B72F6"/>
    <w:rsid w:val="001B7331"/>
    <w:rsid w:val="001B7938"/>
    <w:rsid w:val="001B7EDD"/>
    <w:rsid w:val="001C0350"/>
    <w:rsid w:val="001C0836"/>
    <w:rsid w:val="001C0EC5"/>
    <w:rsid w:val="001C15AC"/>
    <w:rsid w:val="001C1E46"/>
    <w:rsid w:val="001C2608"/>
    <w:rsid w:val="001C2C7B"/>
    <w:rsid w:val="001C3098"/>
    <w:rsid w:val="001C3D7E"/>
    <w:rsid w:val="001C4BB0"/>
    <w:rsid w:val="001C764E"/>
    <w:rsid w:val="001C7987"/>
    <w:rsid w:val="001C7B9B"/>
    <w:rsid w:val="001C7E4D"/>
    <w:rsid w:val="001D22DE"/>
    <w:rsid w:val="001D2CFF"/>
    <w:rsid w:val="001D3E3C"/>
    <w:rsid w:val="001D3EAF"/>
    <w:rsid w:val="001D4116"/>
    <w:rsid w:val="001D4ADA"/>
    <w:rsid w:val="001E0FDA"/>
    <w:rsid w:val="001E1052"/>
    <w:rsid w:val="001E1BD4"/>
    <w:rsid w:val="001E21B1"/>
    <w:rsid w:val="001E2CEB"/>
    <w:rsid w:val="001E2F93"/>
    <w:rsid w:val="001E393F"/>
    <w:rsid w:val="001E53A7"/>
    <w:rsid w:val="001E58B9"/>
    <w:rsid w:val="001E61E5"/>
    <w:rsid w:val="001E6BA3"/>
    <w:rsid w:val="001E7103"/>
    <w:rsid w:val="001F122D"/>
    <w:rsid w:val="001F13B9"/>
    <w:rsid w:val="001F1562"/>
    <w:rsid w:val="001F1986"/>
    <w:rsid w:val="001F2159"/>
    <w:rsid w:val="001F233F"/>
    <w:rsid w:val="001F2344"/>
    <w:rsid w:val="001F2372"/>
    <w:rsid w:val="001F2B80"/>
    <w:rsid w:val="001F2F33"/>
    <w:rsid w:val="001F45B6"/>
    <w:rsid w:val="001F4CB2"/>
    <w:rsid w:val="001F5184"/>
    <w:rsid w:val="001F6115"/>
    <w:rsid w:val="001F7140"/>
    <w:rsid w:val="001F7148"/>
    <w:rsid w:val="001F73D6"/>
    <w:rsid w:val="001F7884"/>
    <w:rsid w:val="00201A2A"/>
    <w:rsid w:val="00201E44"/>
    <w:rsid w:val="00203CA8"/>
    <w:rsid w:val="0020426A"/>
    <w:rsid w:val="0020568B"/>
    <w:rsid w:val="00206E97"/>
    <w:rsid w:val="00210718"/>
    <w:rsid w:val="00210945"/>
    <w:rsid w:val="00211C1C"/>
    <w:rsid w:val="0021273B"/>
    <w:rsid w:val="0021300E"/>
    <w:rsid w:val="00213633"/>
    <w:rsid w:val="00213AF8"/>
    <w:rsid w:val="00214848"/>
    <w:rsid w:val="00214DDA"/>
    <w:rsid w:val="00215B20"/>
    <w:rsid w:val="0021605A"/>
    <w:rsid w:val="0021622A"/>
    <w:rsid w:val="002200C5"/>
    <w:rsid w:val="00221E4B"/>
    <w:rsid w:val="00223868"/>
    <w:rsid w:val="002243A4"/>
    <w:rsid w:val="0022645D"/>
    <w:rsid w:val="00226C4F"/>
    <w:rsid w:val="00227253"/>
    <w:rsid w:val="002279A6"/>
    <w:rsid w:val="00227F4F"/>
    <w:rsid w:val="00230FBB"/>
    <w:rsid w:val="00233A16"/>
    <w:rsid w:val="00234D56"/>
    <w:rsid w:val="00234FF5"/>
    <w:rsid w:val="00237DF0"/>
    <w:rsid w:val="00237FBB"/>
    <w:rsid w:val="002401EB"/>
    <w:rsid w:val="00241836"/>
    <w:rsid w:val="0024191C"/>
    <w:rsid w:val="00241B5E"/>
    <w:rsid w:val="00241E97"/>
    <w:rsid w:val="002421DB"/>
    <w:rsid w:val="00242255"/>
    <w:rsid w:val="00242DB3"/>
    <w:rsid w:val="00243517"/>
    <w:rsid w:val="00245EDE"/>
    <w:rsid w:val="00246037"/>
    <w:rsid w:val="0024682D"/>
    <w:rsid w:val="00246CA3"/>
    <w:rsid w:val="00246CC4"/>
    <w:rsid w:val="00246F3C"/>
    <w:rsid w:val="002477AB"/>
    <w:rsid w:val="0025090F"/>
    <w:rsid w:val="002511FE"/>
    <w:rsid w:val="00251B48"/>
    <w:rsid w:val="00251DFF"/>
    <w:rsid w:val="00253222"/>
    <w:rsid w:val="002543D4"/>
    <w:rsid w:val="002546E3"/>
    <w:rsid w:val="00255154"/>
    <w:rsid w:val="00256092"/>
    <w:rsid w:val="00256132"/>
    <w:rsid w:val="002566F7"/>
    <w:rsid w:val="002568DF"/>
    <w:rsid w:val="00256BC6"/>
    <w:rsid w:val="00256DFB"/>
    <w:rsid w:val="00256E34"/>
    <w:rsid w:val="002614BA"/>
    <w:rsid w:val="002620B3"/>
    <w:rsid w:val="00262116"/>
    <w:rsid w:val="00262E06"/>
    <w:rsid w:val="00263050"/>
    <w:rsid w:val="002635E6"/>
    <w:rsid w:val="00264741"/>
    <w:rsid w:val="00265F5E"/>
    <w:rsid w:val="00267867"/>
    <w:rsid w:val="0027083E"/>
    <w:rsid w:val="00270894"/>
    <w:rsid w:val="00271477"/>
    <w:rsid w:val="00271BFF"/>
    <w:rsid w:val="00272106"/>
    <w:rsid w:val="00272905"/>
    <w:rsid w:val="0027297D"/>
    <w:rsid w:val="00273117"/>
    <w:rsid w:val="00273B76"/>
    <w:rsid w:val="00275004"/>
    <w:rsid w:val="0027567B"/>
    <w:rsid w:val="00276D97"/>
    <w:rsid w:val="00276FFA"/>
    <w:rsid w:val="00277248"/>
    <w:rsid w:val="002775FE"/>
    <w:rsid w:val="00281412"/>
    <w:rsid w:val="00281DCB"/>
    <w:rsid w:val="00282520"/>
    <w:rsid w:val="00282C49"/>
    <w:rsid w:val="00283415"/>
    <w:rsid w:val="00283E1A"/>
    <w:rsid w:val="00284EB3"/>
    <w:rsid w:val="00286887"/>
    <w:rsid w:val="00286BE0"/>
    <w:rsid w:val="00286F19"/>
    <w:rsid w:val="002873CF"/>
    <w:rsid w:val="00291880"/>
    <w:rsid w:val="00292264"/>
    <w:rsid w:val="00292569"/>
    <w:rsid w:val="002929E6"/>
    <w:rsid w:val="00292DDC"/>
    <w:rsid w:val="0029399C"/>
    <w:rsid w:val="002950EF"/>
    <w:rsid w:val="00295268"/>
    <w:rsid w:val="00295523"/>
    <w:rsid w:val="00295DCA"/>
    <w:rsid w:val="0029663D"/>
    <w:rsid w:val="00297FA6"/>
    <w:rsid w:val="002A2001"/>
    <w:rsid w:val="002A371A"/>
    <w:rsid w:val="002A49D2"/>
    <w:rsid w:val="002A4BB5"/>
    <w:rsid w:val="002A5172"/>
    <w:rsid w:val="002A58BF"/>
    <w:rsid w:val="002A58C6"/>
    <w:rsid w:val="002A5BEF"/>
    <w:rsid w:val="002A5C99"/>
    <w:rsid w:val="002A68C8"/>
    <w:rsid w:val="002A75D5"/>
    <w:rsid w:val="002A7A6F"/>
    <w:rsid w:val="002B14BC"/>
    <w:rsid w:val="002B1B37"/>
    <w:rsid w:val="002B23C8"/>
    <w:rsid w:val="002B2E3E"/>
    <w:rsid w:val="002B5C42"/>
    <w:rsid w:val="002B601C"/>
    <w:rsid w:val="002B6D02"/>
    <w:rsid w:val="002B72E9"/>
    <w:rsid w:val="002B7CC2"/>
    <w:rsid w:val="002C073C"/>
    <w:rsid w:val="002C07DD"/>
    <w:rsid w:val="002C182D"/>
    <w:rsid w:val="002C186E"/>
    <w:rsid w:val="002C1977"/>
    <w:rsid w:val="002C1F59"/>
    <w:rsid w:val="002C1FB2"/>
    <w:rsid w:val="002C249B"/>
    <w:rsid w:val="002C26DB"/>
    <w:rsid w:val="002C44B9"/>
    <w:rsid w:val="002C56B5"/>
    <w:rsid w:val="002C5B87"/>
    <w:rsid w:val="002C5C1C"/>
    <w:rsid w:val="002C6542"/>
    <w:rsid w:val="002C7743"/>
    <w:rsid w:val="002D0BE5"/>
    <w:rsid w:val="002D0E03"/>
    <w:rsid w:val="002D16B5"/>
    <w:rsid w:val="002D2285"/>
    <w:rsid w:val="002D3479"/>
    <w:rsid w:val="002D352D"/>
    <w:rsid w:val="002D3E6E"/>
    <w:rsid w:val="002D4C30"/>
    <w:rsid w:val="002D4FB0"/>
    <w:rsid w:val="002D58C9"/>
    <w:rsid w:val="002D642F"/>
    <w:rsid w:val="002D668B"/>
    <w:rsid w:val="002D6FCC"/>
    <w:rsid w:val="002E0B0C"/>
    <w:rsid w:val="002E0FDF"/>
    <w:rsid w:val="002E14BE"/>
    <w:rsid w:val="002E1D44"/>
    <w:rsid w:val="002E2ECB"/>
    <w:rsid w:val="002E36BE"/>
    <w:rsid w:val="002E3935"/>
    <w:rsid w:val="002E3ED5"/>
    <w:rsid w:val="002E46E3"/>
    <w:rsid w:val="002E4D14"/>
    <w:rsid w:val="002E4EA8"/>
    <w:rsid w:val="002E519B"/>
    <w:rsid w:val="002E53A0"/>
    <w:rsid w:val="002E58DC"/>
    <w:rsid w:val="002E5B06"/>
    <w:rsid w:val="002E6FCD"/>
    <w:rsid w:val="002E7013"/>
    <w:rsid w:val="002E72FF"/>
    <w:rsid w:val="002E7C78"/>
    <w:rsid w:val="002F0149"/>
    <w:rsid w:val="002F0B8E"/>
    <w:rsid w:val="002F1356"/>
    <w:rsid w:val="002F1865"/>
    <w:rsid w:val="002F23C1"/>
    <w:rsid w:val="002F274F"/>
    <w:rsid w:val="002F2C8C"/>
    <w:rsid w:val="002F388D"/>
    <w:rsid w:val="002F3E4A"/>
    <w:rsid w:val="002F4AF5"/>
    <w:rsid w:val="002F56FA"/>
    <w:rsid w:val="002F580D"/>
    <w:rsid w:val="002F68E7"/>
    <w:rsid w:val="002F6E3D"/>
    <w:rsid w:val="002F7014"/>
    <w:rsid w:val="0030065C"/>
    <w:rsid w:val="00300BFC"/>
    <w:rsid w:val="00301A50"/>
    <w:rsid w:val="00303058"/>
    <w:rsid w:val="0030312D"/>
    <w:rsid w:val="00303264"/>
    <w:rsid w:val="003037BC"/>
    <w:rsid w:val="00304C6E"/>
    <w:rsid w:val="00305B4F"/>
    <w:rsid w:val="00305C39"/>
    <w:rsid w:val="003108E5"/>
    <w:rsid w:val="00310B0F"/>
    <w:rsid w:val="003110EE"/>
    <w:rsid w:val="00311465"/>
    <w:rsid w:val="0031183D"/>
    <w:rsid w:val="00311D72"/>
    <w:rsid w:val="00311DFF"/>
    <w:rsid w:val="003127BC"/>
    <w:rsid w:val="00314354"/>
    <w:rsid w:val="00314BC9"/>
    <w:rsid w:val="00314E6B"/>
    <w:rsid w:val="00315BA6"/>
    <w:rsid w:val="0031650D"/>
    <w:rsid w:val="00320000"/>
    <w:rsid w:val="0032039D"/>
    <w:rsid w:val="003221A9"/>
    <w:rsid w:val="00322A82"/>
    <w:rsid w:val="003234C4"/>
    <w:rsid w:val="003261F8"/>
    <w:rsid w:val="00326BDC"/>
    <w:rsid w:val="00326CE3"/>
    <w:rsid w:val="00326D93"/>
    <w:rsid w:val="003306E1"/>
    <w:rsid w:val="00330A34"/>
    <w:rsid w:val="00331403"/>
    <w:rsid w:val="0033179F"/>
    <w:rsid w:val="003320E4"/>
    <w:rsid w:val="00332D8B"/>
    <w:rsid w:val="0033405D"/>
    <w:rsid w:val="00334170"/>
    <w:rsid w:val="0033470A"/>
    <w:rsid w:val="0033525D"/>
    <w:rsid w:val="003355B4"/>
    <w:rsid w:val="00335623"/>
    <w:rsid w:val="00335B9D"/>
    <w:rsid w:val="003414F3"/>
    <w:rsid w:val="003416E2"/>
    <w:rsid w:val="00341B4A"/>
    <w:rsid w:val="00341C6B"/>
    <w:rsid w:val="00343373"/>
    <w:rsid w:val="00344B52"/>
    <w:rsid w:val="00344B7C"/>
    <w:rsid w:val="00345C77"/>
    <w:rsid w:val="00351328"/>
    <w:rsid w:val="0035246B"/>
    <w:rsid w:val="00354288"/>
    <w:rsid w:val="00354426"/>
    <w:rsid w:val="0035613E"/>
    <w:rsid w:val="003573D8"/>
    <w:rsid w:val="003578A3"/>
    <w:rsid w:val="00357C12"/>
    <w:rsid w:val="00361668"/>
    <w:rsid w:val="003620BC"/>
    <w:rsid w:val="00363223"/>
    <w:rsid w:val="00363EE9"/>
    <w:rsid w:val="003652C1"/>
    <w:rsid w:val="003654F6"/>
    <w:rsid w:val="003662B3"/>
    <w:rsid w:val="00367721"/>
    <w:rsid w:val="0037368B"/>
    <w:rsid w:val="00373BF5"/>
    <w:rsid w:val="003745E9"/>
    <w:rsid w:val="00374F03"/>
    <w:rsid w:val="00374F3A"/>
    <w:rsid w:val="00376128"/>
    <w:rsid w:val="00377280"/>
    <w:rsid w:val="0037742E"/>
    <w:rsid w:val="0037765E"/>
    <w:rsid w:val="00377AD1"/>
    <w:rsid w:val="00377CA5"/>
    <w:rsid w:val="003802AC"/>
    <w:rsid w:val="0038245A"/>
    <w:rsid w:val="00383D90"/>
    <w:rsid w:val="0038413C"/>
    <w:rsid w:val="003858A5"/>
    <w:rsid w:val="00390581"/>
    <w:rsid w:val="00392462"/>
    <w:rsid w:val="00392EAE"/>
    <w:rsid w:val="0039337A"/>
    <w:rsid w:val="003943CF"/>
    <w:rsid w:val="00394DD1"/>
    <w:rsid w:val="00396605"/>
    <w:rsid w:val="00397545"/>
    <w:rsid w:val="00397730"/>
    <w:rsid w:val="003A0F75"/>
    <w:rsid w:val="003A1E24"/>
    <w:rsid w:val="003A2173"/>
    <w:rsid w:val="003A3189"/>
    <w:rsid w:val="003A3FB7"/>
    <w:rsid w:val="003A4777"/>
    <w:rsid w:val="003A52A6"/>
    <w:rsid w:val="003A5E2E"/>
    <w:rsid w:val="003A60D7"/>
    <w:rsid w:val="003A61D5"/>
    <w:rsid w:val="003A636F"/>
    <w:rsid w:val="003A67E5"/>
    <w:rsid w:val="003A6829"/>
    <w:rsid w:val="003A712E"/>
    <w:rsid w:val="003A7313"/>
    <w:rsid w:val="003B095B"/>
    <w:rsid w:val="003B0A2D"/>
    <w:rsid w:val="003B230D"/>
    <w:rsid w:val="003B2594"/>
    <w:rsid w:val="003B3973"/>
    <w:rsid w:val="003B3AB8"/>
    <w:rsid w:val="003B569D"/>
    <w:rsid w:val="003B598F"/>
    <w:rsid w:val="003B5B4B"/>
    <w:rsid w:val="003B6889"/>
    <w:rsid w:val="003B69AE"/>
    <w:rsid w:val="003B7039"/>
    <w:rsid w:val="003C0BFA"/>
    <w:rsid w:val="003C1AFE"/>
    <w:rsid w:val="003C1E3F"/>
    <w:rsid w:val="003C33E2"/>
    <w:rsid w:val="003C3C0E"/>
    <w:rsid w:val="003C400A"/>
    <w:rsid w:val="003C4B9C"/>
    <w:rsid w:val="003C6E46"/>
    <w:rsid w:val="003C73F9"/>
    <w:rsid w:val="003C7D09"/>
    <w:rsid w:val="003D0AAD"/>
    <w:rsid w:val="003D0C07"/>
    <w:rsid w:val="003D0D2D"/>
    <w:rsid w:val="003D18AF"/>
    <w:rsid w:val="003D2EB6"/>
    <w:rsid w:val="003D4477"/>
    <w:rsid w:val="003D4FAC"/>
    <w:rsid w:val="003D5200"/>
    <w:rsid w:val="003D6F6F"/>
    <w:rsid w:val="003E11E9"/>
    <w:rsid w:val="003E144E"/>
    <w:rsid w:val="003E1872"/>
    <w:rsid w:val="003E313D"/>
    <w:rsid w:val="003E3B78"/>
    <w:rsid w:val="003E40A0"/>
    <w:rsid w:val="003E50CA"/>
    <w:rsid w:val="003E520F"/>
    <w:rsid w:val="003E563F"/>
    <w:rsid w:val="003E7906"/>
    <w:rsid w:val="003F2E4C"/>
    <w:rsid w:val="003F3890"/>
    <w:rsid w:val="003F3C50"/>
    <w:rsid w:val="003F469C"/>
    <w:rsid w:val="003F5FAA"/>
    <w:rsid w:val="003F6F08"/>
    <w:rsid w:val="00400380"/>
    <w:rsid w:val="0040042A"/>
    <w:rsid w:val="00400DA1"/>
    <w:rsid w:val="00401693"/>
    <w:rsid w:val="00401ED5"/>
    <w:rsid w:val="00402440"/>
    <w:rsid w:val="00402AED"/>
    <w:rsid w:val="00403FD6"/>
    <w:rsid w:val="00406181"/>
    <w:rsid w:val="004063FB"/>
    <w:rsid w:val="00406A6A"/>
    <w:rsid w:val="00406B22"/>
    <w:rsid w:val="004105AB"/>
    <w:rsid w:val="004108F1"/>
    <w:rsid w:val="00411822"/>
    <w:rsid w:val="00412486"/>
    <w:rsid w:val="00412E90"/>
    <w:rsid w:val="00413683"/>
    <w:rsid w:val="00413E32"/>
    <w:rsid w:val="00415C2C"/>
    <w:rsid w:val="00415C3C"/>
    <w:rsid w:val="00415D92"/>
    <w:rsid w:val="004165C2"/>
    <w:rsid w:val="0041781A"/>
    <w:rsid w:val="0042136A"/>
    <w:rsid w:val="0042188A"/>
    <w:rsid w:val="0042285F"/>
    <w:rsid w:val="004232C3"/>
    <w:rsid w:val="0042437D"/>
    <w:rsid w:val="004255F9"/>
    <w:rsid w:val="004258CD"/>
    <w:rsid w:val="00426183"/>
    <w:rsid w:val="004274BE"/>
    <w:rsid w:val="0043031B"/>
    <w:rsid w:val="00431151"/>
    <w:rsid w:val="00431D4F"/>
    <w:rsid w:val="00432279"/>
    <w:rsid w:val="004328A7"/>
    <w:rsid w:val="004329F9"/>
    <w:rsid w:val="00432EA8"/>
    <w:rsid w:val="00434C74"/>
    <w:rsid w:val="0043544C"/>
    <w:rsid w:val="00435EA4"/>
    <w:rsid w:val="004362DA"/>
    <w:rsid w:val="00437B53"/>
    <w:rsid w:val="00440BAD"/>
    <w:rsid w:val="00441844"/>
    <w:rsid w:val="00441C70"/>
    <w:rsid w:val="00443052"/>
    <w:rsid w:val="00443391"/>
    <w:rsid w:val="0044373A"/>
    <w:rsid w:val="00443B96"/>
    <w:rsid w:val="00444ADB"/>
    <w:rsid w:val="00444B5D"/>
    <w:rsid w:val="00444F05"/>
    <w:rsid w:val="0044693C"/>
    <w:rsid w:val="00450AA6"/>
    <w:rsid w:val="00451226"/>
    <w:rsid w:val="0045196B"/>
    <w:rsid w:val="00452F0B"/>
    <w:rsid w:val="00454879"/>
    <w:rsid w:val="004553F8"/>
    <w:rsid w:val="00455A78"/>
    <w:rsid w:val="0045623A"/>
    <w:rsid w:val="00456885"/>
    <w:rsid w:val="00456915"/>
    <w:rsid w:val="00456EB4"/>
    <w:rsid w:val="00457A5C"/>
    <w:rsid w:val="00457AFF"/>
    <w:rsid w:val="004608D7"/>
    <w:rsid w:val="004617A1"/>
    <w:rsid w:val="00462039"/>
    <w:rsid w:val="00463EB7"/>
    <w:rsid w:val="004649F4"/>
    <w:rsid w:val="004657D4"/>
    <w:rsid w:val="00465EDA"/>
    <w:rsid w:val="00465FFF"/>
    <w:rsid w:val="0046633C"/>
    <w:rsid w:val="0046676A"/>
    <w:rsid w:val="004669D1"/>
    <w:rsid w:val="00467258"/>
    <w:rsid w:val="00470323"/>
    <w:rsid w:val="00470584"/>
    <w:rsid w:val="00470BED"/>
    <w:rsid w:val="004712F1"/>
    <w:rsid w:val="0047153F"/>
    <w:rsid w:val="004718F3"/>
    <w:rsid w:val="00473018"/>
    <w:rsid w:val="00473700"/>
    <w:rsid w:val="00474437"/>
    <w:rsid w:val="004747BB"/>
    <w:rsid w:val="00475040"/>
    <w:rsid w:val="00475212"/>
    <w:rsid w:val="00475E2B"/>
    <w:rsid w:val="0047722C"/>
    <w:rsid w:val="004776A3"/>
    <w:rsid w:val="004777CC"/>
    <w:rsid w:val="00480018"/>
    <w:rsid w:val="004804BB"/>
    <w:rsid w:val="00480A65"/>
    <w:rsid w:val="004810A1"/>
    <w:rsid w:val="00481C52"/>
    <w:rsid w:val="0048224B"/>
    <w:rsid w:val="00482896"/>
    <w:rsid w:val="00482E61"/>
    <w:rsid w:val="00483565"/>
    <w:rsid w:val="004839D6"/>
    <w:rsid w:val="00484924"/>
    <w:rsid w:val="0048515A"/>
    <w:rsid w:val="00485460"/>
    <w:rsid w:val="00486098"/>
    <w:rsid w:val="0048686F"/>
    <w:rsid w:val="00487291"/>
    <w:rsid w:val="004909D4"/>
    <w:rsid w:val="00491DC2"/>
    <w:rsid w:val="00492650"/>
    <w:rsid w:val="00493D40"/>
    <w:rsid w:val="00494488"/>
    <w:rsid w:val="00494E86"/>
    <w:rsid w:val="00495F16"/>
    <w:rsid w:val="00495FD2"/>
    <w:rsid w:val="004960A8"/>
    <w:rsid w:val="00496BE5"/>
    <w:rsid w:val="00497217"/>
    <w:rsid w:val="00497ACE"/>
    <w:rsid w:val="004A0E45"/>
    <w:rsid w:val="004A205E"/>
    <w:rsid w:val="004A3812"/>
    <w:rsid w:val="004A4EF5"/>
    <w:rsid w:val="004A504B"/>
    <w:rsid w:val="004A6911"/>
    <w:rsid w:val="004A7099"/>
    <w:rsid w:val="004B00FF"/>
    <w:rsid w:val="004B068D"/>
    <w:rsid w:val="004B19A1"/>
    <w:rsid w:val="004B1D51"/>
    <w:rsid w:val="004B2301"/>
    <w:rsid w:val="004B2A34"/>
    <w:rsid w:val="004B2F33"/>
    <w:rsid w:val="004B4DF0"/>
    <w:rsid w:val="004B54E0"/>
    <w:rsid w:val="004B55D3"/>
    <w:rsid w:val="004B5C14"/>
    <w:rsid w:val="004B66E5"/>
    <w:rsid w:val="004B6B01"/>
    <w:rsid w:val="004B7384"/>
    <w:rsid w:val="004B787E"/>
    <w:rsid w:val="004C10C0"/>
    <w:rsid w:val="004C16E8"/>
    <w:rsid w:val="004C189E"/>
    <w:rsid w:val="004C2948"/>
    <w:rsid w:val="004C4269"/>
    <w:rsid w:val="004C548F"/>
    <w:rsid w:val="004C5519"/>
    <w:rsid w:val="004C5CF0"/>
    <w:rsid w:val="004C5F2F"/>
    <w:rsid w:val="004C6709"/>
    <w:rsid w:val="004C6A80"/>
    <w:rsid w:val="004C7524"/>
    <w:rsid w:val="004D0575"/>
    <w:rsid w:val="004D0ADA"/>
    <w:rsid w:val="004D13CF"/>
    <w:rsid w:val="004D2D68"/>
    <w:rsid w:val="004D2D80"/>
    <w:rsid w:val="004D4700"/>
    <w:rsid w:val="004D48E0"/>
    <w:rsid w:val="004D4BCD"/>
    <w:rsid w:val="004D4D70"/>
    <w:rsid w:val="004D6236"/>
    <w:rsid w:val="004D7C74"/>
    <w:rsid w:val="004D7E0B"/>
    <w:rsid w:val="004E13F7"/>
    <w:rsid w:val="004E2DD8"/>
    <w:rsid w:val="004E2ECC"/>
    <w:rsid w:val="004E2F62"/>
    <w:rsid w:val="004E3AB7"/>
    <w:rsid w:val="004E471A"/>
    <w:rsid w:val="004E4C07"/>
    <w:rsid w:val="004E4DBB"/>
    <w:rsid w:val="004E5174"/>
    <w:rsid w:val="004E602B"/>
    <w:rsid w:val="004E6633"/>
    <w:rsid w:val="004E7F9C"/>
    <w:rsid w:val="004F0822"/>
    <w:rsid w:val="004F18BB"/>
    <w:rsid w:val="004F2C2B"/>
    <w:rsid w:val="004F2CE7"/>
    <w:rsid w:val="004F2E25"/>
    <w:rsid w:val="004F2E3A"/>
    <w:rsid w:val="004F3493"/>
    <w:rsid w:val="004F4D48"/>
    <w:rsid w:val="004F4F82"/>
    <w:rsid w:val="004F594F"/>
    <w:rsid w:val="004F6C81"/>
    <w:rsid w:val="004F6D35"/>
    <w:rsid w:val="004F70B9"/>
    <w:rsid w:val="004F7313"/>
    <w:rsid w:val="004F7344"/>
    <w:rsid w:val="00501B24"/>
    <w:rsid w:val="00501D80"/>
    <w:rsid w:val="005024CA"/>
    <w:rsid w:val="00503326"/>
    <w:rsid w:val="00504518"/>
    <w:rsid w:val="00504E77"/>
    <w:rsid w:val="005051FD"/>
    <w:rsid w:val="005059AC"/>
    <w:rsid w:val="00505B81"/>
    <w:rsid w:val="005061E6"/>
    <w:rsid w:val="0050688A"/>
    <w:rsid w:val="005076F0"/>
    <w:rsid w:val="00510F02"/>
    <w:rsid w:val="005118FC"/>
    <w:rsid w:val="00511C94"/>
    <w:rsid w:val="00512094"/>
    <w:rsid w:val="005126D8"/>
    <w:rsid w:val="00512927"/>
    <w:rsid w:val="00512B09"/>
    <w:rsid w:val="00512C14"/>
    <w:rsid w:val="00513FD5"/>
    <w:rsid w:val="005140DC"/>
    <w:rsid w:val="00514419"/>
    <w:rsid w:val="00514C18"/>
    <w:rsid w:val="0051575C"/>
    <w:rsid w:val="005174FA"/>
    <w:rsid w:val="00517C66"/>
    <w:rsid w:val="00521A49"/>
    <w:rsid w:val="00521CD2"/>
    <w:rsid w:val="00522BDC"/>
    <w:rsid w:val="00522C75"/>
    <w:rsid w:val="0052314B"/>
    <w:rsid w:val="00523372"/>
    <w:rsid w:val="00524C15"/>
    <w:rsid w:val="005254F8"/>
    <w:rsid w:val="005256D6"/>
    <w:rsid w:val="0052576A"/>
    <w:rsid w:val="005257D4"/>
    <w:rsid w:val="0052686E"/>
    <w:rsid w:val="00527D4D"/>
    <w:rsid w:val="0053083A"/>
    <w:rsid w:val="00531732"/>
    <w:rsid w:val="005319F2"/>
    <w:rsid w:val="0053284B"/>
    <w:rsid w:val="00533DCD"/>
    <w:rsid w:val="00535145"/>
    <w:rsid w:val="0053688C"/>
    <w:rsid w:val="00536FB7"/>
    <w:rsid w:val="00537633"/>
    <w:rsid w:val="00537B1C"/>
    <w:rsid w:val="00540DFC"/>
    <w:rsid w:val="0054150A"/>
    <w:rsid w:val="0054522E"/>
    <w:rsid w:val="00546074"/>
    <w:rsid w:val="005467FC"/>
    <w:rsid w:val="005508B0"/>
    <w:rsid w:val="00552B10"/>
    <w:rsid w:val="00553DC7"/>
    <w:rsid w:val="00554148"/>
    <w:rsid w:val="005548E3"/>
    <w:rsid w:val="00555237"/>
    <w:rsid w:val="00555D75"/>
    <w:rsid w:val="00560DF0"/>
    <w:rsid w:val="00561EDC"/>
    <w:rsid w:val="00561FFD"/>
    <w:rsid w:val="00563793"/>
    <w:rsid w:val="0056393A"/>
    <w:rsid w:val="00563F44"/>
    <w:rsid w:val="00564D13"/>
    <w:rsid w:val="005654F7"/>
    <w:rsid w:val="0056727D"/>
    <w:rsid w:val="00571A09"/>
    <w:rsid w:val="00571BEE"/>
    <w:rsid w:val="00571FFC"/>
    <w:rsid w:val="00572D49"/>
    <w:rsid w:val="0057392D"/>
    <w:rsid w:val="00573A49"/>
    <w:rsid w:val="00573CEB"/>
    <w:rsid w:val="00574427"/>
    <w:rsid w:val="0057462E"/>
    <w:rsid w:val="00574863"/>
    <w:rsid w:val="005759D3"/>
    <w:rsid w:val="00576C07"/>
    <w:rsid w:val="00577951"/>
    <w:rsid w:val="005801E3"/>
    <w:rsid w:val="005814EB"/>
    <w:rsid w:val="00581660"/>
    <w:rsid w:val="005830D3"/>
    <w:rsid w:val="0058375E"/>
    <w:rsid w:val="00584222"/>
    <w:rsid w:val="005850A0"/>
    <w:rsid w:val="00587181"/>
    <w:rsid w:val="0058783E"/>
    <w:rsid w:val="005904E9"/>
    <w:rsid w:val="00591693"/>
    <w:rsid w:val="00592415"/>
    <w:rsid w:val="00593EA4"/>
    <w:rsid w:val="00594253"/>
    <w:rsid w:val="00594546"/>
    <w:rsid w:val="005947FE"/>
    <w:rsid w:val="00594912"/>
    <w:rsid w:val="00594C73"/>
    <w:rsid w:val="00596CF3"/>
    <w:rsid w:val="00597523"/>
    <w:rsid w:val="0059786B"/>
    <w:rsid w:val="005A090C"/>
    <w:rsid w:val="005A0C34"/>
    <w:rsid w:val="005A0D1C"/>
    <w:rsid w:val="005A0ED2"/>
    <w:rsid w:val="005A26ED"/>
    <w:rsid w:val="005A416F"/>
    <w:rsid w:val="005A4536"/>
    <w:rsid w:val="005A5195"/>
    <w:rsid w:val="005A6824"/>
    <w:rsid w:val="005A68C5"/>
    <w:rsid w:val="005A7ACB"/>
    <w:rsid w:val="005A7CAD"/>
    <w:rsid w:val="005B37BA"/>
    <w:rsid w:val="005B37CA"/>
    <w:rsid w:val="005B48FF"/>
    <w:rsid w:val="005B4E64"/>
    <w:rsid w:val="005B5195"/>
    <w:rsid w:val="005B63C9"/>
    <w:rsid w:val="005B6432"/>
    <w:rsid w:val="005B78CA"/>
    <w:rsid w:val="005C01D6"/>
    <w:rsid w:val="005C4A56"/>
    <w:rsid w:val="005C6204"/>
    <w:rsid w:val="005C6A9D"/>
    <w:rsid w:val="005C7162"/>
    <w:rsid w:val="005C7618"/>
    <w:rsid w:val="005C7764"/>
    <w:rsid w:val="005C7A40"/>
    <w:rsid w:val="005C7EAA"/>
    <w:rsid w:val="005D0DD6"/>
    <w:rsid w:val="005D1A3F"/>
    <w:rsid w:val="005D1CC9"/>
    <w:rsid w:val="005D1E4E"/>
    <w:rsid w:val="005D32F9"/>
    <w:rsid w:val="005D3316"/>
    <w:rsid w:val="005D38E2"/>
    <w:rsid w:val="005D3E7C"/>
    <w:rsid w:val="005D4040"/>
    <w:rsid w:val="005D4F44"/>
    <w:rsid w:val="005D6024"/>
    <w:rsid w:val="005D6E06"/>
    <w:rsid w:val="005D7A8C"/>
    <w:rsid w:val="005E05AD"/>
    <w:rsid w:val="005E07C6"/>
    <w:rsid w:val="005E07DC"/>
    <w:rsid w:val="005E088C"/>
    <w:rsid w:val="005E18AE"/>
    <w:rsid w:val="005E695E"/>
    <w:rsid w:val="005E7AAE"/>
    <w:rsid w:val="005F0260"/>
    <w:rsid w:val="005F0CC0"/>
    <w:rsid w:val="005F10FD"/>
    <w:rsid w:val="005F2A12"/>
    <w:rsid w:val="005F37E6"/>
    <w:rsid w:val="005F3FA6"/>
    <w:rsid w:val="005F654C"/>
    <w:rsid w:val="005F708B"/>
    <w:rsid w:val="005F70F1"/>
    <w:rsid w:val="005F751C"/>
    <w:rsid w:val="00600A67"/>
    <w:rsid w:val="006012A7"/>
    <w:rsid w:val="00601B74"/>
    <w:rsid w:val="00601BFD"/>
    <w:rsid w:val="00602248"/>
    <w:rsid w:val="0060402D"/>
    <w:rsid w:val="0060415B"/>
    <w:rsid w:val="00605753"/>
    <w:rsid w:val="00605A4F"/>
    <w:rsid w:val="0060612B"/>
    <w:rsid w:val="006079E0"/>
    <w:rsid w:val="00610183"/>
    <w:rsid w:val="00611BFD"/>
    <w:rsid w:val="00611E4B"/>
    <w:rsid w:val="00612240"/>
    <w:rsid w:val="0061321E"/>
    <w:rsid w:val="00613994"/>
    <w:rsid w:val="00613BCB"/>
    <w:rsid w:val="00613DBD"/>
    <w:rsid w:val="006141A1"/>
    <w:rsid w:val="006141C1"/>
    <w:rsid w:val="00615424"/>
    <w:rsid w:val="00615782"/>
    <w:rsid w:val="006158D5"/>
    <w:rsid w:val="006161CB"/>
    <w:rsid w:val="006162EC"/>
    <w:rsid w:val="00616F27"/>
    <w:rsid w:val="006177A4"/>
    <w:rsid w:val="00617F2B"/>
    <w:rsid w:val="00620435"/>
    <w:rsid w:val="0062104D"/>
    <w:rsid w:val="00622ECD"/>
    <w:rsid w:val="0062304D"/>
    <w:rsid w:val="00623413"/>
    <w:rsid w:val="00623D9B"/>
    <w:rsid w:val="00623F96"/>
    <w:rsid w:val="00625574"/>
    <w:rsid w:val="006256F1"/>
    <w:rsid w:val="00625792"/>
    <w:rsid w:val="00625D83"/>
    <w:rsid w:val="00627E70"/>
    <w:rsid w:val="0063083A"/>
    <w:rsid w:val="006315F4"/>
    <w:rsid w:val="00632063"/>
    <w:rsid w:val="006326E4"/>
    <w:rsid w:val="00633DE3"/>
    <w:rsid w:val="00633F0C"/>
    <w:rsid w:val="006340EC"/>
    <w:rsid w:val="00634863"/>
    <w:rsid w:val="006351EE"/>
    <w:rsid w:val="00636141"/>
    <w:rsid w:val="006361A7"/>
    <w:rsid w:val="00636409"/>
    <w:rsid w:val="00636BD0"/>
    <w:rsid w:val="0063730E"/>
    <w:rsid w:val="00637A61"/>
    <w:rsid w:val="00641158"/>
    <w:rsid w:val="0064286B"/>
    <w:rsid w:val="006430BD"/>
    <w:rsid w:val="00643284"/>
    <w:rsid w:val="00643292"/>
    <w:rsid w:val="00643B71"/>
    <w:rsid w:val="006451CD"/>
    <w:rsid w:val="00645D3D"/>
    <w:rsid w:val="006467FB"/>
    <w:rsid w:val="00646953"/>
    <w:rsid w:val="006470AB"/>
    <w:rsid w:val="0065086F"/>
    <w:rsid w:val="00651147"/>
    <w:rsid w:val="006512AF"/>
    <w:rsid w:val="00653E46"/>
    <w:rsid w:val="006544A2"/>
    <w:rsid w:val="00654592"/>
    <w:rsid w:val="00655C87"/>
    <w:rsid w:val="006563A2"/>
    <w:rsid w:val="00656467"/>
    <w:rsid w:val="00656F01"/>
    <w:rsid w:val="0065758C"/>
    <w:rsid w:val="00657746"/>
    <w:rsid w:val="00657E6F"/>
    <w:rsid w:val="006604D9"/>
    <w:rsid w:val="006623E7"/>
    <w:rsid w:val="006628B6"/>
    <w:rsid w:val="00662B09"/>
    <w:rsid w:val="00662B80"/>
    <w:rsid w:val="006631C2"/>
    <w:rsid w:val="00663589"/>
    <w:rsid w:val="00663BE9"/>
    <w:rsid w:val="00665BD3"/>
    <w:rsid w:val="00666F22"/>
    <w:rsid w:val="0067023E"/>
    <w:rsid w:val="006729FB"/>
    <w:rsid w:val="006733AC"/>
    <w:rsid w:val="006733E2"/>
    <w:rsid w:val="006748A6"/>
    <w:rsid w:val="00674E23"/>
    <w:rsid w:val="006765A4"/>
    <w:rsid w:val="00677579"/>
    <w:rsid w:val="0067783F"/>
    <w:rsid w:val="00680055"/>
    <w:rsid w:val="0068023A"/>
    <w:rsid w:val="006802A3"/>
    <w:rsid w:val="00682720"/>
    <w:rsid w:val="0068281F"/>
    <w:rsid w:val="006833F6"/>
    <w:rsid w:val="006835CB"/>
    <w:rsid w:val="0068383E"/>
    <w:rsid w:val="00684148"/>
    <w:rsid w:val="006852C7"/>
    <w:rsid w:val="00686125"/>
    <w:rsid w:val="0068653F"/>
    <w:rsid w:val="00687328"/>
    <w:rsid w:val="00690A48"/>
    <w:rsid w:val="00690EFF"/>
    <w:rsid w:val="00690FD3"/>
    <w:rsid w:val="006927C7"/>
    <w:rsid w:val="006929C8"/>
    <w:rsid w:val="00692DBF"/>
    <w:rsid w:val="00693905"/>
    <w:rsid w:val="00693D8B"/>
    <w:rsid w:val="00694423"/>
    <w:rsid w:val="00694698"/>
    <w:rsid w:val="00695635"/>
    <w:rsid w:val="0069567F"/>
    <w:rsid w:val="00695D60"/>
    <w:rsid w:val="0069632B"/>
    <w:rsid w:val="006969AA"/>
    <w:rsid w:val="00696B12"/>
    <w:rsid w:val="006973F8"/>
    <w:rsid w:val="00697449"/>
    <w:rsid w:val="006A06DD"/>
    <w:rsid w:val="006A0F42"/>
    <w:rsid w:val="006A107F"/>
    <w:rsid w:val="006A10F1"/>
    <w:rsid w:val="006A3399"/>
    <w:rsid w:val="006A375D"/>
    <w:rsid w:val="006A3BA1"/>
    <w:rsid w:val="006A3FC8"/>
    <w:rsid w:val="006A4088"/>
    <w:rsid w:val="006A49EA"/>
    <w:rsid w:val="006A5465"/>
    <w:rsid w:val="006A5AD4"/>
    <w:rsid w:val="006A68E7"/>
    <w:rsid w:val="006A6EEA"/>
    <w:rsid w:val="006A7948"/>
    <w:rsid w:val="006A7964"/>
    <w:rsid w:val="006B0BA9"/>
    <w:rsid w:val="006B0D54"/>
    <w:rsid w:val="006B2345"/>
    <w:rsid w:val="006B4035"/>
    <w:rsid w:val="006B45E9"/>
    <w:rsid w:val="006B64C4"/>
    <w:rsid w:val="006B6875"/>
    <w:rsid w:val="006B6E8B"/>
    <w:rsid w:val="006B7334"/>
    <w:rsid w:val="006B78EE"/>
    <w:rsid w:val="006B7C49"/>
    <w:rsid w:val="006B7FAB"/>
    <w:rsid w:val="006C0723"/>
    <w:rsid w:val="006C1727"/>
    <w:rsid w:val="006C32FD"/>
    <w:rsid w:val="006C3ABA"/>
    <w:rsid w:val="006C3BAB"/>
    <w:rsid w:val="006C3D29"/>
    <w:rsid w:val="006C3FA3"/>
    <w:rsid w:val="006C4DBC"/>
    <w:rsid w:val="006C546F"/>
    <w:rsid w:val="006C6474"/>
    <w:rsid w:val="006D04F2"/>
    <w:rsid w:val="006D0673"/>
    <w:rsid w:val="006D0830"/>
    <w:rsid w:val="006D08D9"/>
    <w:rsid w:val="006D0FCC"/>
    <w:rsid w:val="006D27C8"/>
    <w:rsid w:val="006D31E5"/>
    <w:rsid w:val="006D3DCB"/>
    <w:rsid w:val="006D49DB"/>
    <w:rsid w:val="006D5B2A"/>
    <w:rsid w:val="006D649B"/>
    <w:rsid w:val="006D6E9F"/>
    <w:rsid w:val="006D7074"/>
    <w:rsid w:val="006E0692"/>
    <w:rsid w:val="006E07FA"/>
    <w:rsid w:val="006E08AA"/>
    <w:rsid w:val="006E0D57"/>
    <w:rsid w:val="006E4E73"/>
    <w:rsid w:val="006E5EFD"/>
    <w:rsid w:val="006E6A9D"/>
    <w:rsid w:val="006E7670"/>
    <w:rsid w:val="006F1FF9"/>
    <w:rsid w:val="006F275E"/>
    <w:rsid w:val="006F39B4"/>
    <w:rsid w:val="006F5FFC"/>
    <w:rsid w:val="006F6061"/>
    <w:rsid w:val="006F649A"/>
    <w:rsid w:val="006F6B57"/>
    <w:rsid w:val="006F7AEC"/>
    <w:rsid w:val="006F7E21"/>
    <w:rsid w:val="007012BF"/>
    <w:rsid w:val="00703EC8"/>
    <w:rsid w:val="007048E2"/>
    <w:rsid w:val="0070616B"/>
    <w:rsid w:val="00706914"/>
    <w:rsid w:val="00706FDA"/>
    <w:rsid w:val="00711AC9"/>
    <w:rsid w:val="00711F9A"/>
    <w:rsid w:val="00712354"/>
    <w:rsid w:val="00712658"/>
    <w:rsid w:val="007128D7"/>
    <w:rsid w:val="00712B8E"/>
    <w:rsid w:val="00712E65"/>
    <w:rsid w:val="007131C4"/>
    <w:rsid w:val="007133ED"/>
    <w:rsid w:val="00713743"/>
    <w:rsid w:val="00713810"/>
    <w:rsid w:val="00714435"/>
    <w:rsid w:val="007144D6"/>
    <w:rsid w:val="00715B26"/>
    <w:rsid w:val="00715EC1"/>
    <w:rsid w:val="007162E5"/>
    <w:rsid w:val="00716A17"/>
    <w:rsid w:val="00717860"/>
    <w:rsid w:val="00720EE7"/>
    <w:rsid w:val="007218E6"/>
    <w:rsid w:val="007223AD"/>
    <w:rsid w:val="007224ED"/>
    <w:rsid w:val="007229B9"/>
    <w:rsid w:val="007232E9"/>
    <w:rsid w:val="0072342F"/>
    <w:rsid w:val="00723B09"/>
    <w:rsid w:val="00723E4A"/>
    <w:rsid w:val="007245D5"/>
    <w:rsid w:val="007252A0"/>
    <w:rsid w:val="00727992"/>
    <w:rsid w:val="007303A5"/>
    <w:rsid w:val="00730B3E"/>
    <w:rsid w:val="0073341A"/>
    <w:rsid w:val="00733EE0"/>
    <w:rsid w:val="0073420B"/>
    <w:rsid w:val="00734356"/>
    <w:rsid w:val="00735677"/>
    <w:rsid w:val="007357BE"/>
    <w:rsid w:val="00736840"/>
    <w:rsid w:val="00737257"/>
    <w:rsid w:val="00737951"/>
    <w:rsid w:val="00737C8B"/>
    <w:rsid w:val="00741B70"/>
    <w:rsid w:val="00742E68"/>
    <w:rsid w:val="0074402F"/>
    <w:rsid w:val="007449EA"/>
    <w:rsid w:val="007455AF"/>
    <w:rsid w:val="007460E8"/>
    <w:rsid w:val="00746407"/>
    <w:rsid w:val="0074760E"/>
    <w:rsid w:val="00747AE5"/>
    <w:rsid w:val="0075112F"/>
    <w:rsid w:val="00752005"/>
    <w:rsid w:val="007525EE"/>
    <w:rsid w:val="00753B95"/>
    <w:rsid w:val="00754ABA"/>
    <w:rsid w:val="00754AD1"/>
    <w:rsid w:val="00756BDB"/>
    <w:rsid w:val="00757829"/>
    <w:rsid w:val="007608B7"/>
    <w:rsid w:val="00760F9F"/>
    <w:rsid w:val="0076101C"/>
    <w:rsid w:val="00761512"/>
    <w:rsid w:val="00761C77"/>
    <w:rsid w:val="007627C0"/>
    <w:rsid w:val="00762D03"/>
    <w:rsid w:val="00763CD6"/>
    <w:rsid w:val="00763F34"/>
    <w:rsid w:val="00764185"/>
    <w:rsid w:val="0076443C"/>
    <w:rsid w:val="007648EA"/>
    <w:rsid w:val="00766575"/>
    <w:rsid w:val="007672B8"/>
    <w:rsid w:val="007677D1"/>
    <w:rsid w:val="00770034"/>
    <w:rsid w:val="00770B71"/>
    <w:rsid w:val="00770E86"/>
    <w:rsid w:val="0077127C"/>
    <w:rsid w:val="007712B4"/>
    <w:rsid w:val="007715DA"/>
    <w:rsid w:val="00771909"/>
    <w:rsid w:val="00771CA4"/>
    <w:rsid w:val="00772373"/>
    <w:rsid w:val="00772C82"/>
    <w:rsid w:val="007734A1"/>
    <w:rsid w:val="00773A34"/>
    <w:rsid w:val="00773AEB"/>
    <w:rsid w:val="00774611"/>
    <w:rsid w:val="0077464E"/>
    <w:rsid w:val="00774CBA"/>
    <w:rsid w:val="00777373"/>
    <w:rsid w:val="00777817"/>
    <w:rsid w:val="00777C2A"/>
    <w:rsid w:val="007804EF"/>
    <w:rsid w:val="007813E6"/>
    <w:rsid w:val="00782A29"/>
    <w:rsid w:val="00782EC9"/>
    <w:rsid w:val="00783148"/>
    <w:rsid w:val="007836A1"/>
    <w:rsid w:val="0078482D"/>
    <w:rsid w:val="007861A3"/>
    <w:rsid w:val="007905B5"/>
    <w:rsid w:val="007907E8"/>
    <w:rsid w:val="007913AC"/>
    <w:rsid w:val="00792132"/>
    <w:rsid w:val="007923A6"/>
    <w:rsid w:val="007924AD"/>
    <w:rsid w:val="00792836"/>
    <w:rsid w:val="007931BE"/>
    <w:rsid w:val="0079347C"/>
    <w:rsid w:val="007940E7"/>
    <w:rsid w:val="007950AF"/>
    <w:rsid w:val="00795A44"/>
    <w:rsid w:val="00795BF7"/>
    <w:rsid w:val="00795DB6"/>
    <w:rsid w:val="00797253"/>
    <w:rsid w:val="00797A70"/>
    <w:rsid w:val="007A06D7"/>
    <w:rsid w:val="007A1169"/>
    <w:rsid w:val="007A143E"/>
    <w:rsid w:val="007A1546"/>
    <w:rsid w:val="007A1FD7"/>
    <w:rsid w:val="007A228C"/>
    <w:rsid w:val="007A2ABC"/>
    <w:rsid w:val="007A368E"/>
    <w:rsid w:val="007A419A"/>
    <w:rsid w:val="007A4871"/>
    <w:rsid w:val="007A4AD2"/>
    <w:rsid w:val="007A5868"/>
    <w:rsid w:val="007A59AD"/>
    <w:rsid w:val="007A5E3A"/>
    <w:rsid w:val="007A605C"/>
    <w:rsid w:val="007A60F4"/>
    <w:rsid w:val="007B04CE"/>
    <w:rsid w:val="007B061D"/>
    <w:rsid w:val="007B17FA"/>
    <w:rsid w:val="007B1CF3"/>
    <w:rsid w:val="007B3D87"/>
    <w:rsid w:val="007B41B0"/>
    <w:rsid w:val="007B4326"/>
    <w:rsid w:val="007B4631"/>
    <w:rsid w:val="007B4782"/>
    <w:rsid w:val="007B491B"/>
    <w:rsid w:val="007B598C"/>
    <w:rsid w:val="007B5A1D"/>
    <w:rsid w:val="007B6871"/>
    <w:rsid w:val="007C00B5"/>
    <w:rsid w:val="007C0375"/>
    <w:rsid w:val="007C0965"/>
    <w:rsid w:val="007C0A38"/>
    <w:rsid w:val="007C0E3F"/>
    <w:rsid w:val="007C1C13"/>
    <w:rsid w:val="007C1E0D"/>
    <w:rsid w:val="007C2296"/>
    <w:rsid w:val="007C2C37"/>
    <w:rsid w:val="007C3347"/>
    <w:rsid w:val="007C3465"/>
    <w:rsid w:val="007C3B4B"/>
    <w:rsid w:val="007C3D33"/>
    <w:rsid w:val="007C4332"/>
    <w:rsid w:val="007C46FA"/>
    <w:rsid w:val="007C5895"/>
    <w:rsid w:val="007C66CD"/>
    <w:rsid w:val="007C728B"/>
    <w:rsid w:val="007D0777"/>
    <w:rsid w:val="007D0A4C"/>
    <w:rsid w:val="007D20B1"/>
    <w:rsid w:val="007D24BB"/>
    <w:rsid w:val="007D294A"/>
    <w:rsid w:val="007D3164"/>
    <w:rsid w:val="007D353D"/>
    <w:rsid w:val="007D45C3"/>
    <w:rsid w:val="007D47D2"/>
    <w:rsid w:val="007D53DC"/>
    <w:rsid w:val="007D5BCE"/>
    <w:rsid w:val="007D67F0"/>
    <w:rsid w:val="007D6EC0"/>
    <w:rsid w:val="007D73D4"/>
    <w:rsid w:val="007D7950"/>
    <w:rsid w:val="007D7E1D"/>
    <w:rsid w:val="007E182F"/>
    <w:rsid w:val="007E1A8F"/>
    <w:rsid w:val="007E1AB7"/>
    <w:rsid w:val="007E1EF3"/>
    <w:rsid w:val="007E22C8"/>
    <w:rsid w:val="007E29B4"/>
    <w:rsid w:val="007E361C"/>
    <w:rsid w:val="007E4AD1"/>
    <w:rsid w:val="007E4AF2"/>
    <w:rsid w:val="007E4F8B"/>
    <w:rsid w:val="007E56D1"/>
    <w:rsid w:val="007E611A"/>
    <w:rsid w:val="007E6FF4"/>
    <w:rsid w:val="007E7230"/>
    <w:rsid w:val="007F0DB8"/>
    <w:rsid w:val="007F10E9"/>
    <w:rsid w:val="007F15A5"/>
    <w:rsid w:val="007F1F76"/>
    <w:rsid w:val="007F2069"/>
    <w:rsid w:val="007F4688"/>
    <w:rsid w:val="007F616E"/>
    <w:rsid w:val="007F6A84"/>
    <w:rsid w:val="007F6B40"/>
    <w:rsid w:val="0080030F"/>
    <w:rsid w:val="0080040F"/>
    <w:rsid w:val="00800FC2"/>
    <w:rsid w:val="008017CB"/>
    <w:rsid w:val="008017FC"/>
    <w:rsid w:val="00801AC1"/>
    <w:rsid w:val="00801F16"/>
    <w:rsid w:val="00802435"/>
    <w:rsid w:val="00802CD9"/>
    <w:rsid w:val="00803FD3"/>
    <w:rsid w:val="00804A4A"/>
    <w:rsid w:val="00804CB0"/>
    <w:rsid w:val="00804FBB"/>
    <w:rsid w:val="0080545A"/>
    <w:rsid w:val="008063BA"/>
    <w:rsid w:val="008067D5"/>
    <w:rsid w:val="008069DD"/>
    <w:rsid w:val="00807BA3"/>
    <w:rsid w:val="00807C59"/>
    <w:rsid w:val="00807DBE"/>
    <w:rsid w:val="0081049B"/>
    <w:rsid w:val="00810C13"/>
    <w:rsid w:val="00810FA7"/>
    <w:rsid w:val="00810FAD"/>
    <w:rsid w:val="0081133E"/>
    <w:rsid w:val="0081192A"/>
    <w:rsid w:val="00812159"/>
    <w:rsid w:val="008122D2"/>
    <w:rsid w:val="00813B1D"/>
    <w:rsid w:val="00814256"/>
    <w:rsid w:val="00814A9E"/>
    <w:rsid w:val="00814E8C"/>
    <w:rsid w:val="008158ED"/>
    <w:rsid w:val="008159F0"/>
    <w:rsid w:val="00815E23"/>
    <w:rsid w:val="008164CF"/>
    <w:rsid w:val="00816F10"/>
    <w:rsid w:val="0082055B"/>
    <w:rsid w:val="0082176F"/>
    <w:rsid w:val="00821A62"/>
    <w:rsid w:val="00821DFA"/>
    <w:rsid w:val="0082375A"/>
    <w:rsid w:val="00824BAB"/>
    <w:rsid w:val="0082554A"/>
    <w:rsid w:val="008260B5"/>
    <w:rsid w:val="008263DA"/>
    <w:rsid w:val="00827BCD"/>
    <w:rsid w:val="00827EE8"/>
    <w:rsid w:val="0083111B"/>
    <w:rsid w:val="0083273A"/>
    <w:rsid w:val="00833516"/>
    <w:rsid w:val="008356D5"/>
    <w:rsid w:val="008406BF"/>
    <w:rsid w:val="00841898"/>
    <w:rsid w:val="00842076"/>
    <w:rsid w:val="0084223A"/>
    <w:rsid w:val="00842241"/>
    <w:rsid w:val="00842A7F"/>
    <w:rsid w:val="00842D5C"/>
    <w:rsid w:val="00843664"/>
    <w:rsid w:val="00843A13"/>
    <w:rsid w:val="00844A94"/>
    <w:rsid w:val="00845046"/>
    <w:rsid w:val="00846DD2"/>
    <w:rsid w:val="00847224"/>
    <w:rsid w:val="008510D4"/>
    <w:rsid w:val="00851B53"/>
    <w:rsid w:val="00851C41"/>
    <w:rsid w:val="00852D2F"/>
    <w:rsid w:val="00853870"/>
    <w:rsid w:val="00853ADB"/>
    <w:rsid w:val="00853BF7"/>
    <w:rsid w:val="00854BBA"/>
    <w:rsid w:val="0085542D"/>
    <w:rsid w:val="00856754"/>
    <w:rsid w:val="00856E74"/>
    <w:rsid w:val="00857F38"/>
    <w:rsid w:val="00860D99"/>
    <w:rsid w:val="00861387"/>
    <w:rsid w:val="00861797"/>
    <w:rsid w:val="008617DC"/>
    <w:rsid w:val="00863230"/>
    <w:rsid w:val="00863953"/>
    <w:rsid w:val="00863AFA"/>
    <w:rsid w:val="00864643"/>
    <w:rsid w:val="00864C96"/>
    <w:rsid w:val="00865646"/>
    <w:rsid w:val="008659C4"/>
    <w:rsid w:val="008665CF"/>
    <w:rsid w:val="00866A7F"/>
    <w:rsid w:val="00866AA2"/>
    <w:rsid w:val="00870B96"/>
    <w:rsid w:val="00870D88"/>
    <w:rsid w:val="00871190"/>
    <w:rsid w:val="008717D8"/>
    <w:rsid w:val="00871BE2"/>
    <w:rsid w:val="0087215C"/>
    <w:rsid w:val="0087309A"/>
    <w:rsid w:val="008734CF"/>
    <w:rsid w:val="008741FB"/>
    <w:rsid w:val="00874A2B"/>
    <w:rsid w:val="00875311"/>
    <w:rsid w:val="00875C20"/>
    <w:rsid w:val="008806B1"/>
    <w:rsid w:val="00882284"/>
    <w:rsid w:val="008828CF"/>
    <w:rsid w:val="00883026"/>
    <w:rsid w:val="008830C0"/>
    <w:rsid w:val="00883223"/>
    <w:rsid w:val="00885F28"/>
    <w:rsid w:val="008875FE"/>
    <w:rsid w:val="008876F7"/>
    <w:rsid w:val="00887F8E"/>
    <w:rsid w:val="00890195"/>
    <w:rsid w:val="00890E49"/>
    <w:rsid w:val="0089111C"/>
    <w:rsid w:val="008914F8"/>
    <w:rsid w:val="00891638"/>
    <w:rsid w:val="00891DB9"/>
    <w:rsid w:val="00891FB7"/>
    <w:rsid w:val="00892614"/>
    <w:rsid w:val="00892FB5"/>
    <w:rsid w:val="008955DB"/>
    <w:rsid w:val="00895BE6"/>
    <w:rsid w:val="00896234"/>
    <w:rsid w:val="00897E43"/>
    <w:rsid w:val="008A0077"/>
    <w:rsid w:val="008A08EB"/>
    <w:rsid w:val="008A09B9"/>
    <w:rsid w:val="008A0B0E"/>
    <w:rsid w:val="008A113C"/>
    <w:rsid w:val="008A2499"/>
    <w:rsid w:val="008A3473"/>
    <w:rsid w:val="008A3912"/>
    <w:rsid w:val="008A3E9F"/>
    <w:rsid w:val="008A4FF2"/>
    <w:rsid w:val="008A590F"/>
    <w:rsid w:val="008A77A4"/>
    <w:rsid w:val="008B0AE4"/>
    <w:rsid w:val="008B0DAF"/>
    <w:rsid w:val="008B15F2"/>
    <w:rsid w:val="008B20B8"/>
    <w:rsid w:val="008B2571"/>
    <w:rsid w:val="008B2ED4"/>
    <w:rsid w:val="008B421B"/>
    <w:rsid w:val="008B580E"/>
    <w:rsid w:val="008B5CF7"/>
    <w:rsid w:val="008B61CD"/>
    <w:rsid w:val="008B63CB"/>
    <w:rsid w:val="008B651A"/>
    <w:rsid w:val="008B7601"/>
    <w:rsid w:val="008C0F63"/>
    <w:rsid w:val="008C1AE9"/>
    <w:rsid w:val="008C23D7"/>
    <w:rsid w:val="008C2559"/>
    <w:rsid w:val="008C3005"/>
    <w:rsid w:val="008C32EA"/>
    <w:rsid w:val="008C4731"/>
    <w:rsid w:val="008C5738"/>
    <w:rsid w:val="008C6E88"/>
    <w:rsid w:val="008C7283"/>
    <w:rsid w:val="008C736A"/>
    <w:rsid w:val="008C7EAD"/>
    <w:rsid w:val="008D0882"/>
    <w:rsid w:val="008D0F92"/>
    <w:rsid w:val="008D10B2"/>
    <w:rsid w:val="008D14EC"/>
    <w:rsid w:val="008D2194"/>
    <w:rsid w:val="008D21A5"/>
    <w:rsid w:val="008D581D"/>
    <w:rsid w:val="008D6152"/>
    <w:rsid w:val="008D723A"/>
    <w:rsid w:val="008E1790"/>
    <w:rsid w:val="008E1825"/>
    <w:rsid w:val="008E1BD4"/>
    <w:rsid w:val="008E28E9"/>
    <w:rsid w:val="008E4A69"/>
    <w:rsid w:val="008E66BF"/>
    <w:rsid w:val="008E6B83"/>
    <w:rsid w:val="008E6C02"/>
    <w:rsid w:val="008E7AF6"/>
    <w:rsid w:val="008E7F05"/>
    <w:rsid w:val="008F04DC"/>
    <w:rsid w:val="008F0860"/>
    <w:rsid w:val="008F0F81"/>
    <w:rsid w:val="008F1D25"/>
    <w:rsid w:val="008F2203"/>
    <w:rsid w:val="008F35FC"/>
    <w:rsid w:val="008F68E0"/>
    <w:rsid w:val="008F6F12"/>
    <w:rsid w:val="008F7682"/>
    <w:rsid w:val="009001C8"/>
    <w:rsid w:val="00901BD5"/>
    <w:rsid w:val="00901D64"/>
    <w:rsid w:val="0090257C"/>
    <w:rsid w:val="009040F7"/>
    <w:rsid w:val="00904503"/>
    <w:rsid w:val="00904E7D"/>
    <w:rsid w:val="00904EB2"/>
    <w:rsid w:val="00905EAB"/>
    <w:rsid w:val="00905F51"/>
    <w:rsid w:val="009063E3"/>
    <w:rsid w:val="00906892"/>
    <w:rsid w:val="009072FB"/>
    <w:rsid w:val="009074EF"/>
    <w:rsid w:val="00910240"/>
    <w:rsid w:val="009120F7"/>
    <w:rsid w:val="00912481"/>
    <w:rsid w:val="00912697"/>
    <w:rsid w:val="00912AA5"/>
    <w:rsid w:val="009153F1"/>
    <w:rsid w:val="00915677"/>
    <w:rsid w:val="00916405"/>
    <w:rsid w:val="0091757C"/>
    <w:rsid w:val="009208CC"/>
    <w:rsid w:val="009208FC"/>
    <w:rsid w:val="00922A55"/>
    <w:rsid w:val="00922B66"/>
    <w:rsid w:val="00923136"/>
    <w:rsid w:val="00923540"/>
    <w:rsid w:val="00924129"/>
    <w:rsid w:val="009257A2"/>
    <w:rsid w:val="00926767"/>
    <w:rsid w:val="00927DDD"/>
    <w:rsid w:val="00930F08"/>
    <w:rsid w:val="00931D86"/>
    <w:rsid w:val="0093210E"/>
    <w:rsid w:val="009327B5"/>
    <w:rsid w:val="00934063"/>
    <w:rsid w:val="009361D5"/>
    <w:rsid w:val="00937842"/>
    <w:rsid w:val="00940E5F"/>
    <w:rsid w:val="00941053"/>
    <w:rsid w:val="00941CC7"/>
    <w:rsid w:val="00941F99"/>
    <w:rsid w:val="009421AA"/>
    <w:rsid w:val="0094245D"/>
    <w:rsid w:val="00942682"/>
    <w:rsid w:val="00943014"/>
    <w:rsid w:val="0094377F"/>
    <w:rsid w:val="00943F96"/>
    <w:rsid w:val="0094512F"/>
    <w:rsid w:val="00945B53"/>
    <w:rsid w:val="0094617A"/>
    <w:rsid w:val="00950BD2"/>
    <w:rsid w:val="00951B90"/>
    <w:rsid w:val="00951DED"/>
    <w:rsid w:val="00952A41"/>
    <w:rsid w:val="00953FAF"/>
    <w:rsid w:val="00954097"/>
    <w:rsid w:val="00954A47"/>
    <w:rsid w:val="00954ED8"/>
    <w:rsid w:val="00955CA9"/>
    <w:rsid w:val="0095666F"/>
    <w:rsid w:val="009574A2"/>
    <w:rsid w:val="009574BF"/>
    <w:rsid w:val="00957AB6"/>
    <w:rsid w:val="00960299"/>
    <w:rsid w:val="0096107E"/>
    <w:rsid w:val="00961A13"/>
    <w:rsid w:val="00961B2B"/>
    <w:rsid w:val="00961B44"/>
    <w:rsid w:val="00961F25"/>
    <w:rsid w:val="00963668"/>
    <w:rsid w:val="0096388C"/>
    <w:rsid w:val="00963B85"/>
    <w:rsid w:val="00963F21"/>
    <w:rsid w:val="0096539E"/>
    <w:rsid w:val="009659F4"/>
    <w:rsid w:val="00965D14"/>
    <w:rsid w:val="00966FDE"/>
    <w:rsid w:val="00967514"/>
    <w:rsid w:val="0097063C"/>
    <w:rsid w:val="00970D60"/>
    <w:rsid w:val="009721FB"/>
    <w:rsid w:val="009734BF"/>
    <w:rsid w:val="0097360C"/>
    <w:rsid w:val="009743B0"/>
    <w:rsid w:val="009773F8"/>
    <w:rsid w:val="009777D8"/>
    <w:rsid w:val="00977DA0"/>
    <w:rsid w:val="0098063E"/>
    <w:rsid w:val="00981D40"/>
    <w:rsid w:val="009820D4"/>
    <w:rsid w:val="009825AF"/>
    <w:rsid w:val="009842D3"/>
    <w:rsid w:val="0098608C"/>
    <w:rsid w:val="00986B73"/>
    <w:rsid w:val="00986FC8"/>
    <w:rsid w:val="00987BF1"/>
    <w:rsid w:val="00991408"/>
    <w:rsid w:val="0099230E"/>
    <w:rsid w:val="009925CD"/>
    <w:rsid w:val="00992A37"/>
    <w:rsid w:val="009940DF"/>
    <w:rsid w:val="009942F1"/>
    <w:rsid w:val="009950C7"/>
    <w:rsid w:val="0099530D"/>
    <w:rsid w:val="00995C28"/>
    <w:rsid w:val="00997175"/>
    <w:rsid w:val="009A0111"/>
    <w:rsid w:val="009A0667"/>
    <w:rsid w:val="009A4061"/>
    <w:rsid w:val="009A4854"/>
    <w:rsid w:val="009A512E"/>
    <w:rsid w:val="009A51C3"/>
    <w:rsid w:val="009A7AA9"/>
    <w:rsid w:val="009A7ADC"/>
    <w:rsid w:val="009B0E33"/>
    <w:rsid w:val="009B1948"/>
    <w:rsid w:val="009B1CB9"/>
    <w:rsid w:val="009B2CBC"/>
    <w:rsid w:val="009B4628"/>
    <w:rsid w:val="009B4B44"/>
    <w:rsid w:val="009B5245"/>
    <w:rsid w:val="009B622D"/>
    <w:rsid w:val="009B75B3"/>
    <w:rsid w:val="009C002E"/>
    <w:rsid w:val="009C0038"/>
    <w:rsid w:val="009C004B"/>
    <w:rsid w:val="009C0431"/>
    <w:rsid w:val="009C090F"/>
    <w:rsid w:val="009C0D95"/>
    <w:rsid w:val="009C10C7"/>
    <w:rsid w:val="009C19B7"/>
    <w:rsid w:val="009C1F2C"/>
    <w:rsid w:val="009C401F"/>
    <w:rsid w:val="009C414D"/>
    <w:rsid w:val="009C4776"/>
    <w:rsid w:val="009C5A61"/>
    <w:rsid w:val="009D042B"/>
    <w:rsid w:val="009D06F2"/>
    <w:rsid w:val="009D081E"/>
    <w:rsid w:val="009D1856"/>
    <w:rsid w:val="009D1943"/>
    <w:rsid w:val="009D2215"/>
    <w:rsid w:val="009D2AE8"/>
    <w:rsid w:val="009D37DE"/>
    <w:rsid w:val="009D3935"/>
    <w:rsid w:val="009D4096"/>
    <w:rsid w:val="009D41A9"/>
    <w:rsid w:val="009D53F2"/>
    <w:rsid w:val="009D5D43"/>
    <w:rsid w:val="009D5F13"/>
    <w:rsid w:val="009D72BA"/>
    <w:rsid w:val="009D7C51"/>
    <w:rsid w:val="009E0364"/>
    <w:rsid w:val="009E059F"/>
    <w:rsid w:val="009E09C7"/>
    <w:rsid w:val="009E0A14"/>
    <w:rsid w:val="009E102B"/>
    <w:rsid w:val="009E10D8"/>
    <w:rsid w:val="009E151B"/>
    <w:rsid w:val="009E154E"/>
    <w:rsid w:val="009E175D"/>
    <w:rsid w:val="009E2066"/>
    <w:rsid w:val="009E2EB0"/>
    <w:rsid w:val="009E5BC7"/>
    <w:rsid w:val="009E7E37"/>
    <w:rsid w:val="009F0CBA"/>
    <w:rsid w:val="009F0DDB"/>
    <w:rsid w:val="009F2C1D"/>
    <w:rsid w:val="009F36BF"/>
    <w:rsid w:val="009F3980"/>
    <w:rsid w:val="009F523B"/>
    <w:rsid w:val="009F5A5F"/>
    <w:rsid w:val="00A0101B"/>
    <w:rsid w:val="00A0206B"/>
    <w:rsid w:val="00A0289F"/>
    <w:rsid w:val="00A0320A"/>
    <w:rsid w:val="00A042AA"/>
    <w:rsid w:val="00A04CD9"/>
    <w:rsid w:val="00A05642"/>
    <w:rsid w:val="00A05734"/>
    <w:rsid w:val="00A06127"/>
    <w:rsid w:val="00A0644C"/>
    <w:rsid w:val="00A0657A"/>
    <w:rsid w:val="00A070C2"/>
    <w:rsid w:val="00A101CA"/>
    <w:rsid w:val="00A10DD0"/>
    <w:rsid w:val="00A111B6"/>
    <w:rsid w:val="00A11D06"/>
    <w:rsid w:val="00A12F9F"/>
    <w:rsid w:val="00A135B2"/>
    <w:rsid w:val="00A14042"/>
    <w:rsid w:val="00A1423C"/>
    <w:rsid w:val="00A16044"/>
    <w:rsid w:val="00A172D9"/>
    <w:rsid w:val="00A17DA8"/>
    <w:rsid w:val="00A20147"/>
    <w:rsid w:val="00A20FDE"/>
    <w:rsid w:val="00A213AF"/>
    <w:rsid w:val="00A21DC5"/>
    <w:rsid w:val="00A21E46"/>
    <w:rsid w:val="00A22742"/>
    <w:rsid w:val="00A2311A"/>
    <w:rsid w:val="00A231C2"/>
    <w:rsid w:val="00A27F6F"/>
    <w:rsid w:val="00A315D9"/>
    <w:rsid w:val="00A32E2D"/>
    <w:rsid w:val="00A33B15"/>
    <w:rsid w:val="00A33B72"/>
    <w:rsid w:val="00A35B02"/>
    <w:rsid w:val="00A3618B"/>
    <w:rsid w:val="00A3760A"/>
    <w:rsid w:val="00A377B1"/>
    <w:rsid w:val="00A41A53"/>
    <w:rsid w:val="00A41FFC"/>
    <w:rsid w:val="00A429C3"/>
    <w:rsid w:val="00A42A99"/>
    <w:rsid w:val="00A44112"/>
    <w:rsid w:val="00A4489A"/>
    <w:rsid w:val="00A45B28"/>
    <w:rsid w:val="00A465CA"/>
    <w:rsid w:val="00A47530"/>
    <w:rsid w:val="00A4759A"/>
    <w:rsid w:val="00A47CFB"/>
    <w:rsid w:val="00A50BC7"/>
    <w:rsid w:val="00A5151A"/>
    <w:rsid w:val="00A5164C"/>
    <w:rsid w:val="00A53278"/>
    <w:rsid w:val="00A539FF"/>
    <w:rsid w:val="00A54755"/>
    <w:rsid w:val="00A5550E"/>
    <w:rsid w:val="00A56907"/>
    <w:rsid w:val="00A56EF6"/>
    <w:rsid w:val="00A57519"/>
    <w:rsid w:val="00A613CD"/>
    <w:rsid w:val="00A6214D"/>
    <w:rsid w:val="00A627DC"/>
    <w:rsid w:val="00A631D4"/>
    <w:rsid w:val="00A632AC"/>
    <w:rsid w:val="00A63DF7"/>
    <w:rsid w:val="00A64111"/>
    <w:rsid w:val="00A65037"/>
    <w:rsid w:val="00A65CB3"/>
    <w:rsid w:val="00A662A4"/>
    <w:rsid w:val="00A6632B"/>
    <w:rsid w:val="00A676B1"/>
    <w:rsid w:val="00A714A8"/>
    <w:rsid w:val="00A715D0"/>
    <w:rsid w:val="00A71A6C"/>
    <w:rsid w:val="00A71BB7"/>
    <w:rsid w:val="00A72D4F"/>
    <w:rsid w:val="00A732C3"/>
    <w:rsid w:val="00A738D8"/>
    <w:rsid w:val="00A73A67"/>
    <w:rsid w:val="00A740D7"/>
    <w:rsid w:val="00A7423C"/>
    <w:rsid w:val="00A745CC"/>
    <w:rsid w:val="00A7483F"/>
    <w:rsid w:val="00A7489A"/>
    <w:rsid w:val="00A74977"/>
    <w:rsid w:val="00A75062"/>
    <w:rsid w:val="00A7535B"/>
    <w:rsid w:val="00A763F7"/>
    <w:rsid w:val="00A80837"/>
    <w:rsid w:val="00A80CC4"/>
    <w:rsid w:val="00A80DF0"/>
    <w:rsid w:val="00A823F6"/>
    <w:rsid w:val="00A82B62"/>
    <w:rsid w:val="00A82F70"/>
    <w:rsid w:val="00A83C73"/>
    <w:rsid w:val="00A83F40"/>
    <w:rsid w:val="00A84A9B"/>
    <w:rsid w:val="00A84C3D"/>
    <w:rsid w:val="00A84C9E"/>
    <w:rsid w:val="00A852F9"/>
    <w:rsid w:val="00A85594"/>
    <w:rsid w:val="00A85BE2"/>
    <w:rsid w:val="00A86ABD"/>
    <w:rsid w:val="00A90192"/>
    <w:rsid w:val="00A90C30"/>
    <w:rsid w:val="00A9100C"/>
    <w:rsid w:val="00A91A3E"/>
    <w:rsid w:val="00A92292"/>
    <w:rsid w:val="00A924D8"/>
    <w:rsid w:val="00A92663"/>
    <w:rsid w:val="00A927E4"/>
    <w:rsid w:val="00A9296B"/>
    <w:rsid w:val="00A92D75"/>
    <w:rsid w:val="00A95D56"/>
    <w:rsid w:val="00A96026"/>
    <w:rsid w:val="00A966DC"/>
    <w:rsid w:val="00A96A83"/>
    <w:rsid w:val="00A96D7F"/>
    <w:rsid w:val="00A96EFA"/>
    <w:rsid w:val="00A973B9"/>
    <w:rsid w:val="00A97F1F"/>
    <w:rsid w:val="00AA013C"/>
    <w:rsid w:val="00AA08EC"/>
    <w:rsid w:val="00AA0A89"/>
    <w:rsid w:val="00AA1B45"/>
    <w:rsid w:val="00AA1CE8"/>
    <w:rsid w:val="00AA22BB"/>
    <w:rsid w:val="00AA2BD3"/>
    <w:rsid w:val="00AA2EE1"/>
    <w:rsid w:val="00AA331C"/>
    <w:rsid w:val="00AA426B"/>
    <w:rsid w:val="00AA515C"/>
    <w:rsid w:val="00AA5E0C"/>
    <w:rsid w:val="00AA7836"/>
    <w:rsid w:val="00AA7F5B"/>
    <w:rsid w:val="00AB0E88"/>
    <w:rsid w:val="00AB1E75"/>
    <w:rsid w:val="00AB24D9"/>
    <w:rsid w:val="00AB3113"/>
    <w:rsid w:val="00AB4E6F"/>
    <w:rsid w:val="00AB4FEC"/>
    <w:rsid w:val="00AB5A2C"/>
    <w:rsid w:val="00AB5B1D"/>
    <w:rsid w:val="00AB622D"/>
    <w:rsid w:val="00AB6F58"/>
    <w:rsid w:val="00AB7364"/>
    <w:rsid w:val="00AB7B3C"/>
    <w:rsid w:val="00AC01AA"/>
    <w:rsid w:val="00AC0CE5"/>
    <w:rsid w:val="00AC1717"/>
    <w:rsid w:val="00AC1984"/>
    <w:rsid w:val="00AC1C7D"/>
    <w:rsid w:val="00AC2334"/>
    <w:rsid w:val="00AC3935"/>
    <w:rsid w:val="00AC3D0D"/>
    <w:rsid w:val="00AC3D73"/>
    <w:rsid w:val="00AC4B4B"/>
    <w:rsid w:val="00AC4F72"/>
    <w:rsid w:val="00AC5498"/>
    <w:rsid w:val="00AC7093"/>
    <w:rsid w:val="00AC73E8"/>
    <w:rsid w:val="00AC78B3"/>
    <w:rsid w:val="00AC7F53"/>
    <w:rsid w:val="00AD257E"/>
    <w:rsid w:val="00AD356D"/>
    <w:rsid w:val="00AD3D58"/>
    <w:rsid w:val="00AD3DFB"/>
    <w:rsid w:val="00AD448F"/>
    <w:rsid w:val="00AD4804"/>
    <w:rsid w:val="00AD50AA"/>
    <w:rsid w:val="00AD56BF"/>
    <w:rsid w:val="00AD5BE2"/>
    <w:rsid w:val="00AD63DA"/>
    <w:rsid w:val="00AD69D5"/>
    <w:rsid w:val="00AD6E42"/>
    <w:rsid w:val="00AD74D4"/>
    <w:rsid w:val="00AD774A"/>
    <w:rsid w:val="00AE1622"/>
    <w:rsid w:val="00AE2C46"/>
    <w:rsid w:val="00AE4DE2"/>
    <w:rsid w:val="00AE5358"/>
    <w:rsid w:val="00AE5FD3"/>
    <w:rsid w:val="00AE6321"/>
    <w:rsid w:val="00AE655C"/>
    <w:rsid w:val="00AE7274"/>
    <w:rsid w:val="00AE7368"/>
    <w:rsid w:val="00AE7EBE"/>
    <w:rsid w:val="00AF19A9"/>
    <w:rsid w:val="00AF1A46"/>
    <w:rsid w:val="00AF2138"/>
    <w:rsid w:val="00AF2867"/>
    <w:rsid w:val="00AF35EE"/>
    <w:rsid w:val="00AF433D"/>
    <w:rsid w:val="00AF4482"/>
    <w:rsid w:val="00AF464F"/>
    <w:rsid w:val="00AF5411"/>
    <w:rsid w:val="00AF54E9"/>
    <w:rsid w:val="00AF5905"/>
    <w:rsid w:val="00AF6124"/>
    <w:rsid w:val="00AF6A4B"/>
    <w:rsid w:val="00AF741A"/>
    <w:rsid w:val="00AF7E07"/>
    <w:rsid w:val="00B00731"/>
    <w:rsid w:val="00B02430"/>
    <w:rsid w:val="00B02C13"/>
    <w:rsid w:val="00B02EFE"/>
    <w:rsid w:val="00B03603"/>
    <w:rsid w:val="00B04161"/>
    <w:rsid w:val="00B042E2"/>
    <w:rsid w:val="00B0465E"/>
    <w:rsid w:val="00B04E40"/>
    <w:rsid w:val="00B056F9"/>
    <w:rsid w:val="00B05E49"/>
    <w:rsid w:val="00B062E6"/>
    <w:rsid w:val="00B07707"/>
    <w:rsid w:val="00B07A5D"/>
    <w:rsid w:val="00B104ED"/>
    <w:rsid w:val="00B10966"/>
    <w:rsid w:val="00B10BA2"/>
    <w:rsid w:val="00B10D09"/>
    <w:rsid w:val="00B11BAF"/>
    <w:rsid w:val="00B11E3D"/>
    <w:rsid w:val="00B121EA"/>
    <w:rsid w:val="00B12E6C"/>
    <w:rsid w:val="00B13355"/>
    <w:rsid w:val="00B13D67"/>
    <w:rsid w:val="00B1452D"/>
    <w:rsid w:val="00B1647A"/>
    <w:rsid w:val="00B16C63"/>
    <w:rsid w:val="00B17E82"/>
    <w:rsid w:val="00B20767"/>
    <w:rsid w:val="00B208E1"/>
    <w:rsid w:val="00B22741"/>
    <w:rsid w:val="00B2293B"/>
    <w:rsid w:val="00B24073"/>
    <w:rsid w:val="00B24BC6"/>
    <w:rsid w:val="00B256AD"/>
    <w:rsid w:val="00B3220F"/>
    <w:rsid w:val="00B32BE6"/>
    <w:rsid w:val="00B33F80"/>
    <w:rsid w:val="00B35F9B"/>
    <w:rsid w:val="00B35FF7"/>
    <w:rsid w:val="00B36D86"/>
    <w:rsid w:val="00B40021"/>
    <w:rsid w:val="00B40AF7"/>
    <w:rsid w:val="00B4118F"/>
    <w:rsid w:val="00B42241"/>
    <w:rsid w:val="00B42EDF"/>
    <w:rsid w:val="00B43A6B"/>
    <w:rsid w:val="00B44225"/>
    <w:rsid w:val="00B454C4"/>
    <w:rsid w:val="00B454E1"/>
    <w:rsid w:val="00B45F9B"/>
    <w:rsid w:val="00B46B95"/>
    <w:rsid w:val="00B506A8"/>
    <w:rsid w:val="00B51CA5"/>
    <w:rsid w:val="00B52015"/>
    <w:rsid w:val="00B521FD"/>
    <w:rsid w:val="00B522E9"/>
    <w:rsid w:val="00B52C8C"/>
    <w:rsid w:val="00B54D83"/>
    <w:rsid w:val="00B55263"/>
    <w:rsid w:val="00B56764"/>
    <w:rsid w:val="00B570E2"/>
    <w:rsid w:val="00B57123"/>
    <w:rsid w:val="00B575BA"/>
    <w:rsid w:val="00B57BAE"/>
    <w:rsid w:val="00B60153"/>
    <w:rsid w:val="00B60E49"/>
    <w:rsid w:val="00B617E4"/>
    <w:rsid w:val="00B619AE"/>
    <w:rsid w:val="00B63963"/>
    <w:rsid w:val="00B63F1F"/>
    <w:rsid w:val="00B6765A"/>
    <w:rsid w:val="00B67711"/>
    <w:rsid w:val="00B67A2B"/>
    <w:rsid w:val="00B7002F"/>
    <w:rsid w:val="00B70439"/>
    <w:rsid w:val="00B721E9"/>
    <w:rsid w:val="00B73282"/>
    <w:rsid w:val="00B743A3"/>
    <w:rsid w:val="00B7469A"/>
    <w:rsid w:val="00B7567B"/>
    <w:rsid w:val="00B758AB"/>
    <w:rsid w:val="00B76055"/>
    <w:rsid w:val="00B76429"/>
    <w:rsid w:val="00B76470"/>
    <w:rsid w:val="00B76572"/>
    <w:rsid w:val="00B76591"/>
    <w:rsid w:val="00B77686"/>
    <w:rsid w:val="00B77D50"/>
    <w:rsid w:val="00B8028C"/>
    <w:rsid w:val="00B80D18"/>
    <w:rsid w:val="00B810FC"/>
    <w:rsid w:val="00B8133F"/>
    <w:rsid w:val="00B8156D"/>
    <w:rsid w:val="00B81C95"/>
    <w:rsid w:val="00B81F87"/>
    <w:rsid w:val="00B8367C"/>
    <w:rsid w:val="00B83B33"/>
    <w:rsid w:val="00B84B11"/>
    <w:rsid w:val="00B84E8E"/>
    <w:rsid w:val="00B85C10"/>
    <w:rsid w:val="00B85ED4"/>
    <w:rsid w:val="00B86702"/>
    <w:rsid w:val="00B86F27"/>
    <w:rsid w:val="00B877DE"/>
    <w:rsid w:val="00B87B9A"/>
    <w:rsid w:val="00B87F83"/>
    <w:rsid w:val="00B87FD8"/>
    <w:rsid w:val="00B927DB"/>
    <w:rsid w:val="00B929BD"/>
    <w:rsid w:val="00B92A2C"/>
    <w:rsid w:val="00B937C1"/>
    <w:rsid w:val="00B93957"/>
    <w:rsid w:val="00B93B2F"/>
    <w:rsid w:val="00B93C45"/>
    <w:rsid w:val="00B93F8E"/>
    <w:rsid w:val="00B95036"/>
    <w:rsid w:val="00B9508A"/>
    <w:rsid w:val="00B956D4"/>
    <w:rsid w:val="00B957CF"/>
    <w:rsid w:val="00B95A59"/>
    <w:rsid w:val="00B95F86"/>
    <w:rsid w:val="00B9720A"/>
    <w:rsid w:val="00B972DE"/>
    <w:rsid w:val="00BA0A23"/>
    <w:rsid w:val="00BA0D38"/>
    <w:rsid w:val="00BA1362"/>
    <w:rsid w:val="00BA16A6"/>
    <w:rsid w:val="00BA20F7"/>
    <w:rsid w:val="00BA2E3C"/>
    <w:rsid w:val="00BA3F09"/>
    <w:rsid w:val="00BA4EF7"/>
    <w:rsid w:val="00BA5ED7"/>
    <w:rsid w:val="00BA7432"/>
    <w:rsid w:val="00BA7985"/>
    <w:rsid w:val="00BA7BEF"/>
    <w:rsid w:val="00BA7CEC"/>
    <w:rsid w:val="00BB077E"/>
    <w:rsid w:val="00BB27FA"/>
    <w:rsid w:val="00BB3083"/>
    <w:rsid w:val="00BB35C3"/>
    <w:rsid w:val="00BB463B"/>
    <w:rsid w:val="00BB4C54"/>
    <w:rsid w:val="00BB6C00"/>
    <w:rsid w:val="00BB7C1F"/>
    <w:rsid w:val="00BC0A28"/>
    <w:rsid w:val="00BC108D"/>
    <w:rsid w:val="00BC15C5"/>
    <w:rsid w:val="00BC1AA0"/>
    <w:rsid w:val="00BC1C17"/>
    <w:rsid w:val="00BC23E6"/>
    <w:rsid w:val="00BC3835"/>
    <w:rsid w:val="00BC3B5D"/>
    <w:rsid w:val="00BC4117"/>
    <w:rsid w:val="00BC5064"/>
    <w:rsid w:val="00BC6157"/>
    <w:rsid w:val="00BC6867"/>
    <w:rsid w:val="00BC754C"/>
    <w:rsid w:val="00BC7A50"/>
    <w:rsid w:val="00BC7EB9"/>
    <w:rsid w:val="00BD09D1"/>
    <w:rsid w:val="00BD1801"/>
    <w:rsid w:val="00BD205B"/>
    <w:rsid w:val="00BD2144"/>
    <w:rsid w:val="00BD2643"/>
    <w:rsid w:val="00BD42C2"/>
    <w:rsid w:val="00BD444A"/>
    <w:rsid w:val="00BD4B3A"/>
    <w:rsid w:val="00BD4C89"/>
    <w:rsid w:val="00BD5851"/>
    <w:rsid w:val="00BD6464"/>
    <w:rsid w:val="00BD6558"/>
    <w:rsid w:val="00BD6D3F"/>
    <w:rsid w:val="00BD6DEE"/>
    <w:rsid w:val="00BD7C2B"/>
    <w:rsid w:val="00BE007D"/>
    <w:rsid w:val="00BE08BF"/>
    <w:rsid w:val="00BE26B0"/>
    <w:rsid w:val="00BE2A03"/>
    <w:rsid w:val="00BE2E28"/>
    <w:rsid w:val="00BE38DF"/>
    <w:rsid w:val="00BE39DC"/>
    <w:rsid w:val="00BE3C0E"/>
    <w:rsid w:val="00BE3D58"/>
    <w:rsid w:val="00BE6012"/>
    <w:rsid w:val="00BF0566"/>
    <w:rsid w:val="00BF0702"/>
    <w:rsid w:val="00BF0E4A"/>
    <w:rsid w:val="00BF2760"/>
    <w:rsid w:val="00BF2D15"/>
    <w:rsid w:val="00BF3214"/>
    <w:rsid w:val="00BF414B"/>
    <w:rsid w:val="00BF49D3"/>
    <w:rsid w:val="00BF4C5F"/>
    <w:rsid w:val="00BF516B"/>
    <w:rsid w:val="00BF589D"/>
    <w:rsid w:val="00BF7178"/>
    <w:rsid w:val="00BF71DE"/>
    <w:rsid w:val="00BF7C0B"/>
    <w:rsid w:val="00BF7E5F"/>
    <w:rsid w:val="00C0008D"/>
    <w:rsid w:val="00C00DB1"/>
    <w:rsid w:val="00C00FFA"/>
    <w:rsid w:val="00C015D2"/>
    <w:rsid w:val="00C01899"/>
    <w:rsid w:val="00C01A07"/>
    <w:rsid w:val="00C01BA9"/>
    <w:rsid w:val="00C02055"/>
    <w:rsid w:val="00C02B31"/>
    <w:rsid w:val="00C02F42"/>
    <w:rsid w:val="00C0495B"/>
    <w:rsid w:val="00C05F17"/>
    <w:rsid w:val="00C0777D"/>
    <w:rsid w:val="00C078E2"/>
    <w:rsid w:val="00C10224"/>
    <w:rsid w:val="00C10AC7"/>
    <w:rsid w:val="00C1206C"/>
    <w:rsid w:val="00C14DD7"/>
    <w:rsid w:val="00C15867"/>
    <w:rsid w:val="00C159E8"/>
    <w:rsid w:val="00C16F4A"/>
    <w:rsid w:val="00C16FDF"/>
    <w:rsid w:val="00C17C1B"/>
    <w:rsid w:val="00C17CF7"/>
    <w:rsid w:val="00C20713"/>
    <w:rsid w:val="00C20A83"/>
    <w:rsid w:val="00C21413"/>
    <w:rsid w:val="00C21939"/>
    <w:rsid w:val="00C21AF2"/>
    <w:rsid w:val="00C22178"/>
    <w:rsid w:val="00C2222D"/>
    <w:rsid w:val="00C226CB"/>
    <w:rsid w:val="00C2296D"/>
    <w:rsid w:val="00C23155"/>
    <w:rsid w:val="00C23787"/>
    <w:rsid w:val="00C2435F"/>
    <w:rsid w:val="00C25601"/>
    <w:rsid w:val="00C25CA2"/>
    <w:rsid w:val="00C27891"/>
    <w:rsid w:val="00C27947"/>
    <w:rsid w:val="00C30D10"/>
    <w:rsid w:val="00C31000"/>
    <w:rsid w:val="00C320F3"/>
    <w:rsid w:val="00C32590"/>
    <w:rsid w:val="00C333A8"/>
    <w:rsid w:val="00C335B4"/>
    <w:rsid w:val="00C340F0"/>
    <w:rsid w:val="00C34472"/>
    <w:rsid w:val="00C3465A"/>
    <w:rsid w:val="00C34E2D"/>
    <w:rsid w:val="00C34EA1"/>
    <w:rsid w:val="00C35113"/>
    <w:rsid w:val="00C36B8F"/>
    <w:rsid w:val="00C40984"/>
    <w:rsid w:val="00C40C41"/>
    <w:rsid w:val="00C40CB2"/>
    <w:rsid w:val="00C43175"/>
    <w:rsid w:val="00C43400"/>
    <w:rsid w:val="00C43F41"/>
    <w:rsid w:val="00C45885"/>
    <w:rsid w:val="00C4641F"/>
    <w:rsid w:val="00C46A07"/>
    <w:rsid w:val="00C47314"/>
    <w:rsid w:val="00C474C5"/>
    <w:rsid w:val="00C50A9B"/>
    <w:rsid w:val="00C50F22"/>
    <w:rsid w:val="00C520C4"/>
    <w:rsid w:val="00C526E2"/>
    <w:rsid w:val="00C52F58"/>
    <w:rsid w:val="00C5315D"/>
    <w:rsid w:val="00C5374D"/>
    <w:rsid w:val="00C53A68"/>
    <w:rsid w:val="00C54879"/>
    <w:rsid w:val="00C54E27"/>
    <w:rsid w:val="00C56967"/>
    <w:rsid w:val="00C57582"/>
    <w:rsid w:val="00C57591"/>
    <w:rsid w:val="00C57971"/>
    <w:rsid w:val="00C61553"/>
    <w:rsid w:val="00C6223D"/>
    <w:rsid w:val="00C636B0"/>
    <w:rsid w:val="00C64BAE"/>
    <w:rsid w:val="00C65393"/>
    <w:rsid w:val="00C656AB"/>
    <w:rsid w:val="00C66DEF"/>
    <w:rsid w:val="00C67090"/>
    <w:rsid w:val="00C67A87"/>
    <w:rsid w:val="00C67F97"/>
    <w:rsid w:val="00C71095"/>
    <w:rsid w:val="00C712C0"/>
    <w:rsid w:val="00C716E6"/>
    <w:rsid w:val="00C71F96"/>
    <w:rsid w:val="00C72C56"/>
    <w:rsid w:val="00C730F9"/>
    <w:rsid w:val="00C7332A"/>
    <w:rsid w:val="00C736DE"/>
    <w:rsid w:val="00C73EFF"/>
    <w:rsid w:val="00C741BF"/>
    <w:rsid w:val="00C74726"/>
    <w:rsid w:val="00C747EA"/>
    <w:rsid w:val="00C75CCF"/>
    <w:rsid w:val="00C76102"/>
    <w:rsid w:val="00C76B3A"/>
    <w:rsid w:val="00C76BA4"/>
    <w:rsid w:val="00C76BE8"/>
    <w:rsid w:val="00C77A8F"/>
    <w:rsid w:val="00C80198"/>
    <w:rsid w:val="00C80DCF"/>
    <w:rsid w:val="00C815E4"/>
    <w:rsid w:val="00C81B3A"/>
    <w:rsid w:val="00C82F6E"/>
    <w:rsid w:val="00C83A48"/>
    <w:rsid w:val="00C854FA"/>
    <w:rsid w:val="00C85865"/>
    <w:rsid w:val="00C85E85"/>
    <w:rsid w:val="00C907F2"/>
    <w:rsid w:val="00C90C81"/>
    <w:rsid w:val="00C90D8F"/>
    <w:rsid w:val="00C91038"/>
    <w:rsid w:val="00C9172E"/>
    <w:rsid w:val="00C9269F"/>
    <w:rsid w:val="00C937B7"/>
    <w:rsid w:val="00C94C07"/>
    <w:rsid w:val="00C95652"/>
    <w:rsid w:val="00C95845"/>
    <w:rsid w:val="00C95AEC"/>
    <w:rsid w:val="00C96BF7"/>
    <w:rsid w:val="00C977D7"/>
    <w:rsid w:val="00CA0328"/>
    <w:rsid w:val="00CA0A02"/>
    <w:rsid w:val="00CA110A"/>
    <w:rsid w:val="00CA2130"/>
    <w:rsid w:val="00CA2EAE"/>
    <w:rsid w:val="00CA3360"/>
    <w:rsid w:val="00CA338D"/>
    <w:rsid w:val="00CA346B"/>
    <w:rsid w:val="00CA39D2"/>
    <w:rsid w:val="00CA4546"/>
    <w:rsid w:val="00CA4AC1"/>
    <w:rsid w:val="00CA4F95"/>
    <w:rsid w:val="00CA53C2"/>
    <w:rsid w:val="00CA6220"/>
    <w:rsid w:val="00CA7695"/>
    <w:rsid w:val="00CB0316"/>
    <w:rsid w:val="00CB0317"/>
    <w:rsid w:val="00CB0432"/>
    <w:rsid w:val="00CB0B11"/>
    <w:rsid w:val="00CB24BA"/>
    <w:rsid w:val="00CB3026"/>
    <w:rsid w:val="00CB3710"/>
    <w:rsid w:val="00CB479B"/>
    <w:rsid w:val="00CB5354"/>
    <w:rsid w:val="00CB59E6"/>
    <w:rsid w:val="00CB5D66"/>
    <w:rsid w:val="00CB6356"/>
    <w:rsid w:val="00CB6446"/>
    <w:rsid w:val="00CB6772"/>
    <w:rsid w:val="00CB79CB"/>
    <w:rsid w:val="00CC013B"/>
    <w:rsid w:val="00CC04D2"/>
    <w:rsid w:val="00CC14A1"/>
    <w:rsid w:val="00CC1C2A"/>
    <w:rsid w:val="00CC1C3B"/>
    <w:rsid w:val="00CC2596"/>
    <w:rsid w:val="00CC2876"/>
    <w:rsid w:val="00CC2AAC"/>
    <w:rsid w:val="00CC381D"/>
    <w:rsid w:val="00CC3A46"/>
    <w:rsid w:val="00CC4AE5"/>
    <w:rsid w:val="00CC5215"/>
    <w:rsid w:val="00CC6A14"/>
    <w:rsid w:val="00CC6E10"/>
    <w:rsid w:val="00CC70A3"/>
    <w:rsid w:val="00CC7A43"/>
    <w:rsid w:val="00CC7F83"/>
    <w:rsid w:val="00CD121E"/>
    <w:rsid w:val="00CD1575"/>
    <w:rsid w:val="00CD349C"/>
    <w:rsid w:val="00CD53C3"/>
    <w:rsid w:val="00CD55DA"/>
    <w:rsid w:val="00CD5730"/>
    <w:rsid w:val="00CD574E"/>
    <w:rsid w:val="00CD68D4"/>
    <w:rsid w:val="00CD71A8"/>
    <w:rsid w:val="00CD7670"/>
    <w:rsid w:val="00CE049E"/>
    <w:rsid w:val="00CE1110"/>
    <w:rsid w:val="00CE3408"/>
    <w:rsid w:val="00CE4C22"/>
    <w:rsid w:val="00CE5892"/>
    <w:rsid w:val="00CE5A28"/>
    <w:rsid w:val="00CE5B52"/>
    <w:rsid w:val="00CE6093"/>
    <w:rsid w:val="00CE63CC"/>
    <w:rsid w:val="00CE72EC"/>
    <w:rsid w:val="00CE739B"/>
    <w:rsid w:val="00CE7405"/>
    <w:rsid w:val="00CE7783"/>
    <w:rsid w:val="00CF0B48"/>
    <w:rsid w:val="00CF0E09"/>
    <w:rsid w:val="00CF2214"/>
    <w:rsid w:val="00CF2563"/>
    <w:rsid w:val="00CF3F98"/>
    <w:rsid w:val="00CF408A"/>
    <w:rsid w:val="00CF41EC"/>
    <w:rsid w:val="00CF4593"/>
    <w:rsid w:val="00CF4B12"/>
    <w:rsid w:val="00CF5418"/>
    <w:rsid w:val="00CF5D04"/>
    <w:rsid w:val="00CF5DB8"/>
    <w:rsid w:val="00CF613E"/>
    <w:rsid w:val="00CF617B"/>
    <w:rsid w:val="00CF679D"/>
    <w:rsid w:val="00CF7BC5"/>
    <w:rsid w:val="00D003A4"/>
    <w:rsid w:val="00D02796"/>
    <w:rsid w:val="00D037F7"/>
    <w:rsid w:val="00D039B1"/>
    <w:rsid w:val="00D04BAA"/>
    <w:rsid w:val="00D04DE4"/>
    <w:rsid w:val="00D0508C"/>
    <w:rsid w:val="00D063F1"/>
    <w:rsid w:val="00D10E3D"/>
    <w:rsid w:val="00D110C1"/>
    <w:rsid w:val="00D111A6"/>
    <w:rsid w:val="00D111E2"/>
    <w:rsid w:val="00D127D1"/>
    <w:rsid w:val="00D13590"/>
    <w:rsid w:val="00D1399B"/>
    <w:rsid w:val="00D1445D"/>
    <w:rsid w:val="00D14A3F"/>
    <w:rsid w:val="00D14F22"/>
    <w:rsid w:val="00D15611"/>
    <w:rsid w:val="00D1597A"/>
    <w:rsid w:val="00D16FC1"/>
    <w:rsid w:val="00D17AA3"/>
    <w:rsid w:val="00D202EF"/>
    <w:rsid w:val="00D20770"/>
    <w:rsid w:val="00D210F1"/>
    <w:rsid w:val="00D2123A"/>
    <w:rsid w:val="00D219CA"/>
    <w:rsid w:val="00D21B9F"/>
    <w:rsid w:val="00D23404"/>
    <w:rsid w:val="00D2371D"/>
    <w:rsid w:val="00D24723"/>
    <w:rsid w:val="00D2498A"/>
    <w:rsid w:val="00D249C4"/>
    <w:rsid w:val="00D25B9F"/>
    <w:rsid w:val="00D26722"/>
    <w:rsid w:val="00D27136"/>
    <w:rsid w:val="00D300C8"/>
    <w:rsid w:val="00D30874"/>
    <w:rsid w:val="00D3124B"/>
    <w:rsid w:val="00D329E2"/>
    <w:rsid w:val="00D32AE8"/>
    <w:rsid w:val="00D3394C"/>
    <w:rsid w:val="00D348AD"/>
    <w:rsid w:val="00D34F73"/>
    <w:rsid w:val="00D35493"/>
    <w:rsid w:val="00D37685"/>
    <w:rsid w:val="00D37B61"/>
    <w:rsid w:val="00D37ECF"/>
    <w:rsid w:val="00D4085D"/>
    <w:rsid w:val="00D42237"/>
    <w:rsid w:val="00D43191"/>
    <w:rsid w:val="00D444B9"/>
    <w:rsid w:val="00D4519B"/>
    <w:rsid w:val="00D46815"/>
    <w:rsid w:val="00D46DB7"/>
    <w:rsid w:val="00D4718A"/>
    <w:rsid w:val="00D47876"/>
    <w:rsid w:val="00D47E64"/>
    <w:rsid w:val="00D47F30"/>
    <w:rsid w:val="00D50B7B"/>
    <w:rsid w:val="00D50D20"/>
    <w:rsid w:val="00D522BD"/>
    <w:rsid w:val="00D52574"/>
    <w:rsid w:val="00D52EE3"/>
    <w:rsid w:val="00D53B7D"/>
    <w:rsid w:val="00D54212"/>
    <w:rsid w:val="00D55347"/>
    <w:rsid w:val="00D5555E"/>
    <w:rsid w:val="00D56092"/>
    <w:rsid w:val="00D56588"/>
    <w:rsid w:val="00D57918"/>
    <w:rsid w:val="00D57E94"/>
    <w:rsid w:val="00D60387"/>
    <w:rsid w:val="00D60DC7"/>
    <w:rsid w:val="00D61221"/>
    <w:rsid w:val="00D616A2"/>
    <w:rsid w:val="00D620FF"/>
    <w:rsid w:val="00D62A97"/>
    <w:rsid w:val="00D646DF"/>
    <w:rsid w:val="00D646EF"/>
    <w:rsid w:val="00D647C9"/>
    <w:rsid w:val="00D65A04"/>
    <w:rsid w:val="00D67C48"/>
    <w:rsid w:val="00D71340"/>
    <w:rsid w:val="00D71B22"/>
    <w:rsid w:val="00D71B89"/>
    <w:rsid w:val="00D72BDD"/>
    <w:rsid w:val="00D731B5"/>
    <w:rsid w:val="00D73DC6"/>
    <w:rsid w:val="00D74C1A"/>
    <w:rsid w:val="00D74CF6"/>
    <w:rsid w:val="00D75205"/>
    <w:rsid w:val="00D754C1"/>
    <w:rsid w:val="00D7572B"/>
    <w:rsid w:val="00D75839"/>
    <w:rsid w:val="00D75B7A"/>
    <w:rsid w:val="00D77A35"/>
    <w:rsid w:val="00D77C51"/>
    <w:rsid w:val="00D803C8"/>
    <w:rsid w:val="00D80C6D"/>
    <w:rsid w:val="00D81B3E"/>
    <w:rsid w:val="00D82160"/>
    <w:rsid w:val="00D830CE"/>
    <w:rsid w:val="00D8436F"/>
    <w:rsid w:val="00D84ABF"/>
    <w:rsid w:val="00D84BAD"/>
    <w:rsid w:val="00D858BE"/>
    <w:rsid w:val="00D865C1"/>
    <w:rsid w:val="00D870E9"/>
    <w:rsid w:val="00D90240"/>
    <w:rsid w:val="00D90C5D"/>
    <w:rsid w:val="00D90C70"/>
    <w:rsid w:val="00D90E49"/>
    <w:rsid w:val="00D911BB"/>
    <w:rsid w:val="00D92A1F"/>
    <w:rsid w:val="00D92DD2"/>
    <w:rsid w:val="00D95FB2"/>
    <w:rsid w:val="00D964AE"/>
    <w:rsid w:val="00D96AA3"/>
    <w:rsid w:val="00D976E9"/>
    <w:rsid w:val="00DA08B2"/>
    <w:rsid w:val="00DA0DD2"/>
    <w:rsid w:val="00DA166F"/>
    <w:rsid w:val="00DA1C9C"/>
    <w:rsid w:val="00DA1CB4"/>
    <w:rsid w:val="00DA229B"/>
    <w:rsid w:val="00DA243C"/>
    <w:rsid w:val="00DA397C"/>
    <w:rsid w:val="00DA3A7E"/>
    <w:rsid w:val="00DA5AFF"/>
    <w:rsid w:val="00DA6274"/>
    <w:rsid w:val="00DA73DF"/>
    <w:rsid w:val="00DB1350"/>
    <w:rsid w:val="00DB203C"/>
    <w:rsid w:val="00DB2C4C"/>
    <w:rsid w:val="00DB2EBA"/>
    <w:rsid w:val="00DB2F02"/>
    <w:rsid w:val="00DB40A7"/>
    <w:rsid w:val="00DB6DFA"/>
    <w:rsid w:val="00DB7A97"/>
    <w:rsid w:val="00DC02A8"/>
    <w:rsid w:val="00DC05A9"/>
    <w:rsid w:val="00DC1849"/>
    <w:rsid w:val="00DC18DA"/>
    <w:rsid w:val="00DC256A"/>
    <w:rsid w:val="00DC2A72"/>
    <w:rsid w:val="00DC2D74"/>
    <w:rsid w:val="00DC35C8"/>
    <w:rsid w:val="00DC3A80"/>
    <w:rsid w:val="00DC497C"/>
    <w:rsid w:val="00DC4B43"/>
    <w:rsid w:val="00DC617A"/>
    <w:rsid w:val="00DC692A"/>
    <w:rsid w:val="00DC6A10"/>
    <w:rsid w:val="00DC6D65"/>
    <w:rsid w:val="00DC6F3C"/>
    <w:rsid w:val="00DC752C"/>
    <w:rsid w:val="00DD2AA9"/>
    <w:rsid w:val="00DD2D09"/>
    <w:rsid w:val="00DD3D94"/>
    <w:rsid w:val="00DD4DB6"/>
    <w:rsid w:val="00DD4FD6"/>
    <w:rsid w:val="00DD502B"/>
    <w:rsid w:val="00DD52A8"/>
    <w:rsid w:val="00DD582E"/>
    <w:rsid w:val="00DD5DDF"/>
    <w:rsid w:val="00DD72DE"/>
    <w:rsid w:val="00DD7E3E"/>
    <w:rsid w:val="00DE00B1"/>
    <w:rsid w:val="00DE0235"/>
    <w:rsid w:val="00DE13F5"/>
    <w:rsid w:val="00DE144F"/>
    <w:rsid w:val="00DE188D"/>
    <w:rsid w:val="00DE1908"/>
    <w:rsid w:val="00DE1C85"/>
    <w:rsid w:val="00DE1D5E"/>
    <w:rsid w:val="00DE2C96"/>
    <w:rsid w:val="00DE3005"/>
    <w:rsid w:val="00DE3F39"/>
    <w:rsid w:val="00DE461C"/>
    <w:rsid w:val="00DE54A6"/>
    <w:rsid w:val="00DE657E"/>
    <w:rsid w:val="00DF1D98"/>
    <w:rsid w:val="00DF2062"/>
    <w:rsid w:val="00DF29B2"/>
    <w:rsid w:val="00DF4704"/>
    <w:rsid w:val="00DF4BA2"/>
    <w:rsid w:val="00DF59C6"/>
    <w:rsid w:val="00DF6528"/>
    <w:rsid w:val="00DF665B"/>
    <w:rsid w:val="00DF66F6"/>
    <w:rsid w:val="00DF716F"/>
    <w:rsid w:val="00E00299"/>
    <w:rsid w:val="00E013D5"/>
    <w:rsid w:val="00E02086"/>
    <w:rsid w:val="00E024AA"/>
    <w:rsid w:val="00E04148"/>
    <w:rsid w:val="00E046D5"/>
    <w:rsid w:val="00E06216"/>
    <w:rsid w:val="00E06673"/>
    <w:rsid w:val="00E06D22"/>
    <w:rsid w:val="00E07871"/>
    <w:rsid w:val="00E125FB"/>
    <w:rsid w:val="00E133BC"/>
    <w:rsid w:val="00E138DC"/>
    <w:rsid w:val="00E13ED9"/>
    <w:rsid w:val="00E14B29"/>
    <w:rsid w:val="00E1693E"/>
    <w:rsid w:val="00E16D12"/>
    <w:rsid w:val="00E17064"/>
    <w:rsid w:val="00E17ADF"/>
    <w:rsid w:val="00E2046D"/>
    <w:rsid w:val="00E20584"/>
    <w:rsid w:val="00E20BF1"/>
    <w:rsid w:val="00E247B3"/>
    <w:rsid w:val="00E24A1F"/>
    <w:rsid w:val="00E250F1"/>
    <w:rsid w:val="00E25408"/>
    <w:rsid w:val="00E254E9"/>
    <w:rsid w:val="00E25C4A"/>
    <w:rsid w:val="00E26B1A"/>
    <w:rsid w:val="00E26C95"/>
    <w:rsid w:val="00E30B0D"/>
    <w:rsid w:val="00E31DE8"/>
    <w:rsid w:val="00E32A09"/>
    <w:rsid w:val="00E32E6B"/>
    <w:rsid w:val="00E32EE4"/>
    <w:rsid w:val="00E33106"/>
    <w:rsid w:val="00E33A29"/>
    <w:rsid w:val="00E33D92"/>
    <w:rsid w:val="00E34292"/>
    <w:rsid w:val="00E3550D"/>
    <w:rsid w:val="00E35B62"/>
    <w:rsid w:val="00E3650C"/>
    <w:rsid w:val="00E373CA"/>
    <w:rsid w:val="00E37A6A"/>
    <w:rsid w:val="00E4016B"/>
    <w:rsid w:val="00E405D9"/>
    <w:rsid w:val="00E409FB"/>
    <w:rsid w:val="00E40BC0"/>
    <w:rsid w:val="00E40D36"/>
    <w:rsid w:val="00E411D5"/>
    <w:rsid w:val="00E418C6"/>
    <w:rsid w:val="00E42532"/>
    <w:rsid w:val="00E42B4A"/>
    <w:rsid w:val="00E43947"/>
    <w:rsid w:val="00E446C6"/>
    <w:rsid w:val="00E4574B"/>
    <w:rsid w:val="00E45A97"/>
    <w:rsid w:val="00E470BC"/>
    <w:rsid w:val="00E50035"/>
    <w:rsid w:val="00E50062"/>
    <w:rsid w:val="00E5046E"/>
    <w:rsid w:val="00E5091A"/>
    <w:rsid w:val="00E514CC"/>
    <w:rsid w:val="00E51706"/>
    <w:rsid w:val="00E517E8"/>
    <w:rsid w:val="00E51EED"/>
    <w:rsid w:val="00E532DB"/>
    <w:rsid w:val="00E53A69"/>
    <w:rsid w:val="00E5566B"/>
    <w:rsid w:val="00E556D1"/>
    <w:rsid w:val="00E5777C"/>
    <w:rsid w:val="00E604D8"/>
    <w:rsid w:val="00E614E0"/>
    <w:rsid w:val="00E62908"/>
    <w:rsid w:val="00E62B81"/>
    <w:rsid w:val="00E639F7"/>
    <w:rsid w:val="00E63D59"/>
    <w:rsid w:val="00E643EA"/>
    <w:rsid w:val="00E64CB5"/>
    <w:rsid w:val="00E65379"/>
    <w:rsid w:val="00E6553B"/>
    <w:rsid w:val="00E65D17"/>
    <w:rsid w:val="00E703BA"/>
    <w:rsid w:val="00E71DEB"/>
    <w:rsid w:val="00E7263C"/>
    <w:rsid w:val="00E72A46"/>
    <w:rsid w:val="00E72AC2"/>
    <w:rsid w:val="00E7344D"/>
    <w:rsid w:val="00E73F7F"/>
    <w:rsid w:val="00E7421B"/>
    <w:rsid w:val="00E746D5"/>
    <w:rsid w:val="00E7525C"/>
    <w:rsid w:val="00E752A1"/>
    <w:rsid w:val="00E75426"/>
    <w:rsid w:val="00E75707"/>
    <w:rsid w:val="00E77182"/>
    <w:rsid w:val="00E7758E"/>
    <w:rsid w:val="00E8036E"/>
    <w:rsid w:val="00E80C4B"/>
    <w:rsid w:val="00E81D0E"/>
    <w:rsid w:val="00E82AF6"/>
    <w:rsid w:val="00E83511"/>
    <w:rsid w:val="00E83522"/>
    <w:rsid w:val="00E8565A"/>
    <w:rsid w:val="00E911B3"/>
    <w:rsid w:val="00E92FCF"/>
    <w:rsid w:val="00E944D6"/>
    <w:rsid w:val="00E94600"/>
    <w:rsid w:val="00E94E8D"/>
    <w:rsid w:val="00E95709"/>
    <w:rsid w:val="00E95AD5"/>
    <w:rsid w:val="00E966DB"/>
    <w:rsid w:val="00E970BE"/>
    <w:rsid w:val="00EA03EB"/>
    <w:rsid w:val="00EA1970"/>
    <w:rsid w:val="00EA2887"/>
    <w:rsid w:val="00EA4176"/>
    <w:rsid w:val="00EA429F"/>
    <w:rsid w:val="00EA497A"/>
    <w:rsid w:val="00EA4F9E"/>
    <w:rsid w:val="00EA5E65"/>
    <w:rsid w:val="00EA5EF7"/>
    <w:rsid w:val="00EA5F92"/>
    <w:rsid w:val="00EA618B"/>
    <w:rsid w:val="00EA6D3B"/>
    <w:rsid w:val="00EA6ED2"/>
    <w:rsid w:val="00EA7836"/>
    <w:rsid w:val="00EA787F"/>
    <w:rsid w:val="00EB00AD"/>
    <w:rsid w:val="00EB03E7"/>
    <w:rsid w:val="00EB07D6"/>
    <w:rsid w:val="00EB136C"/>
    <w:rsid w:val="00EB260B"/>
    <w:rsid w:val="00EB33BA"/>
    <w:rsid w:val="00EB480E"/>
    <w:rsid w:val="00EB4ABD"/>
    <w:rsid w:val="00EB5EC6"/>
    <w:rsid w:val="00EB6C72"/>
    <w:rsid w:val="00EB7FC9"/>
    <w:rsid w:val="00EC04F7"/>
    <w:rsid w:val="00EC08CD"/>
    <w:rsid w:val="00EC16C4"/>
    <w:rsid w:val="00EC1DC4"/>
    <w:rsid w:val="00EC27F4"/>
    <w:rsid w:val="00EC329F"/>
    <w:rsid w:val="00EC3A5E"/>
    <w:rsid w:val="00EC3E4E"/>
    <w:rsid w:val="00EC430E"/>
    <w:rsid w:val="00EC5054"/>
    <w:rsid w:val="00ED13F0"/>
    <w:rsid w:val="00ED2146"/>
    <w:rsid w:val="00ED2CF2"/>
    <w:rsid w:val="00ED408D"/>
    <w:rsid w:val="00ED438D"/>
    <w:rsid w:val="00ED4573"/>
    <w:rsid w:val="00ED5B90"/>
    <w:rsid w:val="00ED6C78"/>
    <w:rsid w:val="00ED7137"/>
    <w:rsid w:val="00EE12C1"/>
    <w:rsid w:val="00EE191C"/>
    <w:rsid w:val="00EE1DC3"/>
    <w:rsid w:val="00EE3A9F"/>
    <w:rsid w:val="00EE4424"/>
    <w:rsid w:val="00EE4BC3"/>
    <w:rsid w:val="00EE5102"/>
    <w:rsid w:val="00EE51FF"/>
    <w:rsid w:val="00EE67AE"/>
    <w:rsid w:val="00EE6A4D"/>
    <w:rsid w:val="00EE735E"/>
    <w:rsid w:val="00EE7F8D"/>
    <w:rsid w:val="00EF0347"/>
    <w:rsid w:val="00EF1BBC"/>
    <w:rsid w:val="00EF1DF4"/>
    <w:rsid w:val="00EF3282"/>
    <w:rsid w:val="00EF3A42"/>
    <w:rsid w:val="00EF4892"/>
    <w:rsid w:val="00EF52BA"/>
    <w:rsid w:val="00EF52D1"/>
    <w:rsid w:val="00EF59D9"/>
    <w:rsid w:val="00EF5B26"/>
    <w:rsid w:val="00EF65CE"/>
    <w:rsid w:val="00EF784C"/>
    <w:rsid w:val="00EF7D9C"/>
    <w:rsid w:val="00F00912"/>
    <w:rsid w:val="00F019A8"/>
    <w:rsid w:val="00F01E94"/>
    <w:rsid w:val="00F021D3"/>
    <w:rsid w:val="00F036EB"/>
    <w:rsid w:val="00F036FF"/>
    <w:rsid w:val="00F03779"/>
    <w:rsid w:val="00F03D9B"/>
    <w:rsid w:val="00F049CB"/>
    <w:rsid w:val="00F04EEC"/>
    <w:rsid w:val="00F051B9"/>
    <w:rsid w:val="00F069CF"/>
    <w:rsid w:val="00F06A92"/>
    <w:rsid w:val="00F07357"/>
    <w:rsid w:val="00F0759E"/>
    <w:rsid w:val="00F07B0D"/>
    <w:rsid w:val="00F107D2"/>
    <w:rsid w:val="00F1248E"/>
    <w:rsid w:val="00F129CD"/>
    <w:rsid w:val="00F133F9"/>
    <w:rsid w:val="00F13984"/>
    <w:rsid w:val="00F14041"/>
    <w:rsid w:val="00F144E3"/>
    <w:rsid w:val="00F14D64"/>
    <w:rsid w:val="00F20B6D"/>
    <w:rsid w:val="00F21088"/>
    <w:rsid w:val="00F216B6"/>
    <w:rsid w:val="00F21D9C"/>
    <w:rsid w:val="00F226CF"/>
    <w:rsid w:val="00F2351E"/>
    <w:rsid w:val="00F236CF"/>
    <w:rsid w:val="00F241DE"/>
    <w:rsid w:val="00F24238"/>
    <w:rsid w:val="00F258F7"/>
    <w:rsid w:val="00F26ACA"/>
    <w:rsid w:val="00F27E4B"/>
    <w:rsid w:val="00F31439"/>
    <w:rsid w:val="00F327E7"/>
    <w:rsid w:val="00F32A5F"/>
    <w:rsid w:val="00F32CDD"/>
    <w:rsid w:val="00F33014"/>
    <w:rsid w:val="00F33820"/>
    <w:rsid w:val="00F33D62"/>
    <w:rsid w:val="00F34966"/>
    <w:rsid w:val="00F35284"/>
    <w:rsid w:val="00F355E4"/>
    <w:rsid w:val="00F35746"/>
    <w:rsid w:val="00F36371"/>
    <w:rsid w:val="00F3731A"/>
    <w:rsid w:val="00F37B0F"/>
    <w:rsid w:val="00F40D86"/>
    <w:rsid w:val="00F40D9C"/>
    <w:rsid w:val="00F40E27"/>
    <w:rsid w:val="00F40F60"/>
    <w:rsid w:val="00F4263A"/>
    <w:rsid w:val="00F42F71"/>
    <w:rsid w:val="00F4308B"/>
    <w:rsid w:val="00F430B5"/>
    <w:rsid w:val="00F435B3"/>
    <w:rsid w:val="00F43DAB"/>
    <w:rsid w:val="00F446F0"/>
    <w:rsid w:val="00F447C7"/>
    <w:rsid w:val="00F45534"/>
    <w:rsid w:val="00F456C7"/>
    <w:rsid w:val="00F459A7"/>
    <w:rsid w:val="00F45BD6"/>
    <w:rsid w:val="00F45D3D"/>
    <w:rsid w:val="00F4721C"/>
    <w:rsid w:val="00F477D6"/>
    <w:rsid w:val="00F510E1"/>
    <w:rsid w:val="00F51325"/>
    <w:rsid w:val="00F5384C"/>
    <w:rsid w:val="00F544D6"/>
    <w:rsid w:val="00F54710"/>
    <w:rsid w:val="00F551ED"/>
    <w:rsid w:val="00F554A9"/>
    <w:rsid w:val="00F557F7"/>
    <w:rsid w:val="00F56AA9"/>
    <w:rsid w:val="00F56B04"/>
    <w:rsid w:val="00F60964"/>
    <w:rsid w:val="00F60CC4"/>
    <w:rsid w:val="00F61A50"/>
    <w:rsid w:val="00F62679"/>
    <w:rsid w:val="00F63058"/>
    <w:rsid w:val="00F63BF2"/>
    <w:rsid w:val="00F64380"/>
    <w:rsid w:val="00F6483E"/>
    <w:rsid w:val="00F64ADB"/>
    <w:rsid w:val="00F64E03"/>
    <w:rsid w:val="00F65AA9"/>
    <w:rsid w:val="00F66178"/>
    <w:rsid w:val="00F663E6"/>
    <w:rsid w:val="00F701B7"/>
    <w:rsid w:val="00F7058C"/>
    <w:rsid w:val="00F716FD"/>
    <w:rsid w:val="00F717E2"/>
    <w:rsid w:val="00F71BF7"/>
    <w:rsid w:val="00F721B6"/>
    <w:rsid w:val="00F727FD"/>
    <w:rsid w:val="00F7324D"/>
    <w:rsid w:val="00F75658"/>
    <w:rsid w:val="00F757A4"/>
    <w:rsid w:val="00F7586A"/>
    <w:rsid w:val="00F75C5F"/>
    <w:rsid w:val="00F75D44"/>
    <w:rsid w:val="00F75E74"/>
    <w:rsid w:val="00F76CF0"/>
    <w:rsid w:val="00F77065"/>
    <w:rsid w:val="00F77191"/>
    <w:rsid w:val="00F7745F"/>
    <w:rsid w:val="00F80355"/>
    <w:rsid w:val="00F80496"/>
    <w:rsid w:val="00F80E17"/>
    <w:rsid w:val="00F82F05"/>
    <w:rsid w:val="00F838B5"/>
    <w:rsid w:val="00F8516D"/>
    <w:rsid w:val="00F856CE"/>
    <w:rsid w:val="00F85D6F"/>
    <w:rsid w:val="00F86197"/>
    <w:rsid w:val="00F87200"/>
    <w:rsid w:val="00F8723E"/>
    <w:rsid w:val="00F907EC"/>
    <w:rsid w:val="00F91DDA"/>
    <w:rsid w:val="00F91FED"/>
    <w:rsid w:val="00F924A5"/>
    <w:rsid w:val="00F9314E"/>
    <w:rsid w:val="00F94E02"/>
    <w:rsid w:val="00F959EB"/>
    <w:rsid w:val="00F963F8"/>
    <w:rsid w:val="00F96B75"/>
    <w:rsid w:val="00FA1920"/>
    <w:rsid w:val="00FA1D13"/>
    <w:rsid w:val="00FA2063"/>
    <w:rsid w:val="00FA2652"/>
    <w:rsid w:val="00FA2D87"/>
    <w:rsid w:val="00FA31C1"/>
    <w:rsid w:val="00FA35C0"/>
    <w:rsid w:val="00FA4BEE"/>
    <w:rsid w:val="00FA528A"/>
    <w:rsid w:val="00FA52F4"/>
    <w:rsid w:val="00FA6349"/>
    <w:rsid w:val="00FA6B57"/>
    <w:rsid w:val="00FA6F3C"/>
    <w:rsid w:val="00FA7AE1"/>
    <w:rsid w:val="00FB0C81"/>
    <w:rsid w:val="00FB1515"/>
    <w:rsid w:val="00FB1BEF"/>
    <w:rsid w:val="00FB25BE"/>
    <w:rsid w:val="00FB29DC"/>
    <w:rsid w:val="00FB377E"/>
    <w:rsid w:val="00FB3A7E"/>
    <w:rsid w:val="00FB3E06"/>
    <w:rsid w:val="00FB56C0"/>
    <w:rsid w:val="00FB56C6"/>
    <w:rsid w:val="00FB630E"/>
    <w:rsid w:val="00FB6BFB"/>
    <w:rsid w:val="00FB6D21"/>
    <w:rsid w:val="00FB7D16"/>
    <w:rsid w:val="00FB7E31"/>
    <w:rsid w:val="00FC198D"/>
    <w:rsid w:val="00FC2200"/>
    <w:rsid w:val="00FC2540"/>
    <w:rsid w:val="00FC2AC5"/>
    <w:rsid w:val="00FC32FD"/>
    <w:rsid w:val="00FC3E00"/>
    <w:rsid w:val="00FC48DA"/>
    <w:rsid w:val="00FC4C50"/>
    <w:rsid w:val="00FC4CAF"/>
    <w:rsid w:val="00FC593A"/>
    <w:rsid w:val="00FC5BE3"/>
    <w:rsid w:val="00FC637F"/>
    <w:rsid w:val="00FC72F5"/>
    <w:rsid w:val="00FC7997"/>
    <w:rsid w:val="00FD02CB"/>
    <w:rsid w:val="00FD0741"/>
    <w:rsid w:val="00FD1BF9"/>
    <w:rsid w:val="00FD33D1"/>
    <w:rsid w:val="00FD3DCC"/>
    <w:rsid w:val="00FD4BB6"/>
    <w:rsid w:val="00FD4DFE"/>
    <w:rsid w:val="00FD53FC"/>
    <w:rsid w:val="00FD5D42"/>
    <w:rsid w:val="00FD732D"/>
    <w:rsid w:val="00FD75C6"/>
    <w:rsid w:val="00FD7996"/>
    <w:rsid w:val="00FE2258"/>
    <w:rsid w:val="00FE3364"/>
    <w:rsid w:val="00FE3C27"/>
    <w:rsid w:val="00FE411F"/>
    <w:rsid w:val="00FE57D1"/>
    <w:rsid w:val="00FE7DC0"/>
    <w:rsid w:val="00FF0204"/>
    <w:rsid w:val="00FF09CF"/>
    <w:rsid w:val="00FF0B73"/>
    <w:rsid w:val="00FF1786"/>
    <w:rsid w:val="00FF1B8E"/>
    <w:rsid w:val="00FF309B"/>
    <w:rsid w:val="00FF3AED"/>
    <w:rsid w:val="00FF5867"/>
    <w:rsid w:val="00FF6483"/>
    <w:rsid w:val="00FF6908"/>
    <w:rsid w:val="00FF7B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DBB74"/>
  <w15:chartTrackingRefBased/>
  <w15:docId w15:val="{89D1E410-BE1D-4FA3-AD53-C9A14597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E1"/>
    <w:pPr>
      <w:bidi/>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rPr>
      <w:sz w:val="24"/>
      <w:szCs w:val="24"/>
    </w:rPr>
  </w:style>
  <w:style w:type="paragraph" w:customStyle="1" w:styleId="sub-title">
    <w:name w:val="sub-title"/>
    <w:rsid w:val="0033525D"/>
    <w:pPr>
      <w:bidi/>
      <w:outlineLvl w:val="0"/>
    </w:pPr>
    <w:rPr>
      <w:b/>
      <w:noProof/>
      <w:sz w:val="22"/>
      <w:szCs w:val="22"/>
    </w:rPr>
  </w:style>
  <w:style w:type="paragraph" w:customStyle="1" w:styleId="Title1">
    <w:name w:val="Title1"/>
    <w:rsid w:val="0033525D"/>
    <w:pPr>
      <w:bidi/>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bidi/>
    </w:pPr>
    <w:rPr>
      <w:sz w:val="22"/>
      <w:szCs w:val="22"/>
      <w:lang w:val="en-GB"/>
    </w:rPr>
  </w:style>
  <w:style w:type="paragraph" w:styleId="Footer">
    <w:name w:val="footer"/>
    <w:basedOn w:val="Normal"/>
    <w:link w:val="FooterChar"/>
    <w:rsid w:val="00A5151A"/>
    <w:pPr>
      <w:tabs>
        <w:tab w:val="center" w:pos="4320"/>
        <w:tab w:val="right" w:pos="8640"/>
      </w:tabs>
    </w:pPr>
    <w:rPr>
      <w:sz w:val="24"/>
      <w:szCs w:val="24"/>
    </w:r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right"/>
    </w:pPr>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pPr>
      <w:numPr>
        <w:numId w:val="16"/>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7"/>
      </w:numPr>
    </w:pPr>
  </w:style>
  <w:style w:type="numbering" w:customStyle="1" w:styleId="ArticleSection1">
    <w:name w:val="Article / Section1"/>
    <w:basedOn w:val="NoList"/>
    <w:next w:val="ArticleSection"/>
    <w:semiHidden/>
    <w:rsid w:val="00720EE7"/>
    <w:pPr>
      <w:numPr>
        <w:numId w:val="18"/>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pPr>
      <w:bidi/>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bidi/>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uiPriority w:val="35"/>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C2222D"/>
    <w:rPr>
      <w:b/>
      <w:bCs/>
      <w:i/>
      <w:iCs/>
      <w:spacing w:val="5"/>
    </w:rPr>
  </w:style>
  <w:style w:type="character" w:styleId="Emphasis">
    <w:name w:val="Emphasis"/>
    <w:basedOn w:val="DefaultParagraphFont"/>
    <w:uiPriority w:val="20"/>
    <w:qFormat/>
    <w:rsid w:val="00C2222D"/>
    <w:rPr>
      <w:i/>
      <w:iCs/>
    </w:rPr>
  </w:style>
  <w:style w:type="character" w:styleId="IntenseEmphasis">
    <w:name w:val="Intense Emphasis"/>
    <w:basedOn w:val="DefaultParagraphFont"/>
    <w:uiPriority w:val="21"/>
    <w:qFormat/>
    <w:rsid w:val="00C2222D"/>
    <w:rPr>
      <w:i/>
      <w:iCs/>
      <w:color w:val="4F81BD" w:themeColor="accent1"/>
    </w:rPr>
  </w:style>
  <w:style w:type="paragraph" w:styleId="IntenseQuote">
    <w:name w:val="Intense Quote"/>
    <w:basedOn w:val="Normal"/>
    <w:next w:val="Normal"/>
    <w:link w:val="IntenseQuoteChar"/>
    <w:uiPriority w:val="30"/>
    <w:qFormat/>
    <w:rsid w:val="00C222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222D"/>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C2222D"/>
    <w:rPr>
      <w:b/>
      <w:bCs/>
      <w:smallCaps/>
      <w:color w:val="4F81BD" w:themeColor="accent1"/>
      <w:spacing w:val="5"/>
    </w:rPr>
  </w:style>
  <w:style w:type="paragraph" w:styleId="NoSpacing">
    <w:name w:val="No Spacing"/>
    <w:uiPriority w:val="1"/>
    <w:qFormat/>
    <w:rsid w:val="00C2222D"/>
    <w:pPr>
      <w:bidi/>
    </w:pPr>
    <w:rPr>
      <w:rFonts w:eastAsia="Times New Roman"/>
      <w:sz w:val="22"/>
      <w:szCs w:val="22"/>
      <w:lang w:val="en-CA" w:eastAsia="en-US"/>
    </w:rPr>
  </w:style>
  <w:style w:type="character" w:styleId="Strong">
    <w:name w:val="Strong"/>
    <w:basedOn w:val="DefaultParagraphFont"/>
    <w:uiPriority w:val="22"/>
    <w:qFormat/>
    <w:rsid w:val="00C2222D"/>
    <w:rPr>
      <w:b/>
      <w:bCs/>
    </w:rPr>
  </w:style>
  <w:style w:type="character" w:styleId="SubtleEmphasis">
    <w:name w:val="Subtle Emphasis"/>
    <w:basedOn w:val="DefaultParagraphFont"/>
    <w:uiPriority w:val="19"/>
    <w:qFormat/>
    <w:rsid w:val="00C2222D"/>
    <w:rPr>
      <w:i/>
      <w:iCs/>
      <w:color w:val="404040" w:themeColor="text1" w:themeTint="BF"/>
    </w:rPr>
  </w:style>
  <w:style w:type="character" w:styleId="SubtleReference">
    <w:name w:val="Subtle Reference"/>
    <w:basedOn w:val="DefaultParagraphFont"/>
    <w:uiPriority w:val="31"/>
    <w:qFormat/>
    <w:rsid w:val="00C2222D"/>
    <w:rPr>
      <w:smallCaps/>
      <w:color w:val="5A5A5A" w:themeColor="text1" w:themeTint="A5"/>
    </w:rPr>
  </w:style>
  <w:style w:type="paragraph" w:styleId="TOCHeading">
    <w:name w:val="TOC Heading"/>
    <w:basedOn w:val="Heading1"/>
    <w:next w:val="Normal"/>
    <w:uiPriority w:val="39"/>
    <w:semiHidden/>
    <w:unhideWhenUsed/>
    <w:qFormat/>
    <w:rsid w:val="00C2222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8C0F63"/>
    <w:pPr>
      <w:autoSpaceDE w:val="0"/>
      <w:autoSpaceDN w:val="0"/>
      <w:adjustRightInd w:val="0"/>
      <w:spacing w:before="150"/>
      <w:ind w:right="323" w:firstLine="3"/>
    </w:pPr>
    <w:rPr>
      <w:rFonts w:eastAsiaTheme="minorEastAsia"/>
      <w:sz w:val="21"/>
      <w:szCs w:val="21"/>
      <w:lang w:eastAsia="zh-CN"/>
    </w:rPr>
  </w:style>
  <w:style w:type="character" w:customStyle="1" w:styleId="BodyTextChar">
    <w:name w:val="Body Text Char"/>
    <w:basedOn w:val="DefaultParagraphFont"/>
    <w:link w:val="BodyText"/>
    <w:uiPriority w:val="1"/>
    <w:rsid w:val="008C0F63"/>
    <w:rPr>
      <w:sz w:val="21"/>
      <w:szCs w:val="21"/>
      <w:lang w:val="en-CA"/>
    </w:rPr>
  </w:style>
  <w:style w:type="paragraph" w:customStyle="1" w:styleId="pf0">
    <w:name w:val="pf0"/>
    <w:basedOn w:val="Normal"/>
    <w:rsid w:val="0003753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0A1A1-7D3E-4327-9151-C7999C854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23</TotalTime>
  <Pages>44</Pages>
  <Words>15089</Words>
  <Characters>86009</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Project proposals: Sao Tome and Principe</vt:lpstr>
    </vt:vector>
  </TitlesOfParts>
  <Company>UNMFS</Company>
  <LinksUpToDate>false</LinksUpToDate>
  <CharactersWithSpaces>100897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Sao Tome and Principe</dc:title>
  <dc:subject/>
  <dc:creator>MS/ RCK</dc:creator>
  <cp:keywords>99th ExCom, docId:468B77213FA72F992B8D1BE3937B6519</cp:keywords>
  <dc:description>KIP stage request</dc:description>
  <cp:lastModifiedBy>Angela Xue He Yan</cp:lastModifiedBy>
  <cp:revision>15</cp:revision>
  <cp:lastPrinted>2026-10-30T21:05:00Z</cp:lastPrinted>
  <dcterms:created xsi:type="dcterms:W3CDTF">2026-10-30T13:08:00Z</dcterms:created>
  <dcterms:modified xsi:type="dcterms:W3CDTF">2026-10-30T21:17:00Z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UNEP/OzL.Pro/ExCom/99/69</vt:lpwstr>
  </property>
  <property fmtid="{D5CDD505-2E9C-101B-9397-08002B2CF9AE}" pid="3" name="Revision date">
    <vt:lpwstr>10/27/2026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