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48" w:type="pct"/>
        <w:tblLook w:val="0000" w:firstRow="0" w:lastRow="0" w:firstColumn="0" w:lastColumn="0" w:noHBand="0" w:noVBand="0"/>
      </w:tblPr>
      <w:tblGrid>
        <w:gridCol w:w="1920"/>
        <w:gridCol w:w="3570"/>
        <w:gridCol w:w="3960"/>
      </w:tblGrid>
      <w:tr w:rsidR="00E63352" w:rsidRPr="009B0D30" w14:paraId="6C07B989" w14:textId="77777777" w:rsidTr="002E1C62">
        <w:trPr>
          <w:trHeight w:val="720"/>
        </w:trPr>
        <w:tc>
          <w:tcPr>
            <w:tcW w:w="2905" w:type="pct"/>
            <w:gridSpan w:val="2"/>
            <w:tcBorders>
              <w:bottom w:val="single" w:sz="18" w:space="0" w:color="auto"/>
            </w:tcBorders>
          </w:tcPr>
          <w:p w14:paraId="0B9289FA" w14:textId="77777777" w:rsidR="00E63352" w:rsidRPr="009B0D30" w:rsidRDefault="00E63352" w:rsidP="00C005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NATIONS</w:t>
            </w:r>
            <w:r>
              <w:rPr>
                <w:rFonts w:ascii="Univers" w:hAnsi="Univers"/>
                <w:b/>
                <w:sz w:val="28"/>
              </w:rPr>
              <w:br/>
              <w:t>UNIES</w:t>
            </w:r>
          </w:p>
        </w:tc>
        <w:tc>
          <w:tcPr>
            <w:tcW w:w="2095" w:type="pct"/>
            <w:tcBorders>
              <w:bottom w:val="single" w:sz="18" w:space="0" w:color="auto"/>
            </w:tcBorders>
          </w:tcPr>
          <w:p w14:paraId="0FC3F7D7" w14:textId="77777777" w:rsidR="00E63352" w:rsidRPr="009B0D30" w:rsidRDefault="00E63352" w:rsidP="00C0058C">
            <w:pPr>
              <w:jc w:val="right"/>
              <w:rPr>
                <w:sz w:val="52"/>
                <w:szCs w:val="52"/>
              </w:rPr>
            </w:pPr>
            <w:r>
              <w:rPr>
                <w:rFonts w:ascii="Univers Bold" w:hAnsi="Univers Bold"/>
                <w:b/>
                <w:sz w:val="72"/>
              </w:rPr>
              <w:t>EP</w:t>
            </w:r>
          </w:p>
        </w:tc>
      </w:tr>
      <w:tr w:rsidR="00E63352" w:rsidRPr="009B0D30" w14:paraId="1CC4E6A9" w14:textId="77777777" w:rsidTr="002E1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16" w:type="pct"/>
            <w:tcBorders>
              <w:top w:val="nil"/>
              <w:left w:val="nil"/>
              <w:bottom w:val="single" w:sz="36" w:space="0" w:color="auto"/>
              <w:right w:val="nil"/>
            </w:tcBorders>
          </w:tcPr>
          <w:p w14:paraId="7F65B314" w14:textId="5233FB46" w:rsidR="00E63352" w:rsidRPr="009B0D30" w:rsidRDefault="00E63352" w:rsidP="00C0058C">
            <w:pPr>
              <w:spacing w:before="120"/>
            </w:pPr>
            <w:r>
              <w:rPr>
                <w:noProof/>
              </w:rPr>
              <mc:AlternateContent>
                <mc:Choice Requires="wpg">
                  <w:drawing>
                    <wp:anchor distT="0" distB="0" distL="114300" distR="114300" simplePos="0" relativeHeight="251659264" behindDoc="0" locked="0" layoutInCell="1" allowOverlap="1" wp14:anchorId="32C5ACA9" wp14:editId="3AD82E18">
                      <wp:simplePos x="0" y="0"/>
                      <wp:positionH relativeFrom="column">
                        <wp:posOffset>-1905</wp:posOffset>
                      </wp:positionH>
                      <wp:positionV relativeFrom="paragraph">
                        <wp:posOffset>33655</wp:posOffset>
                      </wp:positionV>
                      <wp:extent cx="822325" cy="1524001"/>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24001"/>
                                <a:chOff x="0" y="0"/>
                                <a:chExt cx="822325" cy="1524001"/>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40454" y="749301"/>
                                  <a:ext cx="765996" cy="774700"/>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5DB68239" id="Group 1" o:spid="_x0000_s1026" style="position:absolute;margin-left:-.15pt;margin-top:2.65pt;width:64.75pt;height:120pt;z-index:251659264;mso-width-relative:margin;mso-height-relative:margin" coordsize="8223,152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404;top:7493;width:7660;height:7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889" w:type="pct"/>
            <w:tcBorders>
              <w:top w:val="nil"/>
              <w:left w:val="nil"/>
              <w:bottom w:val="single" w:sz="36" w:space="0" w:color="auto"/>
              <w:right w:val="nil"/>
            </w:tcBorders>
          </w:tcPr>
          <w:p w14:paraId="7EBAD54A" w14:textId="77777777" w:rsidR="002E1C62" w:rsidRDefault="002E1C62" w:rsidP="00C952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77B507C1" w14:textId="34A02511" w:rsidR="00E63352" w:rsidRPr="009B0D30" w:rsidRDefault="00E63352" w:rsidP="00C952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rPr>
            </w:pPr>
            <w:r>
              <w:rPr>
                <w:rFonts w:ascii="Univers" w:hAnsi="Univers"/>
                <w:b/>
                <w:sz w:val="32"/>
              </w:rPr>
              <w:t>Programme des Nations Unies pour l’environnement</w:t>
            </w:r>
          </w:p>
          <w:p w14:paraId="0BB25251" w14:textId="77777777" w:rsidR="00E63352" w:rsidRPr="009B0D30" w:rsidRDefault="00E63352" w:rsidP="002E1C62">
            <w:pPr>
              <w:spacing w:before="720"/>
            </w:pPr>
          </w:p>
        </w:tc>
        <w:tc>
          <w:tcPr>
            <w:tcW w:w="2095" w:type="pct"/>
            <w:tcBorders>
              <w:top w:val="nil"/>
              <w:left w:val="nil"/>
              <w:bottom w:val="single" w:sz="36" w:space="0" w:color="auto"/>
              <w:right w:val="nil"/>
            </w:tcBorders>
          </w:tcPr>
          <w:p w14:paraId="292BE92E" w14:textId="77777777" w:rsidR="002C2115" w:rsidRDefault="002C2115" w:rsidP="00C0058C"/>
          <w:p w14:paraId="530CB548" w14:textId="47DDF5CF" w:rsidR="00E63352" w:rsidRPr="009B0D30" w:rsidRDefault="00E63352" w:rsidP="00C0058C">
            <w:proofErr w:type="spellStart"/>
            <w:r>
              <w:t>Distr</w:t>
            </w:r>
            <w:proofErr w:type="spellEnd"/>
            <w:r>
              <w:t>.</w:t>
            </w:r>
          </w:p>
          <w:p w14:paraId="29936C6A" w14:textId="77777777" w:rsidR="00E63352" w:rsidRPr="009B0D30" w:rsidRDefault="00E63352" w:rsidP="00C0058C">
            <w:r>
              <w:t>GÉNÉRALE</w:t>
            </w:r>
          </w:p>
          <w:p w14:paraId="17B2EF82" w14:textId="77777777" w:rsidR="00E63352" w:rsidRPr="009B0D30" w:rsidRDefault="00E63352" w:rsidP="00C0058C"/>
          <w:p w14:paraId="45A570A8" w14:textId="472A986F" w:rsidR="00E63352" w:rsidRPr="009B0D30" w:rsidRDefault="00ED37B8" w:rsidP="00C0058C">
            <w:r>
              <w:fldChar w:fldCharType="begin"/>
            </w:r>
            <w:r>
              <w:instrText xml:space="preserve"> DOCPROPERTY "Document number"  \* MERGEFORMAT </w:instrText>
            </w:r>
            <w:r>
              <w:fldChar w:fldCharType="separate"/>
            </w:r>
            <w:r w:rsidR="009A3E69">
              <w:t>UNEP/</w:t>
            </w:r>
            <w:proofErr w:type="spellStart"/>
            <w:r w:rsidR="009A3E69">
              <w:t>OzL.Pro</w:t>
            </w:r>
            <w:proofErr w:type="spellEnd"/>
            <w:r w:rsidR="009A3E69">
              <w:t>/</w:t>
            </w:r>
            <w:proofErr w:type="spellStart"/>
            <w:r w:rsidR="009A3E69">
              <w:t>ExCom</w:t>
            </w:r>
            <w:proofErr w:type="spellEnd"/>
            <w:r w:rsidR="009A3E69">
              <w:t>/94/30</w:t>
            </w:r>
            <w:r>
              <w:fldChar w:fldCharType="end"/>
            </w:r>
          </w:p>
          <w:p w14:paraId="76DFA569" w14:textId="086FABC2" w:rsidR="00E63352" w:rsidRPr="009B0D30" w:rsidRDefault="009A3E69" w:rsidP="00C0058C">
            <w:r>
              <w:t>3 mai 2024</w:t>
            </w:r>
          </w:p>
          <w:p w14:paraId="7CD998D0" w14:textId="77777777" w:rsidR="00E63352" w:rsidRPr="009B0D30" w:rsidRDefault="00E63352" w:rsidP="00C0058C">
            <w:pPr>
              <w:rPr>
                <w:caps/>
              </w:rPr>
            </w:pPr>
          </w:p>
          <w:p w14:paraId="7631EFE4" w14:textId="7100713D" w:rsidR="00C95204" w:rsidRDefault="00C95204" w:rsidP="00C0058C">
            <w:r>
              <w:rPr>
                <w:caps/>
              </w:rPr>
              <w:t>FRANÇAIS</w:t>
            </w:r>
          </w:p>
          <w:p w14:paraId="42C86484" w14:textId="4F89D80B" w:rsidR="00E63352" w:rsidRPr="009B0D30" w:rsidRDefault="00E63352" w:rsidP="00C0058C">
            <w:r>
              <w:t>ORIGINAL : ANGLAIS</w:t>
            </w:r>
          </w:p>
        </w:tc>
      </w:tr>
    </w:tbl>
    <w:p w14:paraId="3ED87644" w14:textId="77777777" w:rsidR="00C95204" w:rsidRDefault="00C95204" w:rsidP="00C9520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Pr="003465A8">
        <w:rPr>
          <w:lang w:val="fr-CA"/>
        </w:rPr>
        <w:t>quatorzième</w:t>
      </w:r>
      <w:r w:rsidRPr="00FC5578">
        <w:rPr>
          <w:lang w:val="fr-CA"/>
        </w:rPr>
        <w:t xml:space="preserve"> </w:t>
      </w:r>
      <w:r>
        <w:rPr>
          <w:lang w:val="fr-CA"/>
        </w:rPr>
        <w:t>réunion</w:t>
      </w:r>
    </w:p>
    <w:p w14:paraId="113DE420" w14:textId="77777777" w:rsidR="00C95204" w:rsidRDefault="00C95204" w:rsidP="00C95204">
      <w:pPr>
        <w:jc w:val="left"/>
      </w:pPr>
      <w:r w:rsidRPr="00B07F02">
        <w:t xml:space="preserve">Montréal, </w:t>
      </w:r>
      <w:r>
        <w:t>27 – 31 mai 2024</w:t>
      </w:r>
    </w:p>
    <w:p w14:paraId="4626579B" w14:textId="5BBC5485" w:rsidR="00E63352" w:rsidRDefault="00E63352" w:rsidP="00E63352">
      <w:pPr>
        <w:jc w:val="left"/>
      </w:pPr>
      <w:r>
        <w:t>Point 9(d) de l’ordre du jour provisoire</w:t>
      </w:r>
      <w:r w:rsidRPr="00512BEF">
        <w:rPr>
          <w:rStyle w:val="FootnoteReference"/>
        </w:rPr>
        <w:footnoteReference w:id="2"/>
      </w:r>
    </w:p>
    <w:p w14:paraId="47FBB5E4" w14:textId="77777777" w:rsidR="00E63352" w:rsidRPr="009B0D30" w:rsidRDefault="00E63352" w:rsidP="00E63352">
      <w:pPr>
        <w:jc w:val="left"/>
      </w:pPr>
    </w:p>
    <w:p w14:paraId="1E7DCAD7" w14:textId="77777777" w:rsidR="00E63352" w:rsidRPr="009B0D30" w:rsidRDefault="00E63352" w:rsidP="00E63352">
      <w:pPr>
        <w:jc w:val="left"/>
      </w:pPr>
    </w:p>
    <w:p w14:paraId="5ADB59DE" w14:textId="77777777" w:rsidR="00E63352" w:rsidRPr="00DA764B" w:rsidRDefault="00E63352" w:rsidP="00E63352"/>
    <w:p w14:paraId="2C138998" w14:textId="3AAE5016" w:rsidR="00E63352" w:rsidRPr="00996241" w:rsidRDefault="009A3E69" w:rsidP="00E63352">
      <w:pPr>
        <w:jc w:val="center"/>
        <w:rPr>
          <w:b/>
        </w:rPr>
      </w:pPr>
      <w:r>
        <w:rPr>
          <w:b/>
        </w:rPr>
        <w:t>PROPOSITION DE PROJET : LES COMORES</w:t>
      </w:r>
    </w:p>
    <w:p w14:paraId="04924DEF" w14:textId="77777777" w:rsidR="00E63352" w:rsidRPr="00DA764B" w:rsidRDefault="00E63352" w:rsidP="00E63352"/>
    <w:p w14:paraId="7BC488C3" w14:textId="77777777" w:rsidR="00E63352" w:rsidRPr="00DA764B" w:rsidRDefault="00E63352" w:rsidP="00E63352"/>
    <w:p w14:paraId="3DBF90DC" w14:textId="77777777" w:rsidR="00E63352" w:rsidRDefault="00E63352" w:rsidP="00E63352">
      <w:pPr>
        <w:ind w:firstLine="720"/>
      </w:pPr>
      <w:r>
        <w:t>Le présent document comporte les observations et la recommandation du Secrétariat sur la proposition de projet suivante :</w:t>
      </w:r>
    </w:p>
    <w:p w14:paraId="279B5824" w14:textId="77777777" w:rsidR="003532C0" w:rsidRPr="00996241" w:rsidRDefault="003532C0" w:rsidP="00E63352">
      <w:pPr>
        <w:ind w:firstLine="720"/>
      </w:pPr>
    </w:p>
    <w:p w14:paraId="792510AD" w14:textId="77777777" w:rsidR="00E63352" w:rsidRPr="00996241" w:rsidRDefault="00E63352" w:rsidP="00E63352">
      <w:pPr>
        <w:spacing w:before="240" w:after="240"/>
        <w:rPr>
          <w:u w:val="single"/>
        </w:rPr>
      </w:pPr>
      <w:r>
        <w:rPr>
          <w:u w:val="single"/>
        </w:rPr>
        <w:t>Élimination</w:t>
      </w:r>
    </w:p>
    <w:p w14:paraId="1DFDA500" w14:textId="77777777" w:rsidR="00E63352" w:rsidRPr="00996241" w:rsidRDefault="00E63352" w:rsidP="00E6335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63352" w:rsidRPr="00EE5B08" w14:paraId="4F67578C" w14:textId="77777777" w:rsidTr="00C0058C">
        <w:tc>
          <w:tcPr>
            <w:tcW w:w="6941" w:type="dxa"/>
          </w:tcPr>
          <w:p w14:paraId="26AFB70F" w14:textId="77777777" w:rsidR="00E63352" w:rsidRPr="00EE5B08" w:rsidRDefault="00E63352" w:rsidP="004A33EB">
            <w:pPr>
              <w:pStyle w:val="ListParagraph"/>
              <w:numPr>
                <w:ilvl w:val="0"/>
                <w:numId w:val="21"/>
              </w:numPr>
              <w:ind w:hanging="830"/>
            </w:pPr>
            <w:r>
              <w:t>Plan de gestion de l’élimination des HCFC (phase II, première tranche)</w:t>
            </w:r>
          </w:p>
        </w:tc>
        <w:tc>
          <w:tcPr>
            <w:tcW w:w="2409" w:type="dxa"/>
          </w:tcPr>
          <w:p w14:paraId="3E0E8DEB" w14:textId="77777777" w:rsidR="00E63352" w:rsidRPr="009931F4" w:rsidRDefault="00E63352" w:rsidP="00C0058C">
            <w:pPr>
              <w:jc w:val="right"/>
            </w:pPr>
            <w:r>
              <w:t>PNUE</w:t>
            </w:r>
          </w:p>
        </w:tc>
      </w:tr>
    </w:tbl>
    <w:p w14:paraId="4A967445" w14:textId="77777777" w:rsidR="00E63352" w:rsidRPr="009931F4" w:rsidRDefault="00E63352" w:rsidP="00E63352"/>
    <w:p w14:paraId="08F74FD0" w14:textId="77777777" w:rsidR="00E63352" w:rsidRPr="00996241" w:rsidRDefault="00E63352" w:rsidP="00E63352"/>
    <w:p w14:paraId="12BDA2C0" w14:textId="77777777" w:rsidR="00E63352" w:rsidRPr="00996241" w:rsidRDefault="00E63352" w:rsidP="00E63352">
      <w:pPr>
        <w:jc w:val="left"/>
      </w:pPr>
    </w:p>
    <w:p w14:paraId="10195E78" w14:textId="77777777" w:rsidR="00E63352" w:rsidRPr="00996241" w:rsidRDefault="00E63352" w:rsidP="00E63352">
      <w:pPr>
        <w:jc w:val="left"/>
      </w:pPr>
      <w:r>
        <w:br w:type="page"/>
      </w:r>
    </w:p>
    <w:p w14:paraId="3849D658" w14:textId="77777777" w:rsidR="00E63352" w:rsidRDefault="00E63352" w:rsidP="00AB4657">
      <w:pPr>
        <w:jc w:val="center"/>
        <w:rPr>
          <w:b/>
        </w:rPr>
      </w:pPr>
      <w:r>
        <w:rPr>
          <w:b/>
        </w:rPr>
        <w:lastRenderedPageBreak/>
        <w:t>FICHE D’ÉVALUATION DU PROJET – PROJETS PLURIANNUELS</w:t>
      </w:r>
    </w:p>
    <w:p w14:paraId="3D4A7E3D" w14:textId="77777777" w:rsidR="005C1532" w:rsidRPr="005C1532" w:rsidRDefault="005C1532" w:rsidP="00AB4657">
      <w:pPr>
        <w:jc w:val="center"/>
        <w:rPr>
          <w:b/>
          <w:sz w:val="4"/>
          <w:szCs w:val="4"/>
        </w:rPr>
      </w:pPr>
    </w:p>
    <w:p w14:paraId="2F362A26" w14:textId="1D94AB8D" w:rsidR="00E63352" w:rsidRDefault="00CD650D" w:rsidP="00AB4657">
      <w:pPr>
        <w:jc w:val="center"/>
        <w:rPr>
          <w:b/>
        </w:rPr>
      </w:pPr>
      <w:r>
        <w:rPr>
          <w:b/>
        </w:rPr>
        <w:t>Les Comores</w:t>
      </w:r>
    </w:p>
    <w:p w14:paraId="6B4FD688" w14:textId="77777777" w:rsidR="005C1532" w:rsidRPr="005C1532" w:rsidRDefault="005C1532" w:rsidP="00AB4657">
      <w:pPr>
        <w:jc w:val="center"/>
        <w:rPr>
          <w:b/>
          <w:sz w:val="16"/>
          <w:szCs w:val="16"/>
        </w:rPr>
      </w:pPr>
    </w:p>
    <w:tbl>
      <w:tblPr>
        <w:tblStyle w:val="TableGrid"/>
        <w:tblW w:w="5195" w:type="pct"/>
        <w:tblInd w:w="-365" w:type="dxa"/>
        <w:tblCellMar>
          <w:top w:w="28" w:type="dxa"/>
          <w:bottom w:w="28" w:type="dxa"/>
        </w:tblCellMar>
        <w:tblLook w:val="04A0" w:firstRow="1" w:lastRow="0" w:firstColumn="1" w:lastColumn="0" w:noHBand="0" w:noVBand="1"/>
      </w:tblPr>
      <w:tblGrid>
        <w:gridCol w:w="5180"/>
        <w:gridCol w:w="4535"/>
      </w:tblGrid>
      <w:tr w:rsidR="00E63352" w:rsidRPr="00EB31E3" w14:paraId="5EE239A1" w14:textId="77777777" w:rsidTr="004A33EB">
        <w:trPr>
          <w:trHeight w:val="248"/>
        </w:trPr>
        <w:tc>
          <w:tcPr>
            <w:tcW w:w="2666" w:type="pct"/>
            <w:shd w:val="clear" w:color="auto" w:fill="auto"/>
          </w:tcPr>
          <w:p w14:paraId="1543CDAB" w14:textId="77777777" w:rsidR="00E63352" w:rsidRPr="00996241" w:rsidRDefault="00E63352" w:rsidP="00C0058C">
            <w:pPr>
              <w:rPr>
                <w:b/>
                <w:sz w:val="20"/>
              </w:rPr>
            </w:pPr>
            <w:r>
              <w:rPr>
                <w:b/>
                <w:sz w:val="20"/>
              </w:rPr>
              <w:t>(I) TITRE DU PROJET</w:t>
            </w:r>
          </w:p>
        </w:tc>
        <w:tc>
          <w:tcPr>
            <w:tcW w:w="2334" w:type="pct"/>
            <w:shd w:val="clear" w:color="auto" w:fill="auto"/>
          </w:tcPr>
          <w:p w14:paraId="6535E014" w14:textId="77777777" w:rsidR="00E63352" w:rsidRPr="00996241" w:rsidRDefault="00E63352" w:rsidP="00C0058C">
            <w:pPr>
              <w:jc w:val="center"/>
              <w:rPr>
                <w:b/>
                <w:sz w:val="20"/>
              </w:rPr>
            </w:pPr>
            <w:r>
              <w:rPr>
                <w:b/>
                <w:sz w:val="20"/>
              </w:rPr>
              <w:t>AGENCE</w:t>
            </w:r>
          </w:p>
        </w:tc>
      </w:tr>
      <w:tr w:rsidR="00E63352" w:rsidRPr="00EB31E3" w14:paraId="598CA28C" w14:textId="77777777" w:rsidTr="004A33EB">
        <w:trPr>
          <w:trHeight w:val="40"/>
        </w:trPr>
        <w:tc>
          <w:tcPr>
            <w:tcW w:w="2666" w:type="pct"/>
            <w:shd w:val="clear" w:color="auto" w:fill="auto"/>
            <w:vAlign w:val="center"/>
          </w:tcPr>
          <w:p w14:paraId="27C9B194" w14:textId="77777777" w:rsidR="00E63352" w:rsidRPr="00BD57F4" w:rsidRDefault="00E63352" w:rsidP="00C0058C">
            <w:pPr>
              <w:jc w:val="center"/>
              <w:rPr>
                <w:color w:val="000000" w:themeColor="text1"/>
                <w:sz w:val="20"/>
              </w:rPr>
            </w:pPr>
            <w:r>
              <w:rPr>
                <w:color w:val="000000" w:themeColor="text1"/>
                <w:sz w:val="20"/>
              </w:rPr>
              <w:t>Plan d’élimination des HCFC (phase II)</w:t>
            </w:r>
          </w:p>
        </w:tc>
        <w:tc>
          <w:tcPr>
            <w:tcW w:w="2334" w:type="pct"/>
            <w:shd w:val="clear" w:color="auto" w:fill="auto"/>
            <w:vAlign w:val="center"/>
          </w:tcPr>
          <w:p w14:paraId="7FAE374E" w14:textId="426E0005" w:rsidR="00E63352" w:rsidRPr="00BD57F4" w:rsidRDefault="00E63352" w:rsidP="00C0058C">
            <w:pPr>
              <w:jc w:val="center"/>
              <w:rPr>
                <w:color w:val="000000" w:themeColor="text1"/>
                <w:sz w:val="20"/>
              </w:rPr>
            </w:pPr>
            <w:r>
              <w:rPr>
                <w:color w:val="000000" w:themeColor="text1"/>
                <w:sz w:val="20"/>
              </w:rPr>
              <w:t xml:space="preserve">PNUE </w:t>
            </w:r>
          </w:p>
        </w:tc>
      </w:tr>
    </w:tbl>
    <w:p w14:paraId="0344AE67" w14:textId="77777777" w:rsidR="00E63352" w:rsidRPr="00AB4657" w:rsidRDefault="00E63352" w:rsidP="00E63352">
      <w:pPr>
        <w:jc w:val="center"/>
        <w:rPr>
          <w:sz w:val="16"/>
          <w:szCs w:val="16"/>
        </w:rPr>
      </w:pPr>
    </w:p>
    <w:tbl>
      <w:tblPr>
        <w:tblStyle w:val="TableGrid"/>
        <w:tblW w:w="5195" w:type="pct"/>
        <w:tblInd w:w="-365" w:type="dxa"/>
        <w:tblCellMar>
          <w:top w:w="28" w:type="dxa"/>
          <w:bottom w:w="28" w:type="dxa"/>
        </w:tblCellMar>
        <w:tblLook w:val="04A0" w:firstRow="1" w:lastRow="0" w:firstColumn="1" w:lastColumn="0" w:noHBand="0" w:noVBand="1"/>
      </w:tblPr>
      <w:tblGrid>
        <w:gridCol w:w="5145"/>
        <w:gridCol w:w="2285"/>
        <w:gridCol w:w="2285"/>
      </w:tblGrid>
      <w:tr w:rsidR="00E63352" w:rsidRPr="00996241" w14:paraId="4E800EA8" w14:textId="77777777" w:rsidTr="004A33EB">
        <w:trPr>
          <w:trHeight w:val="77"/>
        </w:trPr>
        <w:tc>
          <w:tcPr>
            <w:tcW w:w="2648" w:type="pct"/>
            <w:shd w:val="clear" w:color="auto" w:fill="auto"/>
          </w:tcPr>
          <w:p w14:paraId="7CE35B37" w14:textId="77777777" w:rsidR="00E63352" w:rsidRPr="00996241" w:rsidRDefault="00E63352" w:rsidP="00C0058C">
            <w:pPr>
              <w:jc w:val="left"/>
              <w:rPr>
                <w:b/>
                <w:sz w:val="20"/>
              </w:rPr>
            </w:pPr>
            <w:r>
              <w:rPr>
                <w:b/>
                <w:sz w:val="20"/>
              </w:rPr>
              <w:t>(II) DERNIÈRES DONNÉES DE L’ARTICLE 7 (groupe I de l’annexe C)</w:t>
            </w:r>
          </w:p>
        </w:tc>
        <w:tc>
          <w:tcPr>
            <w:tcW w:w="1176" w:type="pct"/>
            <w:shd w:val="clear" w:color="auto" w:fill="auto"/>
          </w:tcPr>
          <w:p w14:paraId="392F36DB" w14:textId="77777777" w:rsidR="00E63352" w:rsidRPr="003532C0" w:rsidRDefault="00E63352" w:rsidP="003532C0">
            <w:pPr>
              <w:spacing w:after="60"/>
              <w:ind w:right="39"/>
              <w:jc w:val="center"/>
              <w:rPr>
                <w:color w:val="000000" w:themeColor="text1"/>
                <w:sz w:val="20"/>
              </w:rPr>
            </w:pPr>
            <w:r w:rsidRPr="003532C0">
              <w:rPr>
                <w:color w:val="000000" w:themeColor="text1"/>
                <w:sz w:val="20"/>
              </w:rPr>
              <w:t xml:space="preserve">Année : </w:t>
            </w:r>
            <w:r>
              <w:rPr>
                <w:color w:val="000000" w:themeColor="text1"/>
                <w:sz w:val="20"/>
              </w:rPr>
              <w:t>2022</w:t>
            </w:r>
          </w:p>
        </w:tc>
        <w:tc>
          <w:tcPr>
            <w:tcW w:w="1176" w:type="pct"/>
            <w:shd w:val="clear" w:color="auto" w:fill="auto"/>
          </w:tcPr>
          <w:p w14:paraId="63585349" w14:textId="77777777" w:rsidR="00E63352" w:rsidRPr="003532C0" w:rsidRDefault="00E63352" w:rsidP="003532C0">
            <w:pPr>
              <w:spacing w:after="60"/>
              <w:ind w:right="39"/>
              <w:jc w:val="center"/>
              <w:rPr>
                <w:color w:val="000000" w:themeColor="text1"/>
                <w:sz w:val="20"/>
              </w:rPr>
            </w:pPr>
            <w:r w:rsidRPr="003532C0">
              <w:rPr>
                <w:color w:val="000000" w:themeColor="text1"/>
                <w:sz w:val="20"/>
              </w:rPr>
              <w:t>0,03 tonne PAO</w:t>
            </w:r>
          </w:p>
        </w:tc>
      </w:tr>
    </w:tbl>
    <w:p w14:paraId="21BF1588" w14:textId="77777777" w:rsidR="00E63352" w:rsidRPr="00AB4657" w:rsidRDefault="00E63352" w:rsidP="00E63352">
      <w:pPr>
        <w:jc w:val="center"/>
        <w:rPr>
          <w:sz w:val="16"/>
          <w:szCs w:val="16"/>
        </w:rPr>
      </w:pPr>
    </w:p>
    <w:tbl>
      <w:tblPr>
        <w:tblStyle w:val="TableGrid"/>
        <w:tblW w:w="5195" w:type="pct"/>
        <w:tblInd w:w="-365" w:type="dxa"/>
        <w:tblLayout w:type="fixed"/>
        <w:tblLook w:val="04A0" w:firstRow="1" w:lastRow="0" w:firstColumn="1" w:lastColumn="0" w:noHBand="0" w:noVBand="1"/>
      </w:tblPr>
      <w:tblGrid>
        <w:gridCol w:w="1170"/>
        <w:gridCol w:w="721"/>
        <w:gridCol w:w="810"/>
        <w:gridCol w:w="808"/>
        <w:gridCol w:w="892"/>
        <w:gridCol w:w="876"/>
        <w:gridCol w:w="933"/>
        <w:gridCol w:w="1174"/>
        <w:gridCol w:w="153"/>
        <w:gridCol w:w="863"/>
        <w:gridCol w:w="1315"/>
      </w:tblGrid>
      <w:tr w:rsidR="00E63352" w:rsidRPr="008533A5" w14:paraId="4A0D5016" w14:textId="77777777" w:rsidTr="004A33EB">
        <w:trPr>
          <w:trHeight w:val="262"/>
        </w:trPr>
        <w:tc>
          <w:tcPr>
            <w:tcW w:w="3879" w:type="pct"/>
            <w:gridSpan w:val="9"/>
            <w:shd w:val="clear" w:color="auto" w:fill="auto"/>
          </w:tcPr>
          <w:p w14:paraId="3AA9B55C" w14:textId="77777777" w:rsidR="00E63352" w:rsidRPr="00996241" w:rsidRDefault="00E63352" w:rsidP="00C0058C">
            <w:pPr>
              <w:jc w:val="left"/>
              <w:rPr>
                <w:b/>
                <w:sz w:val="20"/>
              </w:rPr>
            </w:pPr>
            <w:r>
              <w:rPr>
                <w:b/>
                <w:sz w:val="20"/>
              </w:rPr>
              <w:t>(III) DERNIÈRES DONNÉES SECTORIELLES DU PROGRAMME DU PAYS (tonnes PAO)</w:t>
            </w:r>
          </w:p>
        </w:tc>
        <w:tc>
          <w:tcPr>
            <w:tcW w:w="1121" w:type="pct"/>
            <w:gridSpan w:val="2"/>
            <w:shd w:val="clear" w:color="auto" w:fill="auto"/>
            <w:vAlign w:val="center"/>
          </w:tcPr>
          <w:p w14:paraId="1B9F51AE" w14:textId="1CD40333" w:rsidR="00E63352" w:rsidRPr="003532C0" w:rsidRDefault="00E63352" w:rsidP="003532C0">
            <w:pPr>
              <w:spacing w:after="60"/>
              <w:ind w:right="39"/>
              <w:jc w:val="center"/>
              <w:rPr>
                <w:color w:val="000000" w:themeColor="text1"/>
                <w:sz w:val="20"/>
              </w:rPr>
            </w:pPr>
            <w:r w:rsidRPr="003532C0">
              <w:rPr>
                <w:color w:val="000000" w:themeColor="text1"/>
                <w:sz w:val="20"/>
              </w:rPr>
              <w:t>Année : 2022</w:t>
            </w:r>
          </w:p>
        </w:tc>
      </w:tr>
      <w:tr w:rsidR="004A33EB" w:rsidRPr="00EB31E3" w14:paraId="3D3B41C2" w14:textId="77777777" w:rsidTr="004A33EB">
        <w:trPr>
          <w:trHeight w:val="262"/>
        </w:trPr>
        <w:tc>
          <w:tcPr>
            <w:tcW w:w="602" w:type="pct"/>
            <w:shd w:val="clear" w:color="auto" w:fill="auto"/>
            <w:vAlign w:val="center"/>
          </w:tcPr>
          <w:p w14:paraId="7BC62797" w14:textId="77777777" w:rsidR="00E63352" w:rsidRPr="009931F4" w:rsidRDefault="00E63352" w:rsidP="00C0058C">
            <w:pPr>
              <w:spacing w:after="60"/>
              <w:jc w:val="center"/>
              <w:rPr>
                <w:sz w:val="20"/>
              </w:rPr>
            </w:pPr>
            <w:r>
              <w:rPr>
                <w:sz w:val="20"/>
              </w:rPr>
              <w:t>Produits chimiques</w:t>
            </w:r>
          </w:p>
        </w:tc>
        <w:tc>
          <w:tcPr>
            <w:tcW w:w="371" w:type="pct"/>
            <w:shd w:val="clear" w:color="auto" w:fill="auto"/>
            <w:vAlign w:val="center"/>
          </w:tcPr>
          <w:p w14:paraId="7BE9D69F" w14:textId="0318FD6E" w:rsidR="00E63352" w:rsidRPr="00996241" w:rsidRDefault="00E63352" w:rsidP="00C0058C">
            <w:pPr>
              <w:spacing w:after="60"/>
              <w:jc w:val="center"/>
              <w:rPr>
                <w:sz w:val="20"/>
              </w:rPr>
            </w:pPr>
            <w:proofErr w:type="spellStart"/>
            <w:r>
              <w:rPr>
                <w:sz w:val="20"/>
              </w:rPr>
              <w:t>Aéro</w:t>
            </w:r>
            <w:r w:rsidR="004A33EB">
              <w:rPr>
                <w:sz w:val="20"/>
              </w:rPr>
              <w:t>-</w:t>
            </w:r>
            <w:r>
              <w:rPr>
                <w:sz w:val="20"/>
              </w:rPr>
              <w:t>sols</w:t>
            </w:r>
            <w:proofErr w:type="spellEnd"/>
          </w:p>
        </w:tc>
        <w:tc>
          <w:tcPr>
            <w:tcW w:w="417" w:type="pct"/>
            <w:shd w:val="clear" w:color="auto" w:fill="auto"/>
            <w:vAlign w:val="center"/>
          </w:tcPr>
          <w:p w14:paraId="54DB7AE3" w14:textId="649E4B19" w:rsidR="00E63352" w:rsidRPr="00996241" w:rsidRDefault="00E63352" w:rsidP="00C0058C">
            <w:pPr>
              <w:spacing w:after="60"/>
              <w:jc w:val="center"/>
              <w:rPr>
                <w:sz w:val="20"/>
              </w:rPr>
            </w:pPr>
            <w:proofErr w:type="spellStart"/>
            <w:r>
              <w:rPr>
                <w:sz w:val="20"/>
              </w:rPr>
              <w:t>Mous</w:t>
            </w:r>
            <w:r w:rsidR="004A33EB">
              <w:rPr>
                <w:sz w:val="20"/>
              </w:rPr>
              <w:t>-</w:t>
            </w:r>
            <w:r>
              <w:rPr>
                <w:sz w:val="20"/>
              </w:rPr>
              <w:t>ses</w:t>
            </w:r>
            <w:proofErr w:type="spellEnd"/>
          </w:p>
        </w:tc>
        <w:tc>
          <w:tcPr>
            <w:tcW w:w="416" w:type="pct"/>
            <w:shd w:val="clear" w:color="auto" w:fill="auto"/>
            <w:vAlign w:val="center"/>
          </w:tcPr>
          <w:p w14:paraId="03062A50" w14:textId="0ED90CF3" w:rsidR="00E63352" w:rsidRPr="00996241" w:rsidRDefault="00E63352" w:rsidP="00C0058C">
            <w:pPr>
              <w:spacing w:after="60"/>
              <w:jc w:val="center"/>
              <w:rPr>
                <w:sz w:val="20"/>
              </w:rPr>
            </w:pPr>
            <w:r>
              <w:rPr>
                <w:sz w:val="20"/>
              </w:rPr>
              <w:t>Lutte contre l’</w:t>
            </w:r>
            <w:proofErr w:type="spellStart"/>
            <w:r>
              <w:rPr>
                <w:sz w:val="20"/>
              </w:rPr>
              <w:t>in</w:t>
            </w:r>
            <w:r w:rsidR="004A33EB">
              <w:rPr>
                <w:sz w:val="20"/>
              </w:rPr>
              <w:t>-</w:t>
            </w:r>
            <w:r>
              <w:rPr>
                <w:sz w:val="20"/>
              </w:rPr>
              <w:t>cendie</w:t>
            </w:r>
            <w:proofErr w:type="spellEnd"/>
          </w:p>
        </w:tc>
        <w:tc>
          <w:tcPr>
            <w:tcW w:w="910" w:type="pct"/>
            <w:gridSpan w:val="2"/>
            <w:shd w:val="clear" w:color="auto" w:fill="auto"/>
            <w:vAlign w:val="center"/>
          </w:tcPr>
          <w:p w14:paraId="1E91FC5B" w14:textId="77777777" w:rsidR="00E63352" w:rsidRPr="00996241" w:rsidRDefault="00E63352" w:rsidP="00C0058C">
            <w:pPr>
              <w:spacing w:after="60"/>
              <w:jc w:val="center"/>
              <w:rPr>
                <w:sz w:val="20"/>
              </w:rPr>
            </w:pPr>
            <w:r>
              <w:rPr>
                <w:sz w:val="20"/>
              </w:rPr>
              <w:t>Réfrigération</w:t>
            </w:r>
          </w:p>
        </w:tc>
        <w:tc>
          <w:tcPr>
            <w:tcW w:w="480" w:type="pct"/>
            <w:shd w:val="clear" w:color="auto" w:fill="auto"/>
            <w:vAlign w:val="center"/>
          </w:tcPr>
          <w:p w14:paraId="618AF8DD" w14:textId="77777777" w:rsidR="00E63352" w:rsidRPr="00996241" w:rsidRDefault="00E63352" w:rsidP="00C0058C">
            <w:pPr>
              <w:spacing w:after="60"/>
              <w:jc w:val="center"/>
              <w:rPr>
                <w:sz w:val="20"/>
              </w:rPr>
            </w:pPr>
            <w:r>
              <w:rPr>
                <w:sz w:val="20"/>
              </w:rPr>
              <w:t>Solvants</w:t>
            </w:r>
          </w:p>
        </w:tc>
        <w:tc>
          <w:tcPr>
            <w:tcW w:w="604" w:type="pct"/>
            <w:shd w:val="clear" w:color="auto" w:fill="auto"/>
            <w:vAlign w:val="center"/>
          </w:tcPr>
          <w:p w14:paraId="2B7A23E8" w14:textId="6718DF01" w:rsidR="00E63352" w:rsidRPr="00996241" w:rsidRDefault="00E63352" w:rsidP="00C0058C">
            <w:pPr>
              <w:spacing w:after="60"/>
              <w:jc w:val="center"/>
              <w:rPr>
                <w:sz w:val="20"/>
              </w:rPr>
            </w:pPr>
            <w:r>
              <w:rPr>
                <w:sz w:val="20"/>
              </w:rPr>
              <w:t xml:space="preserve">Agents de </w:t>
            </w:r>
            <w:proofErr w:type="spellStart"/>
            <w:r>
              <w:rPr>
                <w:sz w:val="20"/>
              </w:rPr>
              <w:t>transfor</w:t>
            </w:r>
            <w:r w:rsidR="004A33EB">
              <w:rPr>
                <w:sz w:val="20"/>
              </w:rPr>
              <w:t>-</w:t>
            </w:r>
            <w:r>
              <w:rPr>
                <w:sz w:val="20"/>
              </w:rPr>
              <w:t>mation</w:t>
            </w:r>
            <w:proofErr w:type="spellEnd"/>
          </w:p>
        </w:tc>
        <w:tc>
          <w:tcPr>
            <w:tcW w:w="523" w:type="pct"/>
            <w:gridSpan w:val="2"/>
            <w:shd w:val="clear" w:color="auto" w:fill="auto"/>
            <w:vAlign w:val="center"/>
          </w:tcPr>
          <w:p w14:paraId="07C04B29" w14:textId="10D1A735" w:rsidR="00E63352" w:rsidRPr="00996241" w:rsidRDefault="00E63352" w:rsidP="00C0058C">
            <w:pPr>
              <w:spacing w:after="60"/>
              <w:jc w:val="center"/>
              <w:rPr>
                <w:sz w:val="20"/>
              </w:rPr>
            </w:pPr>
            <w:proofErr w:type="spellStart"/>
            <w:r>
              <w:rPr>
                <w:sz w:val="20"/>
              </w:rPr>
              <w:t>Utilisa</w:t>
            </w:r>
            <w:r w:rsidR="004A33EB">
              <w:rPr>
                <w:sz w:val="20"/>
              </w:rPr>
              <w:t>-</w:t>
            </w:r>
            <w:r>
              <w:rPr>
                <w:sz w:val="20"/>
              </w:rPr>
              <w:t>tion</w:t>
            </w:r>
            <w:proofErr w:type="spellEnd"/>
            <w:r>
              <w:rPr>
                <w:sz w:val="20"/>
              </w:rPr>
              <w:t xml:space="preserve"> en </w:t>
            </w:r>
            <w:proofErr w:type="spellStart"/>
            <w:r>
              <w:rPr>
                <w:sz w:val="20"/>
              </w:rPr>
              <w:t>labora</w:t>
            </w:r>
            <w:r w:rsidR="004A33EB">
              <w:rPr>
                <w:sz w:val="20"/>
              </w:rPr>
              <w:t>-</w:t>
            </w:r>
            <w:r>
              <w:rPr>
                <w:sz w:val="20"/>
              </w:rPr>
              <w:t>toire</w:t>
            </w:r>
            <w:proofErr w:type="spellEnd"/>
          </w:p>
        </w:tc>
        <w:tc>
          <w:tcPr>
            <w:tcW w:w="677" w:type="pct"/>
            <w:shd w:val="clear" w:color="auto" w:fill="auto"/>
            <w:vAlign w:val="center"/>
          </w:tcPr>
          <w:p w14:paraId="77100922" w14:textId="56085533" w:rsidR="00E63352" w:rsidRPr="00996241" w:rsidRDefault="00E63352" w:rsidP="00C0058C">
            <w:pPr>
              <w:spacing w:after="60"/>
              <w:jc w:val="center"/>
              <w:rPr>
                <w:sz w:val="20"/>
              </w:rPr>
            </w:pPr>
            <w:proofErr w:type="spellStart"/>
            <w:r>
              <w:rPr>
                <w:sz w:val="20"/>
              </w:rPr>
              <w:t>Consom</w:t>
            </w:r>
            <w:r w:rsidR="004A33EB">
              <w:rPr>
                <w:sz w:val="20"/>
              </w:rPr>
              <w:t>-</w:t>
            </w:r>
            <w:r>
              <w:rPr>
                <w:sz w:val="20"/>
              </w:rPr>
              <w:t>mation</w:t>
            </w:r>
            <w:proofErr w:type="spellEnd"/>
            <w:r>
              <w:rPr>
                <w:sz w:val="20"/>
              </w:rPr>
              <w:t xml:space="preserve"> totale du secteur</w:t>
            </w:r>
          </w:p>
        </w:tc>
      </w:tr>
      <w:tr w:rsidR="00E63352" w:rsidRPr="00EB31E3" w14:paraId="5E56F190" w14:textId="77777777" w:rsidTr="004A33EB">
        <w:trPr>
          <w:trHeight w:val="73"/>
        </w:trPr>
        <w:tc>
          <w:tcPr>
            <w:tcW w:w="1806" w:type="pct"/>
            <w:gridSpan w:val="4"/>
            <w:shd w:val="clear" w:color="auto" w:fill="auto"/>
            <w:vAlign w:val="center"/>
          </w:tcPr>
          <w:p w14:paraId="2556723D" w14:textId="77777777" w:rsidR="00E63352" w:rsidRPr="009931F4" w:rsidRDefault="00E63352" w:rsidP="00C0058C">
            <w:pPr>
              <w:spacing w:after="60"/>
              <w:jc w:val="center"/>
              <w:rPr>
                <w:sz w:val="20"/>
              </w:rPr>
            </w:pPr>
          </w:p>
        </w:tc>
        <w:tc>
          <w:tcPr>
            <w:tcW w:w="459" w:type="pct"/>
            <w:shd w:val="clear" w:color="auto" w:fill="auto"/>
            <w:vAlign w:val="center"/>
          </w:tcPr>
          <w:p w14:paraId="006961EF" w14:textId="77777777" w:rsidR="00E63352" w:rsidRPr="00996241" w:rsidRDefault="00E63352" w:rsidP="00C0058C">
            <w:pPr>
              <w:spacing w:after="60"/>
              <w:jc w:val="center"/>
              <w:rPr>
                <w:sz w:val="20"/>
              </w:rPr>
            </w:pPr>
            <w:r>
              <w:rPr>
                <w:sz w:val="20"/>
              </w:rPr>
              <w:t>Fabrication</w:t>
            </w:r>
          </w:p>
        </w:tc>
        <w:tc>
          <w:tcPr>
            <w:tcW w:w="451" w:type="pct"/>
            <w:shd w:val="clear" w:color="auto" w:fill="auto"/>
            <w:vAlign w:val="center"/>
          </w:tcPr>
          <w:p w14:paraId="65DEC425" w14:textId="77777777" w:rsidR="00E63352" w:rsidRPr="00996241" w:rsidRDefault="00E63352" w:rsidP="00C0058C">
            <w:pPr>
              <w:spacing w:after="60"/>
              <w:jc w:val="center"/>
              <w:rPr>
                <w:sz w:val="20"/>
              </w:rPr>
            </w:pPr>
            <w:r>
              <w:rPr>
                <w:sz w:val="20"/>
              </w:rPr>
              <w:t>Entretien</w:t>
            </w:r>
          </w:p>
        </w:tc>
        <w:tc>
          <w:tcPr>
            <w:tcW w:w="2284" w:type="pct"/>
            <w:gridSpan w:val="5"/>
            <w:shd w:val="clear" w:color="auto" w:fill="auto"/>
            <w:vAlign w:val="center"/>
          </w:tcPr>
          <w:p w14:paraId="2E17B3BC" w14:textId="77777777" w:rsidR="00E63352" w:rsidRPr="00996241" w:rsidRDefault="00E63352" w:rsidP="00C0058C">
            <w:pPr>
              <w:spacing w:after="60"/>
              <w:jc w:val="center"/>
              <w:rPr>
                <w:sz w:val="20"/>
              </w:rPr>
            </w:pPr>
          </w:p>
        </w:tc>
      </w:tr>
      <w:tr w:rsidR="004A33EB" w:rsidRPr="00EB31E3" w14:paraId="3D11FD65" w14:textId="77777777" w:rsidTr="004A33EB">
        <w:trPr>
          <w:trHeight w:val="262"/>
        </w:trPr>
        <w:tc>
          <w:tcPr>
            <w:tcW w:w="602" w:type="pct"/>
            <w:shd w:val="clear" w:color="auto" w:fill="auto"/>
          </w:tcPr>
          <w:p w14:paraId="487DF8FA" w14:textId="77777777" w:rsidR="00E63352" w:rsidRPr="00D93390" w:rsidRDefault="00E63352" w:rsidP="003532C0">
            <w:pPr>
              <w:spacing w:after="60"/>
              <w:jc w:val="center"/>
              <w:rPr>
                <w:sz w:val="20"/>
              </w:rPr>
            </w:pPr>
            <w:r>
              <w:rPr>
                <w:color w:val="000000" w:themeColor="text1"/>
                <w:sz w:val="20"/>
              </w:rPr>
              <w:t>HCFC-22</w:t>
            </w:r>
          </w:p>
        </w:tc>
        <w:tc>
          <w:tcPr>
            <w:tcW w:w="371" w:type="pct"/>
            <w:shd w:val="clear" w:color="auto" w:fill="auto"/>
          </w:tcPr>
          <w:p w14:paraId="23C57C98" w14:textId="77777777" w:rsidR="00E63352" w:rsidRPr="00D93390" w:rsidRDefault="00E63352" w:rsidP="003532C0">
            <w:pPr>
              <w:spacing w:after="60"/>
              <w:jc w:val="center"/>
              <w:rPr>
                <w:sz w:val="20"/>
              </w:rPr>
            </w:pPr>
          </w:p>
        </w:tc>
        <w:tc>
          <w:tcPr>
            <w:tcW w:w="417" w:type="pct"/>
            <w:shd w:val="clear" w:color="auto" w:fill="auto"/>
          </w:tcPr>
          <w:p w14:paraId="6A498AAA" w14:textId="77777777" w:rsidR="00E63352" w:rsidRPr="00D93390" w:rsidRDefault="00E63352" w:rsidP="003532C0">
            <w:pPr>
              <w:spacing w:after="60"/>
              <w:jc w:val="center"/>
              <w:rPr>
                <w:sz w:val="20"/>
              </w:rPr>
            </w:pPr>
          </w:p>
        </w:tc>
        <w:tc>
          <w:tcPr>
            <w:tcW w:w="416" w:type="pct"/>
            <w:shd w:val="clear" w:color="auto" w:fill="auto"/>
          </w:tcPr>
          <w:p w14:paraId="2259857C" w14:textId="77777777" w:rsidR="00E63352" w:rsidRPr="00D93390" w:rsidRDefault="00E63352" w:rsidP="003532C0">
            <w:pPr>
              <w:spacing w:after="60"/>
              <w:jc w:val="center"/>
              <w:rPr>
                <w:sz w:val="20"/>
              </w:rPr>
            </w:pPr>
          </w:p>
        </w:tc>
        <w:tc>
          <w:tcPr>
            <w:tcW w:w="459" w:type="pct"/>
            <w:shd w:val="clear" w:color="auto" w:fill="auto"/>
          </w:tcPr>
          <w:p w14:paraId="5F62A4D6" w14:textId="77777777" w:rsidR="00E63352" w:rsidRPr="00D93390" w:rsidRDefault="00E63352" w:rsidP="003532C0">
            <w:pPr>
              <w:spacing w:after="60"/>
              <w:jc w:val="center"/>
              <w:rPr>
                <w:sz w:val="20"/>
              </w:rPr>
            </w:pPr>
          </w:p>
        </w:tc>
        <w:tc>
          <w:tcPr>
            <w:tcW w:w="451" w:type="pct"/>
            <w:shd w:val="clear" w:color="auto" w:fill="auto"/>
          </w:tcPr>
          <w:p w14:paraId="665A87D2" w14:textId="77777777" w:rsidR="00E63352" w:rsidRPr="00D93390" w:rsidRDefault="00E63352" w:rsidP="003532C0">
            <w:pPr>
              <w:spacing w:after="60"/>
              <w:ind w:right="1"/>
              <w:jc w:val="center"/>
              <w:rPr>
                <w:sz w:val="20"/>
              </w:rPr>
            </w:pPr>
            <w:r>
              <w:rPr>
                <w:sz w:val="20"/>
              </w:rPr>
              <w:t>0,03</w:t>
            </w:r>
          </w:p>
        </w:tc>
        <w:tc>
          <w:tcPr>
            <w:tcW w:w="480" w:type="pct"/>
            <w:shd w:val="clear" w:color="auto" w:fill="auto"/>
          </w:tcPr>
          <w:p w14:paraId="3A197A93" w14:textId="77777777" w:rsidR="00E63352" w:rsidRPr="00D93390" w:rsidRDefault="00E63352" w:rsidP="003532C0">
            <w:pPr>
              <w:spacing w:after="60"/>
              <w:jc w:val="center"/>
              <w:rPr>
                <w:sz w:val="20"/>
              </w:rPr>
            </w:pPr>
          </w:p>
        </w:tc>
        <w:tc>
          <w:tcPr>
            <w:tcW w:w="604" w:type="pct"/>
            <w:shd w:val="clear" w:color="auto" w:fill="auto"/>
          </w:tcPr>
          <w:p w14:paraId="7E8039D5" w14:textId="77777777" w:rsidR="00E63352" w:rsidRPr="00D93390" w:rsidRDefault="00E63352" w:rsidP="003532C0">
            <w:pPr>
              <w:spacing w:after="60"/>
              <w:jc w:val="center"/>
              <w:rPr>
                <w:sz w:val="20"/>
              </w:rPr>
            </w:pPr>
          </w:p>
        </w:tc>
        <w:tc>
          <w:tcPr>
            <w:tcW w:w="523" w:type="pct"/>
            <w:gridSpan w:val="2"/>
            <w:shd w:val="clear" w:color="auto" w:fill="auto"/>
          </w:tcPr>
          <w:p w14:paraId="183797D1" w14:textId="77777777" w:rsidR="00E63352" w:rsidRPr="00D93390" w:rsidRDefault="00E63352" w:rsidP="003532C0">
            <w:pPr>
              <w:spacing w:after="60"/>
              <w:jc w:val="center"/>
              <w:rPr>
                <w:sz w:val="20"/>
              </w:rPr>
            </w:pPr>
          </w:p>
        </w:tc>
        <w:tc>
          <w:tcPr>
            <w:tcW w:w="677" w:type="pct"/>
            <w:shd w:val="clear" w:color="auto" w:fill="auto"/>
          </w:tcPr>
          <w:p w14:paraId="27C7F515" w14:textId="38369ABD" w:rsidR="00E63352" w:rsidRPr="00996241" w:rsidRDefault="00E63352" w:rsidP="003532C0">
            <w:pPr>
              <w:spacing w:after="60"/>
              <w:ind w:right="38"/>
              <w:jc w:val="center"/>
              <w:rPr>
                <w:sz w:val="20"/>
              </w:rPr>
            </w:pPr>
            <w:r>
              <w:rPr>
                <w:sz w:val="20"/>
              </w:rPr>
              <w:t>0,03</w:t>
            </w:r>
          </w:p>
        </w:tc>
      </w:tr>
    </w:tbl>
    <w:p w14:paraId="7632F291" w14:textId="77777777" w:rsidR="00E63352" w:rsidRPr="00AB4657" w:rsidRDefault="00E63352" w:rsidP="00E63352">
      <w:pPr>
        <w:jc w:val="center"/>
        <w:rPr>
          <w:sz w:val="16"/>
          <w:szCs w:val="16"/>
        </w:rPr>
      </w:pPr>
    </w:p>
    <w:tbl>
      <w:tblPr>
        <w:tblStyle w:val="TableGrid"/>
        <w:tblW w:w="5195" w:type="pct"/>
        <w:tblInd w:w="-365" w:type="dxa"/>
        <w:tblLook w:val="04A0" w:firstRow="1" w:lastRow="0" w:firstColumn="1" w:lastColumn="0" w:noHBand="0" w:noVBand="1"/>
      </w:tblPr>
      <w:tblGrid>
        <w:gridCol w:w="2427"/>
        <w:gridCol w:w="1619"/>
        <w:gridCol w:w="4346"/>
        <w:gridCol w:w="1323"/>
      </w:tblGrid>
      <w:tr w:rsidR="00E63352" w:rsidRPr="00EB31E3" w14:paraId="139425A2" w14:textId="77777777" w:rsidTr="004A33EB">
        <w:trPr>
          <w:trHeight w:val="272"/>
        </w:trPr>
        <w:tc>
          <w:tcPr>
            <w:tcW w:w="5000" w:type="pct"/>
            <w:gridSpan w:val="4"/>
            <w:shd w:val="clear" w:color="auto" w:fill="auto"/>
          </w:tcPr>
          <w:p w14:paraId="1B908D94" w14:textId="77777777" w:rsidR="00E63352" w:rsidRPr="00996241" w:rsidRDefault="00E63352" w:rsidP="00C0058C">
            <w:pPr>
              <w:jc w:val="left"/>
              <w:rPr>
                <w:b/>
                <w:sz w:val="20"/>
              </w:rPr>
            </w:pPr>
            <w:r>
              <w:rPr>
                <w:b/>
                <w:sz w:val="20"/>
              </w:rPr>
              <w:t>(IV) DONNÉES SUR LA CONSOMMATION (tonnes PAO)</w:t>
            </w:r>
          </w:p>
        </w:tc>
      </w:tr>
      <w:tr w:rsidR="00E63352" w:rsidRPr="00EB31E3" w14:paraId="51998242" w14:textId="77777777" w:rsidTr="004A33EB">
        <w:trPr>
          <w:trHeight w:val="272"/>
        </w:trPr>
        <w:tc>
          <w:tcPr>
            <w:tcW w:w="1249" w:type="pct"/>
            <w:shd w:val="clear" w:color="auto" w:fill="auto"/>
          </w:tcPr>
          <w:p w14:paraId="35747A8A" w14:textId="77777777" w:rsidR="00E63352" w:rsidRPr="009931F4" w:rsidRDefault="00E63352" w:rsidP="00C0058C">
            <w:pPr>
              <w:spacing w:after="60"/>
              <w:jc w:val="center"/>
              <w:rPr>
                <w:sz w:val="20"/>
              </w:rPr>
            </w:pPr>
            <w:r>
              <w:rPr>
                <w:sz w:val="20"/>
              </w:rPr>
              <w:t>Référence 2009-2010 :</w:t>
            </w:r>
          </w:p>
        </w:tc>
        <w:tc>
          <w:tcPr>
            <w:tcW w:w="833" w:type="pct"/>
            <w:shd w:val="clear" w:color="auto" w:fill="auto"/>
          </w:tcPr>
          <w:p w14:paraId="508DCCEF" w14:textId="77777777" w:rsidR="00E63352" w:rsidRPr="001D7F6F" w:rsidRDefault="00E63352" w:rsidP="003532C0">
            <w:pPr>
              <w:spacing w:after="60"/>
              <w:ind w:right="39"/>
              <w:jc w:val="center"/>
              <w:rPr>
                <w:sz w:val="20"/>
              </w:rPr>
            </w:pPr>
            <w:r>
              <w:rPr>
                <w:color w:val="000000" w:themeColor="text1"/>
                <w:sz w:val="20"/>
              </w:rPr>
              <w:t>0,14</w:t>
            </w:r>
          </w:p>
        </w:tc>
        <w:tc>
          <w:tcPr>
            <w:tcW w:w="2237" w:type="pct"/>
            <w:shd w:val="clear" w:color="auto" w:fill="auto"/>
          </w:tcPr>
          <w:p w14:paraId="6AFBCDA1" w14:textId="77777777" w:rsidR="00E63352" w:rsidRPr="001D7F6F" w:rsidRDefault="00E63352" w:rsidP="00C0058C">
            <w:pPr>
              <w:spacing w:after="60"/>
              <w:jc w:val="center"/>
              <w:rPr>
                <w:sz w:val="20"/>
              </w:rPr>
            </w:pPr>
            <w:r>
              <w:rPr>
                <w:sz w:val="20"/>
              </w:rPr>
              <w:t>Point de départ des réductions globales durables :</w:t>
            </w:r>
          </w:p>
        </w:tc>
        <w:tc>
          <w:tcPr>
            <w:tcW w:w="681" w:type="pct"/>
            <w:shd w:val="clear" w:color="auto" w:fill="auto"/>
          </w:tcPr>
          <w:p w14:paraId="590C8D67" w14:textId="77777777" w:rsidR="00E63352" w:rsidRPr="003532C0" w:rsidRDefault="00E63352" w:rsidP="003532C0">
            <w:pPr>
              <w:spacing w:after="60"/>
              <w:ind w:right="39"/>
              <w:jc w:val="center"/>
              <w:rPr>
                <w:color w:val="000000" w:themeColor="text1"/>
                <w:sz w:val="20"/>
              </w:rPr>
            </w:pPr>
            <w:r w:rsidRPr="003532C0">
              <w:rPr>
                <w:color w:val="000000" w:themeColor="text1"/>
                <w:sz w:val="20"/>
              </w:rPr>
              <w:t>0,14</w:t>
            </w:r>
          </w:p>
        </w:tc>
      </w:tr>
      <w:tr w:rsidR="00E63352" w:rsidRPr="00EB31E3" w14:paraId="35C48CB2" w14:textId="77777777" w:rsidTr="004A33EB">
        <w:trPr>
          <w:trHeight w:val="163"/>
        </w:trPr>
        <w:tc>
          <w:tcPr>
            <w:tcW w:w="5000" w:type="pct"/>
            <w:gridSpan w:val="4"/>
            <w:shd w:val="clear" w:color="auto" w:fill="auto"/>
          </w:tcPr>
          <w:p w14:paraId="0926EFA7" w14:textId="77777777" w:rsidR="00E63352" w:rsidRPr="009931F4" w:rsidRDefault="00E63352" w:rsidP="00C0058C">
            <w:pPr>
              <w:tabs>
                <w:tab w:val="left" w:pos="993"/>
              </w:tabs>
              <w:ind w:left="426"/>
              <w:jc w:val="left"/>
              <w:rPr>
                <w:b/>
                <w:sz w:val="20"/>
              </w:rPr>
            </w:pPr>
            <w:r>
              <w:rPr>
                <w:b/>
                <w:sz w:val="20"/>
              </w:rPr>
              <w:t>CONSOMMATION ADMISSIBLE AU FINANCEMENT</w:t>
            </w:r>
          </w:p>
        </w:tc>
      </w:tr>
      <w:tr w:rsidR="00E63352" w:rsidRPr="00EB31E3" w14:paraId="1DBA3AE6" w14:textId="77777777" w:rsidTr="004A33EB">
        <w:trPr>
          <w:trHeight w:val="272"/>
        </w:trPr>
        <w:tc>
          <w:tcPr>
            <w:tcW w:w="1249" w:type="pct"/>
            <w:shd w:val="clear" w:color="auto" w:fill="auto"/>
          </w:tcPr>
          <w:p w14:paraId="505656E3" w14:textId="77777777" w:rsidR="00E63352" w:rsidRPr="009931F4" w:rsidRDefault="00E63352" w:rsidP="00C0058C">
            <w:pPr>
              <w:spacing w:after="60"/>
              <w:jc w:val="center"/>
              <w:rPr>
                <w:sz w:val="20"/>
              </w:rPr>
            </w:pPr>
            <w:r>
              <w:rPr>
                <w:sz w:val="20"/>
              </w:rPr>
              <w:t>Déjà approuvée :</w:t>
            </w:r>
          </w:p>
        </w:tc>
        <w:tc>
          <w:tcPr>
            <w:tcW w:w="833" w:type="pct"/>
            <w:shd w:val="clear" w:color="auto" w:fill="auto"/>
          </w:tcPr>
          <w:p w14:paraId="1B503495" w14:textId="77777777" w:rsidR="00E63352" w:rsidRPr="003532C0" w:rsidRDefault="00E63352" w:rsidP="003532C0">
            <w:pPr>
              <w:spacing w:after="60"/>
              <w:ind w:right="39"/>
              <w:jc w:val="center"/>
              <w:rPr>
                <w:color w:val="000000" w:themeColor="text1"/>
                <w:sz w:val="20"/>
              </w:rPr>
            </w:pPr>
            <w:r w:rsidRPr="003532C0">
              <w:rPr>
                <w:color w:val="000000" w:themeColor="text1"/>
                <w:sz w:val="20"/>
              </w:rPr>
              <w:t>0,05</w:t>
            </w:r>
          </w:p>
        </w:tc>
        <w:tc>
          <w:tcPr>
            <w:tcW w:w="2237" w:type="pct"/>
            <w:shd w:val="clear" w:color="auto" w:fill="auto"/>
          </w:tcPr>
          <w:p w14:paraId="6EFE041B" w14:textId="77777777" w:rsidR="00E63352" w:rsidRPr="00996241" w:rsidRDefault="00E63352" w:rsidP="00C0058C">
            <w:pPr>
              <w:spacing w:after="60"/>
              <w:jc w:val="center"/>
              <w:rPr>
                <w:sz w:val="20"/>
              </w:rPr>
            </w:pPr>
            <w:r>
              <w:rPr>
                <w:sz w:val="20"/>
              </w:rPr>
              <w:t>Restante :</w:t>
            </w:r>
          </w:p>
        </w:tc>
        <w:tc>
          <w:tcPr>
            <w:tcW w:w="681" w:type="pct"/>
            <w:shd w:val="clear" w:color="auto" w:fill="auto"/>
          </w:tcPr>
          <w:p w14:paraId="21F060B1" w14:textId="77777777" w:rsidR="00E63352" w:rsidRPr="003532C0" w:rsidRDefault="00E63352" w:rsidP="003532C0">
            <w:pPr>
              <w:spacing w:after="60"/>
              <w:ind w:right="39"/>
              <w:jc w:val="center"/>
              <w:rPr>
                <w:color w:val="000000" w:themeColor="text1"/>
                <w:sz w:val="20"/>
              </w:rPr>
            </w:pPr>
            <w:r w:rsidRPr="003532C0">
              <w:rPr>
                <w:color w:val="000000" w:themeColor="text1"/>
                <w:sz w:val="20"/>
              </w:rPr>
              <w:t>0,09</w:t>
            </w:r>
          </w:p>
        </w:tc>
      </w:tr>
    </w:tbl>
    <w:p w14:paraId="0C723FCE" w14:textId="77777777" w:rsidR="00E63352" w:rsidRPr="00AB4657" w:rsidRDefault="00E63352" w:rsidP="00E63352">
      <w:pPr>
        <w:jc w:val="center"/>
        <w:rPr>
          <w:sz w:val="16"/>
          <w:szCs w:val="16"/>
        </w:rPr>
      </w:pPr>
    </w:p>
    <w:tbl>
      <w:tblPr>
        <w:tblStyle w:val="TableGrid"/>
        <w:tblW w:w="5195" w:type="pct"/>
        <w:tblInd w:w="-365" w:type="dxa"/>
        <w:tblLook w:val="04A0" w:firstRow="1" w:lastRow="0" w:firstColumn="1" w:lastColumn="0" w:noHBand="0" w:noVBand="1"/>
      </w:tblPr>
      <w:tblGrid>
        <w:gridCol w:w="1581"/>
        <w:gridCol w:w="2623"/>
        <w:gridCol w:w="1306"/>
        <w:gridCol w:w="1403"/>
        <w:gridCol w:w="1401"/>
        <w:gridCol w:w="1401"/>
      </w:tblGrid>
      <w:tr w:rsidR="00E63352" w:rsidRPr="00EB31E3" w14:paraId="13B943BF" w14:textId="77777777" w:rsidTr="004A33EB">
        <w:trPr>
          <w:trHeight w:val="450"/>
        </w:trPr>
        <w:tc>
          <w:tcPr>
            <w:tcW w:w="2164" w:type="pct"/>
            <w:gridSpan w:val="2"/>
            <w:shd w:val="clear" w:color="auto" w:fill="auto"/>
            <w:vAlign w:val="center"/>
          </w:tcPr>
          <w:p w14:paraId="160688CC" w14:textId="77777777" w:rsidR="00E63352" w:rsidRPr="00996241" w:rsidRDefault="00E63352" w:rsidP="00C0058C">
            <w:pPr>
              <w:spacing w:after="60"/>
              <w:jc w:val="left"/>
              <w:rPr>
                <w:b/>
                <w:sz w:val="20"/>
              </w:rPr>
            </w:pPr>
            <w:r>
              <w:rPr>
                <w:b/>
                <w:sz w:val="20"/>
              </w:rPr>
              <w:t>(V) PLAN D’ACTIVITÉS ENTÉRINÉ</w:t>
            </w:r>
          </w:p>
        </w:tc>
        <w:tc>
          <w:tcPr>
            <w:tcW w:w="672" w:type="pct"/>
            <w:vAlign w:val="center"/>
          </w:tcPr>
          <w:p w14:paraId="13BAAE1D" w14:textId="77777777" w:rsidR="00E63352" w:rsidRPr="00996241" w:rsidRDefault="00E63352" w:rsidP="00C0058C">
            <w:pPr>
              <w:spacing w:after="60"/>
              <w:jc w:val="center"/>
              <w:rPr>
                <w:b/>
                <w:sz w:val="20"/>
              </w:rPr>
            </w:pPr>
            <w:r>
              <w:rPr>
                <w:b/>
                <w:sz w:val="20"/>
              </w:rPr>
              <w:t>2024</w:t>
            </w:r>
          </w:p>
        </w:tc>
        <w:tc>
          <w:tcPr>
            <w:tcW w:w="722" w:type="pct"/>
            <w:vAlign w:val="center"/>
          </w:tcPr>
          <w:p w14:paraId="7BB64441" w14:textId="77777777" w:rsidR="00E63352" w:rsidRPr="00996241" w:rsidRDefault="00E63352" w:rsidP="00C0058C">
            <w:pPr>
              <w:spacing w:after="60"/>
              <w:jc w:val="center"/>
              <w:rPr>
                <w:b/>
                <w:sz w:val="20"/>
              </w:rPr>
            </w:pPr>
            <w:r>
              <w:rPr>
                <w:b/>
                <w:sz w:val="20"/>
              </w:rPr>
              <w:t>2025</w:t>
            </w:r>
          </w:p>
        </w:tc>
        <w:tc>
          <w:tcPr>
            <w:tcW w:w="721" w:type="pct"/>
            <w:vAlign w:val="center"/>
          </w:tcPr>
          <w:p w14:paraId="1A657AE2" w14:textId="77777777" w:rsidR="00E63352" w:rsidRPr="00996241" w:rsidRDefault="00E63352" w:rsidP="00C0058C">
            <w:pPr>
              <w:spacing w:after="60"/>
              <w:jc w:val="center"/>
              <w:rPr>
                <w:b/>
                <w:sz w:val="20"/>
              </w:rPr>
            </w:pPr>
            <w:r>
              <w:rPr>
                <w:b/>
                <w:sz w:val="20"/>
              </w:rPr>
              <w:t>2026</w:t>
            </w:r>
          </w:p>
        </w:tc>
        <w:tc>
          <w:tcPr>
            <w:tcW w:w="721" w:type="pct"/>
            <w:shd w:val="clear" w:color="auto" w:fill="auto"/>
            <w:vAlign w:val="center"/>
          </w:tcPr>
          <w:p w14:paraId="422800F3" w14:textId="77777777" w:rsidR="00E63352" w:rsidRPr="00996241" w:rsidRDefault="00E63352" w:rsidP="00C0058C">
            <w:pPr>
              <w:spacing w:after="60"/>
              <w:jc w:val="center"/>
              <w:rPr>
                <w:b/>
                <w:sz w:val="20"/>
              </w:rPr>
            </w:pPr>
            <w:r>
              <w:rPr>
                <w:b/>
                <w:sz w:val="20"/>
              </w:rPr>
              <w:t>Total</w:t>
            </w:r>
          </w:p>
        </w:tc>
      </w:tr>
      <w:tr w:rsidR="00E63352" w:rsidRPr="00EB31E3" w14:paraId="66667908" w14:textId="77777777" w:rsidTr="004A33EB">
        <w:trPr>
          <w:trHeight w:val="258"/>
        </w:trPr>
        <w:tc>
          <w:tcPr>
            <w:tcW w:w="814" w:type="pct"/>
            <w:vMerge w:val="restart"/>
            <w:shd w:val="clear" w:color="auto" w:fill="auto"/>
            <w:vAlign w:val="center"/>
          </w:tcPr>
          <w:p w14:paraId="4568A538" w14:textId="77777777" w:rsidR="00E63352" w:rsidRPr="00B4750C" w:rsidRDefault="00E63352" w:rsidP="00C0058C">
            <w:pPr>
              <w:spacing w:after="60"/>
              <w:jc w:val="center"/>
              <w:rPr>
                <w:sz w:val="20"/>
              </w:rPr>
            </w:pPr>
            <w:r>
              <w:rPr>
                <w:color w:val="000000" w:themeColor="text1"/>
                <w:sz w:val="20"/>
              </w:rPr>
              <w:t>PNUE</w:t>
            </w:r>
          </w:p>
        </w:tc>
        <w:tc>
          <w:tcPr>
            <w:tcW w:w="1350" w:type="pct"/>
            <w:shd w:val="clear" w:color="auto" w:fill="auto"/>
          </w:tcPr>
          <w:p w14:paraId="5A971CF9" w14:textId="77777777" w:rsidR="00E63352" w:rsidRPr="00996241" w:rsidRDefault="00E63352" w:rsidP="00C0058C">
            <w:pPr>
              <w:spacing w:after="60"/>
              <w:jc w:val="left"/>
              <w:rPr>
                <w:sz w:val="20"/>
              </w:rPr>
            </w:pPr>
            <w:r>
              <w:rPr>
                <w:sz w:val="20"/>
              </w:rPr>
              <w:t>Élimination des SAO (tonnes PAO)</w:t>
            </w:r>
          </w:p>
        </w:tc>
        <w:tc>
          <w:tcPr>
            <w:tcW w:w="672" w:type="pct"/>
            <w:shd w:val="clear" w:color="auto" w:fill="auto"/>
          </w:tcPr>
          <w:p w14:paraId="723F6F2B" w14:textId="77777777" w:rsidR="00E63352" w:rsidRPr="00996241" w:rsidRDefault="00E63352" w:rsidP="003532C0">
            <w:pPr>
              <w:spacing w:after="60"/>
              <w:ind w:right="82"/>
              <w:jc w:val="center"/>
              <w:rPr>
                <w:sz w:val="20"/>
              </w:rPr>
            </w:pPr>
            <w:r>
              <w:rPr>
                <w:sz w:val="20"/>
              </w:rPr>
              <w:t>0,0</w:t>
            </w:r>
          </w:p>
        </w:tc>
        <w:tc>
          <w:tcPr>
            <w:tcW w:w="722" w:type="pct"/>
          </w:tcPr>
          <w:p w14:paraId="0698C859" w14:textId="77777777" w:rsidR="00E63352" w:rsidRPr="00996241" w:rsidRDefault="00E63352" w:rsidP="003532C0">
            <w:pPr>
              <w:spacing w:after="60"/>
              <w:jc w:val="center"/>
              <w:rPr>
                <w:sz w:val="20"/>
              </w:rPr>
            </w:pPr>
            <w:r>
              <w:rPr>
                <w:sz w:val="20"/>
              </w:rPr>
              <w:t>0,0</w:t>
            </w:r>
          </w:p>
        </w:tc>
        <w:tc>
          <w:tcPr>
            <w:tcW w:w="721" w:type="pct"/>
            <w:shd w:val="clear" w:color="auto" w:fill="auto"/>
          </w:tcPr>
          <w:p w14:paraId="2E4ABE66" w14:textId="77777777" w:rsidR="00E63352" w:rsidRPr="00996241" w:rsidRDefault="00E63352" w:rsidP="003532C0">
            <w:pPr>
              <w:spacing w:after="60"/>
              <w:jc w:val="center"/>
              <w:rPr>
                <w:sz w:val="20"/>
              </w:rPr>
            </w:pPr>
            <w:r>
              <w:rPr>
                <w:sz w:val="20"/>
              </w:rPr>
              <w:t>0,0</w:t>
            </w:r>
          </w:p>
        </w:tc>
        <w:tc>
          <w:tcPr>
            <w:tcW w:w="721" w:type="pct"/>
            <w:shd w:val="clear" w:color="auto" w:fill="auto"/>
          </w:tcPr>
          <w:p w14:paraId="04770E26" w14:textId="77777777" w:rsidR="00E63352" w:rsidRPr="006B525D" w:rsidRDefault="00E63352" w:rsidP="003532C0">
            <w:pPr>
              <w:spacing w:after="60"/>
              <w:jc w:val="center"/>
              <w:rPr>
                <w:sz w:val="20"/>
              </w:rPr>
            </w:pPr>
            <w:r>
              <w:rPr>
                <w:sz w:val="20"/>
              </w:rPr>
              <w:t>0,0</w:t>
            </w:r>
          </w:p>
        </w:tc>
      </w:tr>
      <w:tr w:rsidR="00E63352" w:rsidRPr="00EB31E3" w14:paraId="2ED68862" w14:textId="77777777" w:rsidTr="004A33EB">
        <w:trPr>
          <w:trHeight w:val="258"/>
        </w:trPr>
        <w:tc>
          <w:tcPr>
            <w:tcW w:w="814" w:type="pct"/>
            <w:vMerge/>
            <w:shd w:val="clear" w:color="auto" w:fill="auto"/>
            <w:vAlign w:val="center"/>
          </w:tcPr>
          <w:p w14:paraId="043E0EB6" w14:textId="77777777" w:rsidR="00E63352" w:rsidRPr="00996241" w:rsidRDefault="00E63352" w:rsidP="00C0058C">
            <w:pPr>
              <w:spacing w:after="60"/>
              <w:jc w:val="center"/>
              <w:rPr>
                <w:sz w:val="20"/>
              </w:rPr>
            </w:pPr>
          </w:p>
        </w:tc>
        <w:tc>
          <w:tcPr>
            <w:tcW w:w="1350" w:type="pct"/>
            <w:shd w:val="clear" w:color="auto" w:fill="auto"/>
          </w:tcPr>
          <w:p w14:paraId="5BC717AF" w14:textId="77777777" w:rsidR="00E63352" w:rsidRPr="00996241" w:rsidRDefault="00E63352" w:rsidP="00C0058C">
            <w:pPr>
              <w:spacing w:after="60"/>
              <w:jc w:val="left"/>
              <w:rPr>
                <w:sz w:val="20"/>
              </w:rPr>
            </w:pPr>
            <w:r>
              <w:rPr>
                <w:sz w:val="20"/>
              </w:rPr>
              <w:t>Financement ($ US)</w:t>
            </w:r>
          </w:p>
        </w:tc>
        <w:tc>
          <w:tcPr>
            <w:tcW w:w="672" w:type="pct"/>
            <w:shd w:val="clear" w:color="auto" w:fill="auto"/>
          </w:tcPr>
          <w:p w14:paraId="7FE47DEB" w14:textId="77777777" w:rsidR="00E63352" w:rsidRPr="00FD68A0" w:rsidRDefault="00E63352" w:rsidP="003532C0">
            <w:pPr>
              <w:jc w:val="center"/>
              <w:rPr>
                <w:sz w:val="20"/>
                <w:szCs w:val="20"/>
              </w:rPr>
            </w:pPr>
            <w:r>
              <w:rPr>
                <w:sz w:val="20"/>
              </w:rPr>
              <w:t>213 309</w:t>
            </w:r>
            <w:r>
              <w:rPr>
                <w:sz w:val="18"/>
              </w:rPr>
              <w:t>*</w:t>
            </w:r>
          </w:p>
        </w:tc>
        <w:tc>
          <w:tcPr>
            <w:tcW w:w="722" w:type="pct"/>
          </w:tcPr>
          <w:p w14:paraId="7BBFAF68" w14:textId="77777777" w:rsidR="00E63352" w:rsidRPr="00996241" w:rsidRDefault="00E63352" w:rsidP="003532C0">
            <w:pPr>
              <w:spacing w:after="60"/>
              <w:jc w:val="center"/>
              <w:rPr>
                <w:sz w:val="20"/>
              </w:rPr>
            </w:pPr>
            <w:r>
              <w:rPr>
                <w:sz w:val="20"/>
              </w:rPr>
              <w:t>0</w:t>
            </w:r>
          </w:p>
        </w:tc>
        <w:tc>
          <w:tcPr>
            <w:tcW w:w="721" w:type="pct"/>
            <w:shd w:val="clear" w:color="auto" w:fill="auto"/>
          </w:tcPr>
          <w:p w14:paraId="03B91F8C" w14:textId="77777777" w:rsidR="00E63352" w:rsidRPr="00D106CA" w:rsidRDefault="00E63352" w:rsidP="003532C0">
            <w:pPr>
              <w:jc w:val="center"/>
              <w:rPr>
                <w:sz w:val="20"/>
                <w:szCs w:val="20"/>
              </w:rPr>
            </w:pPr>
            <w:r>
              <w:rPr>
                <w:sz w:val="20"/>
              </w:rPr>
              <w:t>122 040</w:t>
            </w:r>
          </w:p>
        </w:tc>
        <w:tc>
          <w:tcPr>
            <w:tcW w:w="721" w:type="pct"/>
            <w:shd w:val="clear" w:color="auto" w:fill="auto"/>
          </w:tcPr>
          <w:p w14:paraId="6FFBED96" w14:textId="77777777" w:rsidR="00E63352" w:rsidRPr="00C928F2" w:rsidRDefault="00E63352" w:rsidP="003532C0">
            <w:pPr>
              <w:jc w:val="center"/>
              <w:rPr>
                <w:sz w:val="20"/>
                <w:szCs w:val="20"/>
              </w:rPr>
            </w:pPr>
            <w:r>
              <w:rPr>
                <w:sz w:val="20"/>
              </w:rPr>
              <w:t>335 349</w:t>
            </w:r>
          </w:p>
        </w:tc>
      </w:tr>
    </w:tbl>
    <w:p w14:paraId="773AD8DC" w14:textId="77777777" w:rsidR="00E63352" w:rsidRPr="008D5680" w:rsidRDefault="00E63352" w:rsidP="00A917DB">
      <w:pPr>
        <w:rPr>
          <w:sz w:val="18"/>
          <w:szCs w:val="18"/>
        </w:rPr>
      </w:pPr>
      <w:bookmarkStart w:id="0" w:name="_Hlk165389622"/>
      <w:r>
        <w:rPr>
          <w:sz w:val="18"/>
        </w:rPr>
        <w:t>*Y compris 113 000 $ US pour des activités supplémentaires visant à maintenir l’efficacité énergétique conformément à la décision 89/6</w:t>
      </w:r>
    </w:p>
    <w:bookmarkEnd w:id="0"/>
    <w:p w14:paraId="279E7825" w14:textId="77777777" w:rsidR="00E63352" w:rsidRPr="00AB4657" w:rsidRDefault="00E63352" w:rsidP="00AB4657">
      <w:pPr>
        <w:jc w:val="center"/>
        <w:rPr>
          <w:sz w:val="16"/>
          <w:szCs w:val="16"/>
        </w:rPr>
      </w:pPr>
    </w:p>
    <w:tbl>
      <w:tblPr>
        <w:tblStyle w:val="TableGrid"/>
        <w:tblW w:w="5195" w:type="pct"/>
        <w:tblInd w:w="-365" w:type="dxa"/>
        <w:tblLook w:val="04A0" w:firstRow="1" w:lastRow="0" w:firstColumn="1" w:lastColumn="0" w:noHBand="0" w:noVBand="1"/>
      </w:tblPr>
      <w:tblGrid>
        <w:gridCol w:w="2061"/>
        <w:gridCol w:w="793"/>
        <w:gridCol w:w="1335"/>
        <w:gridCol w:w="923"/>
        <w:gridCol w:w="923"/>
        <w:gridCol w:w="923"/>
        <w:gridCol w:w="923"/>
        <w:gridCol w:w="923"/>
        <w:gridCol w:w="911"/>
      </w:tblGrid>
      <w:tr w:rsidR="00E63352" w:rsidRPr="00996241" w14:paraId="275DAEC4" w14:textId="77777777" w:rsidTr="004A33EB">
        <w:trPr>
          <w:trHeight w:val="216"/>
        </w:trPr>
        <w:tc>
          <w:tcPr>
            <w:tcW w:w="2156" w:type="pct"/>
            <w:gridSpan w:val="3"/>
            <w:shd w:val="clear" w:color="auto" w:fill="auto"/>
            <w:vAlign w:val="center"/>
          </w:tcPr>
          <w:p w14:paraId="0573DF9D" w14:textId="77777777" w:rsidR="00E63352" w:rsidRPr="00254E8F" w:rsidRDefault="00E63352" w:rsidP="00C0058C">
            <w:pPr>
              <w:jc w:val="left"/>
              <w:rPr>
                <w:b/>
                <w:sz w:val="20"/>
              </w:rPr>
            </w:pPr>
            <w:r>
              <w:rPr>
                <w:b/>
                <w:sz w:val="20"/>
              </w:rPr>
              <w:t>(VI) DONNÉES DU PROJET</w:t>
            </w:r>
          </w:p>
        </w:tc>
        <w:tc>
          <w:tcPr>
            <w:tcW w:w="475" w:type="pct"/>
            <w:shd w:val="clear" w:color="auto" w:fill="auto"/>
            <w:vAlign w:val="center"/>
          </w:tcPr>
          <w:p w14:paraId="4956380A" w14:textId="77777777" w:rsidR="00E63352" w:rsidRPr="00996241" w:rsidRDefault="00E63352" w:rsidP="00C0058C">
            <w:pPr>
              <w:jc w:val="center"/>
              <w:rPr>
                <w:b/>
                <w:sz w:val="20"/>
              </w:rPr>
            </w:pPr>
            <w:r>
              <w:rPr>
                <w:b/>
                <w:sz w:val="20"/>
              </w:rPr>
              <w:t>2024</w:t>
            </w:r>
          </w:p>
        </w:tc>
        <w:tc>
          <w:tcPr>
            <w:tcW w:w="475" w:type="pct"/>
            <w:shd w:val="clear" w:color="auto" w:fill="auto"/>
            <w:vAlign w:val="center"/>
          </w:tcPr>
          <w:p w14:paraId="0BB0C5B5" w14:textId="77777777" w:rsidR="00E63352" w:rsidRPr="00996241" w:rsidRDefault="00E63352" w:rsidP="00C0058C">
            <w:pPr>
              <w:jc w:val="center"/>
              <w:rPr>
                <w:b/>
                <w:sz w:val="20"/>
              </w:rPr>
            </w:pPr>
            <w:r>
              <w:rPr>
                <w:b/>
                <w:sz w:val="20"/>
              </w:rPr>
              <w:t>2025</w:t>
            </w:r>
          </w:p>
        </w:tc>
        <w:tc>
          <w:tcPr>
            <w:tcW w:w="475" w:type="pct"/>
            <w:shd w:val="clear" w:color="auto" w:fill="auto"/>
            <w:vAlign w:val="center"/>
          </w:tcPr>
          <w:p w14:paraId="179D5DB7" w14:textId="77777777" w:rsidR="00E63352" w:rsidRPr="00996241" w:rsidRDefault="00E63352" w:rsidP="00C0058C">
            <w:pPr>
              <w:jc w:val="center"/>
              <w:rPr>
                <w:b/>
                <w:sz w:val="20"/>
              </w:rPr>
            </w:pPr>
            <w:r>
              <w:rPr>
                <w:b/>
                <w:sz w:val="20"/>
              </w:rPr>
              <w:t>2026</w:t>
            </w:r>
          </w:p>
        </w:tc>
        <w:tc>
          <w:tcPr>
            <w:tcW w:w="475" w:type="pct"/>
            <w:vAlign w:val="center"/>
          </w:tcPr>
          <w:p w14:paraId="0B20E85C" w14:textId="77777777" w:rsidR="00E63352" w:rsidRPr="00996241" w:rsidRDefault="00E63352" w:rsidP="00C0058C">
            <w:pPr>
              <w:jc w:val="center"/>
              <w:rPr>
                <w:b/>
                <w:sz w:val="20"/>
              </w:rPr>
            </w:pPr>
            <w:r>
              <w:rPr>
                <w:b/>
                <w:sz w:val="20"/>
              </w:rPr>
              <w:t>2027-2029</w:t>
            </w:r>
          </w:p>
        </w:tc>
        <w:tc>
          <w:tcPr>
            <w:tcW w:w="475" w:type="pct"/>
            <w:vAlign w:val="center"/>
          </w:tcPr>
          <w:p w14:paraId="087ED1B7" w14:textId="77777777" w:rsidR="00E63352" w:rsidRPr="00996241" w:rsidRDefault="00E63352" w:rsidP="00C0058C">
            <w:pPr>
              <w:jc w:val="center"/>
              <w:rPr>
                <w:b/>
                <w:sz w:val="20"/>
              </w:rPr>
            </w:pPr>
            <w:r>
              <w:rPr>
                <w:b/>
                <w:sz w:val="20"/>
              </w:rPr>
              <w:t>2030</w:t>
            </w:r>
          </w:p>
        </w:tc>
        <w:tc>
          <w:tcPr>
            <w:tcW w:w="471" w:type="pct"/>
            <w:shd w:val="clear" w:color="auto" w:fill="auto"/>
            <w:vAlign w:val="center"/>
          </w:tcPr>
          <w:p w14:paraId="0440071E" w14:textId="77777777" w:rsidR="00E63352" w:rsidRPr="00996241" w:rsidRDefault="00E63352" w:rsidP="00C0058C">
            <w:pPr>
              <w:jc w:val="center"/>
              <w:rPr>
                <w:b/>
                <w:sz w:val="20"/>
              </w:rPr>
            </w:pPr>
            <w:r>
              <w:rPr>
                <w:b/>
                <w:sz w:val="20"/>
              </w:rPr>
              <w:t>Total</w:t>
            </w:r>
          </w:p>
        </w:tc>
      </w:tr>
      <w:tr w:rsidR="00E63352" w:rsidRPr="00996241" w14:paraId="2F64D339" w14:textId="77777777" w:rsidTr="004A33EB">
        <w:trPr>
          <w:trHeight w:val="66"/>
        </w:trPr>
        <w:tc>
          <w:tcPr>
            <w:tcW w:w="2156" w:type="pct"/>
            <w:gridSpan w:val="3"/>
            <w:shd w:val="clear" w:color="auto" w:fill="auto"/>
            <w:vAlign w:val="center"/>
          </w:tcPr>
          <w:p w14:paraId="500656C4" w14:textId="77777777" w:rsidR="00E63352" w:rsidRPr="009931F4" w:rsidRDefault="00E63352" w:rsidP="00C0058C">
            <w:pPr>
              <w:tabs>
                <w:tab w:val="left" w:pos="8280"/>
              </w:tabs>
              <w:spacing w:after="60"/>
              <w:ind w:right="-107"/>
              <w:jc w:val="left"/>
              <w:rPr>
                <w:sz w:val="20"/>
              </w:rPr>
            </w:pPr>
            <w:r>
              <w:rPr>
                <w:sz w:val="20"/>
              </w:rPr>
              <w:t>Limites de consommation du Protocole de Montréal (tonnes PAO)</w:t>
            </w:r>
          </w:p>
        </w:tc>
        <w:tc>
          <w:tcPr>
            <w:tcW w:w="475" w:type="pct"/>
            <w:shd w:val="clear" w:color="auto" w:fill="auto"/>
          </w:tcPr>
          <w:p w14:paraId="1E3B7492" w14:textId="77777777" w:rsidR="00E63352" w:rsidRPr="003532C0" w:rsidRDefault="00E63352" w:rsidP="003532C0">
            <w:pPr>
              <w:spacing w:after="60"/>
              <w:ind w:right="39"/>
              <w:jc w:val="center"/>
              <w:rPr>
                <w:color w:val="000000" w:themeColor="text1"/>
                <w:sz w:val="20"/>
              </w:rPr>
            </w:pPr>
            <w:r w:rsidRPr="003532C0">
              <w:rPr>
                <w:color w:val="000000" w:themeColor="text1"/>
                <w:sz w:val="20"/>
              </w:rPr>
              <w:t>0,09</w:t>
            </w:r>
          </w:p>
        </w:tc>
        <w:tc>
          <w:tcPr>
            <w:tcW w:w="475" w:type="pct"/>
          </w:tcPr>
          <w:p w14:paraId="69F3D6EF" w14:textId="23AEE1E4" w:rsidR="00E63352" w:rsidRPr="003532C0" w:rsidRDefault="00E63352" w:rsidP="003532C0">
            <w:pPr>
              <w:spacing w:after="60"/>
              <w:ind w:right="39"/>
              <w:jc w:val="center"/>
              <w:rPr>
                <w:color w:val="000000" w:themeColor="text1"/>
                <w:sz w:val="20"/>
              </w:rPr>
            </w:pPr>
            <w:r w:rsidRPr="003532C0">
              <w:rPr>
                <w:color w:val="000000" w:themeColor="text1"/>
                <w:sz w:val="20"/>
              </w:rPr>
              <w:t>0,04</w:t>
            </w:r>
          </w:p>
        </w:tc>
        <w:tc>
          <w:tcPr>
            <w:tcW w:w="475" w:type="pct"/>
          </w:tcPr>
          <w:p w14:paraId="4A897D1E" w14:textId="071CA44D" w:rsidR="00E63352" w:rsidRPr="003532C0" w:rsidRDefault="00E63352" w:rsidP="003532C0">
            <w:pPr>
              <w:spacing w:after="60"/>
              <w:ind w:right="39"/>
              <w:jc w:val="center"/>
              <w:rPr>
                <w:color w:val="000000" w:themeColor="text1"/>
                <w:sz w:val="20"/>
              </w:rPr>
            </w:pPr>
            <w:r w:rsidRPr="003532C0">
              <w:rPr>
                <w:color w:val="000000" w:themeColor="text1"/>
                <w:sz w:val="20"/>
              </w:rPr>
              <w:t>0,04</w:t>
            </w:r>
          </w:p>
        </w:tc>
        <w:tc>
          <w:tcPr>
            <w:tcW w:w="475" w:type="pct"/>
          </w:tcPr>
          <w:p w14:paraId="1791D020" w14:textId="70D7C17C" w:rsidR="00E63352" w:rsidRPr="003532C0" w:rsidRDefault="00E63352" w:rsidP="003532C0">
            <w:pPr>
              <w:spacing w:after="60"/>
              <w:ind w:right="39"/>
              <w:jc w:val="center"/>
              <w:rPr>
                <w:color w:val="000000" w:themeColor="text1"/>
                <w:sz w:val="20"/>
              </w:rPr>
            </w:pPr>
            <w:r w:rsidRPr="003532C0">
              <w:rPr>
                <w:color w:val="000000" w:themeColor="text1"/>
                <w:sz w:val="20"/>
              </w:rPr>
              <w:t>0,04</w:t>
            </w:r>
          </w:p>
        </w:tc>
        <w:tc>
          <w:tcPr>
            <w:tcW w:w="475" w:type="pct"/>
          </w:tcPr>
          <w:p w14:paraId="4FEA2880" w14:textId="77777777" w:rsidR="00E63352" w:rsidRPr="003532C0" w:rsidRDefault="00E63352" w:rsidP="003532C0">
            <w:pPr>
              <w:spacing w:after="60"/>
              <w:ind w:right="39"/>
              <w:jc w:val="center"/>
              <w:rPr>
                <w:color w:val="000000" w:themeColor="text1"/>
                <w:sz w:val="20"/>
              </w:rPr>
            </w:pPr>
            <w:r w:rsidRPr="003532C0">
              <w:rPr>
                <w:color w:val="000000" w:themeColor="text1"/>
                <w:sz w:val="20"/>
              </w:rPr>
              <w:t>0</w:t>
            </w:r>
          </w:p>
        </w:tc>
        <w:tc>
          <w:tcPr>
            <w:tcW w:w="471" w:type="pct"/>
          </w:tcPr>
          <w:p w14:paraId="65209E46" w14:textId="77777777" w:rsidR="00E63352" w:rsidRPr="003532C0" w:rsidRDefault="00E63352" w:rsidP="003532C0">
            <w:pPr>
              <w:spacing w:after="60"/>
              <w:ind w:right="39"/>
              <w:jc w:val="center"/>
              <w:rPr>
                <w:color w:val="000000" w:themeColor="text1"/>
                <w:sz w:val="20"/>
              </w:rPr>
            </w:pPr>
            <w:proofErr w:type="spellStart"/>
            <w:r w:rsidRPr="003532C0">
              <w:rPr>
                <w:color w:val="000000" w:themeColor="text1"/>
                <w:sz w:val="20"/>
              </w:rPr>
              <w:t>s.o</w:t>
            </w:r>
            <w:proofErr w:type="spellEnd"/>
            <w:r w:rsidRPr="003532C0">
              <w:rPr>
                <w:color w:val="000000" w:themeColor="text1"/>
                <w:sz w:val="20"/>
              </w:rPr>
              <w:t>.</w:t>
            </w:r>
          </w:p>
        </w:tc>
      </w:tr>
      <w:tr w:rsidR="00E63352" w:rsidRPr="00996241" w14:paraId="46680795" w14:textId="77777777" w:rsidTr="004A33EB">
        <w:trPr>
          <w:trHeight w:val="66"/>
        </w:trPr>
        <w:tc>
          <w:tcPr>
            <w:tcW w:w="2156" w:type="pct"/>
            <w:gridSpan w:val="3"/>
            <w:shd w:val="clear" w:color="auto" w:fill="auto"/>
            <w:vAlign w:val="center"/>
          </w:tcPr>
          <w:p w14:paraId="4A080BD8" w14:textId="77777777" w:rsidR="00E63352" w:rsidRPr="00996241" w:rsidRDefault="00E63352" w:rsidP="00C0058C">
            <w:pPr>
              <w:tabs>
                <w:tab w:val="left" w:pos="8280"/>
              </w:tabs>
              <w:spacing w:after="60"/>
              <w:jc w:val="left"/>
              <w:rPr>
                <w:sz w:val="20"/>
              </w:rPr>
            </w:pPr>
            <w:r>
              <w:rPr>
                <w:sz w:val="20"/>
              </w:rPr>
              <w:t>Consommation maximale admissible (tonnes PAO)</w:t>
            </w:r>
          </w:p>
        </w:tc>
        <w:tc>
          <w:tcPr>
            <w:tcW w:w="475" w:type="pct"/>
            <w:shd w:val="clear" w:color="auto" w:fill="auto"/>
          </w:tcPr>
          <w:p w14:paraId="31BB4B04" w14:textId="77777777" w:rsidR="00E63352" w:rsidRPr="003532C0" w:rsidRDefault="00E63352" w:rsidP="003532C0">
            <w:pPr>
              <w:spacing w:after="60"/>
              <w:ind w:right="39"/>
              <w:jc w:val="center"/>
              <w:rPr>
                <w:color w:val="000000" w:themeColor="text1"/>
                <w:sz w:val="20"/>
              </w:rPr>
            </w:pPr>
            <w:r w:rsidRPr="003532C0">
              <w:rPr>
                <w:color w:val="000000" w:themeColor="text1"/>
                <w:sz w:val="20"/>
              </w:rPr>
              <w:t>0,09</w:t>
            </w:r>
          </w:p>
        </w:tc>
        <w:tc>
          <w:tcPr>
            <w:tcW w:w="475" w:type="pct"/>
          </w:tcPr>
          <w:p w14:paraId="7939A15B" w14:textId="2026B5FF" w:rsidR="00E63352" w:rsidRPr="003532C0" w:rsidRDefault="00E63352" w:rsidP="003532C0">
            <w:pPr>
              <w:spacing w:after="60"/>
              <w:ind w:right="39"/>
              <w:jc w:val="center"/>
              <w:rPr>
                <w:color w:val="000000" w:themeColor="text1"/>
                <w:sz w:val="20"/>
              </w:rPr>
            </w:pPr>
            <w:r w:rsidRPr="003532C0">
              <w:rPr>
                <w:color w:val="000000" w:themeColor="text1"/>
                <w:sz w:val="20"/>
              </w:rPr>
              <w:t>0,04</w:t>
            </w:r>
          </w:p>
        </w:tc>
        <w:tc>
          <w:tcPr>
            <w:tcW w:w="475" w:type="pct"/>
          </w:tcPr>
          <w:p w14:paraId="32F01626" w14:textId="0820CC89" w:rsidR="00E63352" w:rsidRPr="003532C0" w:rsidRDefault="00E63352" w:rsidP="003532C0">
            <w:pPr>
              <w:spacing w:after="60"/>
              <w:ind w:right="39"/>
              <w:jc w:val="center"/>
              <w:rPr>
                <w:color w:val="000000" w:themeColor="text1"/>
                <w:sz w:val="20"/>
              </w:rPr>
            </w:pPr>
            <w:r w:rsidRPr="003532C0">
              <w:rPr>
                <w:color w:val="000000" w:themeColor="text1"/>
                <w:sz w:val="20"/>
              </w:rPr>
              <w:t>0,04</w:t>
            </w:r>
          </w:p>
        </w:tc>
        <w:tc>
          <w:tcPr>
            <w:tcW w:w="475" w:type="pct"/>
          </w:tcPr>
          <w:p w14:paraId="3F8E6D79" w14:textId="6D534F86" w:rsidR="00E63352" w:rsidRPr="003532C0" w:rsidRDefault="00E63352" w:rsidP="003532C0">
            <w:pPr>
              <w:spacing w:after="60"/>
              <w:ind w:right="39"/>
              <w:jc w:val="center"/>
              <w:rPr>
                <w:color w:val="000000" w:themeColor="text1"/>
                <w:sz w:val="20"/>
              </w:rPr>
            </w:pPr>
            <w:r w:rsidRPr="003532C0">
              <w:rPr>
                <w:color w:val="000000" w:themeColor="text1"/>
                <w:sz w:val="20"/>
              </w:rPr>
              <w:t>0,04</w:t>
            </w:r>
          </w:p>
        </w:tc>
        <w:tc>
          <w:tcPr>
            <w:tcW w:w="475" w:type="pct"/>
          </w:tcPr>
          <w:p w14:paraId="560A813D" w14:textId="77777777" w:rsidR="00E63352" w:rsidRPr="003532C0" w:rsidRDefault="00E63352" w:rsidP="003532C0">
            <w:pPr>
              <w:spacing w:after="60"/>
              <w:ind w:right="39"/>
              <w:jc w:val="center"/>
              <w:rPr>
                <w:color w:val="000000" w:themeColor="text1"/>
                <w:sz w:val="20"/>
              </w:rPr>
            </w:pPr>
            <w:r w:rsidRPr="003532C0">
              <w:rPr>
                <w:color w:val="000000" w:themeColor="text1"/>
                <w:sz w:val="20"/>
              </w:rPr>
              <w:t>0</w:t>
            </w:r>
          </w:p>
        </w:tc>
        <w:tc>
          <w:tcPr>
            <w:tcW w:w="471" w:type="pct"/>
          </w:tcPr>
          <w:p w14:paraId="6C0CE988" w14:textId="77777777" w:rsidR="00E63352" w:rsidRPr="003532C0" w:rsidRDefault="00E63352" w:rsidP="003532C0">
            <w:pPr>
              <w:spacing w:after="60"/>
              <w:ind w:right="39"/>
              <w:jc w:val="center"/>
              <w:rPr>
                <w:color w:val="000000" w:themeColor="text1"/>
                <w:sz w:val="20"/>
              </w:rPr>
            </w:pPr>
            <w:proofErr w:type="spellStart"/>
            <w:r w:rsidRPr="003532C0">
              <w:rPr>
                <w:color w:val="000000" w:themeColor="text1"/>
                <w:sz w:val="20"/>
              </w:rPr>
              <w:t>s.o</w:t>
            </w:r>
            <w:proofErr w:type="spellEnd"/>
            <w:r w:rsidRPr="003532C0">
              <w:rPr>
                <w:color w:val="000000" w:themeColor="text1"/>
                <w:sz w:val="20"/>
              </w:rPr>
              <w:t>.</w:t>
            </w:r>
          </w:p>
        </w:tc>
      </w:tr>
      <w:tr w:rsidR="00E63352" w:rsidRPr="00996241" w14:paraId="41712DFD" w14:textId="77777777" w:rsidTr="004A33EB">
        <w:trPr>
          <w:trHeight w:val="59"/>
        </w:trPr>
        <w:tc>
          <w:tcPr>
            <w:tcW w:w="1061" w:type="pct"/>
            <w:vMerge w:val="restart"/>
            <w:shd w:val="clear" w:color="auto" w:fill="auto"/>
            <w:vAlign w:val="center"/>
          </w:tcPr>
          <w:p w14:paraId="1FF7BEAA" w14:textId="77777777" w:rsidR="00E63352" w:rsidRPr="00F72BF4" w:rsidRDefault="00E63352" w:rsidP="00C0058C">
            <w:pPr>
              <w:tabs>
                <w:tab w:val="left" w:pos="8280"/>
              </w:tabs>
              <w:spacing w:after="60"/>
              <w:jc w:val="left"/>
              <w:rPr>
                <w:sz w:val="20"/>
              </w:rPr>
            </w:pPr>
            <w:r>
              <w:rPr>
                <w:sz w:val="20"/>
              </w:rPr>
              <w:t>Coûts - Demande de principe ($ US)</w:t>
            </w:r>
          </w:p>
        </w:tc>
        <w:tc>
          <w:tcPr>
            <w:tcW w:w="408" w:type="pct"/>
            <w:vMerge w:val="restart"/>
            <w:shd w:val="clear" w:color="auto" w:fill="auto"/>
            <w:vAlign w:val="center"/>
          </w:tcPr>
          <w:p w14:paraId="7E5A49EF" w14:textId="77777777" w:rsidR="00E63352" w:rsidRPr="00996241" w:rsidRDefault="00E63352" w:rsidP="00C0058C">
            <w:pPr>
              <w:tabs>
                <w:tab w:val="left" w:pos="8280"/>
              </w:tabs>
              <w:spacing w:after="60"/>
              <w:jc w:val="center"/>
              <w:rPr>
                <w:sz w:val="20"/>
              </w:rPr>
            </w:pPr>
            <w:r>
              <w:rPr>
                <w:color w:val="000000" w:themeColor="text1"/>
                <w:sz w:val="20"/>
              </w:rPr>
              <w:t>PNUE</w:t>
            </w:r>
          </w:p>
        </w:tc>
        <w:tc>
          <w:tcPr>
            <w:tcW w:w="687" w:type="pct"/>
            <w:shd w:val="clear" w:color="auto" w:fill="auto"/>
            <w:vAlign w:val="center"/>
          </w:tcPr>
          <w:p w14:paraId="68D34F48" w14:textId="77777777" w:rsidR="00E63352" w:rsidRPr="00996241" w:rsidRDefault="00E63352" w:rsidP="00C0058C">
            <w:pPr>
              <w:tabs>
                <w:tab w:val="left" w:pos="8280"/>
              </w:tabs>
              <w:spacing w:after="60"/>
              <w:jc w:val="left"/>
              <w:rPr>
                <w:sz w:val="20"/>
              </w:rPr>
            </w:pPr>
            <w:r>
              <w:rPr>
                <w:sz w:val="20"/>
              </w:rPr>
              <w:t>Coûts de projet</w:t>
            </w:r>
          </w:p>
        </w:tc>
        <w:tc>
          <w:tcPr>
            <w:tcW w:w="475" w:type="pct"/>
            <w:shd w:val="clear" w:color="auto" w:fill="auto"/>
          </w:tcPr>
          <w:p w14:paraId="0D9567EF" w14:textId="77777777" w:rsidR="00E63352" w:rsidRPr="003532C0" w:rsidRDefault="00E63352" w:rsidP="003532C0">
            <w:pPr>
              <w:spacing w:after="60"/>
              <w:ind w:right="39"/>
              <w:jc w:val="center"/>
              <w:rPr>
                <w:color w:val="000000" w:themeColor="text1"/>
                <w:sz w:val="20"/>
              </w:rPr>
            </w:pPr>
            <w:r w:rsidRPr="003532C0">
              <w:rPr>
                <w:color w:val="000000" w:themeColor="text1"/>
                <w:sz w:val="20"/>
              </w:rPr>
              <w:t>150 000</w:t>
            </w:r>
          </w:p>
        </w:tc>
        <w:tc>
          <w:tcPr>
            <w:tcW w:w="475" w:type="pct"/>
          </w:tcPr>
          <w:p w14:paraId="37C0E915" w14:textId="77777777" w:rsidR="00E63352" w:rsidRPr="003532C0" w:rsidRDefault="00E63352" w:rsidP="003532C0">
            <w:pPr>
              <w:spacing w:after="60"/>
              <w:ind w:right="39"/>
              <w:jc w:val="center"/>
              <w:rPr>
                <w:color w:val="000000" w:themeColor="text1"/>
                <w:sz w:val="20"/>
              </w:rPr>
            </w:pPr>
            <w:r w:rsidRPr="003532C0">
              <w:rPr>
                <w:color w:val="000000" w:themeColor="text1"/>
                <w:sz w:val="20"/>
              </w:rPr>
              <w:t>0</w:t>
            </w:r>
          </w:p>
        </w:tc>
        <w:tc>
          <w:tcPr>
            <w:tcW w:w="475" w:type="pct"/>
          </w:tcPr>
          <w:p w14:paraId="7EBA9960" w14:textId="77777777" w:rsidR="00E63352" w:rsidRPr="003532C0" w:rsidRDefault="00E63352" w:rsidP="003532C0">
            <w:pPr>
              <w:spacing w:after="60"/>
              <w:ind w:right="39"/>
              <w:jc w:val="center"/>
              <w:rPr>
                <w:color w:val="000000" w:themeColor="text1"/>
                <w:sz w:val="20"/>
              </w:rPr>
            </w:pPr>
            <w:r w:rsidRPr="003532C0">
              <w:rPr>
                <w:color w:val="000000" w:themeColor="text1"/>
                <w:sz w:val="20"/>
              </w:rPr>
              <w:t>235 500</w:t>
            </w:r>
          </w:p>
        </w:tc>
        <w:tc>
          <w:tcPr>
            <w:tcW w:w="475" w:type="pct"/>
          </w:tcPr>
          <w:p w14:paraId="579AF468" w14:textId="77777777" w:rsidR="00E63352" w:rsidRPr="003532C0" w:rsidRDefault="00E63352" w:rsidP="003532C0">
            <w:pPr>
              <w:spacing w:after="60"/>
              <w:ind w:right="39"/>
              <w:jc w:val="center"/>
              <w:rPr>
                <w:color w:val="000000" w:themeColor="text1"/>
                <w:sz w:val="20"/>
              </w:rPr>
            </w:pPr>
            <w:r w:rsidRPr="003532C0">
              <w:rPr>
                <w:color w:val="000000" w:themeColor="text1"/>
                <w:sz w:val="20"/>
              </w:rPr>
              <w:t>0</w:t>
            </w:r>
          </w:p>
        </w:tc>
        <w:tc>
          <w:tcPr>
            <w:tcW w:w="475" w:type="pct"/>
          </w:tcPr>
          <w:p w14:paraId="6E9F0F6C" w14:textId="77777777" w:rsidR="00E63352" w:rsidRPr="003532C0" w:rsidRDefault="00E63352" w:rsidP="003532C0">
            <w:pPr>
              <w:spacing w:after="60"/>
              <w:ind w:right="39"/>
              <w:jc w:val="center"/>
              <w:rPr>
                <w:color w:val="000000" w:themeColor="text1"/>
                <w:sz w:val="20"/>
              </w:rPr>
            </w:pPr>
            <w:r w:rsidRPr="003532C0">
              <w:rPr>
                <w:color w:val="000000" w:themeColor="text1"/>
                <w:sz w:val="20"/>
              </w:rPr>
              <w:t>42 000</w:t>
            </w:r>
          </w:p>
        </w:tc>
        <w:tc>
          <w:tcPr>
            <w:tcW w:w="471" w:type="pct"/>
          </w:tcPr>
          <w:p w14:paraId="671F93AC" w14:textId="77777777" w:rsidR="00E63352" w:rsidRPr="003532C0" w:rsidRDefault="00E63352" w:rsidP="003532C0">
            <w:pPr>
              <w:spacing w:after="60"/>
              <w:ind w:right="39"/>
              <w:jc w:val="center"/>
              <w:rPr>
                <w:color w:val="000000" w:themeColor="text1"/>
                <w:sz w:val="20"/>
              </w:rPr>
            </w:pPr>
            <w:r w:rsidRPr="003532C0">
              <w:rPr>
                <w:color w:val="000000" w:themeColor="text1"/>
                <w:sz w:val="20"/>
              </w:rPr>
              <w:t>427 500</w:t>
            </w:r>
          </w:p>
        </w:tc>
      </w:tr>
      <w:tr w:rsidR="00E63352" w:rsidRPr="00996241" w14:paraId="6CFFC940" w14:textId="77777777" w:rsidTr="004A33EB">
        <w:trPr>
          <w:trHeight w:val="127"/>
        </w:trPr>
        <w:tc>
          <w:tcPr>
            <w:tcW w:w="1061" w:type="pct"/>
            <w:vMerge/>
            <w:shd w:val="clear" w:color="auto" w:fill="auto"/>
            <w:vAlign w:val="center"/>
          </w:tcPr>
          <w:p w14:paraId="2DFE0A18" w14:textId="77777777" w:rsidR="00E63352" w:rsidRPr="00996241" w:rsidRDefault="00E63352" w:rsidP="00C0058C">
            <w:pPr>
              <w:tabs>
                <w:tab w:val="left" w:pos="8280"/>
              </w:tabs>
              <w:spacing w:after="60"/>
              <w:jc w:val="left"/>
              <w:rPr>
                <w:sz w:val="20"/>
              </w:rPr>
            </w:pPr>
          </w:p>
        </w:tc>
        <w:tc>
          <w:tcPr>
            <w:tcW w:w="408" w:type="pct"/>
            <w:vMerge/>
            <w:shd w:val="clear" w:color="auto" w:fill="auto"/>
            <w:vAlign w:val="center"/>
          </w:tcPr>
          <w:p w14:paraId="05D603A1" w14:textId="77777777" w:rsidR="00E63352" w:rsidRPr="00996241" w:rsidRDefault="00E63352" w:rsidP="00C0058C">
            <w:pPr>
              <w:tabs>
                <w:tab w:val="left" w:pos="8280"/>
              </w:tabs>
              <w:spacing w:after="60"/>
              <w:jc w:val="center"/>
              <w:rPr>
                <w:sz w:val="20"/>
              </w:rPr>
            </w:pPr>
          </w:p>
        </w:tc>
        <w:tc>
          <w:tcPr>
            <w:tcW w:w="687" w:type="pct"/>
            <w:shd w:val="clear" w:color="auto" w:fill="auto"/>
            <w:vAlign w:val="center"/>
          </w:tcPr>
          <w:p w14:paraId="7E55E0D8" w14:textId="77777777" w:rsidR="00E63352" w:rsidRPr="00996241" w:rsidRDefault="00E63352" w:rsidP="00C0058C">
            <w:pPr>
              <w:tabs>
                <w:tab w:val="left" w:pos="8280"/>
              </w:tabs>
              <w:spacing w:after="60"/>
              <w:jc w:val="left"/>
              <w:rPr>
                <w:sz w:val="20"/>
              </w:rPr>
            </w:pPr>
            <w:r>
              <w:rPr>
                <w:sz w:val="20"/>
              </w:rPr>
              <w:t>Coûts d’appui</w:t>
            </w:r>
          </w:p>
        </w:tc>
        <w:tc>
          <w:tcPr>
            <w:tcW w:w="475" w:type="pct"/>
            <w:shd w:val="clear" w:color="auto" w:fill="auto"/>
          </w:tcPr>
          <w:p w14:paraId="3F9FC8DD" w14:textId="77777777" w:rsidR="00E63352" w:rsidRPr="003532C0" w:rsidRDefault="00E63352" w:rsidP="003532C0">
            <w:pPr>
              <w:spacing w:after="60"/>
              <w:ind w:right="39"/>
              <w:jc w:val="center"/>
              <w:rPr>
                <w:color w:val="000000" w:themeColor="text1"/>
                <w:sz w:val="20"/>
              </w:rPr>
            </w:pPr>
            <w:r w:rsidRPr="003532C0">
              <w:rPr>
                <w:color w:val="000000" w:themeColor="text1"/>
                <w:sz w:val="20"/>
              </w:rPr>
              <w:t>19 500</w:t>
            </w:r>
          </w:p>
        </w:tc>
        <w:tc>
          <w:tcPr>
            <w:tcW w:w="475" w:type="pct"/>
          </w:tcPr>
          <w:p w14:paraId="6FE98CA4" w14:textId="77777777" w:rsidR="00E63352" w:rsidRPr="003532C0" w:rsidRDefault="00E63352" w:rsidP="003532C0">
            <w:pPr>
              <w:spacing w:after="60"/>
              <w:ind w:right="39"/>
              <w:jc w:val="center"/>
              <w:rPr>
                <w:color w:val="000000" w:themeColor="text1"/>
                <w:sz w:val="20"/>
              </w:rPr>
            </w:pPr>
            <w:r w:rsidRPr="003532C0">
              <w:rPr>
                <w:color w:val="000000" w:themeColor="text1"/>
                <w:sz w:val="20"/>
              </w:rPr>
              <w:t>0</w:t>
            </w:r>
          </w:p>
        </w:tc>
        <w:tc>
          <w:tcPr>
            <w:tcW w:w="475" w:type="pct"/>
          </w:tcPr>
          <w:p w14:paraId="6DC55EEB" w14:textId="77777777" w:rsidR="00E63352" w:rsidRPr="003532C0" w:rsidRDefault="00E63352" w:rsidP="003532C0">
            <w:pPr>
              <w:spacing w:after="60"/>
              <w:ind w:right="39"/>
              <w:jc w:val="center"/>
              <w:rPr>
                <w:color w:val="000000" w:themeColor="text1"/>
                <w:sz w:val="20"/>
              </w:rPr>
            </w:pPr>
            <w:r w:rsidRPr="003532C0">
              <w:rPr>
                <w:color w:val="000000" w:themeColor="text1"/>
                <w:sz w:val="20"/>
              </w:rPr>
              <w:t>30 615</w:t>
            </w:r>
          </w:p>
        </w:tc>
        <w:tc>
          <w:tcPr>
            <w:tcW w:w="475" w:type="pct"/>
          </w:tcPr>
          <w:p w14:paraId="47D75A93" w14:textId="77777777" w:rsidR="00E63352" w:rsidRPr="003532C0" w:rsidRDefault="00E63352" w:rsidP="003532C0">
            <w:pPr>
              <w:spacing w:after="60"/>
              <w:ind w:right="39"/>
              <w:jc w:val="center"/>
              <w:rPr>
                <w:color w:val="000000" w:themeColor="text1"/>
                <w:sz w:val="20"/>
              </w:rPr>
            </w:pPr>
            <w:r w:rsidRPr="003532C0">
              <w:rPr>
                <w:color w:val="000000" w:themeColor="text1"/>
                <w:sz w:val="20"/>
              </w:rPr>
              <w:t>0</w:t>
            </w:r>
          </w:p>
        </w:tc>
        <w:tc>
          <w:tcPr>
            <w:tcW w:w="475" w:type="pct"/>
          </w:tcPr>
          <w:p w14:paraId="2BBAA753" w14:textId="77777777" w:rsidR="00E63352" w:rsidRPr="003532C0" w:rsidRDefault="00E63352" w:rsidP="003532C0">
            <w:pPr>
              <w:spacing w:after="60"/>
              <w:ind w:right="39"/>
              <w:jc w:val="center"/>
              <w:rPr>
                <w:color w:val="000000" w:themeColor="text1"/>
                <w:sz w:val="20"/>
              </w:rPr>
            </w:pPr>
            <w:r w:rsidRPr="003532C0">
              <w:rPr>
                <w:color w:val="000000" w:themeColor="text1"/>
                <w:sz w:val="20"/>
              </w:rPr>
              <w:t>5 460</w:t>
            </w:r>
          </w:p>
        </w:tc>
        <w:tc>
          <w:tcPr>
            <w:tcW w:w="471" w:type="pct"/>
          </w:tcPr>
          <w:p w14:paraId="32B1E089" w14:textId="77777777" w:rsidR="00E63352" w:rsidRPr="003532C0" w:rsidRDefault="00E63352" w:rsidP="003532C0">
            <w:pPr>
              <w:spacing w:after="60"/>
              <w:ind w:right="39"/>
              <w:jc w:val="center"/>
              <w:rPr>
                <w:color w:val="000000" w:themeColor="text1"/>
                <w:sz w:val="20"/>
              </w:rPr>
            </w:pPr>
            <w:r w:rsidRPr="003532C0">
              <w:rPr>
                <w:color w:val="000000" w:themeColor="text1"/>
                <w:sz w:val="20"/>
              </w:rPr>
              <w:t>55 575</w:t>
            </w:r>
          </w:p>
        </w:tc>
      </w:tr>
      <w:tr w:rsidR="00E63352" w:rsidRPr="00996241" w14:paraId="54DCCDB5" w14:textId="77777777" w:rsidTr="004A33EB">
        <w:trPr>
          <w:trHeight w:val="157"/>
        </w:trPr>
        <w:tc>
          <w:tcPr>
            <w:tcW w:w="1061" w:type="pct"/>
            <w:vMerge w:val="restart"/>
            <w:shd w:val="clear" w:color="auto" w:fill="auto"/>
            <w:vAlign w:val="center"/>
          </w:tcPr>
          <w:p w14:paraId="2BD88227" w14:textId="77777777" w:rsidR="00E63352" w:rsidRPr="002F50A8" w:rsidRDefault="00E63352" w:rsidP="00C0058C">
            <w:pPr>
              <w:tabs>
                <w:tab w:val="left" w:pos="8280"/>
              </w:tabs>
              <w:spacing w:after="60"/>
              <w:jc w:val="left"/>
              <w:rPr>
                <w:sz w:val="20"/>
              </w:rPr>
            </w:pPr>
            <w:r>
              <w:rPr>
                <w:sz w:val="20"/>
              </w:rPr>
              <w:t>Montants recommandés en principe ($ US)</w:t>
            </w:r>
          </w:p>
        </w:tc>
        <w:tc>
          <w:tcPr>
            <w:tcW w:w="1095" w:type="pct"/>
            <w:gridSpan w:val="2"/>
            <w:shd w:val="clear" w:color="auto" w:fill="auto"/>
            <w:vAlign w:val="center"/>
          </w:tcPr>
          <w:p w14:paraId="2C05ED35" w14:textId="77777777" w:rsidR="00E63352" w:rsidRPr="002F50A8" w:rsidRDefault="00E63352" w:rsidP="00C0058C">
            <w:pPr>
              <w:tabs>
                <w:tab w:val="left" w:pos="8280"/>
              </w:tabs>
              <w:spacing w:after="60"/>
              <w:jc w:val="left"/>
              <w:rPr>
                <w:sz w:val="20"/>
              </w:rPr>
            </w:pPr>
            <w:r>
              <w:rPr>
                <w:sz w:val="20"/>
              </w:rPr>
              <w:t>Coûts totaux du projet</w:t>
            </w:r>
          </w:p>
        </w:tc>
        <w:tc>
          <w:tcPr>
            <w:tcW w:w="475" w:type="pct"/>
            <w:shd w:val="clear" w:color="auto" w:fill="auto"/>
          </w:tcPr>
          <w:p w14:paraId="7A69D853" w14:textId="77777777" w:rsidR="00E63352" w:rsidRPr="003532C0" w:rsidRDefault="00E63352" w:rsidP="003532C0">
            <w:pPr>
              <w:spacing w:after="60"/>
              <w:ind w:right="39"/>
              <w:jc w:val="center"/>
              <w:rPr>
                <w:color w:val="000000" w:themeColor="text1"/>
                <w:sz w:val="20"/>
              </w:rPr>
            </w:pPr>
            <w:bookmarkStart w:id="1" w:name="_Hlk160742089"/>
            <w:r w:rsidRPr="003532C0">
              <w:rPr>
                <w:color w:val="000000" w:themeColor="text1"/>
                <w:sz w:val="20"/>
              </w:rPr>
              <w:t>150 000</w:t>
            </w:r>
            <w:bookmarkEnd w:id="1"/>
          </w:p>
        </w:tc>
        <w:tc>
          <w:tcPr>
            <w:tcW w:w="475" w:type="pct"/>
          </w:tcPr>
          <w:p w14:paraId="499CF2B2" w14:textId="77777777" w:rsidR="00E63352" w:rsidRPr="003532C0" w:rsidRDefault="00E63352" w:rsidP="003532C0">
            <w:pPr>
              <w:spacing w:after="60"/>
              <w:ind w:right="39"/>
              <w:jc w:val="center"/>
              <w:rPr>
                <w:color w:val="000000" w:themeColor="text1"/>
                <w:sz w:val="20"/>
              </w:rPr>
            </w:pPr>
            <w:r w:rsidRPr="003532C0">
              <w:rPr>
                <w:color w:val="000000" w:themeColor="text1"/>
                <w:sz w:val="20"/>
              </w:rPr>
              <w:t>0</w:t>
            </w:r>
          </w:p>
        </w:tc>
        <w:tc>
          <w:tcPr>
            <w:tcW w:w="475" w:type="pct"/>
          </w:tcPr>
          <w:p w14:paraId="25176AF6" w14:textId="77777777" w:rsidR="00E63352" w:rsidRPr="003532C0" w:rsidRDefault="00E63352" w:rsidP="003532C0">
            <w:pPr>
              <w:spacing w:after="60"/>
              <w:ind w:right="39"/>
              <w:jc w:val="center"/>
              <w:rPr>
                <w:color w:val="000000" w:themeColor="text1"/>
                <w:sz w:val="20"/>
              </w:rPr>
            </w:pPr>
            <w:r w:rsidRPr="003532C0">
              <w:rPr>
                <w:color w:val="000000" w:themeColor="text1"/>
                <w:sz w:val="20"/>
              </w:rPr>
              <w:t>235 500</w:t>
            </w:r>
          </w:p>
        </w:tc>
        <w:tc>
          <w:tcPr>
            <w:tcW w:w="475" w:type="pct"/>
          </w:tcPr>
          <w:p w14:paraId="0E6F201C" w14:textId="77777777" w:rsidR="00E63352" w:rsidRPr="003532C0" w:rsidRDefault="00E63352" w:rsidP="003532C0">
            <w:pPr>
              <w:spacing w:after="60"/>
              <w:ind w:right="39"/>
              <w:jc w:val="center"/>
              <w:rPr>
                <w:color w:val="000000" w:themeColor="text1"/>
                <w:sz w:val="20"/>
              </w:rPr>
            </w:pPr>
            <w:r w:rsidRPr="003532C0">
              <w:rPr>
                <w:color w:val="000000" w:themeColor="text1"/>
                <w:sz w:val="20"/>
              </w:rPr>
              <w:t>0</w:t>
            </w:r>
          </w:p>
        </w:tc>
        <w:tc>
          <w:tcPr>
            <w:tcW w:w="475" w:type="pct"/>
          </w:tcPr>
          <w:p w14:paraId="582F8340" w14:textId="77777777" w:rsidR="00E63352" w:rsidRPr="003532C0" w:rsidRDefault="00E63352" w:rsidP="003532C0">
            <w:pPr>
              <w:spacing w:after="60"/>
              <w:ind w:right="39"/>
              <w:jc w:val="center"/>
              <w:rPr>
                <w:color w:val="000000" w:themeColor="text1"/>
                <w:sz w:val="20"/>
              </w:rPr>
            </w:pPr>
            <w:r w:rsidRPr="003532C0">
              <w:rPr>
                <w:color w:val="000000" w:themeColor="text1"/>
                <w:sz w:val="20"/>
              </w:rPr>
              <w:t>42 000</w:t>
            </w:r>
          </w:p>
        </w:tc>
        <w:tc>
          <w:tcPr>
            <w:tcW w:w="471" w:type="pct"/>
          </w:tcPr>
          <w:p w14:paraId="31CB071E" w14:textId="77777777" w:rsidR="00E63352" w:rsidRPr="003532C0" w:rsidRDefault="00E63352" w:rsidP="003532C0">
            <w:pPr>
              <w:spacing w:after="60"/>
              <w:ind w:right="39"/>
              <w:jc w:val="center"/>
              <w:rPr>
                <w:color w:val="000000" w:themeColor="text1"/>
                <w:sz w:val="20"/>
              </w:rPr>
            </w:pPr>
            <w:r w:rsidRPr="003532C0">
              <w:rPr>
                <w:color w:val="000000" w:themeColor="text1"/>
                <w:sz w:val="20"/>
              </w:rPr>
              <w:t>427 500</w:t>
            </w:r>
          </w:p>
        </w:tc>
      </w:tr>
      <w:tr w:rsidR="00E63352" w:rsidRPr="00996241" w14:paraId="38C4A3A6" w14:textId="77777777" w:rsidTr="004A33EB">
        <w:trPr>
          <w:trHeight w:val="201"/>
        </w:trPr>
        <w:tc>
          <w:tcPr>
            <w:tcW w:w="1061" w:type="pct"/>
            <w:vMerge/>
            <w:shd w:val="clear" w:color="auto" w:fill="auto"/>
            <w:vAlign w:val="center"/>
          </w:tcPr>
          <w:p w14:paraId="35CC815B" w14:textId="77777777" w:rsidR="00E63352" w:rsidRPr="002F50A8" w:rsidRDefault="00E63352" w:rsidP="00C0058C">
            <w:pPr>
              <w:tabs>
                <w:tab w:val="left" w:pos="8280"/>
              </w:tabs>
              <w:spacing w:after="60"/>
              <w:jc w:val="left"/>
              <w:rPr>
                <w:sz w:val="20"/>
              </w:rPr>
            </w:pPr>
            <w:bookmarkStart w:id="2" w:name="_Hlk160742120"/>
          </w:p>
        </w:tc>
        <w:tc>
          <w:tcPr>
            <w:tcW w:w="1095" w:type="pct"/>
            <w:gridSpan w:val="2"/>
            <w:shd w:val="clear" w:color="auto" w:fill="auto"/>
            <w:vAlign w:val="center"/>
          </w:tcPr>
          <w:p w14:paraId="018B496B" w14:textId="77777777" w:rsidR="00E63352" w:rsidRPr="002F50A8" w:rsidRDefault="00E63352" w:rsidP="00C0058C">
            <w:pPr>
              <w:tabs>
                <w:tab w:val="left" w:pos="8280"/>
              </w:tabs>
              <w:spacing w:after="60"/>
              <w:jc w:val="left"/>
              <w:rPr>
                <w:sz w:val="20"/>
              </w:rPr>
            </w:pPr>
            <w:r>
              <w:rPr>
                <w:sz w:val="20"/>
              </w:rPr>
              <w:t>Coûts d’appui totaux</w:t>
            </w:r>
          </w:p>
        </w:tc>
        <w:tc>
          <w:tcPr>
            <w:tcW w:w="475" w:type="pct"/>
            <w:shd w:val="clear" w:color="auto" w:fill="auto"/>
          </w:tcPr>
          <w:p w14:paraId="578C3AAD" w14:textId="77777777" w:rsidR="00E63352" w:rsidRPr="003532C0" w:rsidRDefault="00E63352" w:rsidP="003532C0">
            <w:pPr>
              <w:spacing w:after="60"/>
              <w:ind w:right="39"/>
              <w:jc w:val="center"/>
              <w:rPr>
                <w:color w:val="000000" w:themeColor="text1"/>
                <w:sz w:val="20"/>
              </w:rPr>
            </w:pPr>
            <w:r w:rsidRPr="003532C0">
              <w:rPr>
                <w:color w:val="000000" w:themeColor="text1"/>
                <w:sz w:val="20"/>
              </w:rPr>
              <w:t>19 500</w:t>
            </w:r>
          </w:p>
        </w:tc>
        <w:tc>
          <w:tcPr>
            <w:tcW w:w="475" w:type="pct"/>
          </w:tcPr>
          <w:p w14:paraId="39B3F084" w14:textId="77777777" w:rsidR="00E63352" w:rsidRPr="003532C0" w:rsidRDefault="00E63352" w:rsidP="003532C0">
            <w:pPr>
              <w:spacing w:after="60"/>
              <w:ind w:right="39"/>
              <w:jc w:val="center"/>
              <w:rPr>
                <w:color w:val="000000" w:themeColor="text1"/>
                <w:sz w:val="20"/>
              </w:rPr>
            </w:pPr>
            <w:r w:rsidRPr="003532C0">
              <w:rPr>
                <w:color w:val="000000" w:themeColor="text1"/>
                <w:sz w:val="20"/>
              </w:rPr>
              <w:t>0</w:t>
            </w:r>
          </w:p>
        </w:tc>
        <w:tc>
          <w:tcPr>
            <w:tcW w:w="475" w:type="pct"/>
          </w:tcPr>
          <w:p w14:paraId="471ECBF3" w14:textId="77777777" w:rsidR="00E63352" w:rsidRPr="003532C0" w:rsidRDefault="00E63352" w:rsidP="003532C0">
            <w:pPr>
              <w:spacing w:after="60"/>
              <w:ind w:right="39"/>
              <w:jc w:val="center"/>
              <w:rPr>
                <w:color w:val="000000" w:themeColor="text1"/>
                <w:sz w:val="20"/>
              </w:rPr>
            </w:pPr>
            <w:r w:rsidRPr="003532C0">
              <w:rPr>
                <w:color w:val="000000" w:themeColor="text1"/>
                <w:sz w:val="20"/>
              </w:rPr>
              <w:t>30 615</w:t>
            </w:r>
          </w:p>
        </w:tc>
        <w:tc>
          <w:tcPr>
            <w:tcW w:w="475" w:type="pct"/>
          </w:tcPr>
          <w:p w14:paraId="0382F482" w14:textId="77777777" w:rsidR="00E63352" w:rsidRPr="003532C0" w:rsidRDefault="00E63352" w:rsidP="003532C0">
            <w:pPr>
              <w:spacing w:after="60"/>
              <w:ind w:right="39"/>
              <w:jc w:val="center"/>
              <w:rPr>
                <w:color w:val="000000" w:themeColor="text1"/>
                <w:sz w:val="20"/>
              </w:rPr>
            </w:pPr>
            <w:r w:rsidRPr="003532C0">
              <w:rPr>
                <w:color w:val="000000" w:themeColor="text1"/>
                <w:sz w:val="20"/>
              </w:rPr>
              <w:t>0</w:t>
            </w:r>
          </w:p>
        </w:tc>
        <w:tc>
          <w:tcPr>
            <w:tcW w:w="475" w:type="pct"/>
          </w:tcPr>
          <w:p w14:paraId="51EAE0CA" w14:textId="77777777" w:rsidR="00E63352" w:rsidRPr="003532C0" w:rsidRDefault="00E63352" w:rsidP="003532C0">
            <w:pPr>
              <w:spacing w:after="60"/>
              <w:ind w:right="39"/>
              <w:jc w:val="center"/>
              <w:rPr>
                <w:color w:val="000000" w:themeColor="text1"/>
                <w:sz w:val="20"/>
              </w:rPr>
            </w:pPr>
            <w:r w:rsidRPr="003532C0">
              <w:rPr>
                <w:color w:val="000000" w:themeColor="text1"/>
                <w:sz w:val="20"/>
              </w:rPr>
              <w:t>5 460</w:t>
            </w:r>
          </w:p>
        </w:tc>
        <w:tc>
          <w:tcPr>
            <w:tcW w:w="471" w:type="pct"/>
          </w:tcPr>
          <w:p w14:paraId="3ABE7CC0" w14:textId="77777777" w:rsidR="00E63352" w:rsidRPr="003532C0" w:rsidRDefault="00E63352" w:rsidP="003532C0">
            <w:pPr>
              <w:spacing w:after="60"/>
              <w:ind w:right="39"/>
              <w:jc w:val="center"/>
              <w:rPr>
                <w:color w:val="000000" w:themeColor="text1"/>
                <w:sz w:val="20"/>
              </w:rPr>
            </w:pPr>
            <w:r w:rsidRPr="003532C0">
              <w:rPr>
                <w:color w:val="000000" w:themeColor="text1"/>
                <w:sz w:val="20"/>
              </w:rPr>
              <w:t>55 575</w:t>
            </w:r>
          </w:p>
        </w:tc>
      </w:tr>
      <w:bookmarkEnd w:id="2"/>
      <w:tr w:rsidR="00E63352" w:rsidRPr="00996241" w14:paraId="7DD6DB2A" w14:textId="77777777" w:rsidTr="004A33EB">
        <w:trPr>
          <w:trHeight w:val="95"/>
        </w:trPr>
        <w:tc>
          <w:tcPr>
            <w:tcW w:w="1061" w:type="pct"/>
            <w:vMerge/>
            <w:shd w:val="clear" w:color="auto" w:fill="auto"/>
            <w:vAlign w:val="center"/>
          </w:tcPr>
          <w:p w14:paraId="6AC6DF3C" w14:textId="77777777" w:rsidR="00E63352" w:rsidRPr="002F50A8" w:rsidRDefault="00E63352" w:rsidP="00C0058C">
            <w:pPr>
              <w:tabs>
                <w:tab w:val="left" w:pos="8280"/>
              </w:tabs>
              <w:spacing w:after="60"/>
              <w:jc w:val="left"/>
              <w:rPr>
                <w:sz w:val="20"/>
              </w:rPr>
            </w:pPr>
          </w:p>
        </w:tc>
        <w:tc>
          <w:tcPr>
            <w:tcW w:w="1095" w:type="pct"/>
            <w:gridSpan w:val="2"/>
            <w:shd w:val="clear" w:color="auto" w:fill="auto"/>
            <w:vAlign w:val="center"/>
          </w:tcPr>
          <w:p w14:paraId="6A6EE905" w14:textId="77777777" w:rsidR="00E63352" w:rsidRPr="002F50A8" w:rsidRDefault="00E63352" w:rsidP="00C0058C">
            <w:pPr>
              <w:tabs>
                <w:tab w:val="left" w:pos="8280"/>
              </w:tabs>
              <w:spacing w:after="60"/>
              <w:jc w:val="left"/>
              <w:rPr>
                <w:sz w:val="20"/>
              </w:rPr>
            </w:pPr>
            <w:r>
              <w:rPr>
                <w:sz w:val="20"/>
              </w:rPr>
              <w:t>Total des fonds</w:t>
            </w:r>
          </w:p>
        </w:tc>
        <w:tc>
          <w:tcPr>
            <w:tcW w:w="475" w:type="pct"/>
            <w:shd w:val="clear" w:color="auto" w:fill="auto"/>
          </w:tcPr>
          <w:p w14:paraId="3BEE5822" w14:textId="77777777" w:rsidR="00E63352" w:rsidRPr="003532C0" w:rsidRDefault="00E63352" w:rsidP="003532C0">
            <w:pPr>
              <w:spacing w:after="60"/>
              <w:ind w:right="39"/>
              <w:jc w:val="center"/>
              <w:rPr>
                <w:color w:val="000000" w:themeColor="text1"/>
                <w:sz w:val="20"/>
              </w:rPr>
            </w:pPr>
            <w:r w:rsidRPr="003532C0">
              <w:rPr>
                <w:color w:val="000000" w:themeColor="text1"/>
                <w:sz w:val="20"/>
              </w:rPr>
              <w:t>169 500</w:t>
            </w:r>
          </w:p>
        </w:tc>
        <w:tc>
          <w:tcPr>
            <w:tcW w:w="475" w:type="pct"/>
          </w:tcPr>
          <w:p w14:paraId="41B7D8BC" w14:textId="77777777" w:rsidR="00E63352" w:rsidRPr="003532C0" w:rsidRDefault="00E63352" w:rsidP="003532C0">
            <w:pPr>
              <w:spacing w:after="60"/>
              <w:ind w:right="39"/>
              <w:jc w:val="center"/>
              <w:rPr>
                <w:color w:val="000000" w:themeColor="text1"/>
                <w:sz w:val="20"/>
              </w:rPr>
            </w:pPr>
            <w:r w:rsidRPr="003532C0">
              <w:rPr>
                <w:color w:val="000000" w:themeColor="text1"/>
                <w:sz w:val="20"/>
              </w:rPr>
              <w:t>0</w:t>
            </w:r>
          </w:p>
        </w:tc>
        <w:tc>
          <w:tcPr>
            <w:tcW w:w="475" w:type="pct"/>
          </w:tcPr>
          <w:p w14:paraId="4502699B" w14:textId="77777777" w:rsidR="00E63352" w:rsidRPr="003532C0" w:rsidRDefault="00E63352" w:rsidP="003532C0">
            <w:pPr>
              <w:spacing w:after="60"/>
              <w:ind w:right="39"/>
              <w:jc w:val="center"/>
              <w:rPr>
                <w:color w:val="000000" w:themeColor="text1"/>
                <w:sz w:val="20"/>
              </w:rPr>
            </w:pPr>
            <w:r w:rsidRPr="003532C0">
              <w:rPr>
                <w:color w:val="000000" w:themeColor="text1"/>
                <w:sz w:val="20"/>
              </w:rPr>
              <w:t>266 115</w:t>
            </w:r>
          </w:p>
        </w:tc>
        <w:tc>
          <w:tcPr>
            <w:tcW w:w="475" w:type="pct"/>
          </w:tcPr>
          <w:p w14:paraId="089A39D3" w14:textId="77777777" w:rsidR="00E63352" w:rsidRPr="003532C0" w:rsidRDefault="00E63352" w:rsidP="003532C0">
            <w:pPr>
              <w:spacing w:after="60"/>
              <w:ind w:right="39"/>
              <w:jc w:val="center"/>
              <w:rPr>
                <w:color w:val="000000" w:themeColor="text1"/>
                <w:sz w:val="20"/>
              </w:rPr>
            </w:pPr>
            <w:r w:rsidRPr="003532C0">
              <w:rPr>
                <w:color w:val="000000" w:themeColor="text1"/>
                <w:sz w:val="20"/>
              </w:rPr>
              <w:t>0</w:t>
            </w:r>
          </w:p>
        </w:tc>
        <w:tc>
          <w:tcPr>
            <w:tcW w:w="475" w:type="pct"/>
          </w:tcPr>
          <w:p w14:paraId="1FA91751" w14:textId="77777777" w:rsidR="00E63352" w:rsidRPr="003532C0" w:rsidRDefault="00E63352" w:rsidP="003532C0">
            <w:pPr>
              <w:spacing w:after="60"/>
              <w:ind w:right="39"/>
              <w:jc w:val="center"/>
              <w:rPr>
                <w:color w:val="000000" w:themeColor="text1"/>
                <w:sz w:val="20"/>
              </w:rPr>
            </w:pPr>
            <w:r w:rsidRPr="003532C0">
              <w:rPr>
                <w:color w:val="000000" w:themeColor="text1"/>
                <w:sz w:val="20"/>
              </w:rPr>
              <w:t>47 460</w:t>
            </w:r>
          </w:p>
        </w:tc>
        <w:tc>
          <w:tcPr>
            <w:tcW w:w="471" w:type="pct"/>
          </w:tcPr>
          <w:p w14:paraId="34F032BA" w14:textId="77777777" w:rsidR="00E63352" w:rsidRPr="003532C0" w:rsidRDefault="00E63352" w:rsidP="003532C0">
            <w:pPr>
              <w:spacing w:after="60"/>
              <w:ind w:right="39"/>
              <w:jc w:val="center"/>
              <w:rPr>
                <w:color w:val="000000" w:themeColor="text1"/>
                <w:sz w:val="20"/>
              </w:rPr>
            </w:pPr>
            <w:r w:rsidRPr="003532C0">
              <w:rPr>
                <w:color w:val="000000" w:themeColor="text1"/>
                <w:sz w:val="20"/>
              </w:rPr>
              <w:t>483 075</w:t>
            </w:r>
          </w:p>
        </w:tc>
      </w:tr>
    </w:tbl>
    <w:p w14:paraId="36A2D30B" w14:textId="77777777" w:rsidR="00E63352" w:rsidRPr="00AB4657" w:rsidRDefault="00E63352" w:rsidP="00AB4657">
      <w:pPr>
        <w:ind w:right="4"/>
        <w:rPr>
          <w:sz w:val="16"/>
          <w:szCs w:val="16"/>
        </w:rPr>
      </w:pPr>
    </w:p>
    <w:tbl>
      <w:tblPr>
        <w:tblStyle w:val="TableGrid10"/>
        <w:tblW w:w="5195" w:type="pct"/>
        <w:tblInd w:w="-365" w:type="dxa"/>
        <w:tblLook w:val="04A0" w:firstRow="1" w:lastRow="0" w:firstColumn="1" w:lastColumn="0" w:noHBand="0" w:noVBand="1"/>
      </w:tblPr>
      <w:tblGrid>
        <w:gridCol w:w="3295"/>
        <w:gridCol w:w="3138"/>
        <w:gridCol w:w="3282"/>
      </w:tblGrid>
      <w:tr w:rsidR="00E63352" w:rsidRPr="00EB31E3" w14:paraId="1DCA3E59" w14:textId="77777777" w:rsidTr="004A33EB">
        <w:trPr>
          <w:trHeight w:hRule="exact" w:val="372"/>
        </w:trPr>
        <w:tc>
          <w:tcPr>
            <w:tcW w:w="5000" w:type="pct"/>
            <w:gridSpan w:val="3"/>
            <w:shd w:val="clear" w:color="auto" w:fill="auto"/>
          </w:tcPr>
          <w:p w14:paraId="1F871F58" w14:textId="77777777" w:rsidR="00E63352" w:rsidRPr="00996241" w:rsidRDefault="00E63352" w:rsidP="00C0058C">
            <w:pPr>
              <w:spacing w:after="120"/>
              <w:rPr>
                <w:b/>
                <w:color w:val="000000" w:themeColor="text1"/>
                <w:sz w:val="20"/>
              </w:rPr>
            </w:pPr>
            <w:r>
              <w:rPr>
                <w:b/>
                <w:color w:val="000000" w:themeColor="text1"/>
                <w:sz w:val="20"/>
              </w:rPr>
              <w:t>(VII) Demande d’approbation du financement pour la première tranche (2024)</w:t>
            </w:r>
          </w:p>
        </w:tc>
      </w:tr>
      <w:tr w:rsidR="00E63352" w:rsidRPr="00EB31E3" w14:paraId="4181EE7A" w14:textId="77777777" w:rsidTr="004A33EB">
        <w:trPr>
          <w:trHeight w:hRule="exact" w:val="420"/>
        </w:trPr>
        <w:tc>
          <w:tcPr>
            <w:tcW w:w="1696" w:type="pct"/>
            <w:shd w:val="clear" w:color="auto" w:fill="auto"/>
            <w:vAlign w:val="center"/>
          </w:tcPr>
          <w:p w14:paraId="72C6ABD4" w14:textId="77777777" w:rsidR="00E63352" w:rsidRPr="009931F4" w:rsidRDefault="00E63352" w:rsidP="00C0058C">
            <w:pPr>
              <w:jc w:val="center"/>
              <w:rPr>
                <w:b/>
                <w:color w:val="000000" w:themeColor="text1"/>
                <w:sz w:val="20"/>
              </w:rPr>
            </w:pPr>
            <w:r>
              <w:rPr>
                <w:b/>
                <w:color w:val="000000" w:themeColor="text1"/>
                <w:sz w:val="20"/>
              </w:rPr>
              <w:t>Agence d’exécution</w:t>
            </w:r>
          </w:p>
        </w:tc>
        <w:tc>
          <w:tcPr>
            <w:tcW w:w="1615" w:type="pct"/>
            <w:shd w:val="clear" w:color="auto" w:fill="auto"/>
            <w:vAlign w:val="center"/>
          </w:tcPr>
          <w:p w14:paraId="4ABAD981" w14:textId="77777777" w:rsidR="00E63352" w:rsidRPr="00996241" w:rsidRDefault="00E63352" w:rsidP="00C0058C">
            <w:pPr>
              <w:jc w:val="center"/>
              <w:rPr>
                <w:b/>
                <w:color w:val="000000" w:themeColor="text1"/>
                <w:sz w:val="20"/>
              </w:rPr>
            </w:pPr>
            <w:r>
              <w:rPr>
                <w:b/>
                <w:color w:val="000000" w:themeColor="text1"/>
                <w:sz w:val="20"/>
              </w:rPr>
              <w:t>Financement recommandé ($ US)</w:t>
            </w:r>
          </w:p>
        </w:tc>
        <w:tc>
          <w:tcPr>
            <w:tcW w:w="1689" w:type="pct"/>
            <w:shd w:val="clear" w:color="auto" w:fill="auto"/>
            <w:vAlign w:val="center"/>
          </w:tcPr>
          <w:p w14:paraId="7D36FC81" w14:textId="77777777" w:rsidR="00E63352" w:rsidRPr="00996241" w:rsidRDefault="00E63352" w:rsidP="00C0058C">
            <w:pPr>
              <w:jc w:val="center"/>
              <w:rPr>
                <w:b/>
                <w:color w:val="000000" w:themeColor="text1"/>
                <w:sz w:val="20"/>
              </w:rPr>
            </w:pPr>
            <w:r>
              <w:rPr>
                <w:b/>
                <w:color w:val="000000" w:themeColor="text1"/>
                <w:sz w:val="20"/>
              </w:rPr>
              <w:t>Coûts d’appui ($ US)</w:t>
            </w:r>
          </w:p>
        </w:tc>
      </w:tr>
      <w:tr w:rsidR="00E63352" w:rsidRPr="003532C0" w14:paraId="489A1C08" w14:textId="77777777" w:rsidTr="004A33EB">
        <w:trPr>
          <w:trHeight w:hRule="exact" w:val="284"/>
        </w:trPr>
        <w:tc>
          <w:tcPr>
            <w:tcW w:w="1696" w:type="pct"/>
            <w:shd w:val="clear" w:color="auto" w:fill="auto"/>
          </w:tcPr>
          <w:p w14:paraId="30A6A3D9" w14:textId="77777777" w:rsidR="00E63352" w:rsidRPr="00996241" w:rsidRDefault="00E63352" w:rsidP="003532C0">
            <w:pPr>
              <w:spacing w:after="60"/>
              <w:ind w:right="39"/>
              <w:jc w:val="center"/>
              <w:rPr>
                <w:color w:val="000000" w:themeColor="text1"/>
                <w:sz w:val="20"/>
              </w:rPr>
            </w:pPr>
            <w:r>
              <w:rPr>
                <w:color w:val="000000" w:themeColor="text1"/>
                <w:sz w:val="20"/>
              </w:rPr>
              <w:t>PNUE</w:t>
            </w:r>
          </w:p>
        </w:tc>
        <w:tc>
          <w:tcPr>
            <w:tcW w:w="1615" w:type="pct"/>
            <w:shd w:val="clear" w:color="auto" w:fill="auto"/>
          </w:tcPr>
          <w:p w14:paraId="03E89A65" w14:textId="77777777" w:rsidR="00E63352" w:rsidRPr="00996241" w:rsidRDefault="00E63352" w:rsidP="003532C0">
            <w:pPr>
              <w:spacing w:after="60"/>
              <w:ind w:right="39"/>
              <w:jc w:val="center"/>
              <w:rPr>
                <w:color w:val="000000" w:themeColor="text1"/>
                <w:sz w:val="20"/>
              </w:rPr>
            </w:pPr>
            <w:r>
              <w:rPr>
                <w:color w:val="000000" w:themeColor="text1"/>
                <w:sz w:val="20"/>
              </w:rPr>
              <w:t>150 000</w:t>
            </w:r>
          </w:p>
        </w:tc>
        <w:tc>
          <w:tcPr>
            <w:tcW w:w="1689" w:type="pct"/>
            <w:shd w:val="clear" w:color="auto" w:fill="auto"/>
          </w:tcPr>
          <w:p w14:paraId="0D77D103" w14:textId="77777777" w:rsidR="00E63352" w:rsidRPr="00996241" w:rsidRDefault="00E63352" w:rsidP="003532C0">
            <w:pPr>
              <w:spacing w:after="60"/>
              <w:ind w:right="39"/>
              <w:jc w:val="center"/>
              <w:rPr>
                <w:color w:val="000000" w:themeColor="text1"/>
                <w:sz w:val="20"/>
              </w:rPr>
            </w:pPr>
            <w:r>
              <w:rPr>
                <w:color w:val="000000" w:themeColor="text1"/>
                <w:sz w:val="20"/>
              </w:rPr>
              <w:t>19 500</w:t>
            </w:r>
          </w:p>
        </w:tc>
      </w:tr>
    </w:tbl>
    <w:p w14:paraId="5B3244BC" w14:textId="77777777" w:rsidR="00E63352" w:rsidRPr="00AB4657" w:rsidRDefault="00E63352" w:rsidP="00E63352">
      <w:pPr>
        <w:jc w:val="center"/>
        <w:rPr>
          <w:sz w:val="16"/>
          <w:szCs w:val="16"/>
        </w:rPr>
      </w:pPr>
    </w:p>
    <w:tbl>
      <w:tblPr>
        <w:tblStyle w:val="TableGrid"/>
        <w:tblW w:w="5195" w:type="pct"/>
        <w:tblInd w:w="-365" w:type="dxa"/>
        <w:tblLook w:val="04A0" w:firstRow="1" w:lastRow="0" w:firstColumn="1" w:lastColumn="0" w:noHBand="0" w:noVBand="1"/>
      </w:tblPr>
      <w:tblGrid>
        <w:gridCol w:w="3305"/>
        <w:gridCol w:w="6410"/>
      </w:tblGrid>
      <w:tr w:rsidR="00E63352" w:rsidRPr="00EB31E3" w14:paraId="239CAFC6" w14:textId="77777777" w:rsidTr="004A33EB">
        <w:trPr>
          <w:trHeight w:hRule="exact" w:val="281"/>
        </w:trPr>
        <w:tc>
          <w:tcPr>
            <w:tcW w:w="1701" w:type="pct"/>
            <w:shd w:val="clear" w:color="auto" w:fill="auto"/>
          </w:tcPr>
          <w:p w14:paraId="3283B45E" w14:textId="77777777" w:rsidR="00E63352" w:rsidRPr="00996241" w:rsidRDefault="00E63352" w:rsidP="00C0058C">
            <w:pPr>
              <w:jc w:val="left"/>
              <w:rPr>
                <w:b/>
                <w:color w:val="000000" w:themeColor="text1"/>
                <w:sz w:val="20"/>
              </w:rPr>
            </w:pPr>
            <w:r>
              <w:rPr>
                <w:b/>
                <w:color w:val="000000" w:themeColor="text1"/>
                <w:sz w:val="20"/>
              </w:rPr>
              <w:t>Recommandation du Secrétariat :</w:t>
            </w:r>
          </w:p>
        </w:tc>
        <w:tc>
          <w:tcPr>
            <w:tcW w:w="3299" w:type="pct"/>
            <w:shd w:val="clear" w:color="auto" w:fill="auto"/>
          </w:tcPr>
          <w:p w14:paraId="01AB4C59" w14:textId="77777777" w:rsidR="00E63352" w:rsidRPr="00996241" w:rsidRDefault="00E63352" w:rsidP="00C0058C">
            <w:pPr>
              <w:jc w:val="center"/>
              <w:rPr>
                <w:color w:val="000000" w:themeColor="text1"/>
                <w:sz w:val="20"/>
              </w:rPr>
            </w:pPr>
            <w:r>
              <w:rPr>
                <w:color w:val="000000" w:themeColor="text1"/>
                <w:sz w:val="20"/>
              </w:rPr>
              <w:t>À examiner individuellement (présentation par le Secrétariat non requise)</w:t>
            </w:r>
          </w:p>
        </w:tc>
      </w:tr>
    </w:tbl>
    <w:p w14:paraId="6135F15B" w14:textId="71448F1B" w:rsidR="00F86A98" w:rsidRDefault="00E63352" w:rsidP="004A33EB">
      <w:pPr>
        <w:tabs>
          <w:tab w:val="center" w:pos="4680"/>
        </w:tabs>
        <w:spacing w:after="240"/>
        <w:jc w:val="left"/>
        <w:rPr>
          <w:b/>
        </w:rPr>
      </w:pPr>
      <w:r>
        <w:br w:type="page"/>
      </w:r>
      <w:r w:rsidR="005C1532">
        <w:lastRenderedPageBreak/>
        <w:tab/>
      </w:r>
      <w:r>
        <w:rPr>
          <w:b/>
        </w:rPr>
        <w:t>DESCRIPTION DU PROJET</w:t>
      </w:r>
    </w:p>
    <w:p w14:paraId="291C8C9E" w14:textId="46B9CE8E" w:rsidR="00FE22D0" w:rsidRPr="00C109A1" w:rsidRDefault="00E63352" w:rsidP="004A33EB">
      <w:pPr>
        <w:spacing w:after="240"/>
      </w:pPr>
      <w:r>
        <w:rPr>
          <w:b/>
        </w:rPr>
        <w:t>Contexte</w:t>
      </w:r>
    </w:p>
    <w:p w14:paraId="734ED633" w14:textId="3DB02231" w:rsidR="00E63352" w:rsidRPr="00996241" w:rsidRDefault="00E63352" w:rsidP="004A33EB">
      <w:pPr>
        <w:pStyle w:val="Heading1"/>
      </w:pPr>
      <w:r>
        <w:t>Au nom du gouvernement des Comores, le PNUE, en sa qualité d’agence d’exécution désignée, a soumis une demande pour la phase II du plan de gestion de l’élimination des HCFC (PGEH), pour un montant de 427 500 $ US, plus des coûts d’appui d’agence de 55 575 $ US, conformément à la présentation initiale</w:t>
      </w:r>
      <w:r w:rsidRPr="00C109A1">
        <w:rPr>
          <w:vertAlign w:val="superscript"/>
        </w:rPr>
        <w:footnoteReference w:id="3"/>
      </w:r>
      <w:r>
        <w:t>. La soumission comprend le rapport de vérification sur la consommation de HCFC du pays de 2018 à 2022. La mise en œuvre de la phase II du PGEH permettra d’éliminer la consommation restante de HCFC d’ici 2030.</w:t>
      </w:r>
    </w:p>
    <w:p w14:paraId="327C6A73" w14:textId="77777777" w:rsidR="00E63352" w:rsidRPr="0050110C" w:rsidRDefault="00E63352" w:rsidP="00E63352">
      <w:pPr>
        <w:pStyle w:val="Heading1"/>
      </w:pPr>
      <w:r>
        <w:t>La première tranche de la phase II demandée à la présente réunion s’élève à 150 000 $ US, plus des coûts d’appui d’agence de 19 500 $ US pour le PNUE, conformément à la présentation initiale.</w:t>
      </w:r>
    </w:p>
    <w:p w14:paraId="6A0C8FD2" w14:textId="77777777" w:rsidR="00E63352" w:rsidRDefault="00E63352" w:rsidP="00E63352">
      <w:pPr>
        <w:spacing w:after="240"/>
        <w:outlineLvl w:val="0"/>
        <w:rPr>
          <w:b/>
        </w:rPr>
      </w:pPr>
      <w:r>
        <w:rPr>
          <w:b/>
        </w:rPr>
        <w:t>État de la mise en œuvre de la phase I</w:t>
      </w:r>
      <w:r>
        <w:t xml:space="preserve"> </w:t>
      </w:r>
      <w:r>
        <w:rPr>
          <w:b/>
        </w:rPr>
        <w:t>du plan de gestion de l’élimination des HCFC</w:t>
      </w:r>
    </w:p>
    <w:p w14:paraId="7EF66784" w14:textId="5CCEBCB2" w:rsidR="00E63352" w:rsidRPr="004B3012" w:rsidRDefault="00E63352" w:rsidP="00E63352">
      <w:pPr>
        <w:pStyle w:val="Heading1"/>
      </w:pPr>
      <w:r>
        <w:t>La phase I du PGEH pour les Comores a été approuvée à la 64</w:t>
      </w:r>
      <w:r>
        <w:rPr>
          <w:vertAlign w:val="superscript"/>
        </w:rPr>
        <w:t>e</w:t>
      </w:r>
      <w:r>
        <w:t> réunion</w:t>
      </w:r>
      <w:r w:rsidRPr="00996241">
        <w:rPr>
          <w:vertAlign w:val="superscript"/>
        </w:rPr>
        <w:footnoteReference w:id="4"/>
      </w:r>
      <w:r>
        <w:t xml:space="preserve"> pour éliminer 0,05 tonne PAO de HCFC-22 utilisée dans le secteur de l’entretien des équipements de réfrigération et </w:t>
      </w:r>
      <w:r w:rsidR="00444F99">
        <w:t xml:space="preserve">de </w:t>
      </w:r>
      <w:r>
        <w:t xml:space="preserve">climatisation ainsi que pour respecter la réduction de 35 pour cent par rapport </w:t>
      </w:r>
      <w:r w:rsidR="00444F99">
        <w:t xml:space="preserve">à </w:t>
      </w:r>
      <w:r>
        <w:t xml:space="preserve">la valeur de référence avant 2020, pour un montant total de 160 000 $ US, plus </w:t>
      </w:r>
      <w:r w:rsidR="00444F99">
        <w:t>d</w:t>
      </w:r>
      <w:r>
        <w:t>es coûts d’appui d’agence. La phase I a été achevée en décembre 2022, conformément à la décision 87/28 autorisant le report de la date d’achèvement stipulée dans l’Accord entre le Gouvernement des Comores et le Comité exécutif, et le rapport d’achèvement du projet a été présenté au Secrétariat le 25 juin 2023.</w:t>
      </w:r>
    </w:p>
    <w:p w14:paraId="4DEE394D" w14:textId="77777777" w:rsidR="00E63352" w:rsidRPr="002C5D9E" w:rsidRDefault="00E63352" w:rsidP="00E63352">
      <w:pPr>
        <w:keepNext/>
        <w:keepLines/>
        <w:widowControl w:val="0"/>
        <w:spacing w:after="240"/>
      </w:pPr>
      <w:r>
        <w:rPr>
          <w:u w:val="single"/>
        </w:rPr>
        <w:t>Rapport sur la consommation de HCFC</w:t>
      </w:r>
    </w:p>
    <w:p w14:paraId="47190CAC" w14:textId="615A55BA" w:rsidR="00E63352" w:rsidRPr="003E635C" w:rsidRDefault="00E63352" w:rsidP="00E63352">
      <w:pPr>
        <w:pStyle w:val="Heading1"/>
      </w:pPr>
      <w:bookmarkStart w:id="3" w:name="_Hlk141281293"/>
      <w:r>
        <w:t>Le Gouvernement des Comores a déclaré une consommation de 0,03 tonne PAO de HCFC en 2022, soit 79 pour cent de moins que le niveau de référence de HCFC du pays aux fins de conformité. Les données déclarées en vertu de l’article 7 et les données relatives au programme du pays n’ont pas encore été transmises pour l’année 2023. La consommation de HCFC pour la période 2019</w:t>
      </w:r>
      <w:r>
        <w:noBreakHyphen/>
        <w:t>2022 est indiquée dans le tableau 1.</w:t>
      </w:r>
    </w:p>
    <w:bookmarkEnd w:id="3"/>
    <w:p w14:paraId="27080A30" w14:textId="1C4BE521" w:rsidR="00E63352" w:rsidRPr="00996241" w:rsidRDefault="00E63352" w:rsidP="00E63352">
      <w:pPr>
        <w:rPr>
          <w:b/>
        </w:rPr>
      </w:pPr>
      <w:r>
        <w:rPr>
          <w:b/>
        </w:rPr>
        <w:t>Tableau 1. Consommation de HCFC aux Comores (données visées à l’article 7 pour 2019-2022)</w:t>
      </w:r>
    </w:p>
    <w:tbl>
      <w:tblPr>
        <w:tblW w:w="5000" w:type="pct"/>
        <w:tblLook w:val="04A0" w:firstRow="1" w:lastRow="0" w:firstColumn="1" w:lastColumn="0" w:noHBand="0" w:noVBand="1"/>
      </w:tblPr>
      <w:tblGrid>
        <w:gridCol w:w="2436"/>
        <w:gridCol w:w="1455"/>
        <w:gridCol w:w="1455"/>
        <w:gridCol w:w="1455"/>
        <w:gridCol w:w="1455"/>
        <w:gridCol w:w="1094"/>
      </w:tblGrid>
      <w:tr w:rsidR="00FD0EEE" w:rsidRPr="00EB31E3" w14:paraId="0BEDBE30" w14:textId="77777777" w:rsidTr="006B2FDC">
        <w:trPr>
          <w:trHeight w:val="248"/>
          <w:tblHeader/>
        </w:trPr>
        <w:tc>
          <w:tcPr>
            <w:tcW w:w="13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7B95E5" w14:textId="77777777" w:rsidR="00FD0EEE" w:rsidRPr="00996241" w:rsidRDefault="00FD0EEE" w:rsidP="00C0058C">
            <w:pPr>
              <w:widowControl w:val="0"/>
              <w:jc w:val="left"/>
              <w:rPr>
                <w:b/>
                <w:color w:val="000000"/>
                <w:sz w:val="20"/>
              </w:rPr>
            </w:pPr>
            <w:r>
              <w:rPr>
                <w:b/>
                <w:color w:val="000000"/>
                <w:sz w:val="20"/>
              </w:rPr>
              <w:t>HCFC-22</w:t>
            </w:r>
          </w:p>
        </w:tc>
        <w:tc>
          <w:tcPr>
            <w:tcW w:w="778" w:type="pct"/>
            <w:tcBorders>
              <w:top w:val="single" w:sz="4" w:space="0" w:color="auto"/>
              <w:left w:val="nil"/>
              <w:bottom w:val="single" w:sz="4" w:space="0" w:color="auto"/>
              <w:right w:val="single" w:sz="4" w:space="0" w:color="auto"/>
            </w:tcBorders>
            <w:shd w:val="clear" w:color="auto" w:fill="auto"/>
            <w:noWrap/>
            <w:hideMark/>
          </w:tcPr>
          <w:p w14:paraId="723276D0" w14:textId="77777777" w:rsidR="00FD0EEE" w:rsidRPr="00996241" w:rsidRDefault="00FD0EEE" w:rsidP="00444F99">
            <w:pPr>
              <w:widowControl w:val="0"/>
              <w:jc w:val="center"/>
              <w:rPr>
                <w:b/>
                <w:color w:val="000000"/>
                <w:sz w:val="20"/>
              </w:rPr>
            </w:pPr>
            <w:r>
              <w:rPr>
                <w:b/>
                <w:color w:val="000000"/>
                <w:sz w:val="20"/>
              </w:rPr>
              <w:t>2019</w:t>
            </w:r>
          </w:p>
        </w:tc>
        <w:tc>
          <w:tcPr>
            <w:tcW w:w="778" w:type="pct"/>
            <w:tcBorders>
              <w:top w:val="single" w:sz="4" w:space="0" w:color="auto"/>
              <w:left w:val="nil"/>
              <w:bottom w:val="single" w:sz="4" w:space="0" w:color="auto"/>
              <w:right w:val="single" w:sz="4" w:space="0" w:color="auto"/>
            </w:tcBorders>
          </w:tcPr>
          <w:p w14:paraId="1504F6E3" w14:textId="77777777" w:rsidR="00FD0EEE" w:rsidRPr="00996241" w:rsidRDefault="00FD0EEE" w:rsidP="00444F99">
            <w:pPr>
              <w:widowControl w:val="0"/>
              <w:jc w:val="center"/>
              <w:rPr>
                <w:b/>
                <w:color w:val="000000"/>
                <w:sz w:val="20"/>
              </w:rPr>
            </w:pPr>
            <w:r>
              <w:rPr>
                <w:b/>
                <w:color w:val="000000"/>
                <w:sz w:val="20"/>
              </w:rPr>
              <w:t>2020</w:t>
            </w:r>
          </w:p>
        </w:tc>
        <w:tc>
          <w:tcPr>
            <w:tcW w:w="778" w:type="pct"/>
            <w:tcBorders>
              <w:top w:val="single" w:sz="4" w:space="0" w:color="auto"/>
              <w:left w:val="single" w:sz="4" w:space="0" w:color="auto"/>
              <w:bottom w:val="single" w:sz="4" w:space="0" w:color="auto"/>
              <w:right w:val="single" w:sz="4" w:space="0" w:color="auto"/>
            </w:tcBorders>
          </w:tcPr>
          <w:p w14:paraId="7A801689" w14:textId="77777777" w:rsidR="00FD0EEE" w:rsidRPr="00996241" w:rsidRDefault="00FD0EEE" w:rsidP="00444F99">
            <w:pPr>
              <w:widowControl w:val="0"/>
              <w:jc w:val="center"/>
              <w:rPr>
                <w:b/>
                <w:color w:val="000000"/>
                <w:sz w:val="20"/>
              </w:rPr>
            </w:pPr>
            <w:r>
              <w:rPr>
                <w:b/>
                <w:color w:val="000000"/>
                <w:sz w:val="20"/>
              </w:rPr>
              <w:t>2021</w:t>
            </w:r>
          </w:p>
        </w:tc>
        <w:tc>
          <w:tcPr>
            <w:tcW w:w="778" w:type="pct"/>
            <w:tcBorders>
              <w:top w:val="single" w:sz="4" w:space="0" w:color="auto"/>
              <w:left w:val="single" w:sz="4" w:space="0" w:color="auto"/>
              <w:bottom w:val="single" w:sz="4" w:space="0" w:color="auto"/>
              <w:right w:val="single" w:sz="4" w:space="0" w:color="auto"/>
            </w:tcBorders>
            <w:vAlign w:val="center"/>
          </w:tcPr>
          <w:p w14:paraId="1EED8F31" w14:textId="77777777" w:rsidR="00FD0EEE" w:rsidRPr="00996241" w:rsidRDefault="00FD0EEE" w:rsidP="00444F99">
            <w:pPr>
              <w:widowControl w:val="0"/>
              <w:jc w:val="center"/>
              <w:rPr>
                <w:b/>
                <w:color w:val="000000"/>
                <w:sz w:val="20"/>
              </w:rPr>
            </w:pPr>
            <w:r>
              <w:rPr>
                <w:b/>
                <w:color w:val="000000"/>
                <w:sz w:val="20"/>
              </w:rPr>
              <w:t>2022</w:t>
            </w:r>
          </w:p>
        </w:tc>
        <w:tc>
          <w:tcPr>
            <w:tcW w:w="5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DD32AC" w14:textId="77777777" w:rsidR="00FD0EEE" w:rsidRPr="00996241" w:rsidRDefault="00FD0EEE" w:rsidP="00444F99">
            <w:pPr>
              <w:widowControl w:val="0"/>
              <w:jc w:val="center"/>
              <w:rPr>
                <w:b/>
                <w:color w:val="000000"/>
                <w:sz w:val="20"/>
              </w:rPr>
            </w:pPr>
            <w:r>
              <w:rPr>
                <w:b/>
                <w:color w:val="000000"/>
                <w:sz w:val="20"/>
              </w:rPr>
              <w:t>Référence</w:t>
            </w:r>
          </w:p>
        </w:tc>
      </w:tr>
      <w:tr w:rsidR="00FD0EEE" w:rsidRPr="00EB31E3" w14:paraId="0A5E9F61" w14:textId="77777777" w:rsidTr="006B2FDC">
        <w:trPr>
          <w:trHeight w:val="240"/>
        </w:trPr>
        <w:tc>
          <w:tcPr>
            <w:tcW w:w="13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A5F8C7" w14:textId="77777777" w:rsidR="00FD0EEE" w:rsidRPr="00987590" w:rsidRDefault="00FD0EEE" w:rsidP="00C0058C">
            <w:pPr>
              <w:widowControl w:val="0"/>
              <w:jc w:val="left"/>
              <w:rPr>
                <w:b/>
                <w:bCs/>
                <w:color w:val="000000"/>
                <w:sz w:val="20"/>
              </w:rPr>
            </w:pPr>
            <w:r>
              <w:rPr>
                <w:b/>
                <w:color w:val="000000"/>
                <w:sz w:val="20"/>
              </w:rPr>
              <w:t>Tonnes métriques (</w:t>
            </w:r>
            <w:proofErr w:type="spellStart"/>
            <w:r>
              <w:rPr>
                <w:b/>
                <w:color w:val="000000"/>
                <w:sz w:val="20"/>
              </w:rPr>
              <w:t>tm</w:t>
            </w:r>
            <w:proofErr w:type="spellEnd"/>
            <w:r>
              <w:rPr>
                <w:b/>
                <w:color w:val="000000"/>
                <w:sz w:val="20"/>
              </w:rPr>
              <w:t>)</w:t>
            </w:r>
          </w:p>
        </w:tc>
        <w:tc>
          <w:tcPr>
            <w:tcW w:w="778" w:type="pct"/>
            <w:tcBorders>
              <w:top w:val="nil"/>
              <w:left w:val="nil"/>
              <w:bottom w:val="single" w:sz="4" w:space="0" w:color="auto"/>
              <w:right w:val="single" w:sz="4" w:space="0" w:color="auto"/>
            </w:tcBorders>
            <w:shd w:val="clear" w:color="auto" w:fill="auto"/>
            <w:noWrap/>
            <w:tcMar>
              <w:left w:w="115" w:type="dxa"/>
              <w:right w:w="230" w:type="dxa"/>
            </w:tcMar>
          </w:tcPr>
          <w:p w14:paraId="0C45ACC2" w14:textId="77777777" w:rsidR="00FD0EEE" w:rsidRPr="00996241" w:rsidRDefault="00FD0EEE" w:rsidP="00444F99">
            <w:pPr>
              <w:jc w:val="center"/>
              <w:rPr>
                <w:sz w:val="20"/>
              </w:rPr>
            </w:pPr>
            <w:r>
              <w:rPr>
                <w:sz w:val="20"/>
              </w:rPr>
              <w:t>0,92</w:t>
            </w:r>
          </w:p>
        </w:tc>
        <w:tc>
          <w:tcPr>
            <w:tcW w:w="778" w:type="pct"/>
            <w:tcBorders>
              <w:top w:val="single" w:sz="4" w:space="0" w:color="auto"/>
              <w:left w:val="nil"/>
              <w:bottom w:val="single" w:sz="4" w:space="0" w:color="auto"/>
              <w:right w:val="single" w:sz="4" w:space="0" w:color="auto"/>
            </w:tcBorders>
            <w:tcMar>
              <w:left w:w="115" w:type="dxa"/>
              <w:right w:w="230" w:type="dxa"/>
            </w:tcMar>
          </w:tcPr>
          <w:p w14:paraId="6801465F" w14:textId="77777777" w:rsidR="00FD0EEE" w:rsidRPr="00996241" w:rsidRDefault="00FD0EEE" w:rsidP="00444F99">
            <w:pPr>
              <w:jc w:val="center"/>
              <w:rPr>
                <w:sz w:val="20"/>
              </w:rPr>
            </w:pPr>
            <w:r>
              <w:rPr>
                <w:sz w:val="20"/>
              </w:rPr>
              <w:t>0,85</w:t>
            </w:r>
          </w:p>
        </w:tc>
        <w:tc>
          <w:tcPr>
            <w:tcW w:w="778" w:type="pct"/>
            <w:tcBorders>
              <w:top w:val="nil"/>
              <w:left w:val="single" w:sz="4" w:space="0" w:color="auto"/>
              <w:bottom w:val="single" w:sz="4" w:space="0" w:color="auto"/>
              <w:right w:val="single" w:sz="4" w:space="0" w:color="auto"/>
            </w:tcBorders>
            <w:tcMar>
              <w:left w:w="115" w:type="dxa"/>
              <w:right w:w="230" w:type="dxa"/>
            </w:tcMar>
          </w:tcPr>
          <w:p w14:paraId="13F597AF" w14:textId="77777777" w:rsidR="00FD0EEE" w:rsidRPr="00996241" w:rsidRDefault="00FD0EEE" w:rsidP="00444F99">
            <w:pPr>
              <w:jc w:val="center"/>
              <w:rPr>
                <w:sz w:val="20"/>
              </w:rPr>
            </w:pPr>
            <w:r>
              <w:rPr>
                <w:sz w:val="20"/>
              </w:rPr>
              <w:t>0,70</w:t>
            </w:r>
          </w:p>
        </w:tc>
        <w:tc>
          <w:tcPr>
            <w:tcW w:w="778" w:type="pct"/>
            <w:tcBorders>
              <w:top w:val="nil"/>
              <w:left w:val="single" w:sz="4" w:space="0" w:color="auto"/>
              <w:bottom w:val="single" w:sz="4" w:space="0" w:color="auto"/>
              <w:right w:val="single" w:sz="4" w:space="0" w:color="auto"/>
            </w:tcBorders>
            <w:tcMar>
              <w:left w:w="115" w:type="dxa"/>
              <w:right w:w="230" w:type="dxa"/>
            </w:tcMar>
          </w:tcPr>
          <w:p w14:paraId="4FC8E100" w14:textId="77777777" w:rsidR="00FD0EEE" w:rsidRPr="00996241" w:rsidRDefault="00FD0EEE" w:rsidP="00444F99">
            <w:pPr>
              <w:widowControl w:val="0"/>
              <w:jc w:val="center"/>
              <w:rPr>
                <w:rFonts w:eastAsiaTheme="minorHAnsi"/>
                <w:color w:val="000000"/>
                <w:sz w:val="20"/>
              </w:rPr>
            </w:pPr>
            <w:r>
              <w:rPr>
                <w:color w:val="000000"/>
                <w:sz w:val="20"/>
              </w:rPr>
              <w:t>0,60</w:t>
            </w:r>
          </w:p>
        </w:tc>
        <w:tc>
          <w:tcPr>
            <w:tcW w:w="58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2A75F5AC" w14:textId="77777777" w:rsidR="00FD0EEE" w:rsidRPr="00996241" w:rsidRDefault="00FD0EEE" w:rsidP="00444F99">
            <w:pPr>
              <w:widowControl w:val="0"/>
              <w:jc w:val="center"/>
              <w:rPr>
                <w:color w:val="000000"/>
                <w:sz w:val="20"/>
              </w:rPr>
            </w:pPr>
            <w:r>
              <w:rPr>
                <w:sz w:val="20"/>
              </w:rPr>
              <w:t>2,48</w:t>
            </w:r>
          </w:p>
        </w:tc>
      </w:tr>
      <w:tr w:rsidR="00FD0EEE" w:rsidRPr="00EB31E3" w14:paraId="4416CE31" w14:textId="77777777" w:rsidTr="006B2FDC">
        <w:trPr>
          <w:trHeight w:val="40"/>
        </w:trPr>
        <w:tc>
          <w:tcPr>
            <w:tcW w:w="13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15022F" w14:textId="77777777" w:rsidR="00FD0EEE" w:rsidRPr="00987590" w:rsidRDefault="00FD0EEE" w:rsidP="00C0058C">
            <w:pPr>
              <w:widowControl w:val="0"/>
              <w:jc w:val="left"/>
              <w:rPr>
                <w:b/>
                <w:bCs/>
                <w:color w:val="000000"/>
                <w:sz w:val="20"/>
              </w:rPr>
            </w:pPr>
            <w:r>
              <w:rPr>
                <w:b/>
                <w:color w:val="000000"/>
                <w:sz w:val="20"/>
              </w:rPr>
              <w:t>Tonnes PAO</w:t>
            </w:r>
          </w:p>
        </w:tc>
        <w:tc>
          <w:tcPr>
            <w:tcW w:w="778"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2001BCE3" w14:textId="77777777" w:rsidR="00FD0EEE" w:rsidRPr="00996241" w:rsidRDefault="00FD0EEE" w:rsidP="00444F99">
            <w:pPr>
              <w:jc w:val="center"/>
              <w:rPr>
                <w:sz w:val="20"/>
              </w:rPr>
            </w:pPr>
            <w:r>
              <w:rPr>
                <w:sz w:val="20"/>
              </w:rPr>
              <w:t>0,05</w:t>
            </w:r>
          </w:p>
        </w:tc>
        <w:tc>
          <w:tcPr>
            <w:tcW w:w="778" w:type="pct"/>
            <w:tcBorders>
              <w:top w:val="single" w:sz="4" w:space="0" w:color="auto"/>
              <w:left w:val="nil"/>
              <w:bottom w:val="single" w:sz="4" w:space="0" w:color="auto"/>
              <w:right w:val="single" w:sz="4" w:space="0" w:color="auto"/>
            </w:tcBorders>
            <w:tcMar>
              <w:left w:w="115" w:type="dxa"/>
              <w:right w:w="230" w:type="dxa"/>
            </w:tcMar>
            <w:vAlign w:val="center"/>
          </w:tcPr>
          <w:p w14:paraId="7DB81505" w14:textId="77777777" w:rsidR="00FD0EEE" w:rsidRPr="00996241" w:rsidRDefault="00FD0EEE" w:rsidP="00444F99">
            <w:pPr>
              <w:jc w:val="center"/>
              <w:rPr>
                <w:sz w:val="20"/>
              </w:rPr>
            </w:pPr>
            <w:r>
              <w:rPr>
                <w:sz w:val="20"/>
              </w:rPr>
              <w:t>0,05</w:t>
            </w:r>
          </w:p>
        </w:tc>
        <w:tc>
          <w:tcPr>
            <w:tcW w:w="778" w:type="pct"/>
            <w:tcBorders>
              <w:top w:val="single" w:sz="4" w:space="0" w:color="auto"/>
              <w:left w:val="single" w:sz="4" w:space="0" w:color="auto"/>
              <w:bottom w:val="single" w:sz="4" w:space="0" w:color="auto"/>
              <w:right w:val="single" w:sz="4" w:space="0" w:color="auto"/>
            </w:tcBorders>
            <w:tcMar>
              <w:left w:w="115" w:type="dxa"/>
              <w:right w:w="230" w:type="dxa"/>
            </w:tcMar>
          </w:tcPr>
          <w:p w14:paraId="1A0B68BD" w14:textId="77777777" w:rsidR="00FD0EEE" w:rsidRPr="00996241" w:rsidRDefault="00FD0EEE" w:rsidP="00444F99">
            <w:pPr>
              <w:jc w:val="center"/>
              <w:rPr>
                <w:sz w:val="20"/>
              </w:rPr>
            </w:pPr>
            <w:r>
              <w:rPr>
                <w:sz w:val="20"/>
              </w:rPr>
              <w:t>0,04</w:t>
            </w:r>
          </w:p>
        </w:tc>
        <w:tc>
          <w:tcPr>
            <w:tcW w:w="778" w:type="pct"/>
            <w:tcBorders>
              <w:top w:val="single" w:sz="4" w:space="0" w:color="auto"/>
              <w:left w:val="single" w:sz="4" w:space="0" w:color="auto"/>
              <w:bottom w:val="single" w:sz="4" w:space="0" w:color="auto"/>
              <w:right w:val="single" w:sz="4" w:space="0" w:color="auto"/>
            </w:tcBorders>
            <w:tcMar>
              <w:left w:w="115" w:type="dxa"/>
              <w:right w:w="230" w:type="dxa"/>
            </w:tcMar>
          </w:tcPr>
          <w:p w14:paraId="42BDE151" w14:textId="77777777" w:rsidR="00FD0EEE" w:rsidRPr="00996241" w:rsidRDefault="00FD0EEE" w:rsidP="00444F99">
            <w:pPr>
              <w:jc w:val="center"/>
              <w:rPr>
                <w:rFonts w:eastAsiaTheme="minorHAnsi"/>
                <w:color w:val="000000"/>
                <w:sz w:val="20"/>
              </w:rPr>
            </w:pPr>
            <w:r>
              <w:rPr>
                <w:sz w:val="20"/>
              </w:rPr>
              <w:t>0,03</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1F92215E" w14:textId="77777777" w:rsidR="00FD0EEE" w:rsidRPr="00996241" w:rsidRDefault="00FD0EEE" w:rsidP="00444F99">
            <w:pPr>
              <w:jc w:val="center"/>
              <w:rPr>
                <w:rFonts w:eastAsiaTheme="minorHAnsi"/>
                <w:color w:val="000000"/>
                <w:sz w:val="20"/>
              </w:rPr>
            </w:pPr>
            <w:r>
              <w:rPr>
                <w:sz w:val="20"/>
              </w:rPr>
              <w:t>0,14</w:t>
            </w:r>
          </w:p>
        </w:tc>
      </w:tr>
    </w:tbl>
    <w:p w14:paraId="6F826774" w14:textId="0D8531F7" w:rsidR="00E63352" w:rsidRPr="00C109A1" w:rsidRDefault="00E63352" w:rsidP="00C109A1">
      <w:pPr>
        <w:pStyle w:val="Heading1"/>
        <w:spacing w:before="240"/>
      </w:pPr>
      <w:bookmarkStart w:id="4" w:name="_Hlk126915671"/>
      <w:r>
        <w:t xml:space="preserve">Le seul HCFC consommé dans le pays est le HCFC-22, qui est utilisé dans le secteur de l’entretien des équipements de réfrigération et </w:t>
      </w:r>
      <w:r w:rsidR="00444F99">
        <w:t xml:space="preserve">de </w:t>
      </w:r>
      <w:r>
        <w:t xml:space="preserve">climatisation. La consommation a régulièrement diminué ces cinq dernières années suite aux activités entreprises au titre de la phase I du PGEH, en particulier en raison de la mise en place réussie d’un système de licences et de quotas, de la formation des agents des douanes, du renforcement de la capacité </w:t>
      </w:r>
      <w:r w:rsidR="00F224FB">
        <w:t>d</w:t>
      </w:r>
      <w:r>
        <w:t xml:space="preserve">es techniciens en réfrigération, de la sensibilisation des importateurs, de l’adoption de substances de remplacement à la place des HCFC dans les applications de réfrigération et </w:t>
      </w:r>
      <w:r w:rsidR="00EC1DAE">
        <w:t xml:space="preserve">de </w:t>
      </w:r>
      <w:r>
        <w:t>climatisation, ainsi que de l’application efficace et de la surveillance des substances appauvrissant la couche d’ozone (SAO).</w:t>
      </w:r>
    </w:p>
    <w:p w14:paraId="78C7C134" w14:textId="77777777" w:rsidR="00E63352" w:rsidRPr="00257709" w:rsidRDefault="00E63352" w:rsidP="00E63352">
      <w:pPr>
        <w:pStyle w:val="Heading1"/>
        <w:keepNext/>
        <w:numPr>
          <w:ilvl w:val="0"/>
          <w:numId w:val="0"/>
        </w:numPr>
        <w:rPr>
          <w:i/>
        </w:rPr>
      </w:pPr>
      <w:r>
        <w:rPr>
          <w:i/>
        </w:rPr>
        <w:t>Rapport de mise en œuvre du programme du pays</w:t>
      </w:r>
    </w:p>
    <w:bookmarkEnd w:id="4"/>
    <w:p w14:paraId="224BCFAB" w14:textId="77777777" w:rsidR="00E63352" w:rsidRPr="00F02F9D" w:rsidRDefault="00E63352" w:rsidP="00E63352">
      <w:pPr>
        <w:pStyle w:val="Heading1"/>
        <w:widowControl w:val="0"/>
        <w:spacing w:before="240" w:after="0"/>
        <w:rPr>
          <w:i/>
        </w:rPr>
      </w:pPr>
      <w:r>
        <w:t xml:space="preserve">Le Gouvernement </w:t>
      </w:r>
      <w:r>
        <w:rPr>
          <w:shd w:val="clear" w:color="auto" w:fill="FFFFFF" w:themeFill="background1"/>
        </w:rPr>
        <w:t>des Comores a communiqué</w:t>
      </w:r>
      <w:r>
        <w:t xml:space="preserve"> les données de sa consommation sectorielle de HCFC dans le cadre du rapport de mise en œuvre du programme du pays de 2022, lesquelles données sont </w:t>
      </w:r>
      <w:r>
        <w:lastRenderedPageBreak/>
        <w:t>cohérentes avec celles communiquées au titre de l’article 7 du Protocole de Montréal.</w:t>
      </w:r>
    </w:p>
    <w:p w14:paraId="516A9CA0" w14:textId="77777777" w:rsidR="00E63352" w:rsidRPr="00F02F9D" w:rsidRDefault="00E63352" w:rsidP="00A917DB">
      <w:pPr>
        <w:pStyle w:val="Heading1"/>
        <w:keepNext/>
        <w:numPr>
          <w:ilvl w:val="0"/>
          <w:numId w:val="0"/>
        </w:numPr>
        <w:spacing w:before="240"/>
        <w:rPr>
          <w:i/>
        </w:rPr>
      </w:pPr>
      <w:bookmarkStart w:id="5" w:name="_Hlk126915680"/>
      <w:r>
        <w:rPr>
          <w:i/>
        </w:rPr>
        <w:t>Rapport de vérification</w:t>
      </w:r>
      <w:bookmarkEnd w:id="5"/>
    </w:p>
    <w:p w14:paraId="0207873C" w14:textId="0855E6DB" w:rsidR="00E63352" w:rsidRDefault="00E63352" w:rsidP="00E63352">
      <w:pPr>
        <w:pStyle w:val="Heading1"/>
      </w:pPr>
      <w:r>
        <w:t xml:space="preserve">Le rapport de vérification a confirmé que le gouvernement était en train de mettre en place un système de licences et de quotas pour les importations et les exportations de HCFC, et que la consommation totale de HCFC déclarée au titre de l’article 7 du Protocole de Montréal pour 2018 (de 0,06 tonne SAO) était correcte (comme indiqué dans le tableau 1 ci-dessus). La vérification a conclu que </w:t>
      </w:r>
      <w:r>
        <w:rPr>
          <w:shd w:val="clear" w:color="auto" w:fill="FFFFFF" w:themeFill="background1"/>
        </w:rPr>
        <w:t>le pays</w:t>
      </w:r>
      <w:r>
        <w:t xml:space="preserve"> respectait le calendrier de réduction du Protocole de Montréal et la consommation maximale admissible des substances du groupe I de l’annexe C sur la période 2018</w:t>
      </w:r>
      <w:r>
        <w:noBreakHyphen/>
        <w:t>2022, et que le système de surveillance mis en place par le Bureau national de l’ozone (BNO) était efficace</w:t>
      </w:r>
      <w:r w:rsidR="005F4E9B">
        <w:rPr>
          <w:rStyle w:val="FootnoteReference"/>
        </w:rPr>
        <w:footnoteReference w:id="5"/>
      </w:r>
      <w:r>
        <w:t>.</w:t>
      </w:r>
    </w:p>
    <w:p w14:paraId="75DBCBDB" w14:textId="77777777" w:rsidR="00E63352" w:rsidRDefault="00E63352" w:rsidP="00E63352">
      <w:pPr>
        <w:keepNext/>
        <w:spacing w:before="240" w:after="240"/>
        <w:outlineLvl w:val="0"/>
        <w:rPr>
          <w:u w:val="single"/>
        </w:rPr>
      </w:pPr>
      <w:bookmarkStart w:id="6" w:name="_Hlk126915699"/>
      <w:r>
        <w:rPr>
          <w:u w:val="single"/>
        </w:rPr>
        <w:t>État de l’avancement et des décaissements</w:t>
      </w:r>
    </w:p>
    <w:p w14:paraId="0C288035" w14:textId="77777777" w:rsidR="00E63352" w:rsidRPr="00DC62AE" w:rsidRDefault="00E63352" w:rsidP="00E63352">
      <w:pPr>
        <w:keepNext/>
        <w:spacing w:before="240" w:after="240"/>
        <w:outlineLvl w:val="0"/>
        <w:rPr>
          <w:i/>
          <w:iCs/>
        </w:rPr>
      </w:pPr>
      <w:r>
        <w:rPr>
          <w:i/>
        </w:rPr>
        <w:t>Cadre juridique</w:t>
      </w:r>
    </w:p>
    <w:p w14:paraId="3E44F190" w14:textId="19878840" w:rsidR="00AF28D1" w:rsidRPr="00155781" w:rsidRDefault="00E63352" w:rsidP="00E63352">
      <w:pPr>
        <w:pStyle w:val="Heading1"/>
      </w:pPr>
      <w:bookmarkStart w:id="7" w:name="_Hlk126915708"/>
      <w:bookmarkEnd w:id="6"/>
      <w:r>
        <w:t xml:space="preserve">L’importation de toutes les SAO a été interdite en 2010, excepté les HCFC. Comme le confirme le rapport de vérification, le système de licences et de quotas pour l’importation/exportation de HCFC dans le pays est bien établi et est opérationnel. Le BNO a collaboré avec le service des douanes sur les questions relatives aux mesures de </w:t>
      </w:r>
      <w:r w:rsidR="00D176A2">
        <w:t>contrôle</w:t>
      </w:r>
      <w:r>
        <w:t xml:space="preserve"> des SAO, en recoupant les informations liées aux licences lors de réunions régulières avec les parties prenantes et de consultations</w:t>
      </w:r>
      <w:r w:rsidR="00EC1DAE">
        <w:t xml:space="preserve"> </w:t>
      </w:r>
      <w:r>
        <w:rPr>
          <w:i/>
        </w:rPr>
        <w:t>ad hoc</w:t>
      </w:r>
      <w:r>
        <w:t xml:space="preserve">. </w:t>
      </w:r>
      <w:bookmarkStart w:id="8" w:name="_Hlk163844097"/>
      <w:r>
        <w:t xml:space="preserve">La création d’une plateforme en ligne pour coordonner le partage d’informations et la surveillance des importations </w:t>
      </w:r>
      <w:r w:rsidR="00D176A2">
        <w:t>entre</w:t>
      </w:r>
      <w:r>
        <w:t xml:space="preserve"> le service des douanes, le département du commerce et le BNO, dont l’achèvement était initialement prévu le 1er janvier 2022, reste encore à mettre en œuvre et devrait être terminée d’ici décembre 2024.</w:t>
      </w:r>
      <w:bookmarkEnd w:id="8"/>
    </w:p>
    <w:p w14:paraId="08CB2E2D" w14:textId="5AA062FA" w:rsidR="00E63352" w:rsidRPr="00D721EB" w:rsidRDefault="00E63352" w:rsidP="00E63352">
      <w:pPr>
        <w:pStyle w:val="Heading1"/>
      </w:pPr>
      <w:r>
        <w:t>En 2022, les codes du système harmonisé (SH) international ont été adoptés pour les déclarations en douane. Une formation sur l’identification et le contrôle des HCFC et des équipements à base de HCFC, la surveillance du système de licences et de quotas et la tenue de registres a été dispensée à 347 agents des douanes, agents d’application de la loi et agents de dédouanement (dont 66 femmes), et des dispositifs d’identification des frigorigènes ont été achetés et fournis aux stagiaires et au service des douanes de chacune des trois îles du pays. Des activités de sensibilisation des importateurs et du grand public ont été entreprises pour garantir la mise en application des interdictions et contribuer à empêcher le commerce illicite.</w:t>
      </w:r>
    </w:p>
    <w:p w14:paraId="75B71B4F" w14:textId="77777777" w:rsidR="00E63352" w:rsidRPr="00A005D8" w:rsidRDefault="00E63352" w:rsidP="00E63352">
      <w:pPr>
        <w:pStyle w:val="Heading1"/>
      </w:pPr>
      <w:r>
        <w:t>Suite à la ratification de l’Amendement de Kigali le 16 novembre 2017, le Gouvernement des Comores s’est engagé à garantir une mise en œuvre simultanée et pérenne de ses plans d’élimination des HCFC et de réduction progressive des HFC.</w:t>
      </w:r>
    </w:p>
    <w:p w14:paraId="0C9F90ED" w14:textId="77777777" w:rsidR="00E63352" w:rsidRPr="004211AF" w:rsidRDefault="00E63352" w:rsidP="00E63352">
      <w:pPr>
        <w:pStyle w:val="Heading1"/>
        <w:widowControl w:val="0"/>
        <w:numPr>
          <w:ilvl w:val="0"/>
          <w:numId w:val="0"/>
        </w:numPr>
        <w:rPr>
          <w:i/>
          <w:color w:val="000000" w:themeColor="text1"/>
        </w:rPr>
      </w:pPr>
      <w:r>
        <w:rPr>
          <w:i/>
          <w:color w:val="000000" w:themeColor="text1"/>
        </w:rPr>
        <w:t>Secteur de l’entretien des équipements de réfrigération</w:t>
      </w:r>
    </w:p>
    <w:p w14:paraId="608784E0" w14:textId="3A4A4838" w:rsidR="00E63352" w:rsidRPr="00337E4E" w:rsidRDefault="00E63352" w:rsidP="00E63352">
      <w:pPr>
        <w:pStyle w:val="Heading1"/>
      </w:pPr>
      <w:r>
        <w:t>Le seul centre d’excellence du pays, l’École nationale de la formation technique et professionnelle (ENTP), a été renforcé par la fourniture d’outils et d’équipements</w:t>
      </w:r>
      <w:r w:rsidR="003F56B5">
        <w:rPr>
          <w:rStyle w:val="FootnoteReference"/>
          <w:lang w:val="en-US"/>
        </w:rPr>
        <w:footnoteReference w:id="6"/>
      </w:r>
      <w:r>
        <w:t xml:space="preserve">, une assistance technique et de l’aide </w:t>
      </w:r>
      <w:r w:rsidR="00224BAC">
        <w:t>à</w:t>
      </w:r>
      <w:r>
        <w:t xml:space="preserve"> l’élaboration d’un programme de formation complet sur les obligations de mise en conformité au titre du Protocole de Montréal, notamment ceux concernant les HCFC. En collaboration avec l’Association nationale de la réfrigération, une formation sur les bonnes pratiques de l’entretien, </w:t>
      </w:r>
      <w:r w:rsidR="00224BAC">
        <w:t>notamment</w:t>
      </w:r>
      <w:r>
        <w:t xml:space="preserve"> la manipulation en toute sécurité des frigorigènes inflammables à base d’hydrocarbures (HC), a été dispensée à 25 instructeurs en réfrigération et climatisation et 359 techniciens, dont trois femmes, travaillant tant dans le secteu</w:t>
      </w:r>
      <w:r w:rsidR="00224BAC">
        <w:t>r</w:t>
      </w:r>
      <w:r>
        <w:t xml:space="preserve"> formel qu</w:t>
      </w:r>
      <w:r w:rsidR="00224BAC">
        <w:t xml:space="preserve">e le secteur </w:t>
      </w:r>
      <w:r>
        <w:t>informel. Certains ateliers et techniciens ont été équipés</w:t>
      </w:r>
      <w:r w:rsidRPr="000A6FC7">
        <w:rPr>
          <w:rStyle w:val="FootnoteReference"/>
          <w:lang w:val="en-US"/>
        </w:rPr>
        <w:footnoteReference w:id="7"/>
      </w:r>
      <w:r>
        <w:t xml:space="preserve"> et on</w:t>
      </w:r>
      <w:r w:rsidR="00224BAC">
        <w:t>t</w:t>
      </w:r>
      <w:r>
        <w:t xml:space="preserve"> joué un rôle complémentaire dans la diffusion des informations sur l’élimination des HCFC auprès des consommateurs</w:t>
      </w:r>
      <w:r w:rsidR="00224BAC">
        <w:t>,</w:t>
      </w:r>
      <w:r>
        <w:t xml:space="preserve"> </w:t>
      </w:r>
      <w:r>
        <w:lastRenderedPageBreak/>
        <w:t>en fournissant des conseils sur les équipements et frigorigènes actuellement acceptables. Des activités de sensibilisation aux enjeux de la couche d’ozone ont été menées par le BNO, et les médias ont été mis à profit pour diffuser des informations utiles.</w:t>
      </w:r>
    </w:p>
    <w:p w14:paraId="4A0168BB" w14:textId="77777777" w:rsidR="00E63352" w:rsidRDefault="00E63352" w:rsidP="00E63352">
      <w:pPr>
        <w:pStyle w:val="Heading1"/>
        <w:keepNext/>
        <w:numPr>
          <w:ilvl w:val="0"/>
          <w:numId w:val="0"/>
        </w:numPr>
        <w:autoSpaceDE w:val="0"/>
        <w:autoSpaceDN w:val="0"/>
        <w:adjustRightInd w:val="0"/>
        <w:spacing w:before="240" w:after="0"/>
        <w:rPr>
          <w:bCs/>
          <w:i/>
          <w:iCs/>
        </w:rPr>
      </w:pPr>
      <w:r>
        <w:rPr>
          <w:i/>
        </w:rPr>
        <w:t>Coordination et suivi du projet</w:t>
      </w:r>
    </w:p>
    <w:p w14:paraId="331BA23B" w14:textId="12DB02A9" w:rsidR="00E63352" w:rsidRDefault="00E63352" w:rsidP="00E63352">
      <w:pPr>
        <w:pStyle w:val="Heading1"/>
        <w:spacing w:before="240" w:after="0"/>
      </w:pPr>
      <w:r>
        <w:t xml:space="preserve">La coordination du projet a été assurée par le BNO avec le soutien du Comité directeur de l’ozone et l’aide de consultants. </w:t>
      </w:r>
      <w:bookmarkStart w:id="9" w:name="_Hlk163045916"/>
      <w:r>
        <w:t>Les dépenses de la phase I se sont élevées à 33 000 $ US, dont 20 000 $ US pour deux consultants recrutés en local, 7 000 $ US pour des déplacements liés au suivi, et 6 000 $ US pour des ateliers et des réunions.</w:t>
      </w:r>
    </w:p>
    <w:bookmarkEnd w:id="9"/>
    <w:p w14:paraId="462B722C" w14:textId="77777777" w:rsidR="00E63352" w:rsidRPr="00A917DB" w:rsidRDefault="00E63352" w:rsidP="00E63352">
      <w:pPr>
        <w:spacing w:before="240" w:after="240"/>
        <w:rPr>
          <w:i/>
        </w:rPr>
      </w:pPr>
      <w:r>
        <w:rPr>
          <w:i/>
        </w:rPr>
        <w:t>État du décaissement des fonds</w:t>
      </w:r>
    </w:p>
    <w:p w14:paraId="0BC7D96E" w14:textId="77777777" w:rsidR="00E63352" w:rsidRPr="003465FF" w:rsidRDefault="00E63352" w:rsidP="00E63352">
      <w:pPr>
        <w:pStyle w:val="Heading1"/>
      </w:pPr>
      <w:r>
        <w:t>En mars 2024, la somme totale de 160 000 $ US, approuvée pour la mise en œuvre de la phase I par le PNUE, avait été versée.</w:t>
      </w:r>
    </w:p>
    <w:p w14:paraId="0CED0377" w14:textId="77777777" w:rsidR="00E63352" w:rsidRPr="00A005D8" w:rsidRDefault="00E63352" w:rsidP="00E63352">
      <w:pPr>
        <w:pStyle w:val="Heading1"/>
        <w:keepNext/>
        <w:numPr>
          <w:ilvl w:val="0"/>
          <w:numId w:val="0"/>
        </w:numPr>
        <w:autoSpaceDE w:val="0"/>
        <w:autoSpaceDN w:val="0"/>
        <w:adjustRightInd w:val="0"/>
        <w:spacing w:before="240"/>
      </w:pPr>
      <w:r>
        <w:rPr>
          <w:b/>
        </w:rPr>
        <w:t>Phase II du plan de gestion de l’élimination des HCFC</w:t>
      </w:r>
    </w:p>
    <w:p w14:paraId="7BAAB00A" w14:textId="77777777" w:rsidR="00E63352" w:rsidRPr="00996241" w:rsidRDefault="00E63352" w:rsidP="00E63352">
      <w:pPr>
        <w:keepNext/>
        <w:spacing w:after="240"/>
        <w:outlineLvl w:val="0"/>
        <w:rPr>
          <w:u w:val="single"/>
        </w:rPr>
      </w:pPr>
      <w:r>
        <w:rPr>
          <w:u w:val="single"/>
        </w:rPr>
        <w:t>Consommation restante admissible au financement</w:t>
      </w:r>
    </w:p>
    <w:bookmarkEnd w:id="7"/>
    <w:p w14:paraId="5E30583B" w14:textId="4EC1539A" w:rsidR="00E63352" w:rsidRPr="00C1090F" w:rsidRDefault="00E63352" w:rsidP="00E63352">
      <w:pPr>
        <w:pStyle w:val="Heading1"/>
      </w:pPr>
      <w:r>
        <w:t>Après déduction de 0,05 tonne PAO de HCFC associée à la phase I du PGEH, la consommation restante admissible au financement s’élève à 0,09 tonne PAO de HCFC</w:t>
      </w:r>
      <w:r>
        <w:noBreakHyphen/>
        <w:t>22, laquelle sera complètement éliminée dans la phase II.</w:t>
      </w:r>
    </w:p>
    <w:p w14:paraId="7FB5BF26" w14:textId="77777777" w:rsidR="00E63352" w:rsidRDefault="00E63352" w:rsidP="009A3E69">
      <w:pPr>
        <w:keepNext/>
        <w:keepLines/>
        <w:spacing w:after="120"/>
        <w:outlineLvl w:val="0"/>
        <w:rPr>
          <w:u w:val="single"/>
        </w:rPr>
      </w:pPr>
      <w:bookmarkStart w:id="10" w:name="_Hlk126915728"/>
      <w:r>
        <w:rPr>
          <w:u w:val="single"/>
        </w:rPr>
        <w:t>Répartition des HCFC par secteur</w:t>
      </w:r>
    </w:p>
    <w:bookmarkEnd w:id="10"/>
    <w:p w14:paraId="29E35491" w14:textId="0030B424" w:rsidR="0091718E" w:rsidRDefault="00E63352" w:rsidP="009A3E69">
      <w:pPr>
        <w:pStyle w:val="Heading1"/>
        <w:spacing w:after="120"/>
      </w:pPr>
      <w:r>
        <w:t>On compte environ 402 techniciens (dont 252 informels) et 115 ateliers d</w:t>
      </w:r>
      <w:r w:rsidR="00224BAC">
        <w:t>édiés à la</w:t>
      </w:r>
      <w:r>
        <w:t xml:space="preserve"> réfrigération et </w:t>
      </w:r>
      <w:r w:rsidR="00224BAC">
        <w:t xml:space="preserve">la </w:t>
      </w:r>
      <w:r>
        <w:t xml:space="preserve">climatisation (dont 80 non enregistrés) </w:t>
      </w:r>
      <w:r w:rsidR="00224BAC">
        <w:t xml:space="preserve">et </w:t>
      </w:r>
      <w:r>
        <w:t xml:space="preserve">travaillant dans le secteur de l’entretien. </w:t>
      </w:r>
      <w:bookmarkStart w:id="11" w:name="_Hlk165622819"/>
      <w:r>
        <w:t xml:space="preserve">Les techniciens les plus formels ont été formés à l’étranger, car il n’existe, dans le pays, qu’une seule école de formation professionnelle </w:t>
      </w:r>
      <w:r w:rsidR="00224BAC">
        <w:t>proposant</w:t>
      </w:r>
      <w:r>
        <w:t xml:space="preserve"> une formation sur la réfrigération. </w:t>
      </w:r>
      <w:bookmarkEnd w:id="11"/>
      <w:r>
        <w:t xml:space="preserve">Seules les moyennes et grandes entreprises du secteur de la réfrigération et </w:t>
      </w:r>
      <w:r w:rsidR="00224BAC">
        <w:t xml:space="preserve">de </w:t>
      </w:r>
      <w:r>
        <w:t>la climatisation ont accès aux équipements nécessaires pour entretenir les appareils fonctionnant avec des frigorigènes de remplacement.</w:t>
      </w:r>
    </w:p>
    <w:p w14:paraId="7A730E56" w14:textId="5EB9DD64" w:rsidR="00E63352" w:rsidRDefault="00E63352" w:rsidP="009A3E69">
      <w:pPr>
        <w:pStyle w:val="Heading1"/>
        <w:spacing w:after="120"/>
      </w:pPr>
      <w:r>
        <w:t xml:space="preserve">Le HCFC-22 est consommé lors de l’entretien des climatiseurs résidentiels monoblocs et </w:t>
      </w:r>
      <w:proofErr w:type="spellStart"/>
      <w:r>
        <w:t>splits</w:t>
      </w:r>
      <w:proofErr w:type="spellEnd"/>
      <w:r>
        <w:t xml:space="preserve"> et des systèmes de réfrigération commerciale tels que les chambres froides. Le tableau 2 donne l’estimation de la demande de HCFC</w:t>
      </w:r>
      <w:r>
        <w:noBreakHyphen/>
        <w:t xml:space="preserve">22 par type d’application, d’après les données disponibles sur les taux de fuites et les besoins d’entretien des équipements de réfrigération et </w:t>
      </w:r>
      <w:r w:rsidR="00224BAC">
        <w:t xml:space="preserve">de </w:t>
      </w:r>
      <w:r>
        <w:t>climatisation installés.</w:t>
      </w:r>
    </w:p>
    <w:p w14:paraId="61F929B4" w14:textId="14313234" w:rsidR="00E63352" w:rsidRPr="00701C47" w:rsidRDefault="00E63352" w:rsidP="00E63352">
      <w:pPr>
        <w:keepNext/>
      </w:pPr>
      <w:r>
        <w:rPr>
          <w:b/>
        </w:rPr>
        <w:t xml:space="preserve">Tableau 2. Estimation de la demande de HCFC-22 dans le secteur de l’entretien des équipements de réfrigération et </w:t>
      </w:r>
      <w:r w:rsidR="00224BAC">
        <w:rPr>
          <w:b/>
        </w:rPr>
        <w:t xml:space="preserve">de </w:t>
      </w:r>
      <w:r>
        <w:rPr>
          <w:b/>
        </w:rPr>
        <w:t>climatisation aux Comores</w:t>
      </w:r>
    </w:p>
    <w:tbl>
      <w:tblPr>
        <w:tblStyle w:val="TableGrid"/>
        <w:tblW w:w="0" w:type="auto"/>
        <w:tblLook w:val="04A0" w:firstRow="1" w:lastRow="0" w:firstColumn="1" w:lastColumn="0" w:noHBand="0" w:noVBand="1"/>
      </w:tblPr>
      <w:tblGrid>
        <w:gridCol w:w="4106"/>
        <w:gridCol w:w="1748"/>
        <w:gridCol w:w="1748"/>
        <w:gridCol w:w="1748"/>
      </w:tblGrid>
      <w:tr w:rsidR="00E63352" w:rsidRPr="00CB48B5" w14:paraId="3629074F" w14:textId="77777777" w:rsidTr="00C0058C">
        <w:trPr>
          <w:trHeight w:val="690"/>
        </w:trPr>
        <w:tc>
          <w:tcPr>
            <w:tcW w:w="4106" w:type="dxa"/>
            <w:vAlign w:val="center"/>
          </w:tcPr>
          <w:p w14:paraId="2EC1C09F" w14:textId="77777777" w:rsidR="00E63352" w:rsidRPr="00CB48B5" w:rsidRDefault="00E63352" w:rsidP="00C0058C">
            <w:pPr>
              <w:jc w:val="center"/>
              <w:rPr>
                <w:sz w:val="20"/>
                <w:szCs w:val="20"/>
              </w:rPr>
            </w:pPr>
            <w:bookmarkStart w:id="12" w:name="_Hlk126915738"/>
          </w:p>
        </w:tc>
        <w:tc>
          <w:tcPr>
            <w:tcW w:w="1748" w:type="dxa"/>
            <w:vAlign w:val="center"/>
          </w:tcPr>
          <w:p w14:paraId="6AC515F3" w14:textId="7224C0AD" w:rsidR="00E63352" w:rsidRPr="00CB48B5" w:rsidRDefault="00E63352" w:rsidP="00E63352">
            <w:pPr>
              <w:ind w:left="-109" w:right="-66"/>
              <w:jc w:val="center"/>
              <w:rPr>
                <w:sz w:val="20"/>
                <w:szCs w:val="20"/>
              </w:rPr>
            </w:pPr>
            <w:r>
              <w:rPr>
                <w:b/>
                <w:sz w:val="20"/>
              </w:rPr>
              <w:t>Climatisation de pièce (monobloc et split)</w:t>
            </w:r>
          </w:p>
        </w:tc>
        <w:tc>
          <w:tcPr>
            <w:tcW w:w="1748" w:type="dxa"/>
            <w:vAlign w:val="center"/>
          </w:tcPr>
          <w:p w14:paraId="50D9AD31" w14:textId="534DFE61" w:rsidR="00E63352" w:rsidRPr="00CB48B5" w:rsidRDefault="00E63352" w:rsidP="00E63352">
            <w:pPr>
              <w:jc w:val="center"/>
              <w:rPr>
                <w:sz w:val="20"/>
                <w:szCs w:val="20"/>
              </w:rPr>
            </w:pPr>
            <w:r>
              <w:rPr>
                <w:b/>
                <w:sz w:val="20"/>
              </w:rPr>
              <w:t>Réfrigération commerciale (chambres froides)</w:t>
            </w:r>
          </w:p>
        </w:tc>
        <w:tc>
          <w:tcPr>
            <w:tcW w:w="1748" w:type="dxa"/>
            <w:vAlign w:val="center"/>
          </w:tcPr>
          <w:p w14:paraId="49D61D26" w14:textId="77777777" w:rsidR="00E63352" w:rsidRPr="00CB48B5" w:rsidRDefault="00E63352" w:rsidP="00C0058C">
            <w:pPr>
              <w:jc w:val="center"/>
              <w:rPr>
                <w:sz w:val="20"/>
                <w:szCs w:val="20"/>
              </w:rPr>
            </w:pPr>
            <w:r>
              <w:rPr>
                <w:b/>
                <w:sz w:val="20"/>
              </w:rPr>
              <w:t>Total</w:t>
            </w:r>
          </w:p>
        </w:tc>
      </w:tr>
      <w:tr w:rsidR="00E63352" w:rsidRPr="00CB48B5" w14:paraId="4298B87D" w14:textId="77777777" w:rsidTr="00BB775E">
        <w:trPr>
          <w:trHeight w:val="37"/>
        </w:trPr>
        <w:tc>
          <w:tcPr>
            <w:tcW w:w="4106" w:type="dxa"/>
            <w:vAlign w:val="center"/>
          </w:tcPr>
          <w:p w14:paraId="5F0A26A2" w14:textId="77777777" w:rsidR="00E63352" w:rsidRPr="00CB48B5" w:rsidRDefault="00E63352" w:rsidP="00BB775E">
            <w:pPr>
              <w:jc w:val="left"/>
              <w:rPr>
                <w:sz w:val="20"/>
                <w:szCs w:val="20"/>
              </w:rPr>
            </w:pPr>
            <w:r>
              <w:rPr>
                <w:sz w:val="20"/>
              </w:rPr>
              <w:t>Inventaire des équipements (unités)</w:t>
            </w:r>
          </w:p>
        </w:tc>
        <w:tc>
          <w:tcPr>
            <w:tcW w:w="1748" w:type="dxa"/>
            <w:vAlign w:val="center"/>
          </w:tcPr>
          <w:p w14:paraId="2378F2E3" w14:textId="77777777" w:rsidR="00E63352" w:rsidRPr="00CB48B5" w:rsidRDefault="00E63352" w:rsidP="00C0058C">
            <w:pPr>
              <w:ind w:right="-93"/>
              <w:jc w:val="center"/>
              <w:rPr>
                <w:sz w:val="20"/>
                <w:szCs w:val="20"/>
              </w:rPr>
            </w:pPr>
            <w:r>
              <w:rPr>
                <w:sz w:val="20"/>
              </w:rPr>
              <w:t>6 250</w:t>
            </w:r>
          </w:p>
        </w:tc>
        <w:tc>
          <w:tcPr>
            <w:tcW w:w="1748" w:type="dxa"/>
            <w:vAlign w:val="center"/>
          </w:tcPr>
          <w:p w14:paraId="720AC6BA" w14:textId="77777777" w:rsidR="00E63352" w:rsidRPr="00CB48B5" w:rsidRDefault="00E63352" w:rsidP="00C0058C">
            <w:pPr>
              <w:ind w:right="-22"/>
              <w:jc w:val="center"/>
              <w:rPr>
                <w:sz w:val="20"/>
                <w:szCs w:val="20"/>
              </w:rPr>
            </w:pPr>
            <w:r>
              <w:rPr>
                <w:sz w:val="20"/>
              </w:rPr>
              <w:t>420</w:t>
            </w:r>
          </w:p>
        </w:tc>
        <w:tc>
          <w:tcPr>
            <w:tcW w:w="1748" w:type="dxa"/>
            <w:vAlign w:val="center"/>
          </w:tcPr>
          <w:p w14:paraId="2276CCBA" w14:textId="77777777" w:rsidR="00E63352" w:rsidRPr="00CB48B5" w:rsidRDefault="00E63352" w:rsidP="00C0058C">
            <w:pPr>
              <w:ind w:right="-109"/>
              <w:jc w:val="center"/>
              <w:rPr>
                <w:sz w:val="20"/>
                <w:szCs w:val="20"/>
              </w:rPr>
            </w:pPr>
            <w:r>
              <w:rPr>
                <w:sz w:val="20"/>
              </w:rPr>
              <w:t>6 670</w:t>
            </w:r>
          </w:p>
        </w:tc>
      </w:tr>
      <w:tr w:rsidR="00E63352" w:rsidRPr="00CB48B5" w14:paraId="3C090B16" w14:textId="77777777" w:rsidTr="00BB775E">
        <w:tc>
          <w:tcPr>
            <w:tcW w:w="4106" w:type="dxa"/>
            <w:vAlign w:val="center"/>
          </w:tcPr>
          <w:p w14:paraId="77EA60BC" w14:textId="77777777" w:rsidR="00E63352" w:rsidRPr="00CB48B5" w:rsidRDefault="00E63352" w:rsidP="00BB775E">
            <w:pPr>
              <w:jc w:val="left"/>
              <w:rPr>
                <w:sz w:val="20"/>
                <w:szCs w:val="20"/>
              </w:rPr>
            </w:pPr>
            <w:r>
              <w:rPr>
                <w:sz w:val="20"/>
              </w:rPr>
              <w:t>Taux d’entretien des équipements</w:t>
            </w:r>
          </w:p>
        </w:tc>
        <w:tc>
          <w:tcPr>
            <w:tcW w:w="1748" w:type="dxa"/>
            <w:vAlign w:val="center"/>
          </w:tcPr>
          <w:p w14:paraId="758DF784" w14:textId="77777777" w:rsidR="00E63352" w:rsidRPr="00CB48B5" w:rsidRDefault="00E63352" w:rsidP="00C0058C">
            <w:pPr>
              <w:ind w:right="-93"/>
              <w:jc w:val="center"/>
              <w:rPr>
                <w:sz w:val="20"/>
                <w:szCs w:val="20"/>
              </w:rPr>
            </w:pPr>
            <w:r>
              <w:rPr>
                <w:sz w:val="20"/>
              </w:rPr>
              <w:t>5 %</w:t>
            </w:r>
          </w:p>
        </w:tc>
        <w:tc>
          <w:tcPr>
            <w:tcW w:w="1748" w:type="dxa"/>
            <w:vAlign w:val="center"/>
          </w:tcPr>
          <w:p w14:paraId="625D8075" w14:textId="77777777" w:rsidR="00E63352" w:rsidRPr="00CB48B5" w:rsidRDefault="00E63352" w:rsidP="00C0058C">
            <w:pPr>
              <w:ind w:right="-22"/>
              <w:jc w:val="center"/>
              <w:rPr>
                <w:sz w:val="20"/>
                <w:szCs w:val="20"/>
              </w:rPr>
            </w:pPr>
            <w:r>
              <w:rPr>
                <w:sz w:val="20"/>
              </w:rPr>
              <w:t>50 %</w:t>
            </w:r>
          </w:p>
        </w:tc>
        <w:tc>
          <w:tcPr>
            <w:tcW w:w="1748" w:type="dxa"/>
            <w:vAlign w:val="center"/>
          </w:tcPr>
          <w:p w14:paraId="3815EBEF" w14:textId="77777777" w:rsidR="00E63352" w:rsidRPr="00CB48B5" w:rsidRDefault="00E63352" w:rsidP="00C0058C">
            <w:pPr>
              <w:ind w:right="-109"/>
              <w:jc w:val="center"/>
              <w:rPr>
                <w:sz w:val="20"/>
                <w:szCs w:val="20"/>
              </w:rPr>
            </w:pPr>
            <w:r>
              <w:rPr>
                <w:sz w:val="20"/>
              </w:rPr>
              <w:t>-</w:t>
            </w:r>
          </w:p>
        </w:tc>
      </w:tr>
      <w:tr w:rsidR="00E63352" w:rsidRPr="00CB48B5" w14:paraId="2FF5B69C" w14:textId="77777777" w:rsidTr="00BB775E">
        <w:tc>
          <w:tcPr>
            <w:tcW w:w="4106" w:type="dxa"/>
            <w:vAlign w:val="center"/>
          </w:tcPr>
          <w:p w14:paraId="41FB2DF9" w14:textId="77777777" w:rsidR="00E63352" w:rsidRPr="00CB48B5" w:rsidRDefault="00E63352" w:rsidP="00BB775E">
            <w:pPr>
              <w:jc w:val="left"/>
              <w:rPr>
                <w:sz w:val="20"/>
                <w:szCs w:val="20"/>
              </w:rPr>
            </w:pPr>
            <w:r>
              <w:rPr>
                <w:sz w:val="20"/>
              </w:rPr>
              <w:t>Équipements bénéficiant d’un entretien (unités)</w:t>
            </w:r>
          </w:p>
        </w:tc>
        <w:tc>
          <w:tcPr>
            <w:tcW w:w="1748" w:type="dxa"/>
            <w:vAlign w:val="center"/>
          </w:tcPr>
          <w:p w14:paraId="5C1F8146" w14:textId="77777777" w:rsidR="00E63352" w:rsidRPr="00CB48B5" w:rsidRDefault="00E63352" w:rsidP="00C0058C">
            <w:pPr>
              <w:ind w:left="-120" w:right="-93"/>
              <w:jc w:val="center"/>
              <w:rPr>
                <w:sz w:val="20"/>
                <w:szCs w:val="20"/>
              </w:rPr>
            </w:pPr>
            <w:r>
              <w:rPr>
                <w:sz w:val="20"/>
              </w:rPr>
              <w:t>313</w:t>
            </w:r>
          </w:p>
        </w:tc>
        <w:tc>
          <w:tcPr>
            <w:tcW w:w="1748" w:type="dxa"/>
            <w:vAlign w:val="center"/>
          </w:tcPr>
          <w:p w14:paraId="3FAF2FC6" w14:textId="38175F25" w:rsidR="00E63352" w:rsidRPr="00CB48B5" w:rsidRDefault="006E5CD9" w:rsidP="00C0058C">
            <w:pPr>
              <w:ind w:right="-22"/>
              <w:jc w:val="center"/>
              <w:rPr>
                <w:sz w:val="20"/>
                <w:szCs w:val="20"/>
              </w:rPr>
            </w:pPr>
            <w:r>
              <w:rPr>
                <w:sz w:val="20"/>
              </w:rPr>
              <w:t>210</w:t>
            </w:r>
          </w:p>
        </w:tc>
        <w:tc>
          <w:tcPr>
            <w:tcW w:w="1748" w:type="dxa"/>
            <w:vAlign w:val="center"/>
          </w:tcPr>
          <w:p w14:paraId="3EC89480" w14:textId="77777777" w:rsidR="00E63352" w:rsidRPr="00CB48B5" w:rsidRDefault="00E63352" w:rsidP="00C0058C">
            <w:pPr>
              <w:ind w:right="-109"/>
              <w:jc w:val="center"/>
              <w:rPr>
                <w:sz w:val="20"/>
                <w:szCs w:val="20"/>
              </w:rPr>
            </w:pPr>
            <w:r>
              <w:rPr>
                <w:sz w:val="20"/>
              </w:rPr>
              <w:t>325</w:t>
            </w:r>
          </w:p>
        </w:tc>
      </w:tr>
      <w:tr w:rsidR="00E63352" w:rsidRPr="00CB48B5" w14:paraId="3DFD76D4" w14:textId="77777777" w:rsidTr="00BB775E">
        <w:trPr>
          <w:trHeight w:val="154"/>
        </w:trPr>
        <w:tc>
          <w:tcPr>
            <w:tcW w:w="4106" w:type="dxa"/>
            <w:vAlign w:val="center"/>
          </w:tcPr>
          <w:p w14:paraId="006B5CC9" w14:textId="77777777" w:rsidR="00E63352" w:rsidRPr="00CB48B5" w:rsidRDefault="00E63352" w:rsidP="00BB775E">
            <w:pPr>
              <w:jc w:val="left"/>
              <w:rPr>
                <w:sz w:val="20"/>
                <w:szCs w:val="20"/>
              </w:rPr>
            </w:pPr>
            <w:r>
              <w:rPr>
                <w:sz w:val="20"/>
              </w:rPr>
              <w:t>Charge moyenne de frigorigène par type d’équipement</w:t>
            </w:r>
          </w:p>
        </w:tc>
        <w:tc>
          <w:tcPr>
            <w:tcW w:w="1748" w:type="dxa"/>
            <w:vAlign w:val="center"/>
          </w:tcPr>
          <w:p w14:paraId="31D343E4" w14:textId="77777777" w:rsidR="00E63352" w:rsidRPr="00CB48B5" w:rsidRDefault="00E63352" w:rsidP="00C0058C">
            <w:pPr>
              <w:ind w:left="-120" w:right="-93"/>
              <w:jc w:val="center"/>
              <w:rPr>
                <w:sz w:val="20"/>
                <w:szCs w:val="20"/>
              </w:rPr>
            </w:pPr>
            <w:r>
              <w:rPr>
                <w:sz w:val="20"/>
              </w:rPr>
              <w:t>1,5 kg</w:t>
            </w:r>
          </w:p>
        </w:tc>
        <w:tc>
          <w:tcPr>
            <w:tcW w:w="1748" w:type="dxa"/>
            <w:vAlign w:val="center"/>
          </w:tcPr>
          <w:p w14:paraId="10E05680" w14:textId="77777777" w:rsidR="00E63352" w:rsidRPr="00CB48B5" w:rsidRDefault="00E63352" w:rsidP="00C0058C">
            <w:pPr>
              <w:ind w:right="-22"/>
              <w:jc w:val="center"/>
              <w:rPr>
                <w:sz w:val="20"/>
                <w:szCs w:val="20"/>
              </w:rPr>
            </w:pPr>
            <w:r>
              <w:rPr>
                <w:sz w:val="20"/>
              </w:rPr>
              <w:t>5 kg</w:t>
            </w:r>
          </w:p>
        </w:tc>
        <w:tc>
          <w:tcPr>
            <w:tcW w:w="1748" w:type="dxa"/>
            <w:vAlign w:val="center"/>
          </w:tcPr>
          <w:p w14:paraId="09633539" w14:textId="77777777" w:rsidR="00E63352" w:rsidRPr="00CB48B5" w:rsidRDefault="00E63352" w:rsidP="00C0058C">
            <w:pPr>
              <w:ind w:right="-109"/>
              <w:jc w:val="center"/>
              <w:rPr>
                <w:sz w:val="20"/>
                <w:szCs w:val="20"/>
              </w:rPr>
            </w:pPr>
            <w:r>
              <w:rPr>
                <w:sz w:val="20"/>
              </w:rPr>
              <w:t>-</w:t>
            </w:r>
          </w:p>
        </w:tc>
      </w:tr>
      <w:tr w:rsidR="00E63352" w:rsidRPr="00CB48B5" w14:paraId="04821B80" w14:textId="77777777" w:rsidTr="00BB775E">
        <w:trPr>
          <w:trHeight w:val="153"/>
        </w:trPr>
        <w:tc>
          <w:tcPr>
            <w:tcW w:w="4106" w:type="dxa"/>
            <w:vAlign w:val="center"/>
          </w:tcPr>
          <w:p w14:paraId="3FC47E2B" w14:textId="3504F55E" w:rsidR="00E63352" w:rsidRDefault="00E63352" w:rsidP="00BB775E">
            <w:pPr>
              <w:jc w:val="left"/>
              <w:rPr>
                <w:sz w:val="20"/>
                <w:szCs w:val="20"/>
              </w:rPr>
            </w:pPr>
            <w:r>
              <w:rPr>
                <w:sz w:val="20"/>
              </w:rPr>
              <w:t>Charge de frigorigène de tous les équipements bénéficiant d’un entretien</w:t>
            </w:r>
          </w:p>
        </w:tc>
        <w:tc>
          <w:tcPr>
            <w:tcW w:w="1748" w:type="dxa"/>
            <w:vAlign w:val="center"/>
          </w:tcPr>
          <w:p w14:paraId="7028FD01" w14:textId="77777777" w:rsidR="00E63352" w:rsidRDefault="00E63352" w:rsidP="00C0058C">
            <w:pPr>
              <w:ind w:left="-120" w:right="-93"/>
              <w:jc w:val="center"/>
              <w:rPr>
                <w:sz w:val="20"/>
                <w:szCs w:val="20"/>
              </w:rPr>
            </w:pPr>
            <w:r>
              <w:rPr>
                <w:sz w:val="20"/>
              </w:rPr>
              <w:t>469,5 kg</w:t>
            </w:r>
          </w:p>
        </w:tc>
        <w:tc>
          <w:tcPr>
            <w:tcW w:w="1748" w:type="dxa"/>
            <w:vAlign w:val="center"/>
          </w:tcPr>
          <w:p w14:paraId="6F7EF0D8" w14:textId="2B1A715C" w:rsidR="00E63352" w:rsidRDefault="006E5CD9" w:rsidP="00C0058C">
            <w:pPr>
              <w:ind w:right="-22"/>
              <w:jc w:val="center"/>
              <w:rPr>
                <w:sz w:val="20"/>
                <w:szCs w:val="20"/>
              </w:rPr>
            </w:pPr>
            <w:r>
              <w:rPr>
                <w:sz w:val="20"/>
              </w:rPr>
              <w:t>1 050 kg</w:t>
            </w:r>
          </w:p>
        </w:tc>
        <w:tc>
          <w:tcPr>
            <w:tcW w:w="1748" w:type="dxa"/>
            <w:vAlign w:val="center"/>
          </w:tcPr>
          <w:p w14:paraId="73EA7471" w14:textId="0C3D94E3" w:rsidR="00E63352" w:rsidRPr="00CB48B5" w:rsidRDefault="00AE1117" w:rsidP="00C0058C">
            <w:pPr>
              <w:ind w:right="-109"/>
              <w:jc w:val="center"/>
              <w:rPr>
                <w:sz w:val="20"/>
                <w:szCs w:val="20"/>
              </w:rPr>
            </w:pPr>
            <w:r>
              <w:rPr>
                <w:sz w:val="20"/>
              </w:rPr>
              <w:t>1 519,5 kg</w:t>
            </w:r>
          </w:p>
        </w:tc>
      </w:tr>
      <w:tr w:rsidR="00E63352" w:rsidRPr="00CB48B5" w14:paraId="49ADFB21" w14:textId="77777777" w:rsidTr="00BB775E">
        <w:tc>
          <w:tcPr>
            <w:tcW w:w="4106" w:type="dxa"/>
            <w:vAlign w:val="center"/>
          </w:tcPr>
          <w:p w14:paraId="0E65A823" w14:textId="77777777" w:rsidR="00E63352" w:rsidRPr="00CB48B5" w:rsidRDefault="00E63352" w:rsidP="00BB775E">
            <w:pPr>
              <w:jc w:val="left"/>
              <w:rPr>
                <w:sz w:val="20"/>
                <w:szCs w:val="20"/>
              </w:rPr>
            </w:pPr>
            <w:r>
              <w:rPr>
                <w:sz w:val="20"/>
              </w:rPr>
              <w:t>Taux de fuites estimé</w:t>
            </w:r>
          </w:p>
        </w:tc>
        <w:tc>
          <w:tcPr>
            <w:tcW w:w="1748" w:type="dxa"/>
            <w:vAlign w:val="center"/>
          </w:tcPr>
          <w:p w14:paraId="6CF007C0" w14:textId="77777777" w:rsidR="00E63352" w:rsidRPr="00CB48B5" w:rsidRDefault="00E63352" w:rsidP="00C0058C">
            <w:pPr>
              <w:ind w:left="-120" w:right="-93"/>
              <w:jc w:val="center"/>
              <w:rPr>
                <w:sz w:val="20"/>
                <w:szCs w:val="20"/>
              </w:rPr>
            </w:pPr>
            <w:r>
              <w:rPr>
                <w:sz w:val="20"/>
              </w:rPr>
              <w:t>30 %</w:t>
            </w:r>
          </w:p>
        </w:tc>
        <w:tc>
          <w:tcPr>
            <w:tcW w:w="1748" w:type="dxa"/>
            <w:vAlign w:val="center"/>
          </w:tcPr>
          <w:p w14:paraId="4F664410" w14:textId="77777777" w:rsidR="00E63352" w:rsidRPr="00CB48B5" w:rsidRDefault="00E63352" w:rsidP="00C0058C">
            <w:pPr>
              <w:ind w:right="-22"/>
              <w:jc w:val="center"/>
              <w:rPr>
                <w:sz w:val="20"/>
                <w:szCs w:val="20"/>
              </w:rPr>
            </w:pPr>
            <w:r>
              <w:rPr>
                <w:sz w:val="20"/>
              </w:rPr>
              <w:t>40 %</w:t>
            </w:r>
          </w:p>
        </w:tc>
        <w:tc>
          <w:tcPr>
            <w:tcW w:w="1748" w:type="dxa"/>
            <w:vAlign w:val="center"/>
          </w:tcPr>
          <w:p w14:paraId="214E08A2" w14:textId="77777777" w:rsidR="00E63352" w:rsidRPr="00CB48B5" w:rsidRDefault="00E63352" w:rsidP="00C0058C">
            <w:pPr>
              <w:ind w:right="-109"/>
              <w:jc w:val="center"/>
              <w:rPr>
                <w:sz w:val="20"/>
                <w:szCs w:val="20"/>
              </w:rPr>
            </w:pPr>
            <w:r>
              <w:rPr>
                <w:sz w:val="20"/>
              </w:rPr>
              <w:t>-</w:t>
            </w:r>
          </w:p>
        </w:tc>
      </w:tr>
      <w:tr w:rsidR="00E63352" w:rsidRPr="006E5CD9" w14:paraId="0ADCAECE" w14:textId="77777777" w:rsidTr="00BB775E">
        <w:trPr>
          <w:trHeight w:val="54"/>
        </w:trPr>
        <w:tc>
          <w:tcPr>
            <w:tcW w:w="4106" w:type="dxa"/>
            <w:vMerge w:val="restart"/>
            <w:vAlign w:val="center"/>
          </w:tcPr>
          <w:p w14:paraId="3287F762" w14:textId="77777777" w:rsidR="00E63352" w:rsidRPr="006E5CD9" w:rsidRDefault="00E63352" w:rsidP="00BB775E">
            <w:pPr>
              <w:jc w:val="left"/>
              <w:rPr>
                <w:b/>
                <w:bCs/>
                <w:sz w:val="20"/>
                <w:szCs w:val="20"/>
              </w:rPr>
            </w:pPr>
            <w:r>
              <w:rPr>
                <w:b/>
                <w:sz w:val="20"/>
              </w:rPr>
              <w:t>Demande annuelle d’entretien</w:t>
            </w:r>
          </w:p>
        </w:tc>
        <w:tc>
          <w:tcPr>
            <w:tcW w:w="1748" w:type="dxa"/>
            <w:vAlign w:val="center"/>
          </w:tcPr>
          <w:p w14:paraId="252A2EA3" w14:textId="77777777" w:rsidR="00E63352" w:rsidRPr="006E5CD9" w:rsidRDefault="00E63352" w:rsidP="00C0058C">
            <w:pPr>
              <w:jc w:val="center"/>
              <w:rPr>
                <w:sz w:val="20"/>
                <w:szCs w:val="20"/>
              </w:rPr>
            </w:pPr>
            <w:r>
              <w:rPr>
                <w:sz w:val="20"/>
              </w:rPr>
              <w:t>140,8 kg</w:t>
            </w:r>
          </w:p>
        </w:tc>
        <w:tc>
          <w:tcPr>
            <w:tcW w:w="1748" w:type="dxa"/>
            <w:vAlign w:val="center"/>
          </w:tcPr>
          <w:p w14:paraId="5E4BFA5B" w14:textId="75B13C7E" w:rsidR="00E63352" w:rsidRPr="006E5CD9" w:rsidRDefault="006E5CD9" w:rsidP="00C0058C">
            <w:pPr>
              <w:jc w:val="center"/>
              <w:rPr>
                <w:sz w:val="20"/>
                <w:szCs w:val="20"/>
              </w:rPr>
            </w:pPr>
            <w:r>
              <w:rPr>
                <w:sz w:val="20"/>
              </w:rPr>
              <w:t>420</w:t>
            </w:r>
            <w:r w:rsidR="00224BAC">
              <w:rPr>
                <w:sz w:val="20"/>
              </w:rPr>
              <w:t>,0</w:t>
            </w:r>
            <w:r>
              <w:rPr>
                <w:sz w:val="20"/>
              </w:rPr>
              <w:t xml:space="preserve"> kg</w:t>
            </w:r>
          </w:p>
        </w:tc>
        <w:tc>
          <w:tcPr>
            <w:tcW w:w="1748" w:type="dxa"/>
            <w:vAlign w:val="center"/>
          </w:tcPr>
          <w:p w14:paraId="23D0586A" w14:textId="4BD43C82" w:rsidR="00E63352" w:rsidRPr="006E5CD9" w:rsidRDefault="006E5CD9" w:rsidP="00C0058C">
            <w:pPr>
              <w:jc w:val="center"/>
              <w:rPr>
                <w:sz w:val="20"/>
                <w:szCs w:val="20"/>
              </w:rPr>
            </w:pPr>
            <w:r>
              <w:rPr>
                <w:sz w:val="20"/>
              </w:rPr>
              <w:t>560,8 kg</w:t>
            </w:r>
          </w:p>
        </w:tc>
      </w:tr>
      <w:tr w:rsidR="00E63352" w:rsidRPr="006E5CD9" w14:paraId="400EF053" w14:textId="77777777" w:rsidTr="00BB775E">
        <w:trPr>
          <w:trHeight w:val="101"/>
        </w:trPr>
        <w:tc>
          <w:tcPr>
            <w:tcW w:w="4106" w:type="dxa"/>
            <w:vMerge/>
            <w:vAlign w:val="center"/>
          </w:tcPr>
          <w:p w14:paraId="4F2AD593" w14:textId="77777777" w:rsidR="00E63352" w:rsidRPr="006E5CD9" w:rsidRDefault="00E63352" w:rsidP="00C0058C">
            <w:pPr>
              <w:jc w:val="center"/>
              <w:rPr>
                <w:sz w:val="20"/>
                <w:szCs w:val="20"/>
              </w:rPr>
            </w:pPr>
          </w:p>
        </w:tc>
        <w:tc>
          <w:tcPr>
            <w:tcW w:w="1748" w:type="dxa"/>
            <w:shd w:val="clear" w:color="auto" w:fill="auto"/>
            <w:vAlign w:val="center"/>
          </w:tcPr>
          <w:p w14:paraId="39503FD8" w14:textId="77777777" w:rsidR="00E63352" w:rsidRPr="006E5CD9" w:rsidRDefault="00E63352" w:rsidP="00C0058C">
            <w:pPr>
              <w:jc w:val="center"/>
              <w:rPr>
                <w:b/>
                <w:bCs/>
                <w:sz w:val="20"/>
                <w:szCs w:val="20"/>
              </w:rPr>
            </w:pPr>
            <w:r>
              <w:rPr>
                <w:b/>
                <w:sz w:val="20"/>
              </w:rPr>
              <w:t>0,14 </w:t>
            </w:r>
            <w:proofErr w:type="spellStart"/>
            <w:r>
              <w:rPr>
                <w:b/>
                <w:sz w:val="20"/>
              </w:rPr>
              <w:t>tm</w:t>
            </w:r>
            <w:proofErr w:type="spellEnd"/>
          </w:p>
        </w:tc>
        <w:tc>
          <w:tcPr>
            <w:tcW w:w="1748" w:type="dxa"/>
            <w:shd w:val="clear" w:color="auto" w:fill="auto"/>
            <w:vAlign w:val="center"/>
          </w:tcPr>
          <w:p w14:paraId="56AE1A55" w14:textId="4660365D" w:rsidR="00E63352" w:rsidRPr="006E5CD9" w:rsidRDefault="00E63352" w:rsidP="00C0058C">
            <w:pPr>
              <w:jc w:val="center"/>
              <w:rPr>
                <w:b/>
                <w:bCs/>
                <w:sz w:val="20"/>
                <w:szCs w:val="20"/>
              </w:rPr>
            </w:pPr>
            <w:r>
              <w:rPr>
                <w:b/>
                <w:sz w:val="20"/>
              </w:rPr>
              <w:t>0,42 </w:t>
            </w:r>
            <w:proofErr w:type="spellStart"/>
            <w:r>
              <w:rPr>
                <w:b/>
                <w:sz w:val="20"/>
              </w:rPr>
              <w:t>tm</w:t>
            </w:r>
            <w:proofErr w:type="spellEnd"/>
          </w:p>
        </w:tc>
        <w:tc>
          <w:tcPr>
            <w:tcW w:w="1748" w:type="dxa"/>
            <w:shd w:val="clear" w:color="auto" w:fill="auto"/>
            <w:vAlign w:val="center"/>
          </w:tcPr>
          <w:p w14:paraId="7035190D" w14:textId="6DE173BD" w:rsidR="00E63352" w:rsidRPr="006E5CD9" w:rsidRDefault="00E63352" w:rsidP="00C0058C">
            <w:pPr>
              <w:jc w:val="center"/>
              <w:rPr>
                <w:b/>
                <w:bCs/>
                <w:sz w:val="20"/>
                <w:szCs w:val="20"/>
              </w:rPr>
            </w:pPr>
            <w:r>
              <w:rPr>
                <w:b/>
                <w:sz w:val="20"/>
              </w:rPr>
              <w:t>0,56 </w:t>
            </w:r>
            <w:proofErr w:type="spellStart"/>
            <w:r>
              <w:rPr>
                <w:b/>
                <w:sz w:val="20"/>
              </w:rPr>
              <w:t>tm</w:t>
            </w:r>
            <w:proofErr w:type="spellEnd"/>
          </w:p>
        </w:tc>
      </w:tr>
    </w:tbl>
    <w:p w14:paraId="18266983" w14:textId="6C272E64" w:rsidR="00E63352" w:rsidRDefault="00E63352" w:rsidP="00E63352">
      <w:pPr>
        <w:pStyle w:val="Heading1"/>
        <w:spacing w:before="240"/>
        <w:rPr>
          <w:u w:val="single"/>
        </w:rPr>
      </w:pPr>
      <w:r>
        <w:lastRenderedPageBreak/>
        <w:t>Le HCFC</w:t>
      </w:r>
      <w:r>
        <w:noBreakHyphen/>
        <w:t>22 représente environ 5,3 pour cent de tous les frigorigènes consommés dans le secteur, tandis que le HFC</w:t>
      </w:r>
      <w:r>
        <w:noBreakHyphen/>
        <w:t>134a représente 28,4 pour cent, suivi par le R</w:t>
      </w:r>
      <w:r>
        <w:noBreakHyphen/>
        <w:t>404A (20,4 pour cent), le R</w:t>
      </w:r>
      <w:r>
        <w:noBreakHyphen/>
        <w:t>600a (18,6 pour cent) et d’autres substances (dont le R-407C et le R-410A) représentant les 27,3 pour cent restants.</w:t>
      </w:r>
    </w:p>
    <w:p w14:paraId="14AA7366" w14:textId="111ACB0A" w:rsidR="00E63352" w:rsidRPr="009931F4" w:rsidRDefault="00E63352" w:rsidP="00E63352">
      <w:pPr>
        <w:spacing w:before="240" w:after="240"/>
        <w:rPr>
          <w:b/>
        </w:rPr>
      </w:pPr>
      <w:r>
        <w:rPr>
          <w:u w:val="single"/>
        </w:rPr>
        <w:t>Stratégie d’élimination</w:t>
      </w:r>
    </w:p>
    <w:p w14:paraId="6A19DB5B" w14:textId="6588F4E0" w:rsidR="00E63352" w:rsidRDefault="00224BAC" w:rsidP="00E63352">
      <w:pPr>
        <w:pStyle w:val="Heading1"/>
      </w:pPr>
      <w:bookmarkStart w:id="13" w:name="_Hlk125636542"/>
      <w:bookmarkEnd w:id="12"/>
      <w:r>
        <w:t>En s</w:t>
      </w:r>
      <w:r w:rsidR="00E63352">
        <w:t xml:space="preserve">’appuyant sur les infrastructures et la capacité technique créées dans le cadre de la phase I, la phase II </w:t>
      </w:r>
      <w:bookmarkEnd w:id="13"/>
      <w:r w:rsidR="00E63352">
        <w:t xml:space="preserve">du PGEH se focalisera sur l’élimination de la consommation restante de HCFC-22 dans le secteur de l’entretien des équipements de réfrigération au travers du renforcement de la surveillance et des mesures de réglementation, de la poursuite du renforcement de la capacité des agents des douanes et des agents d’application de la loi, </w:t>
      </w:r>
      <w:r w:rsidR="00361555">
        <w:t xml:space="preserve">de </w:t>
      </w:r>
      <w:r w:rsidR="00E63352">
        <w:t xml:space="preserve">la poursuite de la formation et de la certification des techniciens en réfrigération, </w:t>
      </w:r>
      <w:r w:rsidR="00361555">
        <w:t xml:space="preserve">de </w:t>
      </w:r>
      <w:r w:rsidR="00E63352">
        <w:t xml:space="preserve">la fourniture d’outils aux ateliers d’entretien et </w:t>
      </w:r>
      <w:r w:rsidR="00361555">
        <w:t xml:space="preserve">de </w:t>
      </w:r>
      <w:r w:rsidR="00E63352">
        <w:t>la sensibilisation du public aux technologies de remplacement.</w:t>
      </w:r>
    </w:p>
    <w:p w14:paraId="7D0120F3" w14:textId="77777777" w:rsidR="00E63352" w:rsidRPr="00DE59D5" w:rsidRDefault="00E63352" w:rsidP="009556FE">
      <w:pPr>
        <w:pStyle w:val="Heading1"/>
        <w:widowControl w:val="0"/>
        <w:numPr>
          <w:ilvl w:val="0"/>
          <w:numId w:val="0"/>
        </w:numPr>
        <w:rPr>
          <w:i/>
          <w:iCs/>
        </w:rPr>
      </w:pPr>
      <w:r>
        <w:rPr>
          <w:i/>
        </w:rPr>
        <w:t>Activités proposées</w:t>
      </w:r>
    </w:p>
    <w:p w14:paraId="2F5A03E3" w14:textId="77777777" w:rsidR="00E63352" w:rsidRPr="00552596" w:rsidRDefault="00E63352" w:rsidP="009556FE">
      <w:pPr>
        <w:pStyle w:val="Heading1"/>
        <w:widowControl w:val="0"/>
      </w:pPr>
      <w:bookmarkStart w:id="14" w:name="_Hlk126915743"/>
      <w:r>
        <w:t>La phase II propose que les activités suivantes soient mises en œuvre par le PNUE :</w:t>
      </w:r>
    </w:p>
    <w:p w14:paraId="2B53EDD0" w14:textId="2500E304" w:rsidR="00E63352" w:rsidRPr="002E0658" w:rsidRDefault="00E63352" w:rsidP="009A3E69">
      <w:pPr>
        <w:pStyle w:val="Heading2"/>
        <w:numPr>
          <w:ilvl w:val="1"/>
          <w:numId w:val="1"/>
        </w:numPr>
        <w:spacing w:after="120"/>
      </w:pPr>
      <w:bookmarkStart w:id="15" w:name="_Hlk163053010"/>
      <w:r>
        <w:rPr>
          <w:i/>
        </w:rPr>
        <w:t xml:space="preserve">Renforcement de la surveillance, application des mesures de </w:t>
      </w:r>
      <w:r w:rsidR="009E1E91">
        <w:rPr>
          <w:i/>
        </w:rPr>
        <w:t>contrôle</w:t>
      </w:r>
      <w:r>
        <w:rPr>
          <w:i/>
        </w:rPr>
        <w:t xml:space="preserve"> et renforcement de la capacité des agents des douanes et des agents d’application de la loi :</w:t>
      </w:r>
      <w:bookmarkEnd w:id="15"/>
      <w:r>
        <w:t xml:space="preserve"> Examen et actualisation des réglementations existantes et rédaction de projets de nouvelles réglementations en tenant compte des nouvelles technologies et des substances pouvant remplacer les HCFC ; </w:t>
      </w:r>
      <w:bookmarkStart w:id="16" w:name="_Hlk163053036"/>
      <w:r>
        <w:rPr>
          <w:color w:val="000000"/>
        </w:rPr>
        <w:t xml:space="preserve">interdiction des importations d’équipements à base de HCFC d’ici janvier 2027 ; </w:t>
      </w:r>
      <w:r>
        <w:t>formation de 15 formateurs des douanes (cinq de chaque île) par un expert national</w:t>
      </w:r>
      <w:bookmarkStart w:id="17" w:name="_Hlk165057156"/>
      <w:r w:rsidR="009E1E91">
        <w:t xml:space="preserve"> </w:t>
      </w:r>
      <w:r>
        <w:t>et organisation de 18 ateliers de formation (six dans chaque île) pour un total de 270 agents des douanes et autres agents d’application de la loi et de dédouanement à l’identification et la réglementation des HCFC, des HFC et des équipements correspondants ; achat et livraison de cinq dispositifs d’identification de frigorigène</w:t>
      </w:r>
      <w:r w:rsidR="009E1E91">
        <w:t>s</w:t>
      </w:r>
      <w:r>
        <w:t xml:space="preserve"> au BNO ; facilitation du dialogue, coordination et collaboration entre les trois îles du pays sur la mise en œuvre du PGEH</w:t>
      </w:r>
      <w:bookmarkEnd w:id="17"/>
      <w:r>
        <w:t xml:space="preserve"> (170 500 $ US) ; </w:t>
      </w:r>
      <w:bookmarkEnd w:id="16"/>
      <w:r>
        <w:t>et</w:t>
      </w:r>
    </w:p>
    <w:p w14:paraId="16E76D44" w14:textId="2E11DE28" w:rsidR="003551E5" w:rsidRPr="003551E5" w:rsidRDefault="00E63352" w:rsidP="009A3E69">
      <w:pPr>
        <w:pStyle w:val="Heading2"/>
        <w:spacing w:after="120"/>
      </w:pPr>
      <w:bookmarkStart w:id="18" w:name="_Hlk163053560"/>
      <w:r>
        <w:rPr>
          <w:i/>
        </w:rPr>
        <w:t>Formation des techniciens, mise en place d’un programme de certification et fourniture d’équipements au centre d’excellence</w:t>
      </w:r>
      <w:bookmarkEnd w:id="18"/>
      <w:r>
        <w:rPr>
          <w:i/>
        </w:rPr>
        <w:t> :</w:t>
      </w:r>
      <w:r>
        <w:t xml:space="preserve"> </w:t>
      </w:r>
      <w:bookmarkStart w:id="19" w:name="_Hlk163054132"/>
      <w:r>
        <w:t>Élaboration de normes réglementaires et de protocoles sur l’utilisation de substances inflammables et toxiques dans les équipements de réfrigération et de climatisation ; mise en place d’un programme de certification destiné aux techniciens d’entretien, incluant une formation aux normes internationales et à l’utilisation sans danger des gaz fluorés, consultation des parties prenantes et certification de 30 techniciens (six certificateurs qui certifieront à leur tour 24 techniciens) ; organisation de 21 ateliers de formation (sept par île) afin de former 315 techniciens aux bonnes pratiques de l’entretien, au brasage et à la manipulation sans danger des HC ; achat et distribution de 20 trousses d’outils</w:t>
      </w:r>
      <w:r w:rsidR="00347ADC" w:rsidRPr="005E5C76">
        <w:rPr>
          <w:rStyle w:val="FootnoteReference"/>
        </w:rPr>
        <w:footnoteReference w:id="8"/>
      </w:r>
      <w:r>
        <w:t xml:space="preserve"> et d’équipements de récupération de frigorigènes et de détection de fuites à certains ateliers de la réfrigération et de la climatisation et à l’ENTP ; renforcement de l’association de la réfrigération et de la climatisation et de l’ENTP au travers de la formation de formateurs, notamment à l’utilisation des équipements ; et encouragement des jeunes femmes à travailler dans ce secteur grâce à des activités de sensibilisation, notamment via la reconnaissance des femmes dans ce secteur et via des campagnes médiatiques (229 000 $ US).</w:t>
      </w:r>
    </w:p>
    <w:p w14:paraId="4E8B600D" w14:textId="77777777" w:rsidR="00E63352" w:rsidRPr="00F42294" w:rsidRDefault="00E63352" w:rsidP="00E63352">
      <w:pPr>
        <w:widowControl w:val="0"/>
        <w:spacing w:before="240" w:after="240"/>
        <w:rPr>
          <w:i/>
          <w:iCs/>
        </w:rPr>
      </w:pPr>
      <w:bookmarkStart w:id="20" w:name="_Hlk126915749"/>
      <w:bookmarkEnd w:id="14"/>
      <w:bookmarkEnd w:id="19"/>
      <w:r>
        <w:rPr>
          <w:i/>
        </w:rPr>
        <w:lastRenderedPageBreak/>
        <w:t>Mise en œuvre et suivi du projet</w:t>
      </w:r>
    </w:p>
    <w:bookmarkEnd w:id="20"/>
    <w:p w14:paraId="53F0A1D9" w14:textId="7465E26F" w:rsidR="00E63352" w:rsidRPr="005E5C76" w:rsidRDefault="00E63352" w:rsidP="00E63352">
      <w:pPr>
        <w:pStyle w:val="Heading1"/>
      </w:pPr>
      <w:r>
        <w:t xml:space="preserve">Le système établi dans le cadre de la phase I du PGEH sera maintenu à la </w:t>
      </w:r>
      <w:bookmarkStart w:id="21" w:name="_Hlk125636825"/>
      <w:r>
        <w:t>phase II</w:t>
      </w:r>
      <w:bookmarkEnd w:id="21"/>
      <w:r>
        <w:t xml:space="preserve">, où le BNO et le PNUE surveilleront les activités, communiqueront les progrès réalisés et collaboreront avec les parties prenantes pour éliminer les HCFC. Le coût de ces activités s’élève à 28 000 $ US et comprend deux consultants recrutés en local (16 000 $ US), </w:t>
      </w:r>
      <w:r>
        <w:rPr>
          <w:shd w:val="clear" w:color="auto" w:fill="FFFFFF" w:themeFill="background1"/>
        </w:rPr>
        <w:t>des déplacements liés aux activités de surveillance (6 000 $ US</w:t>
      </w:r>
      <w:r>
        <w:t>), ainsi que des ateliers, des réunions et des activités de suivi (6 000 $ US).</w:t>
      </w:r>
    </w:p>
    <w:p w14:paraId="517DD47A" w14:textId="77777777" w:rsidR="00E63352" w:rsidRPr="00030B44" w:rsidRDefault="00E63352" w:rsidP="00E63352">
      <w:pPr>
        <w:keepNext/>
        <w:spacing w:after="240"/>
        <w:rPr>
          <w:i/>
        </w:rPr>
      </w:pPr>
      <w:bookmarkStart w:id="22" w:name="_Hlk126915810"/>
      <w:r>
        <w:rPr>
          <w:i/>
        </w:rPr>
        <w:t>Mise en œuvre de la politique sur l’égalité des sexes</w:t>
      </w:r>
      <w:bookmarkEnd w:id="22"/>
    </w:p>
    <w:p w14:paraId="634D3392" w14:textId="36A9C7E8" w:rsidR="00E63352" w:rsidRPr="005E5C76" w:rsidRDefault="00E63352" w:rsidP="003C5E85">
      <w:pPr>
        <w:pStyle w:val="Heading1"/>
      </w:pPr>
      <w:r>
        <w:t xml:space="preserve">Conformément aux décisions 84/92(d), 90/48(c) et 92/40(b), les activités mises en œuvre au titre de la phase II du PGEH encourageront </w:t>
      </w:r>
      <w:r w:rsidR="009E1E91">
        <w:t>l</w:t>
      </w:r>
      <w:r>
        <w:t xml:space="preserve">es femmes </w:t>
      </w:r>
      <w:r w:rsidR="009E1E91">
        <w:t xml:space="preserve">à s’impliquer davantage </w:t>
      </w:r>
      <w:r>
        <w:t xml:space="preserve">dans ce secteur, notamment en garantissant leur participation aux activités de formation et de renforcement de la capacité. L’expertise des organisations établies centrées sur les femmes, telles que les organisations communautaires, les associations de femmes et les organisations non gouvernementales, sera sollicitée pour concevoir des activités avec un bon équilibre entre les sexes. Les réunions et les ateliers de formation comprendront des sessions de sensibilisation à l’importance de l’intégration des questions relatives à l’égalité hommes-femmes, et des activités de communication et de sensibilisation ciblant spécifiquement les femmes seront </w:t>
      </w:r>
      <w:r w:rsidR="009E1E91">
        <w:t>organisées</w:t>
      </w:r>
      <w:r>
        <w:t>.</w:t>
      </w:r>
      <w:bookmarkStart w:id="23" w:name="_Hlk126915819"/>
      <w:r>
        <w:t xml:space="preserve"> Les données ventilées par sexe seront utilisées pour surveiller l’efficacité des projets menés par le BNO, les consultants, les formateurs et les personnes formées, et </w:t>
      </w:r>
      <w:r w:rsidR="00EE4B86" w:rsidRPr="00EE4B86">
        <w:t>pour évaluer les répercussions</w:t>
      </w:r>
      <w:r>
        <w:t>.</w:t>
      </w:r>
    </w:p>
    <w:p w14:paraId="23C04D6B" w14:textId="3C5E9C8A" w:rsidR="00E63352" w:rsidRPr="008C37EB" w:rsidRDefault="00E63352" w:rsidP="007870FA">
      <w:pPr>
        <w:pStyle w:val="Heading1"/>
        <w:spacing w:after="0"/>
      </w:pPr>
      <w:r>
        <w:t>Une activité de vulgarisation et de sensibilisation visant à inciter les femmes à rejoindre le secteur de la réfrigération et de la climatisation sera mise en place au travers des médias, de forums publics et de sessions d’information, où des techniciennes seront reconnues et partageront leur expérience pour encourager la participation d’autres femmes. Le PNUE a précisé que le BNO mènerait une évaluation de la répartition hommes-femmes durant la mise en œuvre de la première tranche, en utilisant le financement alloué au projet de renforcement des institutions. Les recommandations issues de l’évaluation seront appliquées au budget de la phase II.</w:t>
      </w:r>
    </w:p>
    <w:p w14:paraId="2366D27F" w14:textId="77777777" w:rsidR="00E63352" w:rsidRPr="00996241" w:rsidRDefault="00E63352" w:rsidP="009556FE">
      <w:pPr>
        <w:pStyle w:val="Heading1"/>
        <w:numPr>
          <w:ilvl w:val="0"/>
          <w:numId w:val="0"/>
        </w:numPr>
        <w:spacing w:before="240"/>
        <w:rPr>
          <w:u w:val="single"/>
        </w:rPr>
      </w:pPr>
      <w:r w:rsidRPr="006E7299">
        <w:rPr>
          <w:u w:val="single"/>
        </w:rPr>
        <w:t>Coût total de la phase II du plan de gestion de l’élimination des HCFC</w:t>
      </w:r>
    </w:p>
    <w:bookmarkEnd w:id="23"/>
    <w:p w14:paraId="3AA616B2" w14:textId="0B2A1DA2" w:rsidR="00E63352" w:rsidRPr="00B44335" w:rsidRDefault="00E63352" w:rsidP="00DA6997">
      <w:pPr>
        <w:pStyle w:val="Heading1"/>
        <w:rPr>
          <w:b/>
        </w:rPr>
      </w:pPr>
      <w:r>
        <w:t xml:space="preserve">Le coût total de la phase II du PGEH pour les Comores a été estimé à 427 500 $ US (plus des coûts d’appui d’agence), conformément à la demande initiale, pour parvenir à une réduction de 67,5 pour cent de </w:t>
      </w:r>
      <w:r w:rsidR="006E7299">
        <w:t>l</w:t>
      </w:r>
      <w:r>
        <w:t>a consommation de référence de HCFC d’ici à 2025 et à une réduction de 100 pour cent d’ici à 2030. Les activités qui sont proposées pour être mises en œuvre par le PNUE, ainsi que leur ventilation, sont récapitulées aux paragraphes 19 et 20 ci-dessous, et présentées dans le tableau 3 ci-après.</w:t>
      </w:r>
    </w:p>
    <w:p w14:paraId="10C18C39" w14:textId="44212E83" w:rsidR="00E63352" w:rsidRPr="00865F42" w:rsidRDefault="00E63352" w:rsidP="00DA6997">
      <w:pPr>
        <w:pStyle w:val="Heading1"/>
        <w:keepNext/>
        <w:numPr>
          <w:ilvl w:val="0"/>
          <w:numId w:val="0"/>
        </w:numPr>
        <w:shd w:val="clear" w:color="auto" w:fill="FFFFFF" w:themeFill="background1"/>
        <w:spacing w:after="0"/>
        <w:rPr>
          <w:b/>
        </w:rPr>
      </w:pPr>
      <w:r>
        <w:rPr>
          <w:b/>
        </w:rPr>
        <w:t>Tableau 3. Coût total de la phase II</w:t>
      </w:r>
      <w:r>
        <w:t xml:space="preserve"> </w:t>
      </w:r>
      <w:r>
        <w:rPr>
          <w:b/>
        </w:rPr>
        <w:t>du PGEH pour les Comores (tel que demandé)</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04"/>
        <w:gridCol w:w="1846"/>
      </w:tblGrid>
      <w:tr w:rsidR="00E63352" w:rsidRPr="00884535" w14:paraId="6F80DF01" w14:textId="77777777" w:rsidTr="004A33EB">
        <w:trPr>
          <w:trHeight w:val="251"/>
          <w:tblHeader/>
        </w:trPr>
        <w:tc>
          <w:tcPr>
            <w:tcW w:w="4013" w:type="pct"/>
            <w:shd w:val="clear" w:color="auto" w:fill="auto"/>
            <w:vAlign w:val="center"/>
            <w:hideMark/>
          </w:tcPr>
          <w:p w14:paraId="6C2D2D36" w14:textId="77777777" w:rsidR="00E63352" w:rsidRPr="00884535" w:rsidRDefault="00E63352" w:rsidP="00C0058C">
            <w:pPr>
              <w:jc w:val="center"/>
              <w:rPr>
                <w:b/>
                <w:color w:val="000000"/>
                <w:sz w:val="20"/>
                <w:szCs w:val="20"/>
              </w:rPr>
            </w:pPr>
            <w:r>
              <w:rPr>
                <w:b/>
                <w:color w:val="000000"/>
                <w:sz w:val="20"/>
              </w:rPr>
              <w:t>Activité</w:t>
            </w:r>
          </w:p>
        </w:tc>
        <w:tc>
          <w:tcPr>
            <w:tcW w:w="987" w:type="pct"/>
            <w:shd w:val="clear" w:color="auto" w:fill="auto"/>
            <w:vAlign w:val="center"/>
            <w:hideMark/>
          </w:tcPr>
          <w:p w14:paraId="1C2C6DE6" w14:textId="77777777" w:rsidR="00E63352" w:rsidRPr="00884535" w:rsidRDefault="00E63352" w:rsidP="00C0058C">
            <w:pPr>
              <w:jc w:val="center"/>
              <w:rPr>
                <w:b/>
                <w:color w:val="000000"/>
                <w:sz w:val="20"/>
                <w:szCs w:val="20"/>
              </w:rPr>
            </w:pPr>
            <w:r>
              <w:rPr>
                <w:b/>
                <w:color w:val="000000"/>
                <w:sz w:val="20"/>
              </w:rPr>
              <w:t>Coût ($ US)</w:t>
            </w:r>
          </w:p>
        </w:tc>
      </w:tr>
      <w:tr w:rsidR="00E63352" w:rsidRPr="00884535" w14:paraId="6FA547F1" w14:textId="77777777" w:rsidTr="004A33EB">
        <w:tc>
          <w:tcPr>
            <w:tcW w:w="5000" w:type="pct"/>
            <w:gridSpan w:val="2"/>
            <w:shd w:val="clear" w:color="auto" w:fill="auto"/>
            <w:noWrap/>
          </w:tcPr>
          <w:p w14:paraId="3DF80A05" w14:textId="65D98EEA" w:rsidR="00E63352" w:rsidRPr="00B74843" w:rsidRDefault="00E63352" w:rsidP="00C0058C">
            <w:pPr>
              <w:pStyle w:val="ListParagraph"/>
              <w:numPr>
                <w:ilvl w:val="0"/>
                <w:numId w:val="47"/>
              </w:numPr>
              <w:jc w:val="left"/>
              <w:rPr>
                <w:b/>
                <w:bCs/>
                <w:color w:val="000000"/>
                <w:sz w:val="20"/>
                <w:szCs w:val="20"/>
              </w:rPr>
            </w:pPr>
            <w:r>
              <w:rPr>
                <w:b/>
                <w:sz w:val="20"/>
              </w:rPr>
              <w:t xml:space="preserve">Renforcement de la surveillance et des mesures de </w:t>
            </w:r>
            <w:r w:rsidR="006E7299">
              <w:rPr>
                <w:b/>
                <w:sz w:val="20"/>
              </w:rPr>
              <w:t>contrôle</w:t>
            </w:r>
            <w:r>
              <w:rPr>
                <w:b/>
                <w:sz w:val="20"/>
              </w:rPr>
              <w:t>, et renforcement de la capacité des agents des douanes et des agents d’application de la loi</w:t>
            </w:r>
          </w:p>
        </w:tc>
      </w:tr>
      <w:tr w:rsidR="00E63352" w:rsidRPr="00884535" w14:paraId="4363C6E0" w14:textId="77777777" w:rsidTr="004A33EB">
        <w:tc>
          <w:tcPr>
            <w:tcW w:w="4013" w:type="pct"/>
            <w:shd w:val="clear" w:color="auto" w:fill="auto"/>
            <w:noWrap/>
          </w:tcPr>
          <w:p w14:paraId="32C5D87F" w14:textId="614A59A9" w:rsidR="00E63352" w:rsidRPr="00884535" w:rsidRDefault="00E63352" w:rsidP="00C0058C">
            <w:pPr>
              <w:jc w:val="left"/>
              <w:rPr>
                <w:i/>
                <w:iCs/>
                <w:sz w:val="20"/>
                <w:szCs w:val="20"/>
              </w:rPr>
            </w:pPr>
            <w:r>
              <w:rPr>
                <w:sz w:val="20"/>
              </w:rPr>
              <w:t>Examen et actualisation des réglementations existantes et rédaction de projets de nouvelles réglementations concernant les frigorigènes pouvant remplacer les HCFC</w:t>
            </w:r>
          </w:p>
        </w:tc>
        <w:tc>
          <w:tcPr>
            <w:tcW w:w="987" w:type="pct"/>
            <w:shd w:val="clear" w:color="auto" w:fill="auto"/>
          </w:tcPr>
          <w:p w14:paraId="6B0F41FF" w14:textId="77777777" w:rsidR="00E63352" w:rsidRPr="00884535" w:rsidRDefault="00E63352" w:rsidP="006E7299">
            <w:pPr>
              <w:jc w:val="center"/>
              <w:rPr>
                <w:color w:val="000000"/>
                <w:sz w:val="20"/>
                <w:szCs w:val="20"/>
              </w:rPr>
            </w:pPr>
            <w:r>
              <w:rPr>
                <w:sz w:val="20"/>
              </w:rPr>
              <w:t>15 000</w:t>
            </w:r>
          </w:p>
        </w:tc>
      </w:tr>
      <w:tr w:rsidR="00E63352" w:rsidRPr="00884535" w14:paraId="74CFF780" w14:textId="77777777" w:rsidTr="004A33EB">
        <w:tc>
          <w:tcPr>
            <w:tcW w:w="4013" w:type="pct"/>
            <w:shd w:val="clear" w:color="auto" w:fill="auto"/>
            <w:noWrap/>
          </w:tcPr>
          <w:p w14:paraId="65D1674C" w14:textId="50AAB02D" w:rsidR="00E63352" w:rsidRPr="00BE4E77" w:rsidRDefault="00347ADC" w:rsidP="00C0058C">
            <w:pPr>
              <w:jc w:val="left"/>
              <w:rPr>
                <w:i/>
                <w:iCs/>
                <w:sz w:val="20"/>
                <w:szCs w:val="20"/>
              </w:rPr>
            </w:pPr>
            <w:r>
              <w:rPr>
                <w:sz w:val="20"/>
              </w:rPr>
              <w:t>Formation de 15 formateurs des douanes au cours de 3 ateliers</w:t>
            </w:r>
          </w:p>
        </w:tc>
        <w:tc>
          <w:tcPr>
            <w:tcW w:w="987" w:type="pct"/>
            <w:shd w:val="clear" w:color="auto" w:fill="auto"/>
          </w:tcPr>
          <w:p w14:paraId="2D74CC57" w14:textId="77777777" w:rsidR="00E63352" w:rsidRPr="00884535" w:rsidRDefault="00E63352" w:rsidP="006E7299">
            <w:pPr>
              <w:jc w:val="center"/>
              <w:rPr>
                <w:color w:val="000000"/>
                <w:sz w:val="20"/>
                <w:szCs w:val="20"/>
              </w:rPr>
            </w:pPr>
            <w:r>
              <w:rPr>
                <w:sz w:val="20"/>
              </w:rPr>
              <w:t>10 000</w:t>
            </w:r>
          </w:p>
        </w:tc>
      </w:tr>
      <w:tr w:rsidR="00E63352" w:rsidRPr="00884535" w14:paraId="232B1356" w14:textId="77777777" w:rsidTr="004A33EB">
        <w:tc>
          <w:tcPr>
            <w:tcW w:w="4013" w:type="pct"/>
            <w:shd w:val="clear" w:color="auto" w:fill="auto"/>
            <w:noWrap/>
          </w:tcPr>
          <w:p w14:paraId="6956D7CB" w14:textId="774D09AB" w:rsidR="00E63352" w:rsidRPr="00BE4E77" w:rsidRDefault="00BE4E77" w:rsidP="00C0058C">
            <w:pPr>
              <w:jc w:val="left"/>
              <w:rPr>
                <w:i/>
                <w:iCs/>
                <w:sz w:val="20"/>
                <w:szCs w:val="20"/>
              </w:rPr>
            </w:pPr>
            <w:r>
              <w:rPr>
                <w:sz w:val="20"/>
              </w:rPr>
              <w:t>Formation de 180 agents des douanes, agents d’application de la loi et agents de dédouanement au cours de 18 ateliers sur l’identification et la réglementation des HCFC, des HFC et des équipements correspondants</w:t>
            </w:r>
          </w:p>
        </w:tc>
        <w:tc>
          <w:tcPr>
            <w:tcW w:w="987" w:type="pct"/>
            <w:shd w:val="clear" w:color="auto" w:fill="auto"/>
          </w:tcPr>
          <w:p w14:paraId="43A16EF9" w14:textId="3FE33CCB" w:rsidR="00E63352" w:rsidRPr="00884535" w:rsidRDefault="00E63352" w:rsidP="006E7299">
            <w:pPr>
              <w:jc w:val="center"/>
              <w:rPr>
                <w:color w:val="000000"/>
                <w:sz w:val="20"/>
                <w:szCs w:val="20"/>
              </w:rPr>
            </w:pPr>
            <w:r>
              <w:rPr>
                <w:sz w:val="20"/>
              </w:rPr>
              <w:t>95 500</w:t>
            </w:r>
          </w:p>
        </w:tc>
      </w:tr>
      <w:tr w:rsidR="00E63352" w:rsidRPr="00884535" w14:paraId="2B520A02" w14:textId="77777777" w:rsidTr="004A33EB">
        <w:tc>
          <w:tcPr>
            <w:tcW w:w="4013" w:type="pct"/>
            <w:shd w:val="clear" w:color="auto" w:fill="auto"/>
            <w:noWrap/>
          </w:tcPr>
          <w:p w14:paraId="46918BA8" w14:textId="0E3A98E0" w:rsidR="00E63352" w:rsidRPr="00884535" w:rsidRDefault="00E63352" w:rsidP="00C0058C">
            <w:pPr>
              <w:jc w:val="left"/>
              <w:rPr>
                <w:i/>
                <w:iCs/>
                <w:sz w:val="20"/>
                <w:szCs w:val="20"/>
              </w:rPr>
            </w:pPr>
            <w:r>
              <w:rPr>
                <w:sz w:val="20"/>
              </w:rPr>
              <w:t>Achat et livraison de cinq dispositifs d’identification de frigorigène au BNO</w:t>
            </w:r>
          </w:p>
        </w:tc>
        <w:tc>
          <w:tcPr>
            <w:tcW w:w="987" w:type="pct"/>
            <w:shd w:val="clear" w:color="auto" w:fill="auto"/>
          </w:tcPr>
          <w:p w14:paraId="58A77576" w14:textId="77777777" w:rsidR="00E63352" w:rsidRPr="00884535" w:rsidRDefault="00E63352" w:rsidP="006E7299">
            <w:pPr>
              <w:jc w:val="center"/>
              <w:rPr>
                <w:color w:val="000000"/>
                <w:sz w:val="20"/>
                <w:szCs w:val="20"/>
              </w:rPr>
            </w:pPr>
            <w:r>
              <w:rPr>
                <w:color w:val="000000"/>
                <w:sz w:val="20"/>
              </w:rPr>
              <w:t>30 000</w:t>
            </w:r>
          </w:p>
        </w:tc>
      </w:tr>
      <w:tr w:rsidR="00E63352" w:rsidRPr="00884535" w14:paraId="4FBD14F2" w14:textId="77777777" w:rsidTr="004A33EB">
        <w:tc>
          <w:tcPr>
            <w:tcW w:w="4013" w:type="pct"/>
            <w:shd w:val="clear" w:color="auto" w:fill="auto"/>
            <w:noWrap/>
          </w:tcPr>
          <w:p w14:paraId="0556B5EA" w14:textId="7D0C4F77" w:rsidR="00E63352" w:rsidRPr="00884535" w:rsidRDefault="00E63352" w:rsidP="00C0058C">
            <w:pPr>
              <w:jc w:val="left"/>
              <w:rPr>
                <w:i/>
                <w:iCs/>
                <w:sz w:val="20"/>
                <w:szCs w:val="20"/>
              </w:rPr>
            </w:pPr>
            <w:r>
              <w:rPr>
                <w:sz w:val="20"/>
              </w:rPr>
              <w:t>Facilitation du dialogue, coordination et collaboration entre les îles du pays</w:t>
            </w:r>
          </w:p>
        </w:tc>
        <w:tc>
          <w:tcPr>
            <w:tcW w:w="987" w:type="pct"/>
            <w:shd w:val="clear" w:color="auto" w:fill="auto"/>
          </w:tcPr>
          <w:p w14:paraId="6A8D748C" w14:textId="77777777" w:rsidR="00E63352" w:rsidRPr="00884535" w:rsidRDefault="00E63352" w:rsidP="006E7299">
            <w:pPr>
              <w:jc w:val="center"/>
              <w:rPr>
                <w:color w:val="000000"/>
                <w:sz w:val="20"/>
                <w:szCs w:val="20"/>
              </w:rPr>
            </w:pPr>
            <w:r>
              <w:rPr>
                <w:color w:val="000000"/>
                <w:sz w:val="20"/>
              </w:rPr>
              <w:t>20 000</w:t>
            </w:r>
          </w:p>
        </w:tc>
      </w:tr>
      <w:tr w:rsidR="00E63352" w:rsidRPr="00884535" w14:paraId="42150B8A" w14:textId="77777777" w:rsidTr="004A33EB">
        <w:tc>
          <w:tcPr>
            <w:tcW w:w="4013" w:type="pct"/>
            <w:shd w:val="clear" w:color="auto" w:fill="auto"/>
            <w:noWrap/>
          </w:tcPr>
          <w:p w14:paraId="23D96BF2" w14:textId="77777777" w:rsidR="00E63352" w:rsidRPr="00884535" w:rsidRDefault="00E63352" w:rsidP="00C0058C">
            <w:pPr>
              <w:ind w:left="310"/>
              <w:jc w:val="left"/>
              <w:rPr>
                <w:b/>
                <w:bCs/>
                <w:sz w:val="20"/>
                <w:szCs w:val="20"/>
              </w:rPr>
            </w:pPr>
            <w:r>
              <w:rPr>
                <w:b/>
                <w:sz w:val="20"/>
              </w:rPr>
              <w:t xml:space="preserve"> Sous-total I</w:t>
            </w:r>
          </w:p>
        </w:tc>
        <w:tc>
          <w:tcPr>
            <w:tcW w:w="987" w:type="pct"/>
            <w:shd w:val="clear" w:color="auto" w:fill="auto"/>
          </w:tcPr>
          <w:p w14:paraId="670EE932" w14:textId="77777777" w:rsidR="00E63352" w:rsidRPr="00884535" w:rsidRDefault="00E63352" w:rsidP="006E7299">
            <w:pPr>
              <w:jc w:val="center"/>
              <w:rPr>
                <w:b/>
                <w:bCs/>
                <w:color w:val="000000"/>
                <w:sz w:val="20"/>
                <w:szCs w:val="20"/>
              </w:rPr>
            </w:pPr>
            <w:r>
              <w:rPr>
                <w:b/>
                <w:sz w:val="20"/>
              </w:rPr>
              <w:t>170 500</w:t>
            </w:r>
          </w:p>
        </w:tc>
      </w:tr>
      <w:tr w:rsidR="00E63352" w:rsidRPr="00884535" w14:paraId="11342E73" w14:textId="77777777" w:rsidTr="004A33EB">
        <w:tc>
          <w:tcPr>
            <w:tcW w:w="5000" w:type="pct"/>
            <w:gridSpan w:val="2"/>
            <w:shd w:val="clear" w:color="auto" w:fill="auto"/>
            <w:noWrap/>
          </w:tcPr>
          <w:p w14:paraId="3C6887F2" w14:textId="77777777" w:rsidR="00E63352" w:rsidRPr="00B74843" w:rsidRDefault="00E63352" w:rsidP="00C0058C">
            <w:pPr>
              <w:pStyle w:val="ListParagraph"/>
              <w:numPr>
                <w:ilvl w:val="0"/>
                <w:numId w:val="47"/>
              </w:numPr>
              <w:jc w:val="left"/>
              <w:rPr>
                <w:b/>
                <w:bCs/>
                <w:color w:val="000000"/>
                <w:sz w:val="20"/>
                <w:szCs w:val="20"/>
              </w:rPr>
            </w:pPr>
            <w:r>
              <w:rPr>
                <w:b/>
                <w:sz w:val="20"/>
              </w:rPr>
              <w:t>Formation des techniciens, programme de certification et fourniture d’équipements</w:t>
            </w:r>
          </w:p>
        </w:tc>
      </w:tr>
      <w:tr w:rsidR="00E63352" w:rsidRPr="00884535" w14:paraId="09C39EC9" w14:textId="77777777" w:rsidTr="004A33EB">
        <w:tc>
          <w:tcPr>
            <w:tcW w:w="4013" w:type="pct"/>
            <w:shd w:val="clear" w:color="auto" w:fill="auto"/>
            <w:noWrap/>
          </w:tcPr>
          <w:p w14:paraId="19E6BBF6" w14:textId="6EF113B1" w:rsidR="00E63352" w:rsidRPr="00884535" w:rsidRDefault="00BE4E77" w:rsidP="00C0058C">
            <w:pPr>
              <w:jc w:val="left"/>
              <w:rPr>
                <w:i/>
                <w:iCs/>
                <w:sz w:val="20"/>
                <w:szCs w:val="20"/>
              </w:rPr>
            </w:pPr>
            <w:r>
              <w:rPr>
                <w:sz w:val="20"/>
              </w:rPr>
              <w:t>Élaboration de normes réglementaires et de protocoles sur l’utilisation de substances inflammables et toxiques dans les équipements de réfrigération et de climatisation</w:t>
            </w:r>
          </w:p>
        </w:tc>
        <w:tc>
          <w:tcPr>
            <w:tcW w:w="987" w:type="pct"/>
            <w:shd w:val="clear" w:color="auto" w:fill="auto"/>
          </w:tcPr>
          <w:p w14:paraId="43C57919" w14:textId="776261A1" w:rsidR="00E63352" w:rsidRPr="00884535" w:rsidRDefault="00BE4E77" w:rsidP="006E7299">
            <w:pPr>
              <w:jc w:val="center"/>
              <w:rPr>
                <w:color w:val="000000"/>
                <w:sz w:val="20"/>
                <w:szCs w:val="20"/>
              </w:rPr>
            </w:pPr>
            <w:r>
              <w:rPr>
                <w:color w:val="000000"/>
                <w:sz w:val="20"/>
              </w:rPr>
              <w:t>30 000</w:t>
            </w:r>
          </w:p>
        </w:tc>
      </w:tr>
      <w:tr w:rsidR="00BE4E77" w:rsidRPr="00884535" w14:paraId="6B396829" w14:textId="77777777" w:rsidTr="004A33EB">
        <w:tc>
          <w:tcPr>
            <w:tcW w:w="4013" w:type="pct"/>
            <w:shd w:val="clear" w:color="auto" w:fill="auto"/>
            <w:noWrap/>
          </w:tcPr>
          <w:p w14:paraId="7903658E" w14:textId="3B90DDBA" w:rsidR="00BE4E77" w:rsidRPr="00F861BA" w:rsidRDefault="00BE4E77" w:rsidP="00BE4E77">
            <w:pPr>
              <w:jc w:val="left"/>
              <w:rPr>
                <w:sz w:val="20"/>
              </w:rPr>
            </w:pPr>
            <w:r>
              <w:rPr>
                <w:sz w:val="20"/>
              </w:rPr>
              <w:lastRenderedPageBreak/>
              <w:t>Mise en place d’un programme de certification destiné aux techniciens d’entretien des équipements de réfrigération et de climatisation, incluant une formation aux normes internationales et à l’utilisation sans danger des gaz fluorés, consultation des parties prenantes et certification de 30 techniciens</w:t>
            </w:r>
          </w:p>
        </w:tc>
        <w:tc>
          <w:tcPr>
            <w:tcW w:w="987" w:type="pct"/>
            <w:shd w:val="clear" w:color="auto" w:fill="auto"/>
          </w:tcPr>
          <w:p w14:paraId="125BEA55" w14:textId="1035972E" w:rsidR="00BE4E77" w:rsidDel="00BE4E77" w:rsidRDefault="00BE4E77" w:rsidP="006E7299">
            <w:pPr>
              <w:jc w:val="center"/>
              <w:rPr>
                <w:color w:val="000000"/>
                <w:sz w:val="20"/>
                <w:szCs w:val="20"/>
              </w:rPr>
            </w:pPr>
            <w:r>
              <w:rPr>
                <w:color w:val="000000"/>
                <w:sz w:val="20"/>
              </w:rPr>
              <w:t>30 000</w:t>
            </w:r>
          </w:p>
        </w:tc>
      </w:tr>
      <w:tr w:rsidR="00BE4E77" w:rsidRPr="00884535" w14:paraId="3D75DED5" w14:textId="77777777" w:rsidTr="004A33EB">
        <w:tc>
          <w:tcPr>
            <w:tcW w:w="4013" w:type="pct"/>
            <w:shd w:val="clear" w:color="auto" w:fill="auto"/>
            <w:noWrap/>
          </w:tcPr>
          <w:p w14:paraId="30AF2B4F" w14:textId="043E6A6C" w:rsidR="00BE4E77" w:rsidRPr="00884535" w:rsidRDefault="00BE4E77" w:rsidP="00BE4E77">
            <w:pPr>
              <w:jc w:val="left"/>
              <w:rPr>
                <w:i/>
                <w:iCs/>
                <w:sz w:val="20"/>
                <w:szCs w:val="20"/>
              </w:rPr>
            </w:pPr>
            <w:r>
              <w:rPr>
                <w:sz w:val="20"/>
              </w:rPr>
              <w:t>Formation de 315 techniciens aux cours de 21 ateliers portant sur les bonnes pratiques de l’entretien, le brasage et la manipulation sans danger des HC</w:t>
            </w:r>
          </w:p>
        </w:tc>
        <w:tc>
          <w:tcPr>
            <w:tcW w:w="987" w:type="pct"/>
            <w:shd w:val="clear" w:color="auto" w:fill="auto"/>
          </w:tcPr>
          <w:p w14:paraId="4B1D4892" w14:textId="3C1EC8E2" w:rsidR="00BE4E77" w:rsidRPr="00884535" w:rsidRDefault="00BE4E77" w:rsidP="006E7299">
            <w:pPr>
              <w:jc w:val="center"/>
              <w:rPr>
                <w:color w:val="000000"/>
                <w:sz w:val="20"/>
                <w:szCs w:val="20"/>
              </w:rPr>
            </w:pPr>
            <w:r>
              <w:rPr>
                <w:sz w:val="20"/>
              </w:rPr>
              <w:t>101 000</w:t>
            </w:r>
          </w:p>
        </w:tc>
      </w:tr>
      <w:tr w:rsidR="00BE4E77" w:rsidRPr="00884535" w14:paraId="7C14871E" w14:textId="77777777" w:rsidTr="004A33EB">
        <w:tc>
          <w:tcPr>
            <w:tcW w:w="4013" w:type="pct"/>
            <w:shd w:val="clear" w:color="auto" w:fill="auto"/>
            <w:noWrap/>
          </w:tcPr>
          <w:p w14:paraId="6DF26A64" w14:textId="13D43555" w:rsidR="00BE4E77" w:rsidRPr="00884535" w:rsidRDefault="00BE4E77" w:rsidP="00BE4E77">
            <w:pPr>
              <w:jc w:val="left"/>
              <w:rPr>
                <w:i/>
                <w:iCs/>
                <w:sz w:val="20"/>
                <w:szCs w:val="20"/>
              </w:rPr>
            </w:pPr>
            <w:r>
              <w:rPr>
                <w:sz w:val="20"/>
              </w:rPr>
              <w:t>Achat et distribution de 20 trousses d’outils et d’équipements de récupération de frigorigènes et de détection de fuites à certains ateliers de la réfrigération et de la climatisation et à l’ENTP</w:t>
            </w:r>
          </w:p>
        </w:tc>
        <w:tc>
          <w:tcPr>
            <w:tcW w:w="987" w:type="pct"/>
            <w:shd w:val="clear" w:color="auto" w:fill="auto"/>
          </w:tcPr>
          <w:p w14:paraId="07E87671" w14:textId="04ED508B" w:rsidR="00BE4E77" w:rsidRPr="00884535" w:rsidRDefault="00BE4E77" w:rsidP="006E7299">
            <w:pPr>
              <w:jc w:val="center"/>
              <w:rPr>
                <w:color w:val="000000"/>
                <w:sz w:val="20"/>
                <w:szCs w:val="20"/>
              </w:rPr>
            </w:pPr>
            <w:r>
              <w:rPr>
                <w:sz w:val="20"/>
              </w:rPr>
              <w:t>20 000</w:t>
            </w:r>
          </w:p>
        </w:tc>
      </w:tr>
      <w:tr w:rsidR="00BE4E77" w:rsidRPr="00884535" w14:paraId="2C8387D3" w14:textId="77777777" w:rsidTr="004A33EB">
        <w:tc>
          <w:tcPr>
            <w:tcW w:w="4013" w:type="pct"/>
            <w:shd w:val="clear" w:color="auto" w:fill="auto"/>
            <w:noWrap/>
          </w:tcPr>
          <w:p w14:paraId="3A908156" w14:textId="183EBEDE" w:rsidR="00BE4E77" w:rsidRPr="00F861BA" w:rsidRDefault="00BE4E77" w:rsidP="00BE4E77">
            <w:pPr>
              <w:jc w:val="left"/>
              <w:rPr>
                <w:i/>
                <w:sz w:val="20"/>
              </w:rPr>
            </w:pPr>
            <w:r>
              <w:rPr>
                <w:sz w:val="20"/>
              </w:rPr>
              <w:t>Renforcement de l’association de la réfrigération et de la climatisation et de l’ENTP au travers de la formation de formateurs, notamment à l’utilisation des équipements</w:t>
            </w:r>
          </w:p>
        </w:tc>
        <w:tc>
          <w:tcPr>
            <w:tcW w:w="987" w:type="pct"/>
            <w:shd w:val="clear" w:color="auto" w:fill="auto"/>
          </w:tcPr>
          <w:p w14:paraId="54BE8866" w14:textId="67A2CDF9" w:rsidR="00BE4E77" w:rsidRPr="00884535" w:rsidRDefault="00BE4E77" w:rsidP="006E7299">
            <w:pPr>
              <w:jc w:val="center"/>
              <w:rPr>
                <w:color w:val="000000"/>
                <w:sz w:val="20"/>
                <w:szCs w:val="20"/>
              </w:rPr>
            </w:pPr>
            <w:r>
              <w:rPr>
                <w:sz w:val="20"/>
              </w:rPr>
              <w:t>30 000</w:t>
            </w:r>
          </w:p>
        </w:tc>
      </w:tr>
      <w:tr w:rsidR="00BE4E77" w:rsidRPr="00884535" w14:paraId="542BE246" w14:textId="77777777" w:rsidTr="004A33EB">
        <w:tc>
          <w:tcPr>
            <w:tcW w:w="4013" w:type="pct"/>
            <w:shd w:val="clear" w:color="auto" w:fill="auto"/>
            <w:noWrap/>
          </w:tcPr>
          <w:p w14:paraId="1BF85887" w14:textId="63E27BD8" w:rsidR="00BE4E77" w:rsidRPr="00884535" w:rsidRDefault="00F861BA" w:rsidP="00BE4E77">
            <w:pPr>
              <w:jc w:val="left"/>
              <w:rPr>
                <w:sz w:val="20"/>
                <w:szCs w:val="20"/>
              </w:rPr>
            </w:pPr>
            <w:r>
              <w:rPr>
                <w:sz w:val="20"/>
              </w:rPr>
              <w:t>Encouragement de la participation des jeunes femmes à ce secteur au travers d’activités de sensibilisation et de formations</w:t>
            </w:r>
          </w:p>
        </w:tc>
        <w:tc>
          <w:tcPr>
            <w:tcW w:w="987" w:type="pct"/>
            <w:shd w:val="clear" w:color="auto" w:fill="auto"/>
          </w:tcPr>
          <w:p w14:paraId="2168FFD9" w14:textId="77777777" w:rsidR="00BE4E77" w:rsidRPr="00884535" w:rsidRDefault="00BE4E77" w:rsidP="006E7299">
            <w:pPr>
              <w:jc w:val="center"/>
              <w:rPr>
                <w:color w:val="000000"/>
                <w:sz w:val="20"/>
                <w:szCs w:val="20"/>
              </w:rPr>
            </w:pPr>
            <w:r>
              <w:rPr>
                <w:sz w:val="20"/>
              </w:rPr>
              <w:t>18 000</w:t>
            </w:r>
          </w:p>
        </w:tc>
      </w:tr>
      <w:tr w:rsidR="00BE4E77" w:rsidRPr="00884535" w14:paraId="67345F00" w14:textId="77777777" w:rsidTr="004A33EB">
        <w:tc>
          <w:tcPr>
            <w:tcW w:w="4013" w:type="pct"/>
            <w:shd w:val="clear" w:color="auto" w:fill="auto"/>
            <w:noWrap/>
          </w:tcPr>
          <w:p w14:paraId="32948B58" w14:textId="77777777" w:rsidR="00BE4E77" w:rsidRPr="00B74843" w:rsidRDefault="00BE4E77" w:rsidP="00BE4E77">
            <w:pPr>
              <w:ind w:left="310"/>
              <w:jc w:val="left"/>
              <w:rPr>
                <w:b/>
                <w:bCs/>
                <w:sz w:val="20"/>
                <w:szCs w:val="20"/>
              </w:rPr>
            </w:pPr>
            <w:r>
              <w:rPr>
                <w:b/>
                <w:sz w:val="20"/>
              </w:rPr>
              <w:t xml:space="preserve"> Sous-total II</w:t>
            </w:r>
          </w:p>
        </w:tc>
        <w:tc>
          <w:tcPr>
            <w:tcW w:w="987" w:type="pct"/>
            <w:shd w:val="clear" w:color="auto" w:fill="auto"/>
          </w:tcPr>
          <w:p w14:paraId="07B288BD" w14:textId="77777777" w:rsidR="00BE4E77" w:rsidRPr="00884535" w:rsidRDefault="00BE4E77" w:rsidP="006E7299">
            <w:pPr>
              <w:ind w:right="34"/>
              <w:jc w:val="center"/>
              <w:rPr>
                <w:color w:val="000000"/>
                <w:sz w:val="20"/>
                <w:szCs w:val="20"/>
              </w:rPr>
            </w:pPr>
            <w:r>
              <w:rPr>
                <w:b/>
                <w:sz w:val="20"/>
              </w:rPr>
              <w:t>229 000</w:t>
            </w:r>
          </w:p>
        </w:tc>
      </w:tr>
      <w:tr w:rsidR="00BE4E77" w:rsidRPr="00884535" w14:paraId="6ADC4F70" w14:textId="77777777" w:rsidTr="004A33EB">
        <w:trPr>
          <w:trHeight w:val="266"/>
        </w:trPr>
        <w:tc>
          <w:tcPr>
            <w:tcW w:w="5000" w:type="pct"/>
            <w:gridSpan w:val="2"/>
            <w:shd w:val="clear" w:color="auto" w:fill="auto"/>
            <w:noWrap/>
          </w:tcPr>
          <w:p w14:paraId="5F2D6082" w14:textId="77777777" w:rsidR="00BE4E77" w:rsidRPr="00B74843" w:rsidRDefault="00BE4E77" w:rsidP="00BE4E77">
            <w:pPr>
              <w:pStyle w:val="ListParagraph"/>
              <w:widowControl w:val="0"/>
              <w:numPr>
                <w:ilvl w:val="0"/>
                <w:numId w:val="47"/>
              </w:numPr>
              <w:jc w:val="left"/>
              <w:rPr>
                <w:color w:val="000000"/>
                <w:sz w:val="20"/>
                <w:szCs w:val="20"/>
              </w:rPr>
            </w:pPr>
            <w:r>
              <w:rPr>
                <w:b/>
                <w:sz w:val="20"/>
              </w:rPr>
              <w:t>Mise en œuvre et suivi du projet</w:t>
            </w:r>
          </w:p>
        </w:tc>
      </w:tr>
      <w:tr w:rsidR="00BE4E77" w:rsidRPr="00884535" w14:paraId="07E6940D" w14:textId="77777777" w:rsidTr="004A33EB">
        <w:tc>
          <w:tcPr>
            <w:tcW w:w="4013" w:type="pct"/>
            <w:shd w:val="clear" w:color="auto" w:fill="auto"/>
            <w:noWrap/>
          </w:tcPr>
          <w:p w14:paraId="20E07154" w14:textId="1CFBE5B1" w:rsidR="00BE4E77" w:rsidRPr="00683080" w:rsidRDefault="00BE4E77" w:rsidP="00BE4E77">
            <w:pPr>
              <w:jc w:val="left"/>
              <w:rPr>
                <w:sz w:val="20"/>
                <w:szCs w:val="20"/>
              </w:rPr>
            </w:pPr>
            <w:r>
              <w:rPr>
                <w:sz w:val="20"/>
              </w:rPr>
              <w:t>Consultants, déplacements liés aux activités de surveillance, réunions et activités de suivi</w:t>
            </w:r>
          </w:p>
        </w:tc>
        <w:tc>
          <w:tcPr>
            <w:tcW w:w="987" w:type="pct"/>
            <w:shd w:val="clear" w:color="auto" w:fill="auto"/>
          </w:tcPr>
          <w:p w14:paraId="5D685DE2" w14:textId="77777777" w:rsidR="00BE4E77" w:rsidRPr="00666522" w:rsidRDefault="00BE4E77" w:rsidP="006E7299">
            <w:pPr>
              <w:jc w:val="center"/>
              <w:rPr>
                <w:color w:val="000000"/>
                <w:sz w:val="20"/>
                <w:szCs w:val="20"/>
              </w:rPr>
            </w:pPr>
            <w:r>
              <w:rPr>
                <w:sz w:val="20"/>
              </w:rPr>
              <w:t>28 000</w:t>
            </w:r>
          </w:p>
        </w:tc>
      </w:tr>
      <w:tr w:rsidR="00BE4E77" w:rsidRPr="00884535" w14:paraId="6E10EC03" w14:textId="77777777" w:rsidTr="004A33EB">
        <w:tc>
          <w:tcPr>
            <w:tcW w:w="4013" w:type="pct"/>
            <w:shd w:val="clear" w:color="auto" w:fill="auto"/>
            <w:noWrap/>
          </w:tcPr>
          <w:p w14:paraId="33CA6E3F" w14:textId="77777777" w:rsidR="00BE4E77" w:rsidRPr="00884535" w:rsidRDefault="00BE4E77" w:rsidP="00BE4E77">
            <w:pPr>
              <w:ind w:left="310"/>
              <w:jc w:val="left"/>
              <w:rPr>
                <w:color w:val="000000"/>
                <w:sz w:val="20"/>
                <w:szCs w:val="20"/>
                <w:highlight w:val="cyan"/>
              </w:rPr>
            </w:pPr>
            <w:r>
              <w:rPr>
                <w:b/>
                <w:sz w:val="20"/>
              </w:rPr>
              <w:t xml:space="preserve"> Sous-total III</w:t>
            </w:r>
          </w:p>
        </w:tc>
        <w:tc>
          <w:tcPr>
            <w:tcW w:w="987" w:type="pct"/>
            <w:shd w:val="clear" w:color="auto" w:fill="auto"/>
          </w:tcPr>
          <w:p w14:paraId="77F43136" w14:textId="77777777" w:rsidR="00BE4E77" w:rsidRPr="00B74843" w:rsidRDefault="00BE4E77" w:rsidP="006E7299">
            <w:pPr>
              <w:ind w:right="34"/>
              <w:jc w:val="center"/>
              <w:rPr>
                <w:b/>
                <w:bCs/>
                <w:color w:val="000000"/>
                <w:sz w:val="20"/>
                <w:szCs w:val="20"/>
              </w:rPr>
            </w:pPr>
            <w:r>
              <w:rPr>
                <w:b/>
                <w:sz w:val="20"/>
              </w:rPr>
              <w:t>28 000</w:t>
            </w:r>
          </w:p>
        </w:tc>
      </w:tr>
      <w:tr w:rsidR="00BE4E77" w:rsidRPr="00884535" w14:paraId="4B4320EE" w14:textId="77777777" w:rsidTr="004A33EB">
        <w:trPr>
          <w:trHeight w:val="188"/>
        </w:trPr>
        <w:tc>
          <w:tcPr>
            <w:tcW w:w="4013" w:type="pct"/>
            <w:shd w:val="clear" w:color="auto" w:fill="auto"/>
            <w:noWrap/>
          </w:tcPr>
          <w:p w14:paraId="1A3B11A0" w14:textId="77777777" w:rsidR="00BE4E77" w:rsidRPr="00884535" w:rsidRDefault="00BE4E77" w:rsidP="00BE4E77">
            <w:pPr>
              <w:tabs>
                <w:tab w:val="left" w:pos="360"/>
              </w:tabs>
              <w:ind w:left="310"/>
              <w:jc w:val="left"/>
              <w:rPr>
                <w:color w:val="000000"/>
                <w:sz w:val="20"/>
                <w:szCs w:val="20"/>
              </w:rPr>
            </w:pPr>
            <w:r>
              <w:rPr>
                <w:b/>
                <w:color w:val="000000"/>
                <w:sz w:val="20"/>
              </w:rPr>
              <w:t xml:space="preserve"> Total</w:t>
            </w:r>
          </w:p>
        </w:tc>
        <w:tc>
          <w:tcPr>
            <w:tcW w:w="987" w:type="pct"/>
            <w:shd w:val="clear" w:color="auto" w:fill="auto"/>
            <w:tcMar>
              <w:left w:w="115" w:type="dxa"/>
              <w:right w:w="432" w:type="dxa"/>
            </w:tcMar>
          </w:tcPr>
          <w:p w14:paraId="671FD534" w14:textId="77777777" w:rsidR="00BE4E77" w:rsidRPr="006F7D71" w:rsidRDefault="00BE4E77" w:rsidP="006E7299">
            <w:pPr>
              <w:ind w:right="-297"/>
              <w:jc w:val="center"/>
              <w:rPr>
                <w:b/>
                <w:bCs/>
                <w:color w:val="000000"/>
                <w:sz w:val="20"/>
                <w:szCs w:val="20"/>
              </w:rPr>
            </w:pPr>
            <w:r>
              <w:rPr>
                <w:b/>
                <w:color w:val="000000"/>
                <w:sz w:val="20"/>
              </w:rPr>
              <w:t>427 500</w:t>
            </w:r>
          </w:p>
        </w:tc>
      </w:tr>
    </w:tbl>
    <w:p w14:paraId="695319A8" w14:textId="77777777" w:rsidR="00E63352" w:rsidRPr="003B5E15" w:rsidRDefault="00E63352" w:rsidP="00E63352">
      <w:pPr>
        <w:keepNext/>
        <w:keepLines/>
        <w:widowControl w:val="0"/>
        <w:spacing w:before="240" w:after="240"/>
        <w:rPr>
          <w:u w:val="single"/>
        </w:rPr>
      </w:pPr>
      <w:bookmarkStart w:id="24" w:name="_Hlk126915832"/>
      <w:r>
        <w:rPr>
          <w:u w:val="single"/>
        </w:rPr>
        <w:t>Plan de mise en œuvre de la première tranche de la phase II du plan de gestion de l’élimination des HCFC</w:t>
      </w:r>
    </w:p>
    <w:bookmarkEnd w:id="24"/>
    <w:p w14:paraId="340C4203" w14:textId="62C94CB7" w:rsidR="00E63352" w:rsidRPr="005A492C" w:rsidRDefault="00E63352" w:rsidP="00E63352">
      <w:pPr>
        <w:pStyle w:val="Heading1"/>
      </w:pPr>
      <w:r>
        <w:t>La première tranche de financement de la phase II du PGEH, d’un montant total de 150 000 $ US, sera mise en œuvre par le PNUE entre juin 2024 et décembre 2026 et comprendra les activités suivantes :</w:t>
      </w:r>
    </w:p>
    <w:p w14:paraId="554D29DB" w14:textId="647479D0" w:rsidR="00E63352" w:rsidRPr="002E0658" w:rsidRDefault="00E63352" w:rsidP="00F861BA">
      <w:pPr>
        <w:pStyle w:val="Heading2"/>
        <w:numPr>
          <w:ilvl w:val="1"/>
          <w:numId w:val="1"/>
        </w:numPr>
      </w:pPr>
      <w:bookmarkStart w:id="25" w:name="_Hlk126916095"/>
      <w:r>
        <w:rPr>
          <w:i/>
        </w:rPr>
        <w:t xml:space="preserve">Renforcement de la surveillance et des mesures de </w:t>
      </w:r>
      <w:r w:rsidR="006E7299">
        <w:rPr>
          <w:i/>
        </w:rPr>
        <w:t>contrôle</w:t>
      </w:r>
      <w:r>
        <w:rPr>
          <w:i/>
        </w:rPr>
        <w:t>, et renforcement de la capacité des agents des douanes et des agents d’application de la loi</w:t>
      </w:r>
      <w:r>
        <w:t> : Examen et actualisation des réglementations existantes et rédaction de projets de nouvelles réglementations concernant les frigorigènes pouvant remplacer les HCFC ; formation de six formateurs des douanes, tenue de six ateliers de formation pour former 90 agents des douanes, agents d’application de la loi et agents de dédouanement à l’identification et à la réglementation des HCFC, des HFC et des équipements correspondants ; facilitation du dialogue, coordination et collaboration entre les trois îles du pays sur la mise en œuvre du PGEH (51 000 $ US) ;</w:t>
      </w:r>
    </w:p>
    <w:p w14:paraId="0C4B9C51" w14:textId="75B57B6B" w:rsidR="00E63352" w:rsidRDefault="00E63352" w:rsidP="00E63352">
      <w:pPr>
        <w:pStyle w:val="Heading2"/>
        <w:numPr>
          <w:ilvl w:val="1"/>
          <w:numId w:val="1"/>
        </w:numPr>
        <w:shd w:val="clear" w:color="auto" w:fill="FFFFFF" w:themeFill="background1"/>
      </w:pPr>
      <w:r>
        <w:rPr>
          <w:i/>
        </w:rPr>
        <w:t>Formation des techniciens, programme de certification et fourniture d’équipements</w:t>
      </w:r>
      <w:r>
        <w:t> : Démarrage de l’élaboration de normes et de protocoles sur l’utilisation des frigorigènes inflammables et toxiques dans le secteur de l’entretien des équipements de réfrigération et de climatisation ; étude initiale de la situation et des besoins de mise en place d’un programme de certification destiné aux techniciens, et organisation de consultations avec les parties prenantes au sujet du programme de certification ; formation de 68 techniciens au travers de six ateliers sur les bonnes pratiques de l’entretien, le brasage et la manipulation sans danger des HC ; achat et distribution de huit trousses d’outils et d’équipements de récupération de frigorigènes et de détection de fuites (six pour certains ateliers de la réfrigération et de la climatisation et deux pour l’ENTP) ; et encouragement des jeunes femmes à travailler dans ce secteur grâce à des activités de sensibilisation, notamment via des campagnes médiatiques (89 000 $ US) ; et</w:t>
      </w:r>
    </w:p>
    <w:p w14:paraId="4BB8762A" w14:textId="3102BBED" w:rsidR="00E63352" w:rsidRDefault="00E63352" w:rsidP="006E0E55">
      <w:pPr>
        <w:pStyle w:val="Heading2"/>
        <w:numPr>
          <w:ilvl w:val="1"/>
          <w:numId w:val="1"/>
        </w:numPr>
      </w:pPr>
      <w:r>
        <w:rPr>
          <w:i/>
        </w:rPr>
        <w:t>Mise en œuvre et suivi du projet</w:t>
      </w:r>
      <w:r>
        <w:t> : Recrutement de consultants locaux, déplacements liés aux activités de surveillance, réunions et activités de suivi (10 000 $ US).</w:t>
      </w:r>
    </w:p>
    <w:p w14:paraId="7400CB32" w14:textId="3A8F3FDB" w:rsidR="00A37319" w:rsidRPr="00A37319" w:rsidRDefault="00A37319" w:rsidP="00CC361E">
      <w:pPr>
        <w:pStyle w:val="Heading1"/>
        <w:keepNext/>
      </w:pPr>
      <w:r>
        <w:lastRenderedPageBreak/>
        <w:t>La ventilation des coûts des activités prévues dans la première tranche est présentée dans le tableau 4.</w:t>
      </w:r>
    </w:p>
    <w:p w14:paraId="7E99FF92" w14:textId="4FB89CC7" w:rsidR="00E63352" w:rsidRPr="0028199C" w:rsidRDefault="00E63352" w:rsidP="00E63352">
      <w:pPr>
        <w:rPr>
          <w:b/>
          <w:bCs/>
        </w:rPr>
      </w:pPr>
      <w:r>
        <w:rPr>
          <w:b/>
        </w:rPr>
        <w:t>Tableau 4. Activités devant être mises en œuvre au titre de la première tranche de la phase I du PGEH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75"/>
        <w:gridCol w:w="1775"/>
      </w:tblGrid>
      <w:tr w:rsidR="00E63352" w:rsidRPr="00884535" w14:paraId="4035F981" w14:textId="77777777" w:rsidTr="004A33EB">
        <w:trPr>
          <w:trHeight w:val="251"/>
          <w:tblHeader/>
        </w:trPr>
        <w:tc>
          <w:tcPr>
            <w:tcW w:w="4051" w:type="pct"/>
            <w:shd w:val="clear" w:color="auto" w:fill="auto"/>
            <w:vAlign w:val="center"/>
            <w:hideMark/>
          </w:tcPr>
          <w:p w14:paraId="74EE8DD4" w14:textId="77777777" w:rsidR="00E63352" w:rsidRPr="00884535" w:rsidRDefault="00E63352" w:rsidP="00C0058C">
            <w:pPr>
              <w:jc w:val="center"/>
              <w:rPr>
                <w:b/>
                <w:color w:val="000000"/>
                <w:sz w:val="20"/>
                <w:szCs w:val="20"/>
              </w:rPr>
            </w:pPr>
            <w:r>
              <w:rPr>
                <w:b/>
                <w:color w:val="000000"/>
                <w:sz w:val="20"/>
              </w:rPr>
              <w:t>Activité</w:t>
            </w:r>
          </w:p>
        </w:tc>
        <w:tc>
          <w:tcPr>
            <w:tcW w:w="949" w:type="pct"/>
            <w:shd w:val="clear" w:color="auto" w:fill="auto"/>
            <w:vAlign w:val="center"/>
            <w:hideMark/>
          </w:tcPr>
          <w:p w14:paraId="7EC3FFB7" w14:textId="77777777" w:rsidR="00E63352" w:rsidRPr="00884535" w:rsidRDefault="00E63352" w:rsidP="00C0058C">
            <w:pPr>
              <w:jc w:val="center"/>
              <w:rPr>
                <w:b/>
                <w:color w:val="000000"/>
                <w:sz w:val="20"/>
                <w:szCs w:val="20"/>
              </w:rPr>
            </w:pPr>
            <w:r>
              <w:rPr>
                <w:b/>
                <w:color w:val="000000"/>
                <w:sz w:val="20"/>
              </w:rPr>
              <w:t>Coût ($ US)</w:t>
            </w:r>
          </w:p>
        </w:tc>
      </w:tr>
      <w:tr w:rsidR="00E63352" w:rsidRPr="00884535" w14:paraId="47048083" w14:textId="77777777" w:rsidTr="004A33EB">
        <w:tc>
          <w:tcPr>
            <w:tcW w:w="5000" w:type="pct"/>
            <w:gridSpan w:val="2"/>
            <w:shd w:val="clear" w:color="auto" w:fill="auto"/>
            <w:noWrap/>
          </w:tcPr>
          <w:p w14:paraId="71B1A499" w14:textId="77D6BE31" w:rsidR="00E63352" w:rsidRPr="00B74843" w:rsidRDefault="00E63352" w:rsidP="00C0058C">
            <w:pPr>
              <w:pStyle w:val="ListParagraph"/>
              <w:numPr>
                <w:ilvl w:val="0"/>
                <w:numId w:val="48"/>
              </w:numPr>
              <w:jc w:val="left"/>
              <w:rPr>
                <w:b/>
                <w:bCs/>
                <w:color w:val="000000"/>
                <w:sz w:val="20"/>
                <w:szCs w:val="20"/>
              </w:rPr>
            </w:pPr>
            <w:r>
              <w:rPr>
                <w:b/>
                <w:sz w:val="20"/>
              </w:rPr>
              <w:t xml:space="preserve">Renforcement de la surveillance et des mesures de </w:t>
            </w:r>
            <w:r w:rsidR="006E7299">
              <w:rPr>
                <w:b/>
                <w:sz w:val="20"/>
              </w:rPr>
              <w:t>contrôle</w:t>
            </w:r>
            <w:r>
              <w:rPr>
                <w:b/>
                <w:sz w:val="20"/>
              </w:rPr>
              <w:t>, et renforcement de la capacité des agents des douanes et des agents d’application de la loi</w:t>
            </w:r>
          </w:p>
        </w:tc>
      </w:tr>
      <w:tr w:rsidR="00E63352" w:rsidRPr="00884535" w14:paraId="47CF4CDC" w14:textId="77777777" w:rsidTr="004A33EB">
        <w:tc>
          <w:tcPr>
            <w:tcW w:w="4051" w:type="pct"/>
            <w:shd w:val="clear" w:color="auto" w:fill="auto"/>
            <w:noWrap/>
          </w:tcPr>
          <w:p w14:paraId="12C2F00B" w14:textId="77777777" w:rsidR="00E63352" w:rsidRPr="00884535" w:rsidRDefault="00E63352" w:rsidP="00C0058C">
            <w:pPr>
              <w:jc w:val="left"/>
              <w:rPr>
                <w:i/>
                <w:iCs/>
                <w:sz w:val="20"/>
                <w:szCs w:val="20"/>
              </w:rPr>
            </w:pPr>
            <w:r>
              <w:rPr>
                <w:sz w:val="20"/>
              </w:rPr>
              <w:t>Examen et actualisation des réglementations existantes et rédaction de projets de nouvelles réglementations concernant les frigorigènes pouvant remplacer les HCFC</w:t>
            </w:r>
          </w:p>
        </w:tc>
        <w:tc>
          <w:tcPr>
            <w:tcW w:w="949" w:type="pct"/>
            <w:shd w:val="clear" w:color="auto" w:fill="auto"/>
          </w:tcPr>
          <w:p w14:paraId="5B7F904A" w14:textId="77777777" w:rsidR="00E63352" w:rsidRPr="00884535" w:rsidRDefault="00E63352" w:rsidP="006E7299">
            <w:pPr>
              <w:jc w:val="center"/>
              <w:rPr>
                <w:color w:val="000000"/>
                <w:sz w:val="20"/>
                <w:szCs w:val="20"/>
              </w:rPr>
            </w:pPr>
            <w:r>
              <w:rPr>
                <w:sz w:val="20"/>
              </w:rPr>
              <w:t>5 000</w:t>
            </w:r>
          </w:p>
        </w:tc>
      </w:tr>
      <w:tr w:rsidR="00E63352" w:rsidRPr="00884535" w14:paraId="428FC823" w14:textId="77777777" w:rsidTr="004A33EB">
        <w:tc>
          <w:tcPr>
            <w:tcW w:w="4051" w:type="pct"/>
            <w:shd w:val="clear" w:color="auto" w:fill="auto"/>
            <w:noWrap/>
          </w:tcPr>
          <w:p w14:paraId="76C475ED" w14:textId="5AB481A6" w:rsidR="00E63352" w:rsidRPr="006D2090" w:rsidRDefault="00A37319" w:rsidP="00C0058C">
            <w:pPr>
              <w:jc w:val="left"/>
              <w:rPr>
                <w:i/>
                <w:iCs/>
                <w:sz w:val="20"/>
                <w:szCs w:val="20"/>
              </w:rPr>
            </w:pPr>
            <w:r>
              <w:rPr>
                <w:sz w:val="20"/>
              </w:rPr>
              <w:t>Formation de 6 formateurs des douanes</w:t>
            </w:r>
          </w:p>
        </w:tc>
        <w:tc>
          <w:tcPr>
            <w:tcW w:w="949" w:type="pct"/>
            <w:shd w:val="clear" w:color="auto" w:fill="auto"/>
          </w:tcPr>
          <w:p w14:paraId="69ECF56A" w14:textId="77777777" w:rsidR="00E63352" w:rsidRPr="00884535" w:rsidRDefault="00E63352" w:rsidP="006E7299">
            <w:pPr>
              <w:jc w:val="center"/>
              <w:rPr>
                <w:color w:val="000000"/>
                <w:sz w:val="20"/>
                <w:szCs w:val="20"/>
              </w:rPr>
            </w:pPr>
            <w:r>
              <w:rPr>
                <w:sz w:val="20"/>
              </w:rPr>
              <w:t>5 000</w:t>
            </w:r>
          </w:p>
        </w:tc>
      </w:tr>
      <w:tr w:rsidR="00E63352" w:rsidRPr="00884535" w14:paraId="0631938A" w14:textId="77777777" w:rsidTr="004A33EB">
        <w:tc>
          <w:tcPr>
            <w:tcW w:w="4051" w:type="pct"/>
            <w:shd w:val="clear" w:color="auto" w:fill="auto"/>
            <w:noWrap/>
          </w:tcPr>
          <w:p w14:paraId="20FDBE62" w14:textId="761C2B06" w:rsidR="00E63352" w:rsidRPr="00CE2667" w:rsidRDefault="00A37319" w:rsidP="00C0058C">
            <w:pPr>
              <w:jc w:val="left"/>
              <w:rPr>
                <w:i/>
                <w:iCs/>
                <w:sz w:val="20"/>
                <w:szCs w:val="20"/>
              </w:rPr>
            </w:pPr>
            <w:r>
              <w:rPr>
                <w:sz w:val="20"/>
              </w:rPr>
              <w:t xml:space="preserve">Formation de 90 agents des douanes, agents d’application de la loi et agents de dédouanement au cours de </w:t>
            </w:r>
            <w:r w:rsidR="006E7299" w:rsidRPr="006E7299">
              <w:rPr>
                <w:sz w:val="20"/>
              </w:rPr>
              <w:t xml:space="preserve">six </w:t>
            </w:r>
            <w:r>
              <w:rPr>
                <w:sz w:val="20"/>
              </w:rPr>
              <w:t>ateliers de formation à l’identification et à la réglementation des HCFC, des HFC et des équipements correspondants</w:t>
            </w:r>
          </w:p>
        </w:tc>
        <w:tc>
          <w:tcPr>
            <w:tcW w:w="949" w:type="pct"/>
            <w:shd w:val="clear" w:color="auto" w:fill="auto"/>
          </w:tcPr>
          <w:p w14:paraId="417D7D02" w14:textId="77777777" w:rsidR="00E63352" w:rsidRPr="00884535" w:rsidRDefault="00E63352" w:rsidP="006E7299">
            <w:pPr>
              <w:jc w:val="center"/>
              <w:rPr>
                <w:color w:val="000000"/>
                <w:sz w:val="20"/>
                <w:szCs w:val="20"/>
              </w:rPr>
            </w:pPr>
            <w:r>
              <w:rPr>
                <w:sz w:val="20"/>
              </w:rPr>
              <w:t>35 000</w:t>
            </w:r>
          </w:p>
        </w:tc>
      </w:tr>
      <w:tr w:rsidR="00E63352" w:rsidRPr="00884535" w14:paraId="7C9DEC2D" w14:textId="77777777" w:rsidTr="004A33EB">
        <w:tc>
          <w:tcPr>
            <w:tcW w:w="4051" w:type="pct"/>
            <w:shd w:val="clear" w:color="auto" w:fill="auto"/>
            <w:noWrap/>
          </w:tcPr>
          <w:p w14:paraId="36F5D87F" w14:textId="72C689CD" w:rsidR="00E63352" w:rsidRPr="000D5977" w:rsidRDefault="00E63352" w:rsidP="00C0058C">
            <w:pPr>
              <w:jc w:val="left"/>
              <w:rPr>
                <w:i/>
                <w:iCs/>
                <w:sz w:val="20"/>
                <w:szCs w:val="20"/>
              </w:rPr>
            </w:pPr>
            <w:r>
              <w:rPr>
                <w:sz w:val="20"/>
              </w:rPr>
              <w:t>Facilitation du dialogue, coordination et collaboration entre les îles du pays</w:t>
            </w:r>
          </w:p>
        </w:tc>
        <w:tc>
          <w:tcPr>
            <w:tcW w:w="949" w:type="pct"/>
            <w:shd w:val="clear" w:color="auto" w:fill="auto"/>
          </w:tcPr>
          <w:p w14:paraId="107F3EEE" w14:textId="77777777" w:rsidR="00E63352" w:rsidRPr="00884535" w:rsidRDefault="00E63352" w:rsidP="006E7299">
            <w:pPr>
              <w:jc w:val="center"/>
              <w:rPr>
                <w:color w:val="000000"/>
                <w:sz w:val="20"/>
                <w:szCs w:val="20"/>
              </w:rPr>
            </w:pPr>
            <w:r>
              <w:rPr>
                <w:color w:val="000000"/>
                <w:sz w:val="20"/>
              </w:rPr>
              <w:t>6 000</w:t>
            </w:r>
          </w:p>
        </w:tc>
      </w:tr>
      <w:tr w:rsidR="00E63352" w:rsidRPr="00884535" w14:paraId="28F0A598" w14:textId="77777777" w:rsidTr="004A33EB">
        <w:tc>
          <w:tcPr>
            <w:tcW w:w="4051" w:type="pct"/>
            <w:shd w:val="clear" w:color="auto" w:fill="auto"/>
            <w:noWrap/>
          </w:tcPr>
          <w:p w14:paraId="517A71A2" w14:textId="77777777" w:rsidR="00E63352" w:rsidRPr="000D5977" w:rsidRDefault="00E63352" w:rsidP="00C0058C">
            <w:pPr>
              <w:ind w:left="310"/>
              <w:jc w:val="left"/>
              <w:rPr>
                <w:b/>
                <w:bCs/>
                <w:sz w:val="20"/>
                <w:szCs w:val="20"/>
              </w:rPr>
            </w:pPr>
            <w:r>
              <w:rPr>
                <w:b/>
                <w:sz w:val="20"/>
              </w:rPr>
              <w:t xml:space="preserve"> Sous-total I</w:t>
            </w:r>
          </w:p>
        </w:tc>
        <w:tc>
          <w:tcPr>
            <w:tcW w:w="949" w:type="pct"/>
            <w:shd w:val="clear" w:color="auto" w:fill="auto"/>
          </w:tcPr>
          <w:p w14:paraId="61663448" w14:textId="77777777" w:rsidR="00E63352" w:rsidRPr="00884535" w:rsidRDefault="00E63352" w:rsidP="006E7299">
            <w:pPr>
              <w:jc w:val="center"/>
              <w:rPr>
                <w:b/>
                <w:bCs/>
                <w:color w:val="000000"/>
                <w:sz w:val="20"/>
                <w:szCs w:val="20"/>
              </w:rPr>
            </w:pPr>
            <w:r>
              <w:rPr>
                <w:b/>
                <w:sz w:val="20"/>
              </w:rPr>
              <w:t>51 000</w:t>
            </w:r>
          </w:p>
        </w:tc>
      </w:tr>
      <w:tr w:rsidR="00E63352" w:rsidRPr="00884535" w14:paraId="27FCF9E7" w14:textId="77777777" w:rsidTr="004A33EB">
        <w:tc>
          <w:tcPr>
            <w:tcW w:w="5000" w:type="pct"/>
            <w:gridSpan w:val="2"/>
            <w:shd w:val="clear" w:color="auto" w:fill="auto"/>
            <w:noWrap/>
          </w:tcPr>
          <w:p w14:paraId="330D803A" w14:textId="77777777" w:rsidR="00E63352" w:rsidRPr="006D2090" w:rsidRDefault="00E63352" w:rsidP="00C0058C">
            <w:pPr>
              <w:pStyle w:val="ListParagraph"/>
              <w:numPr>
                <w:ilvl w:val="0"/>
                <w:numId w:val="48"/>
              </w:numPr>
              <w:jc w:val="left"/>
              <w:rPr>
                <w:b/>
                <w:bCs/>
                <w:color w:val="000000"/>
                <w:sz w:val="20"/>
                <w:szCs w:val="20"/>
              </w:rPr>
            </w:pPr>
            <w:r>
              <w:rPr>
                <w:b/>
                <w:sz w:val="20"/>
              </w:rPr>
              <w:t>Formation des techniciens, programme de certification et fourniture d’équipements</w:t>
            </w:r>
          </w:p>
        </w:tc>
      </w:tr>
      <w:tr w:rsidR="00E63352" w:rsidRPr="00884535" w14:paraId="4C045C1F" w14:textId="77777777" w:rsidTr="004A33EB">
        <w:tc>
          <w:tcPr>
            <w:tcW w:w="4051" w:type="pct"/>
            <w:shd w:val="clear" w:color="auto" w:fill="auto"/>
            <w:noWrap/>
          </w:tcPr>
          <w:p w14:paraId="2F0BDBAD" w14:textId="4C2E7A66" w:rsidR="00E63352" w:rsidRPr="006D2090" w:rsidRDefault="00A37319" w:rsidP="00C0058C">
            <w:pPr>
              <w:jc w:val="left"/>
              <w:rPr>
                <w:i/>
                <w:iCs/>
                <w:sz w:val="20"/>
                <w:szCs w:val="20"/>
              </w:rPr>
            </w:pPr>
            <w:r>
              <w:rPr>
                <w:sz w:val="20"/>
              </w:rPr>
              <w:t>Mise en route de l’élaboration de normes et de protocoles sur l’utilisation des frigorigènes inflammables et toxiques dans le secteur de l’entretien des équipements de réfrigération et de climatisation</w:t>
            </w:r>
          </w:p>
        </w:tc>
        <w:tc>
          <w:tcPr>
            <w:tcW w:w="949" w:type="pct"/>
            <w:shd w:val="clear" w:color="auto" w:fill="auto"/>
          </w:tcPr>
          <w:p w14:paraId="74F73DA2" w14:textId="2E1A8814" w:rsidR="00E63352" w:rsidRPr="00884535" w:rsidRDefault="00A37319" w:rsidP="006E7299">
            <w:pPr>
              <w:jc w:val="center"/>
              <w:rPr>
                <w:color w:val="000000"/>
                <w:sz w:val="20"/>
                <w:szCs w:val="20"/>
              </w:rPr>
            </w:pPr>
            <w:r>
              <w:rPr>
                <w:color w:val="000000"/>
                <w:sz w:val="20"/>
              </w:rPr>
              <w:t>10 000</w:t>
            </w:r>
          </w:p>
        </w:tc>
      </w:tr>
      <w:tr w:rsidR="00A37319" w:rsidRPr="00884535" w14:paraId="6976F115" w14:textId="77777777" w:rsidTr="004A33EB">
        <w:tc>
          <w:tcPr>
            <w:tcW w:w="4051" w:type="pct"/>
            <w:shd w:val="clear" w:color="auto" w:fill="auto"/>
            <w:noWrap/>
          </w:tcPr>
          <w:p w14:paraId="6DA15409" w14:textId="2C2095B1" w:rsidR="00A37319" w:rsidRPr="0020422D" w:rsidRDefault="007322C8" w:rsidP="00C0058C">
            <w:pPr>
              <w:jc w:val="left"/>
              <w:rPr>
                <w:sz w:val="20"/>
                <w:szCs w:val="20"/>
              </w:rPr>
            </w:pPr>
            <w:r>
              <w:rPr>
                <w:sz w:val="20"/>
              </w:rPr>
              <w:t>Réalisation d’une évaluation initiale de la situation et des besoins de mise en place d’un programme de certification destiné aux techniciens, et organisation de consultations avec les parties prenantes au sujet du programme de certification</w:t>
            </w:r>
          </w:p>
        </w:tc>
        <w:tc>
          <w:tcPr>
            <w:tcW w:w="949" w:type="pct"/>
            <w:shd w:val="clear" w:color="auto" w:fill="auto"/>
          </w:tcPr>
          <w:p w14:paraId="6121D1B5" w14:textId="4199BB4D" w:rsidR="00A37319" w:rsidDel="00A37319" w:rsidRDefault="00A37319" w:rsidP="006E7299">
            <w:pPr>
              <w:jc w:val="center"/>
              <w:rPr>
                <w:color w:val="000000"/>
                <w:sz w:val="20"/>
                <w:szCs w:val="20"/>
              </w:rPr>
            </w:pPr>
            <w:r>
              <w:rPr>
                <w:color w:val="000000"/>
                <w:sz w:val="20"/>
              </w:rPr>
              <w:t>15 000</w:t>
            </w:r>
          </w:p>
        </w:tc>
      </w:tr>
      <w:tr w:rsidR="00E63352" w:rsidRPr="00884535" w14:paraId="4E536FD4" w14:textId="77777777" w:rsidTr="004A33EB">
        <w:tc>
          <w:tcPr>
            <w:tcW w:w="4051" w:type="pct"/>
            <w:shd w:val="clear" w:color="auto" w:fill="auto"/>
            <w:noWrap/>
          </w:tcPr>
          <w:p w14:paraId="5E4EFD3B" w14:textId="60BFD28E" w:rsidR="00E63352" w:rsidRPr="0020422D" w:rsidRDefault="00B61D38" w:rsidP="00C0058C">
            <w:pPr>
              <w:jc w:val="left"/>
              <w:rPr>
                <w:i/>
                <w:iCs/>
                <w:sz w:val="20"/>
                <w:szCs w:val="20"/>
              </w:rPr>
            </w:pPr>
            <w:r>
              <w:rPr>
                <w:sz w:val="20"/>
              </w:rPr>
              <w:t>Formation de 68 techniciens aux cours de six ateliers portant sur les bonnes pratiques de l’entretien, le brasage et la manipulation sans danger des HC</w:t>
            </w:r>
          </w:p>
        </w:tc>
        <w:tc>
          <w:tcPr>
            <w:tcW w:w="949" w:type="pct"/>
            <w:shd w:val="clear" w:color="auto" w:fill="auto"/>
          </w:tcPr>
          <w:p w14:paraId="1755B6D3" w14:textId="77777777" w:rsidR="00E63352" w:rsidRPr="00884535" w:rsidRDefault="00E63352" w:rsidP="006E7299">
            <w:pPr>
              <w:jc w:val="center"/>
              <w:rPr>
                <w:color w:val="000000"/>
                <w:sz w:val="20"/>
                <w:szCs w:val="20"/>
              </w:rPr>
            </w:pPr>
            <w:r>
              <w:rPr>
                <w:sz w:val="20"/>
              </w:rPr>
              <w:t>34 000</w:t>
            </w:r>
          </w:p>
        </w:tc>
      </w:tr>
      <w:tr w:rsidR="00E63352" w:rsidRPr="00884535" w14:paraId="7769F381" w14:textId="77777777" w:rsidTr="004A33EB">
        <w:tc>
          <w:tcPr>
            <w:tcW w:w="4051" w:type="pct"/>
            <w:shd w:val="clear" w:color="auto" w:fill="auto"/>
            <w:noWrap/>
          </w:tcPr>
          <w:p w14:paraId="71F5F42D" w14:textId="5B021155" w:rsidR="00E63352" w:rsidRPr="00884535" w:rsidRDefault="00B61D38" w:rsidP="00C0058C">
            <w:pPr>
              <w:jc w:val="left"/>
              <w:rPr>
                <w:i/>
                <w:iCs/>
                <w:sz w:val="20"/>
                <w:szCs w:val="20"/>
              </w:rPr>
            </w:pPr>
            <w:r>
              <w:rPr>
                <w:sz w:val="20"/>
              </w:rPr>
              <w:t>Achat et distribution de 8 trousses d’outils et d’équipements de récupération de frigorigènes et de détection de fuites (six pour certains ateliers de la réfrigération et de la climatisation et deux pour l’ENTP)</w:t>
            </w:r>
          </w:p>
        </w:tc>
        <w:tc>
          <w:tcPr>
            <w:tcW w:w="949" w:type="pct"/>
            <w:shd w:val="clear" w:color="auto" w:fill="auto"/>
          </w:tcPr>
          <w:p w14:paraId="03A54C3A" w14:textId="77777777" w:rsidR="00E63352" w:rsidRPr="00884535" w:rsidRDefault="00E63352" w:rsidP="006E7299">
            <w:pPr>
              <w:jc w:val="center"/>
              <w:rPr>
                <w:color w:val="000000"/>
                <w:sz w:val="20"/>
                <w:szCs w:val="20"/>
              </w:rPr>
            </w:pPr>
            <w:r>
              <w:rPr>
                <w:sz w:val="20"/>
              </w:rPr>
              <w:t>20 000</w:t>
            </w:r>
          </w:p>
        </w:tc>
      </w:tr>
      <w:tr w:rsidR="00E63352" w:rsidRPr="00884535" w14:paraId="41321B0E" w14:textId="77777777" w:rsidTr="004A33EB">
        <w:tc>
          <w:tcPr>
            <w:tcW w:w="4051" w:type="pct"/>
            <w:shd w:val="clear" w:color="auto" w:fill="auto"/>
            <w:noWrap/>
          </w:tcPr>
          <w:p w14:paraId="36AFA309" w14:textId="6BB95EF9" w:rsidR="00E63352" w:rsidRPr="00884535" w:rsidRDefault="007322C8" w:rsidP="00C0058C">
            <w:pPr>
              <w:jc w:val="left"/>
              <w:rPr>
                <w:sz w:val="20"/>
                <w:szCs w:val="20"/>
              </w:rPr>
            </w:pPr>
            <w:r>
              <w:rPr>
                <w:sz w:val="20"/>
              </w:rPr>
              <w:t>Encouragement de la participation des jeunes femmes à ce secteur au travers d’activités de sensibilisation et de formations</w:t>
            </w:r>
          </w:p>
        </w:tc>
        <w:tc>
          <w:tcPr>
            <w:tcW w:w="949" w:type="pct"/>
            <w:shd w:val="clear" w:color="auto" w:fill="auto"/>
          </w:tcPr>
          <w:p w14:paraId="0B0E5DD3" w14:textId="77777777" w:rsidR="00E63352" w:rsidRPr="00884535" w:rsidRDefault="00E63352" w:rsidP="006E7299">
            <w:pPr>
              <w:jc w:val="center"/>
              <w:rPr>
                <w:color w:val="000000"/>
                <w:sz w:val="20"/>
                <w:szCs w:val="20"/>
              </w:rPr>
            </w:pPr>
            <w:r>
              <w:rPr>
                <w:sz w:val="20"/>
              </w:rPr>
              <w:t>10 000</w:t>
            </w:r>
          </w:p>
        </w:tc>
      </w:tr>
      <w:tr w:rsidR="00E63352" w:rsidRPr="00884535" w14:paraId="26403B0B" w14:textId="77777777" w:rsidTr="004A33EB">
        <w:tc>
          <w:tcPr>
            <w:tcW w:w="4051" w:type="pct"/>
            <w:shd w:val="clear" w:color="auto" w:fill="auto"/>
            <w:noWrap/>
          </w:tcPr>
          <w:p w14:paraId="3A44B2CA" w14:textId="77777777" w:rsidR="00E63352" w:rsidRPr="00B74843" w:rsidRDefault="00E63352" w:rsidP="00C0058C">
            <w:pPr>
              <w:ind w:left="310"/>
              <w:jc w:val="left"/>
              <w:rPr>
                <w:b/>
                <w:bCs/>
                <w:sz w:val="20"/>
                <w:szCs w:val="20"/>
              </w:rPr>
            </w:pPr>
            <w:r>
              <w:rPr>
                <w:b/>
                <w:sz w:val="20"/>
              </w:rPr>
              <w:t xml:space="preserve"> Sous-total II</w:t>
            </w:r>
          </w:p>
        </w:tc>
        <w:tc>
          <w:tcPr>
            <w:tcW w:w="949" w:type="pct"/>
            <w:shd w:val="clear" w:color="auto" w:fill="auto"/>
          </w:tcPr>
          <w:p w14:paraId="788BCCE4" w14:textId="77777777" w:rsidR="00E63352" w:rsidRPr="00884535" w:rsidRDefault="00E63352" w:rsidP="006E7299">
            <w:pPr>
              <w:ind w:right="34"/>
              <w:jc w:val="center"/>
              <w:rPr>
                <w:color w:val="000000"/>
                <w:sz w:val="20"/>
                <w:szCs w:val="20"/>
              </w:rPr>
            </w:pPr>
            <w:r>
              <w:rPr>
                <w:b/>
                <w:sz w:val="20"/>
              </w:rPr>
              <w:t>89 000</w:t>
            </w:r>
          </w:p>
        </w:tc>
      </w:tr>
      <w:tr w:rsidR="00E63352" w:rsidRPr="00884535" w14:paraId="0DB5EB86" w14:textId="77777777" w:rsidTr="004A33EB">
        <w:trPr>
          <w:trHeight w:val="266"/>
        </w:trPr>
        <w:tc>
          <w:tcPr>
            <w:tcW w:w="5000" w:type="pct"/>
            <w:gridSpan w:val="2"/>
            <w:shd w:val="clear" w:color="auto" w:fill="auto"/>
            <w:noWrap/>
          </w:tcPr>
          <w:p w14:paraId="0925E459" w14:textId="77777777" w:rsidR="00E63352" w:rsidRPr="00B74843" w:rsidRDefault="00E63352" w:rsidP="00C0058C">
            <w:pPr>
              <w:pStyle w:val="ListParagraph"/>
              <w:widowControl w:val="0"/>
              <w:numPr>
                <w:ilvl w:val="0"/>
                <w:numId w:val="48"/>
              </w:numPr>
              <w:jc w:val="left"/>
              <w:rPr>
                <w:color w:val="000000"/>
                <w:sz w:val="20"/>
                <w:szCs w:val="20"/>
              </w:rPr>
            </w:pPr>
            <w:r>
              <w:rPr>
                <w:b/>
                <w:sz w:val="20"/>
              </w:rPr>
              <w:t>Mise en œuvre et suivi du projet</w:t>
            </w:r>
          </w:p>
        </w:tc>
      </w:tr>
      <w:tr w:rsidR="00E63352" w:rsidRPr="00884535" w14:paraId="112E9DC1" w14:textId="77777777" w:rsidTr="004A33EB">
        <w:tc>
          <w:tcPr>
            <w:tcW w:w="4051" w:type="pct"/>
            <w:shd w:val="clear" w:color="auto" w:fill="auto"/>
            <w:noWrap/>
          </w:tcPr>
          <w:p w14:paraId="17192835" w14:textId="2DDBE022" w:rsidR="00E63352" w:rsidRPr="00884535" w:rsidRDefault="00E63352" w:rsidP="00C0058C">
            <w:pPr>
              <w:jc w:val="left"/>
              <w:rPr>
                <w:sz w:val="20"/>
                <w:szCs w:val="20"/>
              </w:rPr>
            </w:pPr>
            <w:r>
              <w:rPr>
                <w:sz w:val="20"/>
              </w:rPr>
              <w:t>Consultants, déplacements liés aux activités de surveillance, réunions et activités de suivi</w:t>
            </w:r>
          </w:p>
        </w:tc>
        <w:tc>
          <w:tcPr>
            <w:tcW w:w="949" w:type="pct"/>
            <w:shd w:val="clear" w:color="auto" w:fill="auto"/>
          </w:tcPr>
          <w:p w14:paraId="3B283965" w14:textId="77777777" w:rsidR="00E63352" w:rsidRPr="00666522" w:rsidRDefault="00E63352" w:rsidP="006E7299">
            <w:pPr>
              <w:jc w:val="center"/>
              <w:rPr>
                <w:color w:val="000000"/>
                <w:sz w:val="20"/>
                <w:szCs w:val="20"/>
              </w:rPr>
            </w:pPr>
            <w:r>
              <w:rPr>
                <w:sz w:val="20"/>
              </w:rPr>
              <w:t>10 000</w:t>
            </w:r>
          </w:p>
        </w:tc>
      </w:tr>
      <w:tr w:rsidR="00E63352" w:rsidRPr="00884535" w14:paraId="732E3DB9" w14:textId="77777777" w:rsidTr="004A33EB">
        <w:tc>
          <w:tcPr>
            <w:tcW w:w="4051" w:type="pct"/>
            <w:shd w:val="clear" w:color="auto" w:fill="auto"/>
            <w:noWrap/>
          </w:tcPr>
          <w:p w14:paraId="4466A238" w14:textId="77777777" w:rsidR="00E63352" w:rsidRPr="00884535" w:rsidRDefault="00E63352" w:rsidP="00C0058C">
            <w:pPr>
              <w:ind w:left="310"/>
              <w:jc w:val="left"/>
              <w:rPr>
                <w:color w:val="000000"/>
                <w:sz w:val="20"/>
                <w:szCs w:val="20"/>
                <w:highlight w:val="cyan"/>
              </w:rPr>
            </w:pPr>
            <w:r>
              <w:rPr>
                <w:b/>
                <w:sz w:val="20"/>
              </w:rPr>
              <w:t xml:space="preserve"> Sous-total III</w:t>
            </w:r>
          </w:p>
        </w:tc>
        <w:tc>
          <w:tcPr>
            <w:tcW w:w="949" w:type="pct"/>
            <w:shd w:val="clear" w:color="auto" w:fill="auto"/>
          </w:tcPr>
          <w:p w14:paraId="306A2585" w14:textId="77777777" w:rsidR="00E63352" w:rsidRPr="00B74843" w:rsidRDefault="00E63352" w:rsidP="006E7299">
            <w:pPr>
              <w:ind w:right="34"/>
              <w:jc w:val="center"/>
              <w:rPr>
                <w:b/>
                <w:bCs/>
                <w:color w:val="000000"/>
                <w:sz w:val="20"/>
                <w:szCs w:val="20"/>
              </w:rPr>
            </w:pPr>
            <w:r>
              <w:rPr>
                <w:b/>
                <w:sz w:val="20"/>
              </w:rPr>
              <w:t>10 000</w:t>
            </w:r>
          </w:p>
        </w:tc>
      </w:tr>
      <w:tr w:rsidR="00E63352" w:rsidRPr="00884535" w14:paraId="77E5959E" w14:textId="77777777" w:rsidTr="004A33EB">
        <w:trPr>
          <w:trHeight w:val="188"/>
        </w:trPr>
        <w:tc>
          <w:tcPr>
            <w:tcW w:w="4051" w:type="pct"/>
            <w:shd w:val="clear" w:color="auto" w:fill="auto"/>
            <w:noWrap/>
          </w:tcPr>
          <w:p w14:paraId="5002DD50" w14:textId="77777777" w:rsidR="00E63352" w:rsidRPr="00884535" w:rsidRDefault="00E63352" w:rsidP="00C0058C">
            <w:pPr>
              <w:tabs>
                <w:tab w:val="left" w:pos="360"/>
              </w:tabs>
              <w:ind w:left="310"/>
              <w:jc w:val="left"/>
              <w:rPr>
                <w:color w:val="000000"/>
                <w:sz w:val="20"/>
                <w:szCs w:val="20"/>
              </w:rPr>
            </w:pPr>
            <w:r>
              <w:rPr>
                <w:b/>
                <w:color w:val="000000"/>
                <w:sz w:val="20"/>
              </w:rPr>
              <w:t xml:space="preserve"> Total</w:t>
            </w:r>
          </w:p>
        </w:tc>
        <w:tc>
          <w:tcPr>
            <w:tcW w:w="949" w:type="pct"/>
            <w:shd w:val="clear" w:color="auto" w:fill="auto"/>
            <w:tcMar>
              <w:left w:w="115" w:type="dxa"/>
              <w:right w:w="432" w:type="dxa"/>
            </w:tcMar>
          </w:tcPr>
          <w:p w14:paraId="18F130B0" w14:textId="77777777" w:rsidR="00E63352" w:rsidRPr="006F7D71" w:rsidRDefault="00E63352" w:rsidP="006E7299">
            <w:pPr>
              <w:ind w:right="-297"/>
              <w:jc w:val="center"/>
              <w:rPr>
                <w:b/>
                <w:bCs/>
                <w:color w:val="000000"/>
                <w:sz w:val="20"/>
                <w:szCs w:val="20"/>
              </w:rPr>
            </w:pPr>
            <w:r>
              <w:rPr>
                <w:b/>
                <w:color w:val="000000"/>
                <w:sz w:val="20"/>
              </w:rPr>
              <w:t>150 000</w:t>
            </w:r>
          </w:p>
        </w:tc>
      </w:tr>
    </w:tbl>
    <w:p w14:paraId="3DA9CBC1" w14:textId="77777777" w:rsidR="00E63352" w:rsidRPr="00996241" w:rsidRDefault="00E63352" w:rsidP="009556FE">
      <w:pPr>
        <w:widowControl w:val="0"/>
        <w:spacing w:before="360" w:after="240"/>
        <w:jc w:val="center"/>
        <w:rPr>
          <w:b/>
        </w:rPr>
      </w:pPr>
      <w:r>
        <w:rPr>
          <w:b/>
        </w:rPr>
        <w:t>OBSERVATIONS ET RECOMMANDATION DU SECRÉTARIAT</w:t>
      </w:r>
    </w:p>
    <w:p w14:paraId="35FA809B" w14:textId="77777777" w:rsidR="00E63352" w:rsidRDefault="00E63352" w:rsidP="009556FE">
      <w:pPr>
        <w:widowControl w:val="0"/>
        <w:spacing w:after="240"/>
        <w:rPr>
          <w:b/>
        </w:rPr>
      </w:pPr>
      <w:r>
        <w:rPr>
          <w:b/>
        </w:rPr>
        <w:t>OBSERVATIONS</w:t>
      </w:r>
    </w:p>
    <w:bookmarkEnd w:id="25"/>
    <w:p w14:paraId="66249DD0" w14:textId="77777777" w:rsidR="00E63352" w:rsidRPr="000A2916" w:rsidRDefault="00E63352" w:rsidP="009556FE">
      <w:pPr>
        <w:pStyle w:val="Heading1"/>
        <w:widowControl w:val="0"/>
      </w:pPr>
      <w:r>
        <w:t>Le Secrétariat a examiné la phase II du PGEH à la lumière de la phase I, des politiques et des lignes directrices du Fonds multilatéral, notamment les critères de financement de l’élimination des HCFC dans le secteur de la consommation pour la phase II des PGEH (décision 74/50), et du plan d’activités pour la période 2024-2026 du Fonds multilatéral.</w:t>
      </w:r>
    </w:p>
    <w:p w14:paraId="25C716CC" w14:textId="77777777" w:rsidR="00E63352" w:rsidRPr="000A2916" w:rsidRDefault="00E63352" w:rsidP="009556FE">
      <w:pPr>
        <w:keepNext/>
        <w:spacing w:before="240" w:after="240"/>
        <w:rPr>
          <w:u w:val="single"/>
        </w:rPr>
      </w:pPr>
      <w:r>
        <w:rPr>
          <w:u w:val="single"/>
        </w:rPr>
        <w:t>Rapport sur la consommation de HCFC</w:t>
      </w:r>
    </w:p>
    <w:p w14:paraId="61C2489B" w14:textId="77777777" w:rsidR="00E63352" w:rsidRPr="000A2916" w:rsidRDefault="00E63352" w:rsidP="009556FE">
      <w:pPr>
        <w:keepNext/>
        <w:spacing w:before="240" w:after="240"/>
        <w:rPr>
          <w:i/>
          <w:iCs/>
        </w:rPr>
      </w:pPr>
      <w:r>
        <w:rPr>
          <w:i/>
        </w:rPr>
        <w:t>Rapport de vérification</w:t>
      </w:r>
    </w:p>
    <w:p w14:paraId="75683A7F" w14:textId="300FCB47" w:rsidR="00E63352" w:rsidRPr="00A917DB" w:rsidRDefault="00E63352" w:rsidP="009556FE">
      <w:pPr>
        <w:pStyle w:val="Heading1"/>
        <w:keepNext/>
      </w:pPr>
      <w:bookmarkStart w:id="26" w:name="_Hlk165061126"/>
      <w:r>
        <w:t xml:space="preserve">Le rapport de vérification présenté au PNUE couvrait la période 2018-2022 mais ne fournissait aucune donnée quant à 2023. Le PNUE s’est engagé à mettre à jour dès que possible le rapport de </w:t>
      </w:r>
      <w:r>
        <w:lastRenderedPageBreak/>
        <w:t>vérification, y compris les données de 2023, afin de soumettre le rapport rectifié d’ici fin juin 2024, conformément à la décision 72/19(a)</w:t>
      </w:r>
      <w:r w:rsidRPr="00A917DB">
        <w:rPr>
          <w:rStyle w:val="FootnoteReference"/>
        </w:rPr>
        <w:footnoteReference w:id="9"/>
      </w:r>
      <w:r>
        <w:t>.</w:t>
      </w:r>
    </w:p>
    <w:p w14:paraId="3A991253" w14:textId="77777777" w:rsidR="00E63352" w:rsidRPr="00996241" w:rsidRDefault="00E63352" w:rsidP="009556FE">
      <w:pPr>
        <w:keepNext/>
        <w:spacing w:after="240"/>
        <w:rPr>
          <w:u w:val="single"/>
        </w:rPr>
      </w:pPr>
      <w:bookmarkStart w:id="29" w:name="_Hlk126916105"/>
      <w:bookmarkEnd w:id="26"/>
      <w:r>
        <w:rPr>
          <w:u w:val="single"/>
        </w:rPr>
        <w:t>Stratégie globale</w:t>
      </w:r>
    </w:p>
    <w:bookmarkEnd w:id="29"/>
    <w:p w14:paraId="1D60BB1E" w14:textId="6D535D63" w:rsidR="00E63352" w:rsidRPr="00996241" w:rsidRDefault="00E63352" w:rsidP="00E63352">
      <w:pPr>
        <w:pStyle w:val="Heading1"/>
      </w:pPr>
      <w:r>
        <w:t>Le Gouvernement des Comores a présenté une lettre indiquant son engagement à réduire de 100 pour cent sa consommation de base de HCFC et à se conformer aux mesures du Protocole de Montréal d’ici 2030, et déclarant que le pays n’aurait plus besoin de HCFC pour ses besoins d’entretien après 2030.</w:t>
      </w:r>
    </w:p>
    <w:p w14:paraId="008E319C" w14:textId="77777777" w:rsidR="00E63352" w:rsidRDefault="00E63352" w:rsidP="00E63352">
      <w:pPr>
        <w:widowControl w:val="0"/>
        <w:spacing w:after="240"/>
        <w:rPr>
          <w:u w:val="single"/>
        </w:rPr>
      </w:pPr>
      <w:bookmarkStart w:id="30" w:name="_Hlk126916111"/>
      <w:r>
        <w:rPr>
          <w:u w:val="single"/>
        </w:rPr>
        <w:t>Cadre juridique</w:t>
      </w:r>
    </w:p>
    <w:bookmarkEnd w:id="30"/>
    <w:p w14:paraId="59187393" w14:textId="08BFBEC3" w:rsidR="00264782" w:rsidRPr="00264782" w:rsidRDefault="00E63352" w:rsidP="00264782">
      <w:pPr>
        <w:pStyle w:val="Heading1"/>
        <w:widowControl w:val="0"/>
      </w:pPr>
      <w:r>
        <w:t>Le Gouvernement des Comores a défini des quotas d’importation de HCFC de 0,45 tonne métrique pour 2024, ce qui est inférieur à l’objectif de réglementation du Protocole de Montréal pour cette année. Le PNUE a confirmé l’engagement du gouvernement à interdire l’importation d’équipements à base de HCFC, neufs ou d’occasion, d’ici au 1er janvier 2027.</w:t>
      </w:r>
    </w:p>
    <w:p w14:paraId="47D5448F" w14:textId="77777777" w:rsidR="00E63352" w:rsidRDefault="00E63352" w:rsidP="00080EF6">
      <w:pPr>
        <w:keepNext/>
        <w:spacing w:after="240"/>
        <w:rPr>
          <w:u w:val="single"/>
        </w:rPr>
      </w:pPr>
      <w:bookmarkStart w:id="31" w:name="_Hlk126916116"/>
      <w:r>
        <w:rPr>
          <w:u w:val="single"/>
        </w:rPr>
        <w:t>Questions techniques et financières</w:t>
      </w:r>
    </w:p>
    <w:p w14:paraId="61F10439" w14:textId="4A25E21F" w:rsidR="00EE3AB8" w:rsidRDefault="00CE1BD6" w:rsidP="00EE3AB8">
      <w:pPr>
        <w:keepNext/>
        <w:keepLines/>
        <w:spacing w:before="240" w:after="240"/>
        <w:rPr>
          <w:i/>
        </w:rPr>
      </w:pPr>
      <w:r>
        <w:rPr>
          <w:i/>
        </w:rPr>
        <w:t>Retards dans la mise en œuvre</w:t>
      </w:r>
    </w:p>
    <w:p w14:paraId="763BD8FE" w14:textId="149B6857" w:rsidR="00EE3AB8" w:rsidRPr="0062013E" w:rsidRDefault="00EE3AB8" w:rsidP="00EE3AB8">
      <w:pPr>
        <w:pStyle w:val="Heading1"/>
        <w:keepNext/>
        <w:keepLines/>
        <w:numPr>
          <w:ilvl w:val="0"/>
          <w:numId w:val="2"/>
        </w:numPr>
        <w:spacing w:before="240"/>
        <w:rPr>
          <w:iCs/>
        </w:rPr>
      </w:pPr>
      <w:r>
        <w:rPr>
          <w:rStyle w:val="cf01"/>
          <w:rFonts w:ascii="Times New Roman" w:hAnsi="Times New Roman"/>
          <w:sz w:val="22"/>
        </w:rPr>
        <w:t>Le PNUE a expliqué que les retards pris dans la mise en œuvre de la phase I du PGEH pour les Comores étaient attribuables aux contraintes imposées par l’agitation civile dans le pays, des changements au niveau du BNO, la pandémie de COVID</w:t>
      </w:r>
      <w:r>
        <w:rPr>
          <w:rStyle w:val="cf01"/>
          <w:rFonts w:ascii="Times New Roman" w:hAnsi="Times New Roman"/>
          <w:sz w:val="22"/>
        </w:rPr>
        <w:noBreakHyphen/>
        <w:t>19 et les élections générales de l’an dernier. Le PNUE a confirmé qu’il continuerait à fournir une assistance au BNO pour pérenniser les avancées réalisées et assurer une mise en œuvre de qualité et en temps voulu de la phase II. Le PNUE établira une feuille de route pour la mise en œuvre et la surveillance des activités en coordination avec le BNO et d’autres parties prenantes. Ces mesures devraient atténuer les risques de retard dans la mise en œuvre du projet auquel le pays a été confronté par le passé.</w:t>
      </w:r>
    </w:p>
    <w:p w14:paraId="6F2FDCDD" w14:textId="63EB044A" w:rsidR="005D11AF" w:rsidRPr="00A917DB" w:rsidRDefault="005D11AF" w:rsidP="00080EF6">
      <w:pPr>
        <w:keepNext/>
        <w:spacing w:after="240"/>
        <w:rPr>
          <w:i/>
          <w:iCs/>
        </w:rPr>
      </w:pPr>
      <w:r>
        <w:rPr>
          <w:i/>
        </w:rPr>
        <w:t>Programme de certification à destination des techniciens</w:t>
      </w:r>
    </w:p>
    <w:p w14:paraId="7DA7155B" w14:textId="49EA73F5" w:rsidR="00DE0151" w:rsidRPr="006D2090" w:rsidRDefault="005D11AF" w:rsidP="009556FE">
      <w:pPr>
        <w:pStyle w:val="Heading1"/>
        <w:spacing w:after="0"/>
      </w:pPr>
      <w:r>
        <w:t>Concernant le programme de certification à destination des techniciens, le PNUE a expliqué qu’il soutiendrait le travail du pays avec une organisation internationale pour coordonner la mise en place d’un programme de certification opérationnel et complet pour les techniciens du secteur de la réfrigération et de la climatisation aux Comores. Après avoir évalué la situation et les détails nécessaires relatifs au programme de certification à mettre en place, notamment les bases institutionnelles pour garantir la pérennité du programme à l’issue de la phase II, les normes seront finalisées et un processus sera défini. Il comprendra l’identification d’une institution accréditée pour devenir l’autorité de certification et d’un système permettant d’évaluer les candidats aspirant à la certification. Une fois le programme de certification en place, des mesures réglementaires complémentaires seront adoptées pour rendre le programme obligatoire. Des initiatives seront mises en place pour veiller à ce que les techniciens soient motivés à suivre le programme de certification. L’organisation internationale assurera aussi une formation sur les normes internationales, et des consultations seront organisées avec les parties prenantes.</w:t>
      </w:r>
    </w:p>
    <w:bookmarkEnd w:id="31"/>
    <w:p w14:paraId="21C23152" w14:textId="77777777" w:rsidR="00E63352" w:rsidRPr="00996241" w:rsidRDefault="00E63352" w:rsidP="009556FE">
      <w:pPr>
        <w:widowControl w:val="0"/>
        <w:spacing w:before="240" w:after="240"/>
        <w:outlineLvl w:val="0"/>
        <w:rPr>
          <w:u w:val="single"/>
        </w:rPr>
      </w:pPr>
      <w:r>
        <w:rPr>
          <w:u w:val="single"/>
        </w:rPr>
        <w:t>Coût total du projet</w:t>
      </w:r>
    </w:p>
    <w:p w14:paraId="31EAE6BD" w14:textId="24883F41" w:rsidR="00E63352" w:rsidRPr="00996241" w:rsidRDefault="00E63352" w:rsidP="00F906A8">
      <w:pPr>
        <w:pStyle w:val="Heading1"/>
        <w:spacing w:after="0"/>
      </w:pPr>
      <w:r>
        <w:t>Le coût total de la phase II du PGEH s’élève à 427 500 $ US, d’après la décision 74/50(c)(xii) relative au niveau de financement admissible pour un pays à faible volume de consommation. Le financement de la première tranche a été agréé tel qu’il a été présenté.</w:t>
      </w:r>
    </w:p>
    <w:p w14:paraId="1BA2B33C" w14:textId="77777777" w:rsidR="00E63352" w:rsidRPr="00996241" w:rsidRDefault="00E63352" w:rsidP="00F906A8">
      <w:pPr>
        <w:keepNext/>
        <w:spacing w:before="240" w:after="240"/>
        <w:rPr>
          <w:u w:val="single"/>
        </w:rPr>
      </w:pPr>
      <w:bookmarkStart w:id="32" w:name="_Hlk126916178"/>
      <w:r>
        <w:rPr>
          <w:u w:val="single"/>
        </w:rPr>
        <w:lastRenderedPageBreak/>
        <w:t>Incidence sur le climat</w:t>
      </w:r>
    </w:p>
    <w:bookmarkEnd w:id="32"/>
    <w:p w14:paraId="4BC2BEB7" w14:textId="2F825958" w:rsidR="00E63352" w:rsidRPr="003A7258" w:rsidRDefault="00E63352" w:rsidP="00E63352">
      <w:pPr>
        <w:pStyle w:val="Heading1"/>
        <w:rPr>
          <w:u w:val="single"/>
        </w:rPr>
      </w:pPr>
      <w:r>
        <w:t>Les activités proposées dans le secteur de l’entretien, notamment l’amélioration du confinement des frigorigènes à travers la formation et la fourniture d’équipements, réduiront la quantité de HCFC</w:t>
      </w:r>
      <w:r>
        <w:noBreakHyphen/>
        <w:t>22 utilisée pour assurer l’entretien des systèmes de réfrigération et de climatisation. Chaque kilogramme de HCFC-22 non rejeté du fait de l’amélioration des pratiques en matière de réfrigération génèrera une économie d’environ 1,80 tonne d’</w:t>
      </w:r>
      <w:proofErr w:type="spellStart"/>
      <w:r>
        <w:t>éq</w:t>
      </w:r>
      <w:proofErr w:type="spellEnd"/>
      <w:r>
        <w:t> CO</w:t>
      </w:r>
      <w:r>
        <w:rPr>
          <w:vertAlign w:val="subscript"/>
        </w:rPr>
        <w:t>2</w:t>
      </w:r>
      <w:r>
        <w:t xml:space="preserve">. Un calcul des répercussions climatiques a été fourni dans le PGEH. Les activités prévues par le Gouvernement des Comores, notamment ses efforts pour promouvoir des solutions de remplacement à faible PRP et pour réduire les fuites de frigorigènes grâce à de meilleurs pratiques en matière d’entretien, indiquent que la mise en œuvre du PGEH réduira les émissions de frigorigènes dans l’atmosphère, ce qui aura des effets bénéfiques </w:t>
      </w:r>
      <w:r w:rsidR="002D42F6" w:rsidRPr="002D42F6">
        <w:t xml:space="preserve">pour </w:t>
      </w:r>
      <w:r>
        <w:t>le climat.</w:t>
      </w:r>
      <w:bookmarkStart w:id="33" w:name="_Hlk126916186"/>
    </w:p>
    <w:p w14:paraId="091B5BFC" w14:textId="77777777" w:rsidR="00E63352" w:rsidRPr="003A7258" w:rsidRDefault="00E63352" w:rsidP="00E63352">
      <w:pPr>
        <w:pStyle w:val="Heading1"/>
        <w:numPr>
          <w:ilvl w:val="0"/>
          <w:numId w:val="0"/>
        </w:numPr>
        <w:rPr>
          <w:u w:val="single"/>
        </w:rPr>
      </w:pPr>
      <w:r>
        <w:rPr>
          <w:u w:val="single"/>
        </w:rPr>
        <w:t>Pérennité de l’élimination des HCFC et évaluation des risques</w:t>
      </w:r>
    </w:p>
    <w:bookmarkEnd w:id="33"/>
    <w:p w14:paraId="79A47C6E" w14:textId="72F2FED1" w:rsidR="00E63352" w:rsidRPr="0085489B" w:rsidRDefault="00E63352" w:rsidP="00E63352">
      <w:pPr>
        <w:pStyle w:val="Heading1"/>
      </w:pPr>
      <w:r>
        <w:t>Le renforcement continu de la capacité des agents des douanes et des agents de dédouanement, et le renforcement des mesures et des mécanismes réglementaires en collaboration avec les autorités douanières, ont produit une base solide qui permettra de pérenniser l’élimination des HCFC au-delà du PGEH. Ceci, ainsi que les activités de sensibilisation continues établies à destination des importateurs et du grand public, ont aussi contribué à réduire dans certains cas le commerce illicite dans le pays.</w:t>
      </w:r>
    </w:p>
    <w:p w14:paraId="36467668" w14:textId="5B1F5693" w:rsidR="00E63352" w:rsidRPr="00D55EAA" w:rsidRDefault="00E63352" w:rsidP="00D6113B">
      <w:pPr>
        <w:pStyle w:val="Heading1"/>
      </w:pPr>
      <w:r>
        <w:t>Les obligations de mise en conformité du pays au titre du Protocole de Montréal ont été intégrées au programme de formation de l’ENTP. Avec les activités mises en œuvre jusqu’à présent, ceci a contribué à renforcer le secteur de l’entretien des appareils de réfrigération et de climatisation en général en améliorant les bonnes pratiques des techniciens de ce secteur et en encourageant les solutions de remplacement à faible PRP. La mise en œuvre réussie du système de licences et de quotas pour les HCFC sera encore améliorée avec la mise en place d’une plateforme en ligne, qui facilitera le partage d’informations et la surveillance des importations par le service des douanes, le département du commerce et le BNO, en veillant à ce que les importations de HCFC restent sous contrôle. Le PNUE a confirmé que les systèmes de surveillance seraient encore renforcés durant la mise en œuvre du projet pour contrôler les importations de HCFC après 2030.</w:t>
      </w:r>
    </w:p>
    <w:p w14:paraId="246A4B2B" w14:textId="57E10B0A" w:rsidR="001644D2" w:rsidRPr="001644D2" w:rsidRDefault="00E63352" w:rsidP="001644D2">
      <w:pPr>
        <w:pStyle w:val="Heading1"/>
      </w:pPr>
      <w:r>
        <w:t>Le PNUE a confirmé qu’il n’existait aucun risque perçu ou identifié vis-à-vis de l’adoption des solutions de remplacement sans HCFC durant la mise en œuvre de la phase II du PGEH et au-delà, et que le gouvernement intègrerait l’élimination des HCFC à la réduction progressive des HFC afin de créer une synergie de manière pérenne pour continuer à respecter le Protocole de Montréal et appréhender le changement climatique. Le gouvernement établira des normes et des protocoles concernant l’utilisation en toute sécurité des frigorigènes inflammables et toxiques dans les équipements de réfrigération et de climatisation durant la mise en œuvre de la phase II et déroulera des campagnes d’information et de sensibilisation pertinentes durant cette période.</w:t>
      </w:r>
      <w:bookmarkStart w:id="34" w:name="_Hlk126916207"/>
      <w:r>
        <w:t xml:space="preserve"> Le PGEH soutient, en collaboration avec l’Association nationale de la réfrigération, la formation aux bonnes pratiques en matière d’entretien, notamment la manipulation en toute sécurité des frigorigènes inflammables à base de HC.</w:t>
      </w:r>
    </w:p>
    <w:p w14:paraId="57E82F81" w14:textId="77777777" w:rsidR="00E63352" w:rsidRPr="00DC2B3A" w:rsidRDefault="00E63352" w:rsidP="000F73CA">
      <w:pPr>
        <w:keepNext/>
        <w:spacing w:after="240"/>
        <w:outlineLvl w:val="0"/>
        <w:rPr>
          <w:bCs/>
          <w:u w:val="single"/>
        </w:rPr>
      </w:pPr>
      <w:r>
        <w:rPr>
          <w:u w:val="single"/>
        </w:rPr>
        <w:t>Cofinancement</w:t>
      </w:r>
    </w:p>
    <w:p w14:paraId="01734826" w14:textId="14F507BF" w:rsidR="00E63352" w:rsidRPr="000A2916" w:rsidRDefault="00E63352" w:rsidP="00E63352">
      <w:pPr>
        <w:pStyle w:val="Heading1"/>
      </w:pPr>
      <w:bookmarkStart w:id="35" w:name="_Hlk126916238"/>
      <w:bookmarkEnd w:id="34"/>
      <w:r>
        <w:t>Le Gouvernement des Comores fournira une contribution en nature à la mise en œuvre de la phase II sous la forme d’un soutien logistique et humain pour un montant de 82 000 $, comme indiqué dans le tableau 5.</w:t>
      </w:r>
    </w:p>
    <w:p w14:paraId="3EA39CF1" w14:textId="1735AB39" w:rsidR="00E63352" w:rsidRPr="00DB7420" w:rsidRDefault="00E63352" w:rsidP="00080EF6">
      <w:pPr>
        <w:keepNext/>
        <w:outlineLvl w:val="0"/>
        <w:rPr>
          <w:b/>
          <w:bCs/>
        </w:rPr>
      </w:pPr>
      <w:bookmarkStart w:id="36" w:name="_Toc157276510"/>
      <w:r>
        <w:rPr>
          <w:b/>
        </w:rPr>
        <w:t>Tableau 5. Contribution du Gouvernement des Comores à la phase II</w:t>
      </w:r>
      <w:bookmarkEnd w:id="36"/>
      <w:r>
        <w:rPr>
          <w:b/>
        </w:rPr>
        <w:t xml:space="preserve"> du PGEH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7"/>
        <w:gridCol w:w="1488"/>
        <w:gridCol w:w="1489"/>
        <w:gridCol w:w="1489"/>
        <w:gridCol w:w="1487"/>
      </w:tblGrid>
      <w:tr w:rsidR="00E63352" w:rsidRPr="00DB7420" w14:paraId="650FEC03" w14:textId="77777777" w:rsidTr="009556FE">
        <w:trPr>
          <w:trHeight w:val="389"/>
          <w:tblHeader/>
        </w:trPr>
        <w:tc>
          <w:tcPr>
            <w:tcW w:w="1817" w:type="pct"/>
            <w:vAlign w:val="center"/>
          </w:tcPr>
          <w:p w14:paraId="25C899CD" w14:textId="77777777" w:rsidR="00E63352" w:rsidRPr="00DB7420" w:rsidRDefault="00E63352" w:rsidP="00C0058C">
            <w:pPr>
              <w:widowControl w:val="0"/>
              <w:contextualSpacing/>
              <w:jc w:val="center"/>
              <w:outlineLvl w:val="0"/>
              <w:rPr>
                <w:b/>
                <w:bCs/>
                <w:sz w:val="20"/>
                <w:szCs w:val="20"/>
              </w:rPr>
            </w:pPr>
            <w:r>
              <w:rPr>
                <w:b/>
                <w:sz w:val="20"/>
              </w:rPr>
              <w:t>Volet</w:t>
            </w:r>
          </w:p>
        </w:tc>
        <w:tc>
          <w:tcPr>
            <w:tcW w:w="796" w:type="pct"/>
            <w:vAlign w:val="center"/>
          </w:tcPr>
          <w:p w14:paraId="1BC12105" w14:textId="77777777" w:rsidR="00E63352" w:rsidRPr="00DB7420" w:rsidRDefault="00E63352" w:rsidP="00C0058C">
            <w:pPr>
              <w:widowControl w:val="0"/>
              <w:contextualSpacing/>
              <w:jc w:val="center"/>
              <w:outlineLvl w:val="0"/>
              <w:rPr>
                <w:b/>
                <w:bCs/>
                <w:sz w:val="20"/>
                <w:szCs w:val="20"/>
              </w:rPr>
            </w:pPr>
            <w:r>
              <w:rPr>
                <w:b/>
                <w:sz w:val="20"/>
              </w:rPr>
              <w:t>Première tranche</w:t>
            </w:r>
          </w:p>
        </w:tc>
        <w:tc>
          <w:tcPr>
            <w:tcW w:w="796" w:type="pct"/>
            <w:vAlign w:val="center"/>
          </w:tcPr>
          <w:p w14:paraId="3D27875F" w14:textId="77777777" w:rsidR="006264D4" w:rsidRDefault="00E63352" w:rsidP="00C0058C">
            <w:pPr>
              <w:widowControl w:val="0"/>
              <w:ind w:left="-178" w:right="-111"/>
              <w:contextualSpacing/>
              <w:jc w:val="center"/>
              <w:outlineLvl w:val="0"/>
              <w:rPr>
                <w:b/>
                <w:sz w:val="20"/>
              </w:rPr>
            </w:pPr>
            <w:r>
              <w:rPr>
                <w:b/>
                <w:sz w:val="20"/>
              </w:rPr>
              <w:t>Deuxième</w:t>
            </w:r>
          </w:p>
          <w:p w14:paraId="5B1C8499" w14:textId="3F766C5A" w:rsidR="00E63352" w:rsidRPr="00DB7420" w:rsidRDefault="00E63352" w:rsidP="00C0058C">
            <w:pPr>
              <w:widowControl w:val="0"/>
              <w:ind w:left="-178" w:right="-111"/>
              <w:contextualSpacing/>
              <w:jc w:val="center"/>
              <w:outlineLvl w:val="0"/>
              <w:rPr>
                <w:b/>
                <w:bCs/>
                <w:sz w:val="20"/>
                <w:szCs w:val="20"/>
              </w:rPr>
            </w:pPr>
            <w:r>
              <w:rPr>
                <w:b/>
                <w:sz w:val="20"/>
              </w:rPr>
              <w:t>tranche</w:t>
            </w:r>
          </w:p>
        </w:tc>
        <w:tc>
          <w:tcPr>
            <w:tcW w:w="796" w:type="pct"/>
            <w:vAlign w:val="center"/>
          </w:tcPr>
          <w:p w14:paraId="7017BBDE" w14:textId="77777777" w:rsidR="00E63352" w:rsidRPr="00DB7420" w:rsidRDefault="00E63352" w:rsidP="00C0058C">
            <w:pPr>
              <w:widowControl w:val="0"/>
              <w:contextualSpacing/>
              <w:jc w:val="center"/>
              <w:outlineLvl w:val="0"/>
              <w:rPr>
                <w:b/>
                <w:bCs/>
                <w:sz w:val="20"/>
                <w:szCs w:val="20"/>
              </w:rPr>
            </w:pPr>
            <w:r>
              <w:rPr>
                <w:b/>
                <w:sz w:val="20"/>
              </w:rPr>
              <w:t>Troisième tranche</w:t>
            </w:r>
          </w:p>
        </w:tc>
        <w:tc>
          <w:tcPr>
            <w:tcW w:w="796" w:type="pct"/>
            <w:vAlign w:val="center"/>
          </w:tcPr>
          <w:p w14:paraId="598F2F21" w14:textId="77777777" w:rsidR="00E63352" w:rsidRPr="00DB7420" w:rsidRDefault="00E63352" w:rsidP="00C0058C">
            <w:pPr>
              <w:widowControl w:val="0"/>
              <w:contextualSpacing/>
              <w:jc w:val="center"/>
              <w:outlineLvl w:val="0"/>
              <w:rPr>
                <w:b/>
                <w:bCs/>
                <w:sz w:val="20"/>
                <w:szCs w:val="20"/>
              </w:rPr>
            </w:pPr>
            <w:r>
              <w:rPr>
                <w:b/>
                <w:sz w:val="20"/>
              </w:rPr>
              <w:t>Total</w:t>
            </w:r>
          </w:p>
        </w:tc>
      </w:tr>
      <w:tr w:rsidR="00E63352" w:rsidRPr="00DB7420" w14:paraId="41D42622" w14:textId="77777777" w:rsidTr="00C0058C">
        <w:tc>
          <w:tcPr>
            <w:tcW w:w="1817" w:type="pct"/>
            <w:vAlign w:val="center"/>
          </w:tcPr>
          <w:p w14:paraId="2EDE25ED" w14:textId="57F34944" w:rsidR="00E63352" w:rsidRPr="00DB7420" w:rsidRDefault="00E63352" w:rsidP="00C0058C">
            <w:pPr>
              <w:widowControl w:val="0"/>
              <w:contextualSpacing/>
              <w:jc w:val="left"/>
              <w:outlineLvl w:val="0"/>
              <w:rPr>
                <w:sz w:val="20"/>
                <w:szCs w:val="20"/>
              </w:rPr>
            </w:pPr>
            <w:r>
              <w:rPr>
                <w:sz w:val="20"/>
              </w:rPr>
              <w:t xml:space="preserve">Renforcement de la surveillance et des mesures de </w:t>
            </w:r>
            <w:r w:rsidR="000C17AB">
              <w:rPr>
                <w:sz w:val="20"/>
              </w:rPr>
              <w:t>contrôle</w:t>
            </w:r>
            <w:r>
              <w:rPr>
                <w:sz w:val="20"/>
              </w:rPr>
              <w:t xml:space="preserve">, et renforcement de la capacité des agents des douanes </w:t>
            </w:r>
            <w:r>
              <w:rPr>
                <w:sz w:val="20"/>
              </w:rPr>
              <w:lastRenderedPageBreak/>
              <w:t>et des agents d’application de la loi</w:t>
            </w:r>
          </w:p>
        </w:tc>
        <w:tc>
          <w:tcPr>
            <w:tcW w:w="796" w:type="pct"/>
          </w:tcPr>
          <w:p w14:paraId="1B61D216" w14:textId="77777777" w:rsidR="00E63352" w:rsidRPr="00DB7420" w:rsidRDefault="00E63352" w:rsidP="006264D4">
            <w:pPr>
              <w:widowControl w:val="0"/>
              <w:contextualSpacing/>
              <w:jc w:val="center"/>
              <w:outlineLvl w:val="0"/>
              <w:rPr>
                <w:sz w:val="20"/>
                <w:szCs w:val="20"/>
              </w:rPr>
            </w:pPr>
            <w:r>
              <w:rPr>
                <w:sz w:val="20"/>
              </w:rPr>
              <w:lastRenderedPageBreak/>
              <w:t>10 000</w:t>
            </w:r>
          </w:p>
        </w:tc>
        <w:tc>
          <w:tcPr>
            <w:tcW w:w="796" w:type="pct"/>
          </w:tcPr>
          <w:p w14:paraId="12C5596E" w14:textId="77777777" w:rsidR="00E63352" w:rsidRPr="00DB7420" w:rsidRDefault="00E63352" w:rsidP="006264D4">
            <w:pPr>
              <w:widowControl w:val="0"/>
              <w:contextualSpacing/>
              <w:jc w:val="center"/>
              <w:outlineLvl w:val="0"/>
              <w:rPr>
                <w:sz w:val="20"/>
                <w:szCs w:val="20"/>
              </w:rPr>
            </w:pPr>
            <w:r>
              <w:rPr>
                <w:sz w:val="20"/>
              </w:rPr>
              <w:t>10 000</w:t>
            </w:r>
          </w:p>
        </w:tc>
        <w:tc>
          <w:tcPr>
            <w:tcW w:w="796" w:type="pct"/>
          </w:tcPr>
          <w:p w14:paraId="380496B8" w14:textId="77777777" w:rsidR="00E63352" w:rsidRPr="00DB7420" w:rsidRDefault="00E63352" w:rsidP="006264D4">
            <w:pPr>
              <w:widowControl w:val="0"/>
              <w:contextualSpacing/>
              <w:jc w:val="center"/>
              <w:outlineLvl w:val="0"/>
              <w:rPr>
                <w:sz w:val="20"/>
                <w:szCs w:val="20"/>
              </w:rPr>
            </w:pPr>
            <w:r>
              <w:rPr>
                <w:sz w:val="20"/>
              </w:rPr>
              <w:t>8 000</w:t>
            </w:r>
          </w:p>
        </w:tc>
        <w:tc>
          <w:tcPr>
            <w:tcW w:w="796" w:type="pct"/>
          </w:tcPr>
          <w:p w14:paraId="2316EECE" w14:textId="77777777" w:rsidR="00E63352" w:rsidRPr="00DB7420" w:rsidRDefault="00E63352" w:rsidP="006264D4">
            <w:pPr>
              <w:widowControl w:val="0"/>
              <w:contextualSpacing/>
              <w:jc w:val="center"/>
              <w:outlineLvl w:val="0"/>
              <w:rPr>
                <w:sz w:val="20"/>
                <w:szCs w:val="20"/>
              </w:rPr>
            </w:pPr>
            <w:r>
              <w:rPr>
                <w:sz w:val="20"/>
              </w:rPr>
              <w:t>28 000</w:t>
            </w:r>
          </w:p>
        </w:tc>
      </w:tr>
      <w:tr w:rsidR="00E63352" w:rsidRPr="00DB7420" w14:paraId="0A8CA05B" w14:textId="77777777" w:rsidTr="00C0058C">
        <w:tc>
          <w:tcPr>
            <w:tcW w:w="1817" w:type="pct"/>
            <w:vAlign w:val="center"/>
          </w:tcPr>
          <w:p w14:paraId="02C7C344" w14:textId="77777777" w:rsidR="00E63352" w:rsidRPr="00DB7420" w:rsidRDefault="00E63352" w:rsidP="00C0058C">
            <w:pPr>
              <w:widowControl w:val="0"/>
              <w:contextualSpacing/>
              <w:jc w:val="left"/>
              <w:outlineLvl w:val="0"/>
              <w:rPr>
                <w:sz w:val="20"/>
                <w:szCs w:val="20"/>
              </w:rPr>
            </w:pPr>
            <w:r>
              <w:rPr>
                <w:sz w:val="20"/>
              </w:rPr>
              <w:t>Formation des techniciens, programme de certification et fourniture d’équipements</w:t>
            </w:r>
          </w:p>
        </w:tc>
        <w:tc>
          <w:tcPr>
            <w:tcW w:w="796" w:type="pct"/>
          </w:tcPr>
          <w:p w14:paraId="449AC42C" w14:textId="77777777" w:rsidR="00E63352" w:rsidRPr="00DB7420" w:rsidRDefault="00E63352" w:rsidP="006264D4">
            <w:pPr>
              <w:widowControl w:val="0"/>
              <w:contextualSpacing/>
              <w:jc w:val="center"/>
              <w:outlineLvl w:val="0"/>
              <w:rPr>
                <w:sz w:val="20"/>
                <w:szCs w:val="20"/>
              </w:rPr>
            </w:pPr>
            <w:r>
              <w:rPr>
                <w:sz w:val="20"/>
              </w:rPr>
              <w:t>11 000</w:t>
            </w:r>
          </w:p>
        </w:tc>
        <w:tc>
          <w:tcPr>
            <w:tcW w:w="796" w:type="pct"/>
          </w:tcPr>
          <w:p w14:paraId="006495DF" w14:textId="77777777" w:rsidR="00E63352" w:rsidRPr="00DB7420" w:rsidRDefault="00E63352" w:rsidP="006264D4">
            <w:pPr>
              <w:widowControl w:val="0"/>
              <w:contextualSpacing/>
              <w:jc w:val="center"/>
              <w:outlineLvl w:val="0"/>
              <w:rPr>
                <w:sz w:val="20"/>
                <w:szCs w:val="20"/>
              </w:rPr>
            </w:pPr>
            <w:r>
              <w:rPr>
                <w:sz w:val="20"/>
              </w:rPr>
              <w:t>11 000</w:t>
            </w:r>
          </w:p>
        </w:tc>
        <w:tc>
          <w:tcPr>
            <w:tcW w:w="796" w:type="pct"/>
          </w:tcPr>
          <w:p w14:paraId="2DD633E0" w14:textId="77777777" w:rsidR="00E63352" w:rsidRPr="00DB7420" w:rsidRDefault="00E63352" w:rsidP="006264D4">
            <w:pPr>
              <w:widowControl w:val="0"/>
              <w:contextualSpacing/>
              <w:jc w:val="center"/>
              <w:outlineLvl w:val="0"/>
              <w:rPr>
                <w:sz w:val="20"/>
                <w:szCs w:val="20"/>
              </w:rPr>
            </w:pPr>
            <w:r>
              <w:rPr>
                <w:sz w:val="20"/>
              </w:rPr>
              <w:t>12 000</w:t>
            </w:r>
          </w:p>
        </w:tc>
        <w:tc>
          <w:tcPr>
            <w:tcW w:w="796" w:type="pct"/>
          </w:tcPr>
          <w:p w14:paraId="0D90E422" w14:textId="77777777" w:rsidR="00E63352" w:rsidRPr="00DB7420" w:rsidRDefault="00E63352" w:rsidP="006264D4">
            <w:pPr>
              <w:widowControl w:val="0"/>
              <w:contextualSpacing/>
              <w:jc w:val="center"/>
              <w:outlineLvl w:val="0"/>
              <w:rPr>
                <w:sz w:val="20"/>
                <w:szCs w:val="20"/>
              </w:rPr>
            </w:pPr>
            <w:r>
              <w:rPr>
                <w:sz w:val="20"/>
              </w:rPr>
              <w:t>34 000</w:t>
            </w:r>
          </w:p>
        </w:tc>
      </w:tr>
      <w:tr w:rsidR="00E63352" w:rsidRPr="00DB7420" w14:paraId="4C202508" w14:textId="77777777" w:rsidTr="00C0058C">
        <w:tc>
          <w:tcPr>
            <w:tcW w:w="1817" w:type="pct"/>
            <w:tcBorders>
              <w:bottom w:val="single" w:sz="4" w:space="0" w:color="auto"/>
            </w:tcBorders>
            <w:vAlign w:val="center"/>
          </w:tcPr>
          <w:p w14:paraId="4FF078C8" w14:textId="77777777" w:rsidR="00E63352" w:rsidRPr="00DB7420" w:rsidRDefault="00E63352" w:rsidP="00C0058C">
            <w:pPr>
              <w:widowControl w:val="0"/>
              <w:contextualSpacing/>
              <w:jc w:val="left"/>
              <w:outlineLvl w:val="0"/>
              <w:rPr>
                <w:sz w:val="20"/>
                <w:szCs w:val="20"/>
              </w:rPr>
            </w:pPr>
            <w:r>
              <w:rPr>
                <w:sz w:val="20"/>
              </w:rPr>
              <w:t>Mise en œuvre et suivi du projet</w:t>
            </w:r>
          </w:p>
        </w:tc>
        <w:tc>
          <w:tcPr>
            <w:tcW w:w="796" w:type="pct"/>
            <w:tcBorders>
              <w:bottom w:val="single" w:sz="4" w:space="0" w:color="auto"/>
            </w:tcBorders>
          </w:tcPr>
          <w:p w14:paraId="5756738F" w14:textId="77777777" w:rsidR="00E63352" w:rsidRPr="00DB7420" w:rsidRDefault="00E63352" w:rsidP="006264D4">
            <w:pPr>
              <w:widowControl w:val="0"/>
              <w:contextualSpacing/>
              <w:jc w:val="center"/>
              <w:outlineLvl w:val="0"/>
              <w:rPr>
                <w:sz w:val="20"/>
                <w:szCs w:val="20"/>
              </w:rPr>
            </w:pPr>
            <w:r>
              <w:rPr>
                <w:sz w:val="20"/>
              </w:rPr>
              <w:t>6 000</w:t>
            </w:r>
          </w:p>
        </w:tc>
        <w:tc>
          <w:tcPr>
            <w:tcW w:w="796" w:type="pct"/>
            <w:tcBorders>
              <w:bottom w:val="single" w:sz="4" w:space="0" w:color="auto"/>
            </w:tcBorders>
          </w:tcPr>
          <w:p w14:paraId="2A9C2C29" w14:textId="77777777" w:rsidR="00E63352" w:rsidRPr="00DB7420" w:rsidRDefault="00E63352" w:rsidP="006264D4">
            <w:pPr>
              <w:widowControl w:val="0"/>
              <w:contextualSpacing/>
              <w:jc w:val="center"/>
              <w:outlineLvl w:val="0"/>
              <w:rPr>
                <w:sz w:val="20"/>
                <w:szCs w:val="20"/>
              </w:rPr>
            </w:pPr>
            <w:r>
              <w:rPr>
                <w:sz w:val="20"/>
              </w:rPr>
              <w:t>7 000</w:t>
            </w:r>
          </w:p>
        </w:tc>
        <w:tc>
          <w:tcPr>
            <w:tcW w:w="796" w:type="pct"/>
            <w:tcBorders>
              <w:bottom w:val="single" w:sz="4" w:space="0" w:color="auto"/>
            </w:tcBorders>
          </w:tcPr>
          <w:p w14:paraId="4456FA5C" w14:textId="77777777" w:rsidR="00E63352" w:rsidRPr="00DB7420" w:rsidRDefault="00E63352" w:rsidP="006264D4">
            <w:pPr>
              <w:widowControl w:val="0"/>
              <w:contextualSpacing/>
              <w:jc w:val="center"/>
              <w:outlineLvl w:val="0"/>
              <w:rPr>
                <w:sz w:val="20"/>
                <w:szCs w:val="20"/>
              </w:rPr>
            </w:pPr>
            <w:r>
              <w:rPr>
                <w:sz w:val="20"/>
              </w:rPr>
              <w:t>7 000</w:t>
            </w:r>
          </w:p>
        </w:tc>
        <w:tc>
          <w:tcPr>
            <w:tcW w:w="796" w:type="pct"/>
            <w:tcBorders>
              <w:bottom w:val="single" w:sz="4" w:space="0" w:color="auto"/>
            </w:tcBorders>
          </w:tcPr>
          <w:p w14:paraId="57CF709D" w14:textId="77777777" w:rsidR="00E63352" w:rsidRPr="00DB7420" w:rsidRDefault="00E63352" w:rsidP="006264D4">
            <w:pPr>
              <w:widowControl w:val="0"/>
              <w:contextualSpacing/>
              <w:jc w:val="center"/>
              <w:outlineLvl w:val="0"/>
              <w:rPr>
                <w:sz w:val="20"/>
                <w:szCs w:val="20"/>
              </w:rPr>
            </w:pPr>
            <w:r>
              <w:rPr>
                <w:sz w:val="20"/>
              </w:rPr>
              <w:t>20 000</w:t>
            </w:r>
          </w:p>
        </w:tc>
      </w:tr>
      <w:tr w:rsidR="00E63352" w:rsidRPr="00DB7420" w14:paraId="41D897AB" w14:textId="77777777" w:rsidTr="00C0058C">
        <w:tc>
          <w:tcPr>
            <w:tcW w:w="1817" w:type="pct"/>
            <w:tcBorders>
              <w:bottom w:val="single" w:sz="4" w:space="0" w:color="auto"/>
            </w:tcBorders>
            <w:vAlign w:val="center"/>
          </w:tcPr>
          <w:p w14:paraId="08397043" w14:textId="77777777" w:rsidR="00E63352" w:rsidRPr="00DB7420" w:rsidRDefault="00E63352" w:rsidP="00C0058C">
            <w:pPr>
              <w:widowControl w:val="0"/>
              <w:contextualSpacing/>
              <w:outlineLvl w:val="0"/>
              <w:rPr>
                <w:b/>
                <w:bCs/>
                <w:sz w:val="20"/>
                <w:szCs w:val="20"/>
              </w:rPr>
            </w:pPr>
            <w:r>
              <w:rPr>
                <w:b/>
                <w:sz w:val="20"/>
              </w:rPr>
              <w:t>Total</w:t>
            </w:r>
          </w:p>
        </w:tc>
        <w:tc>
          <w:tcPr>
            <w:tcW w:w="796" w:type="pct"/>
            <w:tcBorders>
              <w:bottom w:val="single" w:sz="4" w:space="0" w:color="auto"/>
            </w:tcBorders>
          </w:tcPr>
          <w:p w14:paraId="1E947157" w14:textId="77777777" w:rsidR="00E63352" w:rsidRPr="00DB7420" w:rsidRDefault="00E63352" w:rsidP="006264D4">
            <w:pPr>
              <w:widowControl w:val="0"/>
              <w:contextualSpacing/>
              <w:jc w:val="center"/>
              <w:outlineLvl w:val="0"/>
              <w:rPr>
                <w:b/>
                <w:bCs/>
                <w:sz w:val="20"/>
                <w:szCs w:val="20"/>
              </w:rPr>
            </w:pPr>
            <w:r>
              <w:rPr>
                <w:b/>
                <w:sz w:val="20"/>
              </w:rPr>
              <w:t>27 000</w:t>
            </w:r>
          </w:p>
        </w:tc>
        <w:tc>
          <w:tcPr>
            <w:tcW w:w="796" w:type="pct"/>
            <w:tcBorders>
              <w:bottom w:val="single" w:sz="4" w:space="0" w:color="auto"/>
            </w:tcBorders>
          </w:tcPr>
          <w:p w14:paraId="3FCCD685" w14:textId="77777777" w:rsidR="00E63352" w:rsidRPr="00DB7420" w:rsidRDefault="00E63352" w:rsidP="006264D4">
            <w:pPr>
              <w:widowControl w:val="0"/>
              <w:contextualSpacing/>
              <w:jc w:val="center"/>
              <w:outlineLvl w:val="0"/>
              <w:rPr>
                <w:b/>
                <w:bCs/>
                <w:sz w:val="20"/>
                <w:szCs w:val="20"/>
              </w:rPr>
            </w:pPr>
            <w:r>
              <w:rPr>
                <w:b/>
                <w:sz w:val="20"/>
              </w:rPr>
              <w:t>28 000</w:t>
            </w:r>
          </w:p>
        </w:tc>
        <w:tc>
          <w:tcPr>
            <w:tcW w:w="796" w:type="pct"/>
            <w:tcBorders>
              <w:bottom w:val="single" w:sz="4" w:space="0" w:color="auto"/>
            </w:tcBorders>
          </w:tcPr>
          <w:p w14:paraId="304E83D5" w14:textId="77777777" w:rsidR="00E63352" w:rsidRPr="00DB7420" w:rsidRDefault="00E63352" w:rsidP="006264D4">
            <w:pPr>
              <w:widowControl w:val="0"/>
              <w:contextualSpacing/>
              <w:jc w:val="center"/>
              <w:outlineLvl w:val="0"/>
              <w:rPr>
                <w:b/>
                <w:bCs/>
                <w:sz w:val="20"/>
                <w:szCs w:val="20"/>
              </w:rPr>
            </w:pPr>
            <w:r>
              <w:rPr>
                <w:b/>
                <w:sz w:val="20"/>
              </w:rPr>
              <w:t>27 000</w:t>
            </w:r>
          </w:p>
        </w:tc>
        <w:tc>
          <w:tcPr>
            <w:tcW w:w="796" w:type="pct"/>
            <w:tcBorders>
              <w:bottom w:val="single" w:sz="4" w:space="0" w:color="auto"/>
            </w:tcBorders>
          </w:tcPr>
          <w:p w14:paraId="4F246236" w14:textId="77777777" w:rsidR="00E63352" w:rsidRPr="00DB7420" w:rsidRDefault="00E63352" w:rsidP="006264D4">
            <w:pPr>
              <w:widowControl w:val="0"/>
              <w:contextualSpacing/>
              <w:jc w:val="center"/>
              <w:outlineLvl w:val="0"/>
              <w:rPr>
                <w:b/>
                <w:bCs/>
                <w:sz w:val="20"/>
                <w:szCs w:val="20"/>
              </w:rPr>
            </w:pPr>
            <w:r>
              <w:rPr>
                <w:b/>
                <w:sz w:val="20"/>
              </w:rPr>
              <w:t>82 000</w:t>
            </w:r>
          </w:p>
        </w:tc>
      </w:tr>
    </w:tbl>
    <w:p w14:paraId="2D3F6419" w14:textId="77777777" w:rsidR="00E63352" w:rsidRPr="00DC2B3A" w:rsidRDefault="00E63352" w:rsidP="00E63352">
      <w:pPr>
        <w:keepNext/>
        <w:spacing w:before="240" w:after="240"/>
        <w:outlineLvl w:val="0"/>
        <w:rPr>
          <w:bCs/>
          <w:u w:val="single"/>
        </w:rPr>
      </w:pPr>
      <w:r>
        <w:rPr>
          <w:u w:val="single"/>
        </w:rPr>
        <w:t>Projet de plan d’activités du Fonds multilatéral pour 2024-2026</w:t>
      </w:r>
    </w:p>
    <w:bookmarkEnd w:id="35"/>
    <w:p w14:paraId="3C5E0ED7" w14:textId="6F26973B" w:rsidR="00272FC2" w:rsidRPr="00272FC2" w:rsidRDefault="00E63352" w:rsidP="00DD68EC">
      <w:pPr>
        <w:pStyle w:val="Heading1"/>
        <w:keepNext/>
        <w:keepLines/>
        <w:rPr>
          <w:bCs/>
          <w:u w:val="single"/>
        </w:rPr>
      </w:pPr>
      <w:r>
        <w:t>Le PNUE demande 427 500 $ US, plus des coûts d’appui d’agence, pour la mise en œuvre de la phase II du PGEH pour les Comores. Le montant total demandé de 435 615 $ US, dont des frais d’appui d’agence pour la période 2024–2026, est supérieur de 100 266 $ US au montant figurant dans le plan d’activités</w:t>
      </w:r>
      <w:bookmarkStart w:id="37" w:name="_Hlk126916245"/>
      <w:r>
        <w:t>.</w:t>
      </w:r>
    </w:p>
    <w:p w14:paraId="53616DEF" w14:textId="72337D62" w:rsidR="00E63352" w:rsidRPr="00272FC2" w:rsidRDefault="00E63352" w:rsidP="00A917DB">
      <w:pPr>
        <w:pStyle w:val="Heading1"/>
        <w:keepNext/>
        <w:keepLines/>
        <w:numPr>
          <w:ilvl w:val="0"/>
          <w:numId w:val="0"/>
        </w:numPr>
        <w:rPr>
          <w:bCs/>
          <w:u w:val="single"/>
        </w:rPr>
      </w:pPr>
      <w:r>
        <w:rPr>
          <w:u w:val="single"/>
        </w:rPr>
        <w:t xml:space="preserve">Projet d’accord </w:t>
      </w:r>
    </w:p>
    <w:bookmarkEnd w:id="37"/>
    <w:p w14:paraId="5BC35D70" w14:textId="77777777" w:rsidR="00E63352" w:rsidRDefault="00E63352" w:rsidP="00E63352">
      <w:pPr>
        <w:pStyle w:val="Heading1"/>
      </w:pPr>
      <w:r>
        <w:t>Un projet d’accord entre le Gouvernement des Comores et le Comité exécutif pour la phase II du PGEH est présenté dans l’annexe I du présent document.</w:t>
      </w:r>
    </w:p>
    <w:p w14:paraId="70E475F0" w14:textId="77777777" w:rsidR="00E63352" w:rsidRPr="00996241" w:rsidRDefault="00E63352" w:rsidP="00E63352">
      <w:pPr>
        <w:keepNext/>
        <w:keepLines/>
        <w:autoSpaceDE w:val="0"/>
        <w:autoSpaceDN w:val="0"/>
        <w:adjustRightInd w:val="0"/>
        <w:spacing w:before="360" w:after="240"/>
        <w:outlineLvl w:val="0"/>
        <w:rPr>
          <w:b/>
        </w:rPr>
      </w:pPr>
      <w:bookmarkStart w:id="38" w:name="_Hlk126916251"/>
      <w:r>
        <w:rPr>
          <w:b/>
        </w:rPr>
        <w:t>RECOMMANDATION</w:t>
      </w:r>
    </w:p>
    <w:bookmarkEnd w:id="38"/>
    <w:p w14:paraId="078D79BE" w14:textId="77777777" w:rsidR="00E63352" w:rsidRPr="00364819" w:rsidRDefault="00E63352" w:rsidP="00E63352">
      <w:pPr>
        <w:pStyle w:val="Heading1"/>
        <w:rPr>
          <w:u w:val="single"/>
        </w:rPr>
      </w:pPr>
      <w:r>
        <w:t>Le Comité exécutif pourrait souhaiter :</w:t>
      </w:r>
    </w:p>
    <w:p w14:paraId="598423BF" w14:textId="430D6018" w:rsidR="00E63352" w:rsidRDefault="00E63352" w:rsidP="00080EF6">
      <w:pPr>
        <w:pStyle w:val="Heading2"/>
        <w:widowControl/>
        <w:numPr>
          <w:ilvl w:val="1"/>
          <w:numId w:val="1"/>
        </w:numPr>
      </w:pPr>
      <w:r>
        <w:t>Approuver, en principe, la phase II du plan de gestion de l’élimination des HCFC (PGEH) pour les Comores pour la période de 2024 à 2030 en vue de l’élimination complète de la consommation de HCFC, pour la somme de 427 500 $ US, plus des coûts d’appui d’agence de 55 575 $ US pour le PNUE, étant entendu qu’aucun autre financement provenant du Fonds multilatéral ne sera octroyé pour l’élimination des HCFC et qu’aucun reliquat aux fins d’entretien ne sera alors nécessaire ;</w:t>
      </w:r>
    </w:p>
    <w:p w14:paraId="52671BB1" w14:textId="77777777" w:rsidR="00147640" w:rsidRPr="00147640" w:rsidRDefault="0076161B" w:rsidP="0076161B">
      <w:pPr>
        <w:pStyle w:val="Heading2"/>
        <w:numPr>
          <w:ilvl w:val="1"/>
          <w:numId w:val="1"/>
        </w:numPr>
      </w:pPr>
      <w:r>
        <w:rPr>
          <w:color w:val="000000"/>
        </w:rPr>
        <w:t>Prendre note de l’engagement du Gouvernement des Comores</w:t>
      </w:r>
      <w:r w:rsidR="00147640">
        <w:rPr>
          <w:color w:val="000000"/>
        </w:rPr>
        <w:t> :</w:t>
      </w:r>
    </w:p>
    <w:p w14:paraId="7AAEDCB0" w14:textId="77777777" w:rsidR="00147640" w:rsidRDefault="00147640" w:rsidP="00147640">
      <w:pPr>
        <w:pStyle w:val="Heading3"/>
      </w:pPr>
      <w:r w:rsidRPr="00147640">
        <w:t>À parvenir à éliminer complètement les HCFC d'ici au 1</w:t>
      </w:r>
      <w:r w:rsidRPr="00147640">
        <w:rPr>
          <w:vertAlign w:val="superscript"/>
        </w:rPr>
        <w:t>er</w:t>
      </w:r>
      <w:r>
        <w:t> </w:t>
      </w:r>
      <w:r w:rsidRPr="00147640">
        <w:t>janvier</w:t>
      </w:r>
      <w:r>
        <w:t> </w:t>
      </w:r>
      <w:r w:rsidRPr="00147640">
        <w:t>2030, et à ne plus importer de HCFC après cette date</w:t>
      </w:r>
      <w:r>
        <w:t> ;</w:t>
      </w:r>
    </w:p>
    <w:p w14:paraId="5F106A6B" w14:textId="46ECDF55" w:rsidR="0076161B" w:rsidRPr="00952335" w:rsidRDefault="00147640" w:rsidP="00147640">
      <w:pPr>
        <w:pStyle w:val="Heading3"/>
      </w:pPr>
      <w:r w:rsidRPr="00147640">
        <w:t>À</w:t>
      </w:r>
      <w:r w:rsidR="0076161B">
        <w:t xml:space="preserve"> interdire l’importation d’équipements à base de HCFC d’ici au 1er janvier 2027 ;</w:t>
      </w:r>
    </w:p>
    <w:p w14:paraId="4F5F492F" w14:textId="77777777" w:rsidR="00E63352" w:rsidRDefault="00E63352" w:rsidP="00080EF6">
      <w:pPr>
        <w:pStyle w:val="Heading2"/>
        <w:widowControl/>
        <w:numPr>
          <w:ilvl w:val="1"/>
          <w:numId w:val="1"/>
        </w:numPr>
      </w:pPr>
      <w:r>
        <w:t>Déduire 0,09 tonne PAO de HCFC de la consommation restante de HCFC admissible au financement ;</w:t>
      </w:r>
    </w:p>
    <w:p w14:paraId="1F8CD2A8" w14:textId="77777777" w:rsidR="009A3917" w:rsidRDefault="00E63352" w:rsidP="00E63352">
      <w:pPr>
        <w:numPr>
          <w:ilvl w:val="1"/>
          <w:numId w:val="1"/>
        </w:numPr>
        <w:spacing w:after="240"/>
        <w:outlineLvl w:val="1"/>
      </w:pPr>
      <w:r>
        <w:t>Approuver :</w:t>
      </w:r>
    </w:p>
    <w:p w14:paraId="15876545" w14:textId="63CE920A" w:rsidR="00E63352" w:rsidRPr="004E06DE" w:rsidRDefault="009A3917" w:rsidP="009A3917">
      <w:pPr>
        <w:pStyle w:val="Heading3"/>
      </w:pPr>
      <w:r>
        <w:t>Le projet d’Accord entre le Gouvernement des Comores et le Comité exécutif, figurant à l’annexe I du présent document, concernant la réduction de la consommation de HCFC, conformément à la phase II du PGEH ; et</w:t>
      </w:r>
    </w:p>
    <w:p w14:paraId="6862287D" w14:textId="6F41108B" w:rsidR="00B33C4F" w:rsidRPr="00B33C4F" w:rsidRDefault="009A3917" w:rsidP="00900042">
      <w:pPr>
        <w:pStyle w:val="Heading3"/>
      </w:pPr>
      <w:r>
        <w:t>La première tranche de la phase II du PGEH pour les Comores, ainsi que le plan de mise en œuvre de la tranche correspondant, pour un montant de</w:t>
      </w:r>
      <w:r w:rsidR="000C17AB">
        <w:t xml:space="preserve"> </w:t>
      </w:r>
      <w:r>
        <w:t>150 000 $ US, plus des coûts d’appui d’agence de 19 500 $ US pour le PNUE, étant entendu que le PNUE soumettra, d’ici au 30 juin 2024, un rapport de vérification actualisé pour inclure les données sur la consommation de 2023.</w:t>
      </w:r>
    </w:p>
    <w:p w14:paraId="5BA2C57E" w14:textId="5330F7A1" w:rsidR="00CF377A" w:rsidRDefault="00CF377A" w:rsidP="009A3917">
      <w:pPr>
        <w:pStyle w:val="Heading3"/>
        <w:numPr>
          <w:ilvl w:val="0"/>
          <w:numId w:val="0"/>
        </w:numPr>
        <w:ind w:left="2160"/>
        <w:sectPr w:rsidR="00CF377A" w:rsidSect="0061557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bookmarkStart w:id="39" w:name="_Hlk165623587"/>
    </w:p>
    <w:bookmarkEnd w:id="39"/>
    <w:p w14:paraId="1BC8A671" w14:textId="3D3DF142" w:rsidR="00E63352" w:rsidRPr="00CB1CD3" w:rsidRDefault="00E63352" w:rsidP="00CF377A">
      <w:pPr>
        <w:pStyle w:val="Heading3"/>
        <w:numPr>
          <w:ilvl w:val="0"/>
          <w:numId w:val="0"/>
        </w:numPr>
        <w:jc w:val="center"/>
        <w:rPr>
          <w:b/>
          <w:bCs/>
        </w:rPr>
      </w:pPr>
      <w:r>
        <w:rPr>
          <w:b/>
        </w:rPr>
        <w:lastRenderedPageBreak/>
        <w:t>Annexe I</w:t>
      </w:r>
    </w:p>
    <w:p w14:paraId="7BA5F684" w14:textId="77777777" w:rsidR="00E63352" w:rsidRPr="00B375EA" w:rsidRDefault="00E63352" w:rsidP="00E63352">
      <w:pPr>
        <w:jc w:val="center"/>
        <w:rPr>
          <w:b/>
        </w:rPr>
      </w:pPr>
      <w:r>
        <w:rPr>
          <w:b/>
        </w:rPr>
        <w:t>PROJET D’ACCORD ENTRE LE GOUVERNEMENT DES COMORES ET LE COMITÉ EXÉCUTIF DU FONDS MULTILATÉRAL POUR LA RÉDUCTION DE LA CONSOMMATION DES HYDROCHLOROFLUOROCARBURES CONFORMÉMENT À LA PHASE II DU PLAN DE GESTION DE L’ÉLIMINATION DES HCFC</w:t>
      </w:r>
    </w:p>
    <w:p w14:paraId="28EF325F" w14:textId="77777777" w:rsidR="00E63352" w:rsidRPr="00B375EA" w:rsidRDefault="00E63352" w:rsidP="00E63352">
      <w:pPr>
        <w:spacing w:before="240" w:after="240"/>
        <w:rPr>
          <w:b/>
        </w:rPr>
      </w:pPr>
      <w:r>
        <w:rPr>
          <w:b/>
        </w:rPr>
        <w:t>Objet</w:t>
      </w:r>
    </w:p>
    <w:p w14:paraId="7B6C2945" w14:textId="48586D76" w:rsidR="00E63352" w:rsidRPr="00CF377A" w:rsidRDefault="00E63352" w:rsidP="00E63352">
      <w:pPr>
        <w:pStyle w:val="Heading1"/>
        <w:numPr>
          <w:ilvl w:val="0"/>
          <w:numId w:val="32"/>
        </w:numPr>
        <w:spacing w:before="240"/>
      </w:pPr>
      <w:r>
        <w:t>Le présent Accord représente l’entente conclue entre le Gouvernement des Comores (le « Pays ») et le Comité exécutif concernant la réduction de l’usage réglementé des substances appauvrissant la couche d’ozone (SAO) figurant dans l’appendice 1-A (« les Substances ») à un niveau durable de zéro tonne PAO d’ici le 1er janvier 2030, conformément au calendrier du Protocole de Montréal.</w:t>
      </w:r>
    </w:p>
    <w:p w14:paraId="7F783632" w14:textId="77777777" w:rsidR="00E63352" w:rsidRDefault="00E63352" w:rsidP="00E63352">
      <w:pPr>
        <w:pStyle w:val="Heading1"/>
      </w:pPr>
      <w:r>
        <w:t>Le pays convient de respecter les limites de consommation annuelle des Substances définies à la ligne 1.2 de l’appendice 2</w:t>
      </w:r>
      <w:r>
        <w:noBreakHyphen/>
        <w:t>A (« Les objectifs et le financement ») du présent Accord, ainsi que celles du calendrier de réduction du Protocole de Montréal pour toutes les Substances mentionnées à l’appendice 1-A.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défini à la ligne 1.2 de l’appendice 2-A, constituant la phase finale de réduction en vertu du présent Accord pour toutes les Substances spécifiées à l’appendice 1-A, et pour toute consommation de chacune des Substances dépassant le niveau défini à la ligne 4.1.3 (consommation restante admissible au financement).</w:t>
      </w:r>
    </w:p>
    <w:p w14:paraId="41C41F5D" w14:textId="0D7BB42D" w:rsidR="00E63352" w:rsidRPr="00B375EA" w:rsidRDefault="00E63352" w:rsidP="00E63352">
      <w:pPr>
        <w:pStyle w:val="Heading1"/>
      </w:pPr>
      <w:r>
        <w:t>Si le Pays se conforme à ses obligations définies dans le présent Accord, le Comité exécutif convient, en principe, de lui accorder le financement indiqué à la ligne 3.1 de l’appendice 2-A. Le Comité exécutif accordera, en principe, ce financement lors de ses réunions indiquées à l’appendice 3-A (« </w:t>
      </w:r>
      <w:r w:rsidR="00606835">
        <w:t>C</w:t>
      </w:r>
      <w:r w:rsidR="00606835" w:rsidRPr="00606835">
        <w:t>alendrier d’approbation du financement</w:t>
      </w:r>
      <w:r w:rsidR="00606835">
        <w:t> </w:t>
      </w:r>
      <w:r>
        <w:t>»).</w:t>
      </w:r>
    </w:p>
    <w:p w14:paraId="1BF40EBA" w14:textId="77777777" w:rsidR="00E63352" w:rsidRPr="00B375EA" w:rsidRDefault="00E63352" w:rsidP="00E63352">
      <w:pPr>
        <w:pStyle w:val="Heading1"/>
      </w:pPr>
      <w:r>
        <w:t>Le Pays accepte de mettre en œuvre cet Accord conformément à la phase II du plan de gestion de l’élimination des HCFC approuvé (« le Plan »). Conformément à l’alinéa 5(b) du présent Accord, le Pays acceptera une vérification indépendante du respect des limites de consommation annuelle des Substances, tel qu’elles figurent à la ligne 1.2 de l’appendice 2-A du présent Accord. Cette vérification sera commandée par l’agence bilatérale ou d’exécution concernée.</w:t>
      </w:r>
    </w:p>
    <w:p w14:paraId="7CE5A42C" w14:textId="77777777" w:rsidR="00E63352" w:rsidRPr="00B375EA" w:rsidRDefault="00E63352" w:rsidP="00E63352">
      <w:pPr>
        <w:spacing w:after="240"/>
        <w:rPr>
          <w:b/>
        </w:rPr>
      </w:pPr>
      <w:r>
        <w:rPr>
          <w:b/>
        </w:rPr>
        <w:t>Conditions de décaissement du financement</w:t>
      </w:r>
    </w:p>
    <w:p w14:paraId="10D82B71" w14:textId="13216C8F" w:rsidR="00E63352" w:rsidRPr="00B375EA" w:rsidRDefault="00E63352" w:rsidP="00E63352">
      <w:pPr>
        <w:pStyle w:val="Heading1"/>
      </w:pPr>
      <w:r>
        <w:t xml:space="preserve">Le Comité exécutif n’accordera le financement prévu au </w:t>
      </w:r>
      <w:r w:rsidR="00606835" w:rsidRPr="00606835">
        <w:t xml:space="preserve">calendrier d’approbation du financement </w:t>
      </w:r>
      <w:r>
        <w:t xml:space="preserve">que si le Pays satisfait aux conditions suivantes au moins huit semaines avant la réunion du Comité exécutif indiquée dans le </w:t>
      </w:r>
      <w:r w:rsidR="00606835" w:rsidRPr="00606835">
        <w:t>calendrier d’approbation du financement</w:t>
      </w:r>
      <w:r w:rsidR="00606835">
        <w:t> </w:t>
      </w:r>
      <w:r>
        <w:t>:</w:t>
      </w:r>
    </w:p>
    <w:p w14:paraId="5007407A" w14:textId="77777777" w:rsidR="00E63352" w:rsidRPr="00B375EA" w:rsidRDefault="00E63352" w:rsidP="00E63352">
      <w:pPr>
        <w:pStyle w:val="Heading2"/>
        <w:numPr>
          <w:ilvl w:val="1"/>
          <w:numId w:val="1"/>
        </w:numPr>
        <w:tabs>
          <w:tab w:val="clear" w:pos="0"/>
          <w:tab w:val="num" w:pos="-720"/>
        </w:tabs>
      </w:pPr>
      <w:r>
        <w:t>Le Pays a respecté les objectifs fixés à la ligne 1.2 de l’appendice 2-A pour toutes les années concernées. Les années concernées sont toutes celles qui se sont écoulées depuis l’année d’approbation du présent Accord. Font exception les années pour lesquelles aucun rapport sur la mise en œuvre du programme du pays n’est dû à la date de la réunion du Comité exécutif à laquelle la demande de financement est soumise ;</w:t>
      </w:r>
    </w:p>
    <w:p w14:paraId="41416B87" w14:textId="77777777" w:rsidR="00E63352" w:rsidRPr="00B375EA" w:rsidRDefault="00E63352" w:rsidP="00E63352">
      <w:pPr>
        <w:pStyle w:val="Heading2"/>
        <w:numPr>
          <w:ilvl w:val="1"/>
          <w:numId w:val="1"/>
        </w:numPr>
        <w:tabs>
          <w:tab w:val="clear" w:pos="0"/>
          <w:tab w:val="num" w:pos="-720"/>
        </w:tabs>
      </w:pPr>
      <w:r>
        <w:t>Le respect de ces objectifs a été vérifié de manière indépendante pour toutes les années concernées, à moins que le Comité exécutif n’ait décidé que cette vérification n’était pas nécessaire ;</w:t>
      </w:r>
    </w:p>
    <w:p w14:paraId="05C6E068" w14:textId="77777777" w:rsidR="00E63352" w:rsidRPr="00B375EA" w:rsidRDefault="00E63352" w:rsidP="00E63352">
      <w:pPr>
        <w:pStyle w:val="Heading2"/>
        <w:widowControl/>
        <w:numPr>
          <w:ilvl w:val="1"/>
          <w:numId w:val="1"/>
        </w:numPr>
        <w:tabs>
          <w:tab w:val="clear" w:pos="0"/>
          <w:tab w:val="num" w:pos="-720"/>
        </w:tabs>
      </w:pPr>
      <w:r>
        <w:lastRenderedPageBreak/>
        <w:t>Le Pays a soumis un rapport de mise en œuvre de la tranche, sous la forme décrite à l’appendice 4</w:t>
      </w:r>
      <w:r>
        <w:noBreakHyphen/>
        <w:t>A (« Format des rapports et des plans de mise en œuvre de la tranche »), couvrant chaque année civile précédente ; le Pays a achevé une part importante de la mise en œuvre des activités amorcées lors de tranches précédentes approuvées ; et le taux de décaissement du financement disponible associé à la tranche précédente approuvée était de plus de 20 pour cent ; et</w:t>
      </w:r>
    </w:p>
    <w:p w14:paraId="399B9866" w14:textId="77777777" w:rsidR="00E63352" w:rsidRPr="00B375EA" w:rsidRDefault="00E63352" w:rsidP="00E63352">
      <w:pPr>
        <w:pStyle w:val="Heading2"/>
        <w:keepNext/>
        <w:widowControl/>
        <w:numPr>
          <w:ilvl w:val="1"/>
          <w:numId w:val="1"/>
        </w:numPr>
        <w:tabs>
          <w:tab w:val="clear" w:pos="0"/>
          <w:tab w:val="num" w:pos="-720"/>
        </w:tabs>
      </w:pPr>
      <w:r>
        <w:t>Le Pays a soumis un plan de mise en œuvre de la tranche, sous la forme indiquée à l’appendice 4</w:t>
      </w:r>
      <w:r>
        <w:noBreakHyphen/>
        <w:t>A, couvrant chaque année civile, y compris l’année au cours de laquelle le calendrier de financement prévoit la soumission de la tranche suivante, ou, dans le cas de la tranche finale, jusqu’à l’achèvement de toutes les activités prévues.</w:t>
      </w:r>
    </w:p>
    <w:p w14:paraId="213257C0" w14:textId="77777777" w:rsidR="00E63352" w:rsidRPr="005D03A9" w:rsidRDefault="00E63352" w:rsidP="00E63352">
      <w:pPr>
        <w:keepNext/>
        <w:spacing w:before="240" w:after="240"/>
        <w:rPr>
          <w:b/>
        </w:rPr>
      </w:pPr>
      <w:r>
        <w:rPr>
          <w:b/>
        </w:rPr>
        <w:t>Surveillance</w:t>
      </w:r>
    </w:p>
    <w:p w14:paraId="235D1A4C" w14:textId="77777777" w:rsidR="00E63352" w:rsidRPr="00B375EA" w:rsidRDefault="00E63352" w:rsidP="00E63352">
      <w:pPr>
        <w:pStyle w:val="Heading1"/>
        <w:keepNext/>
      </w:pPr>
      <w: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de mise en œuvre de tranche précédents, conformément à leurs rôles et responsabilités définis dans le même appendice.</w:t>
      </w:r>
    </w:p>
    <w:p w14:paraId="45C69C44" w14:textId="77777777" w:rsidR="00E63352" w:rsidRPr="00B375EA" w:rsidRDefault="00E63352" w:rsidP="00E63352">
      <w:pPr>
        <w:keepNext/>
        <w:spacing w:before="240" w:after="240"/>
        <w:rPr>
          <w:b/>
        </w:rPr>
      </w:pPr>
      <w:r>
        <w:rPr>
          <w:b/>
        </w:rPr>
        <w:t>Souplesse dans la réaffectation des fonds</w:t>
      </w:r>
    </w:p>
    <w:p w14:paraId="6F65C18E" w14:textId="77777777" w:rsidR="00E63352" w:rsidRPr="006D427C" w:rsidRDefault="00E63352" w:rsidP="00E63352">
      <w:pPr>
        <w:pStyle w:val="Heading1"/>
        <w:keepNext/>
      </w:pPr>
      <w:r>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2DBF5129" w14:textId="77777777" w:rsidR="00E63352" w:rsidRPr="006D427C" w:rsidRDefault="00E63352" w:rsidP="00E63352">
      <w:pPr>
        <w:pStyle w:val="Heading2"/>
        <w:numPr>
          <w:ilvl w:val="1"/>
          <w:numId w:val="1"/>
        </w:numPr>
        <w:tabs>
          <w:tab w:val="clear" w:pos="0"/>
          <w:tab w:val="num" w:pos="-720"/>
        </w:tabs>
      </w:pPr>
      <w:r>
        <w:t>Les réaffectations classées comme des changements importants doivent être documentées à l’avance, dans un plan de mise en œuvre de la tranche, remis tel que prévu à l’alinéa 5(d) ci-dessus, ou dans une révision d’un plan de mise en œuvre de la tranche existant, à remettre huit semaines avant toute réunion du Comité exécutif, pour approbation. Une réaffectation est dite importante lorsqu’elle vise :</w:t>
      </w:r>
    </w:p>
    <w:p w14:paraId="1F994D04" w14:textId="77777777" w:rsidR="00E63352" w:rsidRPr="006D427C" w:rsidRDefault="00E63352" w:rsidP="00E63352">
      <w:pPr>
        <w:pStyle w:val="Heading3"/>
        <w:numPr>
          <w:ilvl w:val="2"/>
          <w:numId w:val="1"/>
        </w:numPr>
      </w:pPr>
      <w:r>
        <w:t>Des enjeux qui pourraient concerner les règles et politiques du Fonds multilatéral ;</w:t>
      </w:r>
    </w:p>
    <w:p w14:paraId="572C51FE" w14:textId="77777777" w:rsidR="00E63352" w:rsidRPr="006D427C" w:rsidRDefault="00E63352" w:rsidP="00E63352">
      <w:pPr>
        <w:pStyle w:val="Heading3"/>
        <w:numPr>
          <w:ilvl w:val="2"/>
          <w:numId w:val="1"/>
        </w:numPr>
      </w:pPr>
      <w:r>
        <w:t>Des changements qui pourraient modifier une clause quelconque du présent Accord ;</w:t>
      </w:r>
    </w:p>
    <w:p w14:paraId="5A52584F" w14:textId="77777777" w:rsidR="00E63352" w:rsidRPr="006D427C" w:rsidRDefault="00E63352" w:rsidP="00E63352">
      <w:pPr>
        <w:pStyle w:val="Heading3"/>
        <w:numPr>
          <w:ilvl w:val="2"/>
          <w:numId w:val="1"/>
        </w:numPr>
      </w:pPr>
      <w:r>
        <w:t>Des changements dans les montants annuels de financement alloués aux agences bilatérales ou d’exécution individuelles pour les différentes tranches ;</w:t>
      </w:r>
    </w:p>
    <w:p w14:paraId="2412C324" w14:textId="77777777" w:rsidR="00E63352" w:rsidRPr="006D427C" w:rsidRDefault="00E63352" w:rsidP="00E63352">
      <w:pPr>
        <w:pStyle w:val="Heading3"/>
        <w:numPr>
          <w:ilvl w:val="2"/>
          <w:numId w:val="1"/>
        </w:numPr>
      </w:pPr>
      <w:r>
        <w:t>La fourniture de fonds pour des activités qui ne sont pas incluses dans le plan de mise en œuvre de la tranche actuel entériné, ou bien le retrait d’une activité du plan de mise en œuvre de la tranche représentant un coût supérieur à 30 pour cent du coût total de la dernière tranche approuvée ;</w:t>
      </w:r>
    </w:p>
    <w:p w14:paraId="7ED4F9E4" w14:textId="77777777" w:rsidR="00E63352" w:rsidRPr="006D427C" w:rsidRDefault="00E63352" w:rsidP="00E63352">
      <w:pPr>
        <w:pStyle w:val="Heading3"/>
        <w:numPr>
          <w:ilvl w:val="2"/>
          <w:numId w:val="1"/>
        </w:numPr>
      </w:pPr>
      <w:r>
        <w:t>Les changements de technologie de remplacement, étant entendu que toute proposition relative à une telle demande précisera les surcoûts associés, les conséquences possibles sur le climat et l’éventuelle différence en tonnes PAO à éliminer, s’il y a lieu, et confirmera que le Pays reconnaît que les possibles économies financières liées au changement de technologie réduiront en conséquence le niveau de financement global prévu au titre du présent Accord ;</w:t>
      </w:r>
    </w:p>
    <w:p w14:paraId="74021C8C" w14:textId="782D04E3" w:rsidR="00E63352" w:rsidRPr="007476AB" w:rsidRDefault="00E63352" w:rsidP="006D427C">
      <w:pPr>
        <w:pStyle w:val="Heading2"/>
        <w:numPr>
          <w:ilvl w:val="1"/>
          <w:numId w:val="1"/>
        </w:numPr>
        <w:tabs>
          <w:tab w:val="clear" w:pos="0"/>
          <w:tab w:val="num" w:pos="-720"/>
        </w:tabs>
      </w:pPr>
      <w:r>
        <w:lastRenderedPageBreak/>
        <w:t>Les réaffectations qui ne sont pas classées comme des changements importants peuvent être intégrées au plan de mise en œuvre de la tranche approuvé, en cours d’application à ce moment, et communiquées au Comité exécutif dans le rapport annuel de mise en œuvre de la tranche suivant ; et</w:t>
      </w:r>
    </w:p>
    <w:p w14:paraId="100E148F" w14:textId="77777777" w:rsidR="00E63352" w:rsidRPr="006D427C" w:rsidRDefault="00E63352" w:rsidP="00E63352">
      <w:pPr>
        <w:pStyle w:val="Heading2"/>
        <w:numPr>
          <w:ilvl w:val="1"/>
          <w:numId w:val="1"/>
        </w:numPr>
        <w:tabs>
          <w:tab w:val="clear" w:pos="0"/>
          <w:tab w:val="num" w:pos="-720"/>
        </w:tabs>
      </w:pPr>
      <w:r>
        <w:t>Tous les fonds restants détenus par les agences bilatérales ou d’exécution ou le Pays en vertu du Plan seront restitués au Fonds multilatéral lors de l’achèvement de la dernière tranche prévue dans le cadre du présent Accord.</w:t>
      </w:r>
    </w:p>
    <w:p w14:paraId="0737626E" w14:textId="77777777" w:rsidR="00E63352" w:rsidRPr="006D427C" w:rsidRDefault="00E63352" w:rsidP="00E63352">
      <w:pPr>
        <w:keepNext/>
        <w:spacing w:before="240" w:after="240"/>
        <w:rPr>
          <w:b/>
        </w:rPr>
      </w:pPr>
      <w:r>
        <w:rPr>
          <w:b/>
        </w:rPr>
        <w:t>Facteurs à prendre en ligne de compte pour le secteur de l’entretien des équipements de réfrigération</w:t>
      </w:r>
    </w:p>
    <w:p w14:paraId="72C7DD71" w14:textId="77777777" w:rsidR="00E63352" w:rsidRPr="006D427C" w:rsidRDefault="00E63352" w:rsidP="00E63352">
      <w:pPr>
        <w:pStyle w:val="Heading1"/>
        <w:keepNext/>
      </w:pPr>
      <w:r>
        <w:t>La réalisation des activités dans le secteur de l’entretien des appareils de réfrigération incluses dans le Plan fera l’objet d’une attention particulière, notamment sur les points suivants :</w:t>
      </w:r>
    </w:p>
    <w:p w14:paraId="78871CD4" w14:textId="77777777" w:rsidR="00E63352" w:rsidRPr="006D427C" w:rsidRDefault="00E63352" w:rsidP="00E63352">
      <w:pPr>
        <w:pStyle w:val="Heading2"/>
        <w:numPr>
          <w:ilvl w:val="1"/>
          <w:numId w:val="1"/>
        </w:numPr>
        <w:tabs>
          <w:tab w:val="clear" w:pos="0"/>
          <w:tab w:val="num" w:pos="-720"/>
        </w:tabs>
      </w:pPr>
      <w:r>
        <w:t>Le Pays utilisera la marge de manœuvre offerte en vertu du présent Accord pour répondre aux besoins spécifiques qui pourraient survenir lors de la mise en œuvre du projet ; et</w:t>
      </w:r>
    </w:p>
    <w:p w14:paraId="7269D6B1" w14:textId="77777777" w:rsidR="00E63352" w:rsidRPr="006D427C" w:rsidRDefault="00E63352" w:rsidP="00E63352">
      <w:pPr>
        <w:pStyle w:val="Heading2"/>
        <w:numPr>
          <w:ilvl w:val="1"/>
          <w:numId w:val="1"/>
        </w:numPr>
        <w:tabs>
          <w:tab w:val="clear" w:pos="0"/>
          <w:tab w:val="num" w:pos="-720"/>
        </w:tabs>
      </w:pPr>
      <w:r>
        <w:t>Le Pays et les agences bilatérales et/ou d’exécution concernées tiendront compte des décisions pertinentes concernant le secteur de l’entretien des équipements de réfrigération pendant la mise en œuvre du Pan.</w:t>
      </w:r>
    </w:p>
    <w:p w14:paraId="615E30DF" w14:textId="77777777" w:rsidR="00E63352" w:rsidRPr="006D427C" w:rsidRDefault="00E63352" w:rsidP="00E63352">
      <w:pPr>
        <w:keepNext/>
        <w:spacing w:before="240" w:after="240"/>
        <w:rPr>
          <w:b/>
        </w:rPr>
      </w:pPr>
      <w:r>
        <w:rPr>
          <w:b/>
        </w:rPr>
        <w:t>Agences bilatérales et d’exécution</w:t>
      </w:r>
    </w:p>
    <w:p w14:paraId="7585BC7E" w14:textId="5E1F2C3A" w:rsidR="00E63352" w:rsidRPr="006D427C" w:rsidRDefault="00E63352" w:rsidP="00E63352">
      <w:pPr>
        <w:pStyle w:val="Heading1"/>
        <w:keepNext/>
      </w:pPr>
      <w:r>
        <w:t>Le Pays convient d’assumer la responsabilité générale de la gestion et de la mise en œuvre du présent Accord et de toutes les activités entreprises dans le cadre de ce dernier ou en son nom afin de s’acquitter de ses obligations en vertu du présent Accord. Le PNUE a convenu d’agir en qualité d’agence d’exécution principale (</w:t>
      </w:r>
      <w:r w:rsidR="004A33EB">
        <w:t>l</w:t>
      </w:r>
      <w:proofErr w:type="gramStart"/>
      <w:r w:rsidR="004A33EB">
        <w:t>’«</w:t>
      </w:r>
      <w:proofErr w:type="gramEnd"/>
      <w:r>
        <w:t> Agence d’exécution principale ») en ce qui concerne les activités du Pays prévues en vertu du présent Accord. Le Pays accepte les évaluations qui pourront être effectuées dans le cadre des programmes de travail de surveillance et d’évaluation du Fonds multilatéral ou du programme d’évaluation de l’Agence d’exécution principale participant au présent Accord.</w:t>
      </w:r>
    </w:p>
    <w:p w14:paraId="269D13AE" w14:textId="7FDCF98D" w:rsidR="00E63352" w:rsidRPr="006D427C" w:rsidRDefault="00E63352" w:rsidP="00E63352">
      <w:pPr>
        <w:pStyle w:val="Heading1"/>
      </w:pPr>
      <w:r>
        <w:t>L’Agence d’exécution principale sera responsable de la coordination de la planification, de la mise en œuvre et des rapports pour toutes les activités dans le cadre du présent Accord, y compris mais sans s’y limiter, la vérification indépendante indiquée à l’alinéa 5(b). Le rôle de l’Agence d’exécution principale est précisé dans l’appendice 6-A. Le Comité exécutif consent, en principe, à verser à l’Agence d’exécution principale les frais indiqués à la ligne 2.2 de l’appendice 2</w:t>
      </w:r>
      <w:r>
        <w:noBreakHyphen/>
        <w:t>A.</w:t>
      </w:r>
    </w:p>
    <w:p w14:paraId="7308AEE2" w14:textId="77777777" w:rsidR="00E63352" w:rsidRPr="006D427C" w:rsidRDefault="00E63352" w:rsidP="00E63352">
      <w:pPr>
        <w:keepNext/>
        <w:spacing w:before="240" w:after="240"/>
        <w:rPr>
          <w:b/>
        </w:rPr>
      </w:pPr>
      <w:r>
        <w:rPr>
          <w:b/>
        </w:rPr>
        <w:t>Non-respect de l’Accord</w:t>
      </w:r>
    </w:p>
    <w:p w14:paraId="2F2A088B" w14:textId="12936C33" w:rsidR="00E63352" w:rsidRPr="006D427C" w:rsidRDefault="00E63352" w:rsidP="00E63352">
      <w:pPr>
        <w:pStyle w:val="Heading1"/>
        <w:keepNext/>
        <w:spacing w:before="240"/>
      </w:pPr>
      <w:r>
        <w:t xml:space="preserve">Si, pour quelque raison que ce soit, le Pays ne respecte pas les Objectifs d’élimination des Substances indiqués à la ligne 1.2. de l’appendice 2-A ou bien ne se conforme pas au présent Accord, il accepte alors de ne plus être en droit de prétendre au financement conformément au </w:t>
      </w:r>
      <w:r w:rsidR="00606835" w:rsidRPr="00606835">
        <w:t>calendrier d’approbation du financement</w:t>
      </w:r>
      <w:r>
        <w:t xml:space="preserve">.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w:t>
      </w:r>
      <w:r w:rsidR="00606835" w:rsidRPr="00606835">
        <w:t>calendrier d’approbation du financement</w:t>
      </w:r>
      <w:r>
        <w:t xml:space="preserve">. Le Pays convient que le Comité exécutif peut déduire du montant du financement le montant indiqué à l’appendice 7-A (« Réductions du financement en cas de non-conformité ») pour chaque kilogramme PAO de réduction de consommation non réalisé au cours d’une même année. Le Comité exécutif discutera de chaque cas de non-respect du présent Accord et prendra des décisions en conséquence. Une fois les décisions prises, le cas spécifique de non-respect du présent </w:t>
      </w:r>
      <w:r>
        <w:lastRenderedPageBreak/>
        <w:t>Accord n’empêchera pas le versement de fonds destinés aux tranches futures selon le paragraphe 5 ci-dessus.</w:t>
      </w:r>
    </w:p>
    <w:p w14:paraId="7A967A75" w14:textId="77777777" w:rsidR="00E63352" w:rsidRPr="006D427C" w:rsidRDefault="00E63352" w:rsidP="00E63352">
      <w:pPr>
        <w:pStyle w:val="Heading1"/>
      </w:pPr>
      <w:r>
        <w:t>Le financement du présent Accord ne sera pas modifié en raison d’une décision future du Comité exécutif qui pourrait avoir une incidence sur le financement de tout autre projet de consommation sectorielle ou sur toute autre activité connexe dans le Pays.</w:t>
      </w:r>
    </w:p>
    <w:p w14:paraId="79E4E305" w14:textId="77777777" w:rsidR="00E63352" w:rsidRPr="006D427C" w:rsidRDefault="00E63352" w:rsidP="00E63352">
      <w:pPr>
        <w:pStyle w:val="Heading1"/>
      </w:pPr>
      <w:r>
        <w:t>Le Pays se conformera à toute demande raisonnable du Comité exécutif et de l’Agence d’exécution principale en vue de faciliter la mise en œuvre du présent Accord. Plus particulièrement, il permettra à l’Agence d’exécution principale d’accéder aux renseignements nécessaires pour vérifier le respect du présent Accord.</w:t>
      </w:r>
    </w:p>
    <w:p w14:paraId="5CE63538" w14:textId="77777777" w:rsidR="00E63352" w:rsidRPr="006D427C" w:rsidRDefault="00E63352" w:rsidP="00080EF6">
      <w:pPr>
        <w:keepNext/>
        <w:spacing w:before="240" w:after="240"/>
        <w:rPr>
          <w:b/>
        </w:rPr>
      </w:pPr>
      <w:r>
        <w:rPr>
          <w:b/>
        </w:rPr>
        <w:t>Date d’achèvement</w:t>
      </w:r>
    </w:p>
    <w:p w14:paraId="06948FAC" w14:textId="77777777" w:rsidR="00E63352" w:rsidRPr="00B375EA" w:rsidRDefault="00E63352" w:rsidP="00E63352">
      <w:pPr>
        <w:pStyle w:val="Heading1"/>
        <w:spacing w:before="240"/>
      </w:pPr>
      <w:r>
        <w:t>L’achèvement du Plan et de l’Accord s’y rapportant aura lieu à la fin de l’année qui suit la dernière année pour laquelle une consommation totale maximale admissible est spécifiée dans l’appendice 2-A. S’il reste encore des activités en cours lors de l’achèvement et que ces activités étaient prévues dans le dernier plan de mise en œuvre de la tranche et ses révisions subséquentes en vertu de l’alinéa 5(d) et du paragraphe 7, l’achèvement du Plan sera reporté à la fin de l’année suivant la mise en œuvre des activités restantes. Les rapports prévus aux alinéas 1(a), 1(b), 1(d) et 1(e) de l’appendice 4-A continueront d’être exigés jusqu’à l’achèvement du Plan, à moins d’indication contraire de la part du Comité exécutif.</w:t>
      </w:r>
    </w:p>
    <w:p w14:paraId="0C58634C" w14:textId="77777777" w:rsidR="00E63352" w:rsidRPr="00B375EA" w:rsidRDefault="00E63352" w:rsidP="00E63352">
      <w:pPr>
        <w:spacing w:before="240" w:after="240"/>
      </w:pPr>
      <w:r>
        <w:rPr>
          <w:b/>
        </w:rPr>
        <w:t>Validité</w:t>
      </w:r>
    </w:p>
    <w:p w14:paraId="35E61BB9" w14:textId="77777777" w:rsidR="00E63352" w:rsidRPr="00B375EA" w:rsidRDefault="00E63352" w:rsidP="00E63352">
      <w:pPr>
        <w:pStyle w:val="Heading1"/>
        <w:spacing w:before="240"/>
      </w:pPr>
      <w:r>
        <w:t>Toutes les conditions définies dans le présent Accord ne sont fixées que dans le contexte du Protocole de Montréal et telles qu’elles sont précisées dans le présent accord. Tous les mots et expressions utilisés dans le présent Accord ont le sens qui leur est attribué dans le Protocole de Montréal, à moins d’être définis dans les présentes.</w:t>
      </w:r>
    </w:p>
    <w:p w14:paraId="57C25C20" w14:textId="77777777" w:rsidR="00E63352" w:rsidRPr="00B375EA" w:rsidRDefault="00E63352" w:rsidP="00E63352">
      <w:pPr>
        <w:pStyle w:val="Heading1"/>
      </w:pPr>
      <w:r>
        <w:t>Le présent Accord ne peut être modifié ou résilié que par consentement écrit mutuel entre le Gouvernement du Pays et le Comité exécutif du Fonds multilatéral.</w:t>
      </w:r>
    </w:p>
    <w:p w14:paraId="5655223F" w14:textId="77777777" w:rsidR="00E63352" w:rsidRPr="00636FF8" w:rsidRDefault="00E63352" w:rsidP="004A33EB">
      <w:pPr>
        <w:pStyle w:val="Heading1"/>
        <w:widowControl w:val="0"/>
        <w:numPr>
          <w:ilvl w:val="0"/>
          <w:numId w:val="0"/>
        </w:numPr>
        <w:spacing w:before="240"/>
        <w:rPr>
          <w:b/>
          <w:sz w:val="24"/>
          <w:szCs w:val="24"/>
        </w:rPr>
      </w:pPr>
      <w:r>
        <w:rPr>
          <w:b/>
          <w:sz w:val="24"/>
        </w:rPr>
        <w:t>APPENDICES</w:t>
      </w:r>
    </w:p>
    <w:p w14:paraId="1B0FB6F0" w14:textId="77777777" w:rsidR="00E63352" w:rsidRPr="00B375EA" w:rsidRDefault="00E63352" w:rsidP="00E63352">
      <w:pPr>
        <w:pStyle w:val="Heading1"/>
        <w:widowControl w:val="0"/>
        <w:numPr>
          <w:ilvl w:val="0"/>
          <w:numId w:val="0"/>
        </w:numPr>
        <w:spacing w:before="360" w:after="60"/>
        <w:rPr>
          <w:b/>
        </w:rPr>
      </w:pPr>
      <w:r>
        <w:rPr>
          <w:b/>
        </w:rPr>
        <w:t>APPENDICE 1-A :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E63352" w:rsidRPr="00B375EA" w14:paraId="514D8F77" w14:textId="77777777" w:rsidTr="00C0058C">
        <w:trPr>
          <w:trHeight w:val="413"/>
          <w:tblHeader/>
        </w:trPr>
        <w:tc>
          <w:tcPr>
            <w:tcW w:w="1896" w:type="pct"/>
            <w:shd w:val="clear" w:color="auto" w:fill="auto"/>
            <w:vAlign w:val="center"/>
          </w:tcPr>
          <w:p w14:paraId="44E9C5D1" w14:textId="77777777" w:rsidR="00E63352" w:rsidRPr="00B375EA" w:rsidRDefault="00E63352" w:rsidP="00C0058C">
            <w:pPr>
              <w:widowControl w:val="0"/>
              <w:jc w:val="center"/>
              <w:rPr>
                <w:sz w:val="20"/>
                <w:szCs w:val="20"/>
              </w:rPr>
            </w:pPr>
            <w:r>
              <w:rPr>
                <w:sz w:val="20"/>
              </w:rPr>
              <w:t>Substance</w:t>
            </w:r>
          </w:p>
        </w:tc>
        <w:tc>
          <w:tcPr>
            <w:tcW w:w="758" w:type="pct"/>
            <w:shd w:val="clear" w:color="auto" w:fill="auto"/>
            <w:vAlign w:val="center"/>
          </w:tcPr>
          <w:p w14:paraId="5756B858" w14:textId="77777777" w:rsidR="00E63352" w:rsidRPr="00B375EA" w:rsidRDefault="00E63352" w:rsidP="00C0058C">
            <w:pPr>
              <w:widowControl w:val="0"/>
              <w:jc w:val="center"/>
              <w:rPr>
                <w:sz w:val="20"/>
                <w:szCs w:val="20"/>
              </w:rPr>
            </w:pPr>
            <w:r>
              <w:rPr>
                <w:sz w:val="20"/>
              </w:rPr>
              <w:t>Annexe</w:t>
            </w:r>
          </w:p>
        </w:tc>
        <w:tc>
          <w:tcPr>
            <w:tcW w:w="758" w:type="pct"/>
            <w:shd w:val="clear" w:color="auto" w:fill="auto"/>
            <w:vAlign w:val="center"/>
          </w:tcPr>
          <w:p w14:paraId="34EAE482" w14:textId="77777777" w:rsidR="00E63352" w:rsidRPr="00B375EA" w:rsidRDefault="00E63352" w:rsidP="00C0058C">
            <w:pPr>
              <w:widowControl w:val="0"/>
              <w:jc w:val="center"/>
              <w:rPr>
                <w:sz w:val="20"/>
                <w:szCs w:val="20"/>
              </w:rPr>
            </w:pPr>
            <w:r>
              <w:rPr>
                <w:sz w:val="20"/>
              </w:rPr>
              <w:t>Groupe</w:t>
            </w:r>
          </w:p>
        </w:tc>
        <w:tc>
          <w:tcPr>
            <w:tcW w:w="1588" w:type="pct"/>
            <w:shd w:val="clear" w:color="auto" w:fill="auto"/>
            <w:vAlign w:val="center"/>
          </w:tcPr>
          <w:p w14:paraId="324D0F37" w14:textId="77777777" w:rsidR="00E63352" w:rsidRPr="00B375EA" w:rsidRDefault="00E63352" w:rsidP="00C0058C">
            <w:pPr>
              <w:widowControl w:val="0"/>
              <w:jc w:val="center"/>
              <w:rPr>
                <w:sz w:val="20"/>
                <w:szCs w:val="20"/>
              </w:rPr>
            </w:pPr>
            <w:r>
              <w:rPr>
                <w:sz w:val="20"/>
              </w:rPr>
              <w:t>Point de départ des réductions globales de la consommation (tonnes PAO)</w:t>
            </w:r>
          </w:p>
        </w:tc>
      </w:tr>
      <w:tr w:rsidR="00E63352" w:rsidRPr="00B375EA" w14:paraId="4997E59E" w14:textId="77777777" w:rsidTr="00C0058C">
        <w:tc>
          <w:tcPr>
            <w:tcW w:w="1896" w:type="pct"/>
            <w:shd w:val="clear" w:color="auto" w:fill="auto"/>
          </w:tcPr>
          <w:p w14:paraId="2785A3F2" w14:textId="77777777" w:rsidR="00E63352" w:rsidRPr="00B375EA" w:rsidRDefault="00E63352" w:rsidP="00C0058C">
            <w:pPr>
              <w:widowControl w:val="0"/>
              <w:rPr>
                <w:sz w:val="20"/>
                <w:szCs w:val="20"/>
              </w:rPr>
            </w:pPr>
            <w:r>
              <w:rPr>
                <w:sz w:val="20"/>
              </w:rPr>
              <w:t>HCFC-22</w:t>
            </w:r>
          </w:p>
        </w:tc>
        <w:tc>
          <w:tcPr>
            <w:tcW w:w="758" w:type="pct"/>
            <w:shd w:val="clear" w:color="auto" w:fill="auto"/>
            <w:vAlign w:val="center"/>
          </w:tcPr>
          <w:p w14:paraId="4CEF3AFA" w14:textId="77777777" w:rsidR="00E63352" w:rsidRPr="00B375EA" w:rsidRDefault="00E63352" w:rsidP="00C0058C">
            <w:pPr>
              <w:widowControl w:val="0"/>
              <w:jc w:val="center"/>
              <w:rPr>
                <w:sz w:val="20"/>
                <w:szCs w:val="20"/>
              </w:rPr>
            </w:pPr>
            <w:r>
              <w:rPr>
                <w:sz w:val="20"/>
              </w:rPr>
              <w:t>C</w:t>
            </w:r>
          </w:p>
        </w:tc>
        <w:tc>
          <w:tcPr>
            <w:tcW w:w="758" w:type="pct"/>
            <w:shd w:val="clear" w:color="auto" w:fill="auto"/>
            <w:vAlign w:val="center"/>
          </w:tcPr>
          <w:p w14:paraId="10B66E47" w14:textId="77777777" w:rsidR="00E63352" w:rsidRPr="00B375EA" w:rsidRDefault="00E63352" w:rsidP="00C0058C">
            <w:pPr>
              <w:widowControl w:val="0"/>
              <w:jc w:val="center"/>
              <w:rPr>
                <w:sz w:val="20"/>
                <w:szCs w:val="20"/>
              </w:rPr>
            </w:pPr>
            <w:r>
              <w:rPr>
                <w:sz w:val="20"/>
              </w:rPr>
              <w:t>I</w:t>
            </w:r>
          </w:p>
        </w:tc>
        <w:tc>
          <w:tcPr>
            <w:tcW w:w="1588" w:type="pct"/>
            <w:shd w:val="clear" w:color="auto" w:fill="FFFFFF" w:themeFill="background1"/>
          </w:tcPr>
          <w:p w14:paraId="41B14B05" w14:textId="77777777" w:rsidR="00E63352" w:rsidRPr="001A3B4C" w:rsidRDefault="00E63352" w:rsidP="00606835">
            <w:pPr>
              <w:widowControl w:val="0"/>
              <w:ind w:right="317"/>
              <w:jc w:val="center"/>
              <w:rPr>
                <w:sz w:val="20"/>
                <w:szCs w:val="20"/>
              </w:rPr>
            </w:pPr>
            <w:r>
              <w:rPr>
                <w:sz w:val="20"/>
              </w:rPr>
              <w:t>0,14</w:t>
            </w:r>
          </w:p>
        </w:tc>
      </w:tr>
      <w:tr w:rsidR="00E63352" w:rsidRPr="00B375EA" w14:paraId="1471E9F7" w14:textId="77777777" w:rsidTr="00C0058C">
        <w:tc>
          <w:tcPr>
            <w:tcW w:w="3412" w:type="pct"/>
            <w:gridSpan w:val="3"/>
            <w:shd w:val="clear" w:color="auto" w:fill="auto"/>
          </w:tcPr>
          <w:p w14:paraId="6350C054" w14:textId="77777777" w:rsidR="00E63352" w:rsidRPr="00B375EA" w:rsidRDefault="00E63352" w:rsidP="00C0058C">
            <w:pPr>
              <w:pStyle w:val="Default"/>
              <w:rPr>
                <w:sz w:val="20"/>
                <w:szCs w:val="20"/>
              </w:rPr>
            </w:pPr>
            <w:r>
              <w:rPr>
                <w:b/>
                <w:sz w:val="20"/>
              </w:rPr>
              <w:t>Total</w:t>
            </w:r>
          </w:p>
        </w:tc>
        <w:tc>
          <w:tcPr>
            <w:tcW w:w="1588" w:type="pct"/>
            <w:shd w:val="clear" w:color="auto" w:fill="FFFFFF" w:themeFill="background1"/>
          </w:tcPr>
          <w:p w14:paraId="2BEF3FDE" w14:textId="77777777" w:rsidR="00E63352" w:rsidRPr="001A3B4C" w:rsidRDefault="00E63352" w:rsidP="00606835">
            <w:pPr>
              <w:pStyle w:val="Default"/>
              <w:ind w:right="317"/>
              <w:jc w:val="center"/>
              <w:rPr>
                <w:sz w:val="20"/>
                <w:szCs w:val="20"/>
              </w:rPr>
            </w:pPr>
            <w:r>
              <w:rPr>
                <w:sz w:val="20"/>
              </w:rPr>
              <w:t>0,14</w:t>
            </w:r>
          </w:p>
        </w:tc>
      </w:tr>
    </w:tbl>
    <w:p w14:paraId="712952B0" w14:textId="77777777" w:rsidR="00E63352" w:rsidRPr="00B375EA" w:rsidRDefault="00E63352" w:rsidP="00E63352">
      <w:pPr>
        <w:pStyle w:val="Heading1"/>
        <w:keepNext/>
        <w:numPr>
          <w:ilvl w:val="0"/>
          <w:numId w:val="0"/>
        </w:numPr>
        <w:spacing w:before="360" w:after="60"/>
        <w:rPr>
          <w:b/>
        </w:rPr>
      </w:pPr>
      <w:r>
        <w:rPr>
          <w:b/>
        </w:rPr>
        <w:t>APPENDICE 2-A : LES OBJECTIFS ET LE FINANCEMENT</w:t>
      </w:r>
    </w:p>
    <w:tbl>
      <w:tblPr>
        <w:tblW w:w="5000" w:type="pct"/>
        <w:jc w:val="center"/>
        <w:tblCellMar>
          <w:left w:w="85" w:type="dxa"/>
          <w:right w:w="85" w:type="dxa"/>
        </w:tblCellMar>
        <w:tblLook w:val="04A0" w:firstRow="1" w:lastRow="0" w:firstColumn="1" w:lastColumn="0" w:noHBand="0" w:noVBand="1"/>
      </w:tblPr>
      <w:tblGrid>
        <w:gridCol w:w="659"/>
        <w:gridCol w:w="3664"/>
        <w:gridCol w:w="837"/>
        <w:gridCol w:w="838"/>
        <w:gridCol w:w="838"/>
        <w:gridCol w:w="838"/>
        <w:gridCol w:w="856"/>
        <w:gridCol w:w="820"/>
      </w:tblGrid>
      <w:tr w:rsidR="00E63352" w:rsidRPr="00B375EA" w14:paraId="6A21CED7" w14:textId="77777777" w:rsidTr="00C0058C">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59561F59" w14:textId="77777777" w:rsidR="00E63352" w:rsidRPr="00B375EA" w:rsidRDefault="00E63352" w:rsidP="00C0058C">
            <w:pPr>
              <w:keepNext/>
              <w:keepLines/>
              <w:jc w:val="center"/>
              <w:rPr>
                <w:b/>
                <w:bCs/>
                <w:color w:val="000000"/>
                <w:sz w:val="20"/>
                <w:szCs w:val="20"/>
              </w:rPr>
            </w:pPr>
            <w:r>
              <w:rPr>
                <w:b/>
                <w:color w:val="000000"/>
                <w:sz w:val="20"/>
              </w:rPr>
              <w:t>Ligne</w:t>
            </w:r>
          </w:p>
        </w:tc>
        <w:tc>
          <w:tcPr>
            <w:tcW w:w="1967" w:type="pct"/>
            <w:tcBorders>
              <w:top w:val="single" w:sz="4" w:space="0" w:color="auto"/>
              <w:left w:val="nil"/>
              <w:bottom w:val="single" w:sz="4" w:space="0" w:color="auto"/>
              <w:right w:val="single" w:sz="4" w:space="0" w:color="auto"/>
            </w:tcBorders>
            <w:shd w:val="clear" w:color="auto" w:fill="auto"/>
            <w:hideMark/>
          </w:tcPr>
          <w:p w14:paraId="57FD8B72" w14:textId="77777777" w:rsidR="00E63352" w:rsidRPr="00B375EA" w:rsidRDefault="00E63352" w:rsidP="00C0058C">
            <w:pPr>
              <w:keepNext/>
              <w:keepLines/>
              <w:jc w:val="center"/>
              <w:rPr>
                <w:b/>
                <w:bCs/>
                <w:color w:val="000000"/>
                <w:sz w:val="20"/>
                <w:szCs w:val="20"/>
              </w:rPr>
            </w:pPr>
            <w:r>
              <w:rPr>
                <w:b/>
                <w:color w:val="000000"/>
                <w:sz w:val="20"/>
              </w:rPr>
              <w:t>Catégorie</w:t>
            </w:r>
          </w:p>
        </w:tc>
        <w:tc>
          <w:tcPr>
            <w:tcW w:w="455" w:type="pct"/>
            <w:tcBorders>
              <w:top w:val="single" w:sz="4" w:space="0" w:color="auto"/>
              <w:left w:val="nil"/>
              <w:bottom w:val="single" w:sz="4" w:space="0" w:color="auto"/>
              <w:right w:val="single" w:sz="4" w:space="0" w:color="auto"/>
            </w:tcBorders>
            <w:shd w:val="clear" w:color="auto" w:fill="auto"/>
            <w:hideMark/>
          </w:tcPr>
          <w:p w14:paraId="34DB86C1" w14:textId="77777777" w:rsidR="00E63352" w:rsidRPr="00B375EA" w:rsidRDefault="00E63352" w:rsidP="00C0058C">
            <w:pPr>
              <w:keepNext/>
              <w:keepLines/>
              <w:jc w:val="center"/>
              <w:rPr>
                <w:b/>
                <w:bCs/>
                <w:color w:val="000000"/>
                <w:sz w:val="20"/>
                <w:szCs w:val="20"/>
              </w:rPr>
            </w:pPr>
            <w:r>
              <w:rPr>
                <w:b/>
                <w:color w:val="000000"/>
                <w:sz w:val="20"/>
              </w:rPr>
              <w:t>2024</w:t>
            </w:r>
          </w:p>
        </w:tc>
        <w:tc>
          <w:tcPr>
            <w:tcW w:w="455" w:type="pct"/>
            <w:tcBorders>
              <w:top w:val="single" w:sz="4" w:space="0" w:color="auto"/>
              <w:left w:val="nil"/>
              <w:bottom w:val="single" w:sz="4" w:space="0" w:color="auto"/>
              <w:right w:val="single" w:sz="4" w:space="0" w:color="auto"/>
            </w:tcBorders>
            <w:shd w:val="clear" w:color="auto" w:fill="auto"/>
            <w:hideMark/>
          </w:tcPr>
          <w:p w14:paraId="64CD7AFE" w14:textId="77777777" w:rsidR="00E63352" w:rsidRPr="00B375EA" w:rsidRDefault="00E63352" w:rsidP="00C0058C">
            <w:pPr>
              <w:keepNext/>
              <w:keepLines/>
              <w:jc w:val="center"/>
              <w:rPr>
                <w:b/>
                <w:bCs/>
                <w:color w:val="000000"/>
                <w:sz w:val="20"/>
                <w:szCs w:val="20"/>
              </w:rPr>
            </w:pPr>
            <w:r>
              <w:rPr>
                <w:b/>
                <w:color w:val="000000"/>
                <w:sz w:val="20"/>
              </w:rPr>
              <w:t>2025</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39F45D28" w14:textId="0BE5B497" w:rsidR="00E63352" w:rsidRPr="00B375EA" w:rsidRDefault="006D427C" w:rsidP="00C0058C">
            <w:pPr>
              <w:keepNext/>
              <w:keepLines/>
              <w:jc w:val="center"/>
              <w:rPr>
                <w:b/>
                <w:bCs/>
                <w:color w:val="000000"/>
                <w:sz w:val="20"/>
                <w:szCs w:val="20"/>
              </w:rPr>
            </w:pPr>
            <w:r>
              <w:rPr>
                <w:b/>
                <w:color w:val="000000"/>
                <w:sz w:val="20"/>
              </w:rPr>
              <w:t>2026</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6EA69D2C" w14:textId="064DB1D1" w:rsidR="00E63352" w:rsidRPr="00B375EA" w:rsidRDefault="006D427C" w:rsidP="00C0058C">
            <w:pPr>
              <w:keepNext/>
              <w:keepLines/>
              <w:jc w:val="center"/>
              <w:rPr>
                <w:b/>
                <w:bCs/>
                <w:color w:val="000000"/>
                <w:sz w:val="20"/>
                <w:szCs w:val="20"/>
              </w:rPr>
            </w:pPr>
            <w:r>
              <w:rPr>
                <w:b/>
                <w:color w:val="000000"/>
                <w:sz w:val="20"/>
              </w:rPr>
              <w:t>2027-2029</w:t>
            </w:r>
          </w:p>
        </w:tc>
        <w:tc>
          <w:tcPr>
            <w:tcW w:w="464" w:type="pct"/>
            <w:tcBorders>
              <w:top w:val="single" w:sz="4" w:space="0" w:color="auto"/>
              <w:left w:val="nil"/>
              <w:bottom w:val="single" w:sz="4" w:space="0" w:color="auto"/>
              <w:right w:val="single" w:sz="4" w:space="0" w:color="auto"/>
            </w:tcBorders>
            <w:shd w:val="clear" w:color="auto" w:fill="auto"/>
            <w:hideMark/>
          </w:tcPr>
          <w:p w14:paraId="08E8926E" w14:textId="77777777" w:rsidR="00E63352" w:rsidRPr="00B375EA" w:rsidRDefault="00E63352" w:rsidP="00C0058C">
            <w:pPr>
              <w:keepNext/>
              <w:keepLines/>
              <w:jc w:val="center"/>
              <w:rPr>
                <w:b/>
                <w:bCs/>
                <w:color w:val="000000"/>
                <w:sz w:val="20"/>
                <w:szCs w:val="20"/>
              </w:rPr>
            </w:pPr>
            <w:r>
              <w:rPr>
                <w:b/>
                <w:color w:val="000000"/>
                <w:sz w:val="20"/>
              </w:rPr>
              <w:t>2030</w:t>
            </w:r>
          </w:p>
        </w:tc>
        <w:tc>
          <w:tcPr>
            <w:tcW w:w="444" w:type="pct"/>
            <w:tcBorders>
              <w:top w:val="single" w:sz="4" w:space="0" w:color="auto"/>
              <w:left w:val="nil"/>
              <w:bottom w:val="single" w:sz="4" w:space="0" w:color="auto"/>
              <w:right w:val="single" w:sz="4" w:space="0" w:color="auto"/>
            </w:tcBorders>
            <w:shd w:val="clear" w:color="auto" w:fill="auto"/>
            <w:hideMark/>
          </w:tcPr>
          <w:p w14:paraId="5D4639BC" w14:textId="77777777" w:rsidR="00E63352" w:rsidRPr="00B375EA" w:rsidRDefault="00E63352" w:rsidP="00C0058C">
            <w:pPr>
              <w:keepNext/>
              <w:keepLines/>
              <w:jc w:val="center"/>
              <w:rPr>
                <w:b/>
                <w:bCs/>
                <w:color w:val="000000"/>
                <w:sz w:val="20"/>
                <w:szCs w:val="20"/>
              </w:rPr>
            </w:pPr>
            <w:r>
              <w:rPr>
                <w:b/>
                <w:color w:val="000000"/>
                <w:sz w:val="20"/>
              </w:rPr>
              <w:t>Total</w:t>
            </w:r>
          </w:p>
        </w:tc>
      </w:tr>
      <w:tr w:rsidR="00F53B5F" w:rsidRPr="00B375EA" w14:paraId="0E439944" w14:textId="77777777" w:rsidTr="007476AB">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2E08FD60" w14:textId="77777777" w:rsidR="006D427C" w:rsidRPr="00B375EA" w:rsidRDefault="006D427C" w:rsidP="006D427C">
            <w:pPr>
              <w:keepNext/>
              <w:keepLines/>
              <w:jc w:val="left"/>
              <w:rPr>
                <w:color w:val="000000"/>
                <w:sz w:val="20"/>
                <w:szCs w:val="20"/>
              </w:rPr>
            </w:pPr>
            <w:r>
              <w:rPr>
                <w:color w:val="000000"/>
                <w:sz w:val="20"/>
              </w:rPr>
              <w:t>1,1</w:t>
            </w:r>
          </w:p>
        </w:tc>
        <w:tc>
          <w:tcPr>
            <w:tcW w:w="1967" w:type="pct"/>
            <w:tcBorders>
              <w:top w:val="nil"/>
              <w:left w:val="nil"/>
              <w:bottom w:val="single" w:sz="4" w:space="0" w:color="auto"/>
              <w:right w:val="single" w:sz="4" w:space="0" w:color="auto"/>
            </w:tcBorders>
            <w:shd w:val="clear" w:color="auto" w:fill="auto"/>
            <w:hideMark/>
          </w:tcPr>
          <w:p w14:paraId="29ED1B9A" w14:textId="77777777" w:rsidR="006D427C" w:rsidRPr="00B375EA" w:rsidRDefault="006D427C" w:rsidP="006D427C">
            <w:pPr>
              <w:keepNext/>
              <w:keepLines/>
              <w:jc w:val="left"/>
              <w:rPr>
                <w:color w:val="000000"/>
                <w:sz w:val="20"/>
                <w:szCs w:val="20"/>
              </w:rPr>
            </w:pPr>
            <w:r>
              <w:rPr>
                <w:color w:val="000000"/>
                <w:sz w:val="20"/>
              </w:rPr>
              <w:t>Calendrier de réduction des substances du groupe I de l’annexe C du Protocole de Montréal (tonnes PAO)</w:t>
            </w:r>
          </w:p>
        </w:tc>
        <w:tc>
          <w:tcPr>
            <w:tcW w:w="455" w:type="pct"/>
            <w:tcBorders>
              <w:top w:val="nil"/>
              <w:left w:val="nil"/>
              <w:bottom w:val="single" w:sz="4" w:space="0" w:color="auto"/>
              <w:right w:val="single" w:sz="4" w:space="0" w:color="auto"/>
            </w:tcBorders>
            <w:shd w:val="clear" w:color="auto" w:fill="auto"/>
          </w:tcPr>
          <w:p w14:paraId="0848A09D" w14:textId="75B7AF16" w:rsidR="006D427C" w:rsidRPr="00B375EA" w:rsidRDefault="006D427C" w:rsidP="00606835">
            <w:pPr>
              <w:keepNext/>
              <w:keepLines/>
              <w:jc w:val="center"/>
              <w:rPr>
                <w:color w:val="000000"/>
                <w:sz w:val="20"/>
                <w:szCs w:val="20"/>
              </w:rPr>
            </w:pPr>
            <w:r>
              <w:rPr>
                <w:sz w:val="20"/>
              </w:rPr>
              <w:t>0,09</w:t>
            </w:r>
          </w:p>
        </w:tc>
        <w:tc>
          <w:tcPr>
            <w:tcW w:w="455" w:type="pct"/>
            <w:tcBorders>
              <w:top w:val="nil"/>
              <w:left w:val="nil"/>
              <w:bottom w:val="single" w:sz="4" w:space="0" w:color="auto"/>
              <w:right w:val="single" w:sz="4" w:space="0" w:color="auto"/>
            </w:tcBorders>
            <w:shd w:val="clear" w:color="auto" w:fill="auto"/>
          </w:tcPr>
          <w:p w14:paraId="65466D51" w14:textId="50A8F2F9" w:rsidR="006D427C" w:rsidRPr="00B375EA" w:rsidRDefault="006D427C" w:rsidP="00606835">
            <w:pPr>
              <w:keepNext/>
              <w:keepLines/>
              <w:jc w:val="center"/>
              <w:rPr>
                <w:color w:val="000000"/>
                <w:sz w:val="20"/>
                <w:szCs w:val="20"/>
              </w:rPr>
            </w:pPr>
            <w:r>
              <w:rPr>
                <w:sz w:val="20"/>
              </w:rPr>
              <w:t>0,04</w:t>
            </w:r>
          </w:p>
        </w:tc>
        <w:tc>
          <w:tcPr>
            <w:tcW w:w="455" w:type="pct"/>
            <w:tcBorders>
              <w:top w:val="nil"/>
              <w:left w:val="nil"/>
              <w:bottom w:val="single" w:sz="4" w:space="0" w:color="auto"/>
              <w:right w:val="single" w:sz="4" w:space="0" w:color="auto"/>
            </w:tcBorders>
            <w:shd w:val="clear" w:color="auto" w:fill="auto"/>
          </w:tcPr>
          <w:p w14:paraId="59DCA4CD" w14:textId="7C7E19C3" w:rsidR="006D427C" w:rsidRPr="00B375EA" w:rsidRDefault="006D427C" w:rsidP="00606835">
            <w:pPr>
              <w:keepNext/>
              <w:keepLines/>
              <w:jc w:val="center"/>
              <w:rPr>
                <w:color w:val="000000"/>
                <w:sz w:val="20"/>
                <w:szCs w:val="20"/>
              </w:rPr>
            </w:pPr>
            <w:r>
              <w:rPr>
                <w:sz w:val="20"/>
              </w:rPr>
              <w:t>0,04</w:t>
            </w:r>
          </w:p>
        </w:tc>
        <w:tc>
          <w:tcPr>
            <w:tcW w:w="455" w:type="pct"/>
            <w:tcBorders>
              <w:top w:val="nil"/>
              <w:left w:val="nil"/>
              <w:bottom w:val="single" w:sz="4" w:space="0" w:color="auto"/>
              <w:right w:val="single" w:sz="4" w:space="0" w:color="auto"/>
            </w:tcBorders>
            <w:shd w:val="clear" w:color="auto" w:fill="auto"/>
          </w:tcPr>
          <w:p w14:paraId="00AB274A" w14:textId="0CAF4FD8" w:rsidR="006D427C" w:rsidRPr="00B375EA" w:rsidRDefault="006D427C" w:rsidP="00606835">
            <w:pPr>
              <w:keepNext/>
              <w:keepLines/>
              <w:jc w:val="center"/>
              <w:rPr>
                <w:color w:val="000000"/>
                <w:sz w:val="20"/>
                <w:szCs w:val="20"/>
              </w:rPr>
            </w:pPr>
            <w:r>
              <w:rPr>
                <w:sz w:val="20"/>
              </w:rPr>
              <w:t>0,04</w:t>
            </w:r>
          </w:p>
        </w:tc>
        <w:tc>
          <w:tcPr>
            <w:tcW w:w="464" w:type="pct"/>
            <w:tcBorders>
              <w:top w:val="nil"/>
              <w:left w:val="nil"/>
              <w:bottom w:val="single" w:sz="4" w:space="0" w:color="auto"/>
              <w:right w:val="single" w:sz="4" w:space="0" w:color="auto"/>
            </w:tcBorders>
            <w:shd w:val="clear" w:color="auto" w:fill="auto"/>
          </w:tcPr>
          <w:p w14:paraId="410EFB0E" w14:textId="0DA0A1A8" w:rsidR="006D427C" w:rsidRPr="00B375EA" w:rsidRDefault="006D427C" w:rsidP="00606835">
            <w:pPr>
              <w:keepNext/>
              <w:keepLines/>
              <w:jc w:val="center"/>
              <w:rPr>
                <w:color w:val="000000"/>
                <w:sz w:val="20"/>
                <w:szCs w:val="20"/>
              </w:rPr>
            </w:pPr>
            <w:r>
              <w:rPr>
                <w:sz w:val="20"/>
              </w:rPr>
              <w:t>0</w:t>
            </w:r>
          </w:p>
        </w:tc>
        <w:tc>
          <w:tcPr>
            <w:tcW w:w="444" w:type="pct"/>
            <w:tcBorders>
              <w:top w:val="nil"/>
              <w:left w:val="nil"/>
              <w:bottom w:val="single" w:sz="4" w:space="0" w:color="auto"/>
              <w:right w:val="single" w:sz="4" w:space="0" w:color="auto"/>
            </w:tcBorders>
            <w:shd w:val="clear" w:color="auto" w:fill="auto"/>
          </w:tcPr>
          <w:p w14:paraId="76C21243" w14:textId="666655F0" w:rsidR="006D427C" w:rsidRPr="00B375EA" w:rsidRDefault="006D427C" w:rsidP="00606835">
            <w:pPr>
              <w:keepNext/>
              <w:keepLines/>
              <w:jc w:val="center"/>
              <w:rPr>
                <w:color w:val="000000"/>
                <w:sz w:val="20"/>
                <w:szCs w:val="20"/>
              </w:rPr>
            </w:pPr>
            <w:proofErr w:type="spellStart"/>
            <w:r>
              <w:rPr>
                <w:sz w:val="20"/>
              </w:rPr>
              <w:t>s.o</w:t>
            </w:r>
            <w:proofErr w:type="spellEnd"/>
            <w:r>
              <w:rPr>
                <w:sz w:val="20"/>
              </w:rPr>
              <w:t>.</w:t>
            </w:r>
          </w:p>
        </w:tc>
      </w:tr>
      <w:tr w:rsidR="00F53B5F" w:rsidRPr="00B375EA" w14:paraId="09A6D24D" w14:textId="77777777" w:rsidTr="007476AB">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525B822B" w14:textId="77777777" w:rsidR="006D427C" w:rsidRPr="00B375EA" w:rsidRDefault="006D427C" w:rsidP="006D427C">
            <w:pPr>
              <w:jc w:val="left"/>
              <w:rPr>
                <w:color w:val="000000"/>
                <w:sz w:val="20"/>
                <w:szCs w:val="20"/>
              </w:rPr>
            </w:pPr>
            <w:r>
              <w:rPr>
                <w:color w:val="000000"/>
                <w:sz w:val="20"/>
              </w:rPr>
              <w:t>1,2</w:t>
            </w:r>
          </w:p>
        </w:tc>
        <w:tc>
          <w:tcPr>
            <w:tcW w:w="1967" w:type="pct"/>
            <w:tcBorders>
              <w:top w:val="nil"/>
              <w:left w:val="nil"/>
              <w:bottom w:val="single" w:sz="4" w:space="0" w:color="auto"/>
              <w:right w:val="single" w:sz="4" w:space="0" w:color="auto"/>
            </w:tcBorders>
            <w:shd w:val="clear" w:color="auto" w:fill="auto"/>
            <w:hideMark/>
          </w:tcPr>
          <w:p w14:paraId="1B9D9BDE" w14:textId="77777777" w:rsidR="006D427C" w:rsidRPr="00B375EA" w:rsidRDefault="006D427C" w:rsidP="006D427C">
            <w:pPr>
              <w:jc w:val="left"/>
              <w:rPr>
                <w:color w:val="000000"/>
                <w:sz w:val="20"/>
                <w:szCs w:val="20"/>
              </w:rPr>
            </w:pPr>
            <w:r>
              <w:rPr>
                <w:color w:val="000000"/>
                <w:sz w:val="20"/>
              </w:rPr>
              <w:t>Consommation totale maximale admissible des substances du groupe I de l’annexe C (tonnes PAO)</w:t>
            </w:r>
          </w:p>
        </w:tc>
        <w:tc>
          <w:tcPr>
            <w:tcW w:w="455" w:type="pct"/>
            <w:tcBorders>
              <w:top w:val="nil"/>
              <w:left w:val="nil"/>
              <w:bottom w:val="single" w:sz="4" w:space="0" w:color="auto"/>
              <w:right w:val="single" w:sz="4" w:space="0" w:color="auto"/>
            </w:tcBorders>
            <w:shd w:val="clear" w:color="auto" w:fill="auto"/>
          </w:tcPr>
          <w:p w14:paraId="08714AE0" w14:textId="7EFBC2F5" w:rsidR="006D427C" w:rsidRPr="00B375EA" w:rsidRDefault="006D427C" w:rsidP="00606835">
            <w:pPr>
              <w:jc w:val="center"/>
              <w:rPr>
                <w:color w:val="000000"/>
                <w:sz w:val="20"/>
                <w:szCs w:val="20"/>
              </w:rPr>
            </w:pPr>
            <w:r>
              <w:rPr>
                <w:sz w:val="20"/>
              </w:rPr>
              <w:t>0,09</w:t>
            </w:r>
          </w:p>
        </w:tc>
        <w:tc>
          <w:tcPr>
            <w:tcW w:w="455" w:type="pct"/>
            <w:tcBorders>
              <w:top w:val="nil"/>
              <w:left w:val="nil"/>
              <w:bottom w:val="single" w:sz="4" w:space="0" w:color="auto"/>
              <w:right w:val="single" w:sz="4" w:space="0" w:color="auto"/>
            </w:tcBorders>
            <w:shd w:val="clear" w:color="auto" w:fill="auto"/>
          </w:tcPr>
          <w:p w14:paraId="7D5221D4" w14:textId="3C96CAA4" w:rsidR="006D427C" w:rsidRPr="00B375EA" w:rsidRDefault="006D427C" w:rsidP="00606835">
            <w:pPr>
              <w:jc w:val="center"/>
              <w:rPr>
                <w:color w:val="000000"/>
                <w:sz w:val="20"/>
                <w:szCs w:val="20"/>
              </w:rPr>
            </w:pPr>
            <w:r>
              <w:rPr>
                <w:sz w:val="20"/>
              </w:rPr>
              <w:t>0,04</w:t>
            </w:r>
          </w:p>
        </w:tc>
        <w:tc>
          <w:tcPr>
            <w:tcW w:w="455" w:type="pct"/>
            <w:tcBorders>
              <w:top w:val="nil"/>
              <w:left w:val="nil"/>
              <w:bottom w:val="single" w:sz="4" w:space="0" w:color="auto"/>
              <w:right w:val="single" w:sz="4" w:space="0" w:color="auto"/>
            </w:tcBorders>
            <w:shd w:val="clear" w:color="auto" w:fill="auto"/>
          </w:tcPr>
          <w:p w14:paraId="52E8B388" w14:textId="7FE8BFC1" w:rsidR="006D427C" w:rsidRPr="00B375EA" w:rsidRDefault="006D427C" w:rsidP="00606835">
            <w:pPr>
              <w:jc w:val="center"/>
              <w:rPr>
                <w:color w:val="000000"/>
                <w:sz w:val="20"/>
                <w:szCs w:val="20"/>
              </w:rPr>
            </w:pPr>
            <w:r>
              <w:rPr>
                <w:sz w:val="20"/>
              </w:rPr>
              <w:t>0,04</w:t>
            </w:r>
          </w:p>
        </w:tc>
        <w:tc>
          <w:tcPr>
            <w:tcW w:w="455" w:type="pct"/>
            <w:tcBorders>
              <w:top w:val="nil"/>
              <w:left w:val="nil"/>
              <w:bottom w:val="single" w:sz="4" w:space="0" w:color="auto"/>
              <w:right w:val="single" w:sz="4" w:space="0" w:color="auto"/>
            </w:tcBorders>
            <w:shd w:val="clear" w:color="auto" w:fill="auto"/>
          </w:tcPr>
          <w:p w14:paraId="443C4970" w14:textId="1F114893" w:rsidR="006D427C" w:rsidRPr="00B375EA" w:rsidRDefault="006D427C" w:rsidP="00606835">
            <w:pPr>
              <w:jc w:val="center"/>
              <w:rPr>
                <w:color w:val="000000"/>
                <w:sz w:val="20"/>
                <w:szCs w:val="20"/>
              </w:rPr>
            </w:pPr>
            <w:r>
              <w:rPr>
                <w:sz w:val="20"/>
              </w:rPr>
              <w:t>0,04</w:t>
            </w:r>
          </w:p>
        </w:tc>
        <w:tc>
          <w:tcPr>
            <w:tcW w:w="464" w:type="pct"/>
            <w:tcBorders>
              <w:top w:val="nil"/>
              <w:left w:val="nil"/>
              <w:bottom w:val="single" w:sz="4" w:space="0" w:color="auto"/>
              <w:right w:val="single" w:sz="4" w:space="0" w:color="auto"/>
            </w:tcBorders>
            <w:shd w:val="clear" w:color="auto" w:fill="auto"/>
          </w:tcPr>
          <w:p w14:paraId="57DA3024" w14:textId="56CF98CE" w:rsidR="006D427C" w:rsidRPr="00B375EA" w:rsidRDefault="006D427C" w:rsidP="00606835">
            <w:pPr>
              <w:jc w:val="center"/>
              <w:rPr>
                <w:color w:val="000000"/>
                <w:sz w:val="20"/>
                <w:szCs w:val="20"/>
              </w:rPr>
            </w:pPr>
            <w:r>
              <w:rPr>
                <w:sz w:val="20"/>
              </w:rPr>
              <w:t>0</w:t>
            </w:r>
          </w:p>
        </w:tc>
        <w:tc>
          <w:tcPr>
            <w:tcW w:w="444" w:type="pct"/>
            <w:tcBorders>
              <w:top w:val="nil"/>
              <w:left w:val="nil"/>
              <w:bottom w:val="single" w:sz="4" w:space="0" w:color="auto"/>
              <w:right w:val="single" w:sz="4" w:space="0" w:color="auto"/>
            </w:tcBorders>
            <w:shd w:val="clear" w:color="auto" w:fill="auto"/>
          </w:tcPr>
          <w:p w14:paraId="6875C8D7" w14:textId="7525FA6A" w:rsidR="006D427C" w:rsidRPr="00B375EA" w:rsidRDefault="006D427C" w:rsidP="00606835">
            <w:pPr>
              <w:jc w:val="center"/>
              <w:rPr>
                <w:color w:val="000000"/>
                <w:sz w:val="20"/>
                <w:szCs w:val="20"/>
              </w:rPr>
            </w:pPr>
            <w:proofErr w:type="spellStart"/>
            <w:r>
              <w:rPr>
                <w:sz w:val="20"/>
              </w:rPr>
              <w:t>s.o</w:t>
            </w:r>
            <w:proofErr w:type="spellEnd"/>
            <w:r>
              <w:rPr>
                <w:sz w:val="20"/>
              </w:rPr>
              <w:t>.</w:t>
            </w:r>
          </w:p>
        </w:tc>
      </w:tr>
      <w:tr w:rsidR="00F53B5F" w:rsidRPr="00B375EA" w14:paraId="748C1324" w14:textId="77777777" w:rsidTr="007476AB">
        <w:trPr>
          <w:trHeight w:val="116"/>
          <w:jc w:val="center"/>
        </w:trPr>
        <w:tc>
          <w:tcPr>
            <w:tcW w:w="305" w:type="pct"/>
            <w:tcBorders>
              <w:top w:val="nil"/>
              <w:left w:val="single" w:sz="4" w:space="0" w:color="auto"/>
              <w:bottom w:val="single" w:sz="4" w:space="0" w:color="auto"/>
              <w:right w:val="single" w:sz="4" w:space="0" w:color="auto"/>
            </w:tcBorders>
            <w:shd w:val="clear" w:color="auto" w:fill="auto"/>
            <w:hideMark/>
          </w:tcPr>
          <w:p w14:paraId="5FDE808E" w14:textId="77777777" w:rsidR="006D427C" w:rsidRPr="00B375EA" w:rsidRDefault="006D427C" w:rsidP="006D427C">
            <w:pPr>
              <w:jc w:val="left"/>
              <w:rPr>
                <w:color w:val="000000"/>
                <w:sz w:val="20"/>
                <w:szCs w:val="20"/>
              </w:rPr>
            </w:pPr>
            <w:r>
              <w:rPr>
                <w:color w:val="000000"/>
                <w:sz w:val="20"/>
              </w:rPr>
              <w:t>2,1</w:t>
            </w:r>
          </w:p>
        </w:tc>
        <w:tc>
          <w:tcPr>
            <w:tcW w:w="1967" w:type="pct"/>
            <w:tcBorders>
              <w:top w:val="nil"/>
              <w:left w:val="nil"/>
              <w:bottom w:val="single" w:sz="4" w:space="0" w:color="auto"/>
              <w:right w:val="single" w:sz="4" w:space="0" w:color="auto"/>
            </w:tcBorders>
            <w:shd w:val="clear" w:color="auto" w:fill="FFFFFF" w:themeFill="background1"/>
            <w:hideMark/>
          </w:tcPr>
          <w:p w14:paraId="75F6A458" w14:textId="77777777" w:rsidR="006D427C" w:rsidRPr="0033058A" w:rsidRDefault="006D427C" w:rsidP="006D427C">
            <w:pPr>
              <w:jc w:val="left"/>
              <w:rPr>
                <w:color w:val="000000"/>
                <w:sz w:val="20"/>
                <w:szCs w:val="20"/>
              </w:rPr>
            </w:pPr>
            <w:r>
              <w:rPr>
                <w:color w:val="000000"/>
                <w:sz w:val="20"/>
              </w:rPr>
              <w:t>Financement convenu pour l’agence d’exécution principale (PNUE) ($ US)</w:t>
            </w:r>
          </w:p>
        </w:tc>
        <w:tc>
          <w:tcPr>
            <w:tcW w:w="455" w:type="pct"/>
            <w:tcBorders>
              <w:top w:val="nil"/>
              <w:left w:val="nil"/>
              <w:bottom w:val="single" w:sz="4" w:space="0" w:color="auto"/>
              <w:right w:val="single" w:sz="4" w:space="0" w:color="auto"/>
            </w:tcBorders>
            <w:shd w:val="clear" w:color="auto" w:fill="auto"/>
          </w:tcPr>
          <w:p w14:paraId="120BBF3B" w14:textId="4D049DB5" w:rsidR="006D427C" w:rsidRPr="00B375EA" w:rsidRDefault="006D427C" w:rsidP="00606835">
            <w:pPr>
              <w:jc w:val="center"/>
              <w:rPr>
                <w:color w:val="000000"/>
                <w:sz w:val="20"/>
                <w:szCs w:val="20"/>
              </w:rPr>
            </w:pPr>
            <w:r>
              <w:rPr>
                <w:sz w:val="20"/>
              </w:rPr>
              <w:t>150 000</w:t>
            </w:r>
          </w:p>
        </w:tc>
        <w:tc>
          <w:tcPr>
            <w:tcW w:w="455" w:type="pct"/>
            <w:tcBorders>
              <w:top w:val="nil"/>
              <w:left w:val="nil"/>
              <w:bottom w:val="single" w:sz="4" w:space="0" w:color="auto"/>
              <w:right w:val="single" w:sz="4" w:space="0" w:color="auto"/>
            </w:tcBorders>
            <w:shd w:val="clear" w:color="auto" w:fill="auto"/>
          </w:tcPr>
          <w:p w14:paraId="67B3E644" w14:textId="4523037E" w:rsidR="006D427C" w:rsidRPr="00B375EA" w:rsidRDefault="006D427C" w:rsidP="00606835">
            <w:pPr>
              <w:jc w:val="center"/>
              <w:rPr>
                <w:color w:val="000000"/>
                <w:sz w:val="20"/>
                <w:szCs w:val="20"/>
              </w:rPr>
            </w:pPr>
            <w:r>
              <w:rPr>
                <w:sz w:val="20"/>
              </w:rPr>
              <w:t>0</w:t>
            </w:r>
          </w:p>
        </w:tc>
        <w:tc>
          <w:tcPr>
            <w:tcW w:w="455" w:type="pct"/>
            <w:tcBorders>
              <w:top w:val="nil"/>
              <w:left w:val="nil"/>
              <w:bottom w:val="single" w:sz="4" w:space="0" w:color="auto"/>
              <w:right w:val="single" w:sz="4" w:space="0" w:color="auto"/>
            </w:tcBorders>
            <w:shd w:val="clear" w:color="auto" w:fill="auto"/>
          </w:tcPr>
          <w:p w14:paraId="7B95A281" w14:textId="6B49D156" w:rsidR="006D427C" w:rsidRPr="00B375EA" w:rsidRDefault="006D427C" w:rsidP="00606835">
            <w:pPr>
              <w:jc w:val="center"/>
              <w:rPr>
                <w:color w:val="000000"/>
                <w:sz w:val="20"/>
                <w:szCs w:val="20"/>
              </w:rPr>
            </w:pPr>
            <w:r>
              <w:rPr>
                <w:sz w:val="20"/>
              </w:rPr>
              <w:t>235 500</w:t>
            </w:r>
          </w:p>
        </w:tc>
        <w:tc>
          <w:tcPr>
            <w:tcW w:w="455" w:type="pct"/>
            <w:tcBorders>
              <w:top w:val="nil"/>
              <w:left w:val="nil"/>
              <w:bottom w:val="single" w:sz="4" w:space="0" w:color="auto"/>
              <w:right w:val="single" w:sz="4" w:space="0" w:color="auto"/>
            </w:tcBorders>
            <w:shd w:val="clear" w:color="auto" w:fill="auto"/>
          </w:tcPr>
          <w:p w14:paraId="36882CF8" w14:textId="09F0C4E9" w:rsidR="006D427C" w:rsidRPr="00B375EA" w:rsidRDefault="006D427C" w:rsidP="00606835">
            <w:pPr>
              <w:jc w:val="center"/>
              <w:rPr>
                <w:color w:val="000000"/>
                <w:sz w:val="20"/>
                <w:szCs w:val="20"/>
              </w:rPr>
            </w:pPr>
            <w:r>
              <w:rPr>
                <w:sz w:val="20"/>
              </w:rPr>
              <w:t>0</w:t>
            </w:r>
          </w:p>
        </w:tc>
        <w:tc>
          <w:tcPr>
            <w:tcW w:w="464" w:type="pct"/>
            <w:tcBorders>
              <w:top w:val="nil"/>
              <w:left w:val="nil"/>
              <w:bottom w:val="single" w:sz="4" w:space="0" w:color="auto"/>
              <w:right w:val="single" w:sz="4" w:space="0" w:color="auto"/>
            </w:tcBorders>
            <w:shd w:val="clear" w:color="auto" w:fill="auto"/>
          </w:tcPr>
          <w:p w14:paraId="2131F48C" w14:textId="74BECB13" w:rsidR="006D427C" w:rsidRPr="00B375EA" w:rsidRDefault="006D427C" w:rsidP="00606835">
            <w:pPr>
              <w:jc w:val="center"/>
              <w:rPr>
                <w:color w:val="000000"/>
                <w:sz w:val="20"/>
                <w:szCs w:val="20"/>
              </w:rPr>
            </w:pPr>
            <w:r>
              <w:rPr>
                <w:sz w:val="20"/>
              </w:rPr>
              <w:t>42 000</w:t>
            </w:r>
          </w:p>
        </w:tc>
        <w:tc>
          <w:tcPr>
            <w:tcW w:w="444" w:type="pct"/>
            <w:tcBorders>
              <w:top w:val="nil"/>
              <w:left w:val="nil"/>
              <w:bottom w:val="single" w:sz="4" w:space="0" w:color="auto"/>
              <w:right w:val="single" w:sz="4" w:space="0" w:color="auto"/>
            </w:tcBorders>
            <w:shd w:val="clear" w:color="auto" w:fill="auto"/>
          </w:tcPr>
          <w:p w14:paraId="147F5928" w14:textId="56818D17" w:rsidR="006D427C" w:rsidRPr="00B375EA" w:rsidRDefault="006D427C" w:rsidP="00606835">
            <w:pPr>
              <w:jc w:val="center"/>
              <w:rPr>
                <w:color w:val="000000"/>
                <w:sz w:val="20"/>
                <w:szCs w:val="20"/>
              </w:rPr>
            </w:pPr>
            <w:r>
              <w:rPr>
                <w:sz w:val="20"/>
              </w:rPr>
              <w:t>427 500</w:t>
            </w:r>
          </w:p>
        </w:tc>
      </w:tr>
      <w:tr w:rsidR="00F53B5F" w:rsidRPr="00B375EA" w14:paraId="72F80CE8" w14:textId="77777777" w:rsidTr="007476AB">
        <w:trPr>
          <w:trHeight w:val="56"/>
          <w:jc w:val="center"/>
        </w:trPr>
        <w:tc>
          <w:tcPr>
            <w:tcW w:w="305" w:type="pct"/>
            <w:tcBorders>
              <w:top w:val="nil"/>
              <w:left w:val="single" w:sz="4" w:space="0" w:color="auto"/>
              <w:bottom w:val="single" w:sz="4" w:space="0" w:color="auto"/>
              <w:right w:val="single" w:sz="4" w:space="0" w:color="auto"/>
            </w:tcBorders>
            <w:shd w:val="clear" w:color="auto" w:fill="auto"/>
            <w:hideMark/>
          </w:tcPr>
          <w:p w14:paraId="3CC75473" w14:textId="77777777" w:rsidR="006D427C" w:rsidRPr="00B375EA" w:rsidRDefault="006D427C" w:rsidP="006D427C">
            <w:pPr>
              <w:jc w:val="left"/>
              <w:rPr>
                <w:color w:val="000000"/>
                <w:sz w:val="20"/>
                <w:szCs w:val="20"/>
              </w:rPr>
            </w:pPr>
            <w:r>
              <w:rPr>
                <w:color w:val="000000"/>
                <w:sz w:val="20"/>
              </w:rPr>
              <w:lastRenderedPageBreak/>
              <w:t>2,2</w:t>
            </w:r>
          </w:p>
        </w:tc>
        <w:tc>
          <w:tcPr>
            <w:tcW w:w="1967" w:type="pct"/>
            <w:tcBorders>
              <w:top w:val="nil"/>
              <w:left w:val="nil"/>
              <w:bottom w:val="single" w:sz="4" w:space="0" w:color="auto"/>
              <w:right w:val="single" w:sz="4" w:space="0" w:color="auto"/>
            </w:tcBorders>
            <w:shd w:val="clear" w:color="auto" w:fill="auto"/>
            <w:hideMark/>
          </w:tcPr>
          <w:p w14:paraId="45FF89BB" w14:textId="77777777" w:rsidR="006D427C" w:rsidRPr="00B375EA" w:rsidRDefault="006D427C" w:rsidP="006D427C">
            <w:pPr>
              <w:jc w:val="left"/>
              <w:rPr>
                <w:color w:val="000000"/>
                <w:sz w:val="20"/>
                <w:szCs w:val="20"/>
              </w:rPr>
            </w:pPr>
            <w:r>
              <w:rPr>
                <w:color w:val="000000"/>
                <w:sz w:val="20"/>
              </w:rPr>
              <w:t>Coûts d’appui pour l’agence d’exécution principale ($ US)</w:t>
            </w:r>
          </w:p>
        </w:tc>
        <w:tc>
          <w:tcPr>
            <w:tcW w:w="455" w:type="pct"/>
            <w:tcBorders>
              <w:top w:val="nil"/>
              <w:left w:val="nil"/>
              <w:bottom w:val="single" w:sz="4" w:space="0" w:color="auto"/>
              <w:right w:val="single" w:sz="4" w:space="0" w:color="auto"/>
            </w:tcBorders>
            <w:shd w:val="clear" w:color="auto" w:fill="auto"/>
          </w:tcPr>
          <w:p w14:paraId="7753AF7C" w14:textId="430E887E" w:rsidR="006D427C" w:rsidRPr="00B375EA" w:rsidRDefault="006D427C" w:rsidP="00606835">
            <w:pPr>
              <w:jc w:val="center"/>
              <w:rPr>
                <w:color w:val="000000"/>
                <w:sz w:val="20"/>
                <w:szCs w:val="20"/>
              </w:rPr>
            </w:pPr>
            <w:r>
              <w:rPr>
                <w:sz w:val="20"/>
              </w:rPr>
              <w:t>19 500</w:t>
            </w:r>
          </w:p>
        </w:tc>
        <w:tc>
          <w:tcPr>
            <w:tcW w:w="455" w:type="pct"/>
            <w:tcBorders>
              <w:top w:val="nil"/>
              <w:left w:val="nil"/>
              <w:bottom w:val="single" w:sz="4" w:space="0" w:color="auto"/>
              <w:right w:val="single" w:sz="4" w:space="0" w:color="auto"/>
            </w:tcBorders>
            <w:shd w:val="clear" w:color="auto" w:fill="auto"/>
          </w:tcPr>
          <w:p w14:paraId="60801F1B" w14:textId="1F971B26" w:rsidR="006D427C" w:rsidRPr="00B375EA" w:rsidRDefault="006D427C" w:rsidP="00606835">
            <w:pPr>
              <w:jc w:val="center"/>
              <w:rPr>
                <w:color w:val="000000"/>
                <w:sz w:val="20"/>
                <w:szCs w:val="20"/>
              </w:rPr>
            </w:pPr>
            <w:r>
              <w:rPr>
                <w:sz w:val="20"/>
              </w:rPr>
              <w:t>0</w:t>
            </w:r>
          </w:p>
        </w:tc>
        <w:tc>
          <w:tcPr>
            <w:tcW w:w="455" w:type="pct"/>
            <w:tcBorders>
              <w:top w:val="nil"/>
              <w:left w:val="nil"/>
              <w:bottom w:val="single" w:sz="4" w:space="0" w:color="auto"/>
              <w:right w:val="single" w:sz="4" w:space="0" w:color="auto"/>
            </w:tcBorders>
            <w:shd w:val="clear" w:color="auto" w:fill="auto"/>
          </w:tcPr>
          <w:p w14:paraId="2E3640C7" w14:textId="02F93E53" w:rsidR="006D427C" w:rsidRPr="00B375EA" w:rsidRDefault="006D427C" w:rsidP="00606835">
            <w:pPr>
              <w:jc w:val="center"/>
              <w:rPr>
                <w:color w:val="000000"/>
                <w:sz w:val="20"/>
                <w:szCs w:val="20"/>
              </w:rPr>
            </w:pPr>
            <w:r>
              <w:rPr>
                <w:sz w:val="20"/>
              </w:rPr>
              <w:t>30 615</w:t>
            </w:r>
          </w:p>
        </w:tc>
        <w:tc>
          <w:tcPr>
            <w:tcW w:w="455" w:type="pct"/>
            <w:tcBorders>
              <w:top w:val="nil"/>
              <w:left w:val="nil"/>
              <w:bottom w:val="single" w:sz="4" w:space="0" w:color="auto"/>
              <w:right w:val="single" w:sz="4" w:space="0" w:color="auto"/>
            </w:tcBorders>
            <w:shd w:val="clear" w:color="auto" w:fill="auto"/>
          </w:tcPr>
          <w:p w14:paraId="725FD055" w14:textId="2ED8AE80" w:rsidR="006D427C" w:rsidRPr="00B375EA" w:rsidRDefault="006D427C" w:rsidP="00606835">
            <w:pPr>
              <w:jc w:val="center"/>
              <w:rPr>
                <w:color w:val="000000"/>
                <w:sz w:val="20"/>
                <w:szCs w:val="20"/>
              </w:rPr>
            </w:pPr>
            <w:r>
              <w:rPr>
                <w:sz w:val="20"/>
              </w:rPr>
              <w:t>0</w:t>
            </w:r>
          </w:p>
        </w:tc>
        <w:tc>
          <w:tcPr>
            <w:tcW w:w="464" w:type="pct"/>
            <w:tcBorders>
              <w:top w:val="nil"/>
              <w:left w:val="nil"/>
              <w:bottom w:val="single" w:sz="4" w:space="0" w:color="auto"/>
              <w:right w:val="single" w:sz="4" w:space="0" w:color="auto"/>
            </w:tcBorders>
            <w:shd w:val="clear" w:color="auto" w:fill="auto"/>
          </w:tcPr>
          <w:p w14:paraId="60C83600" w14:textId="49AB2EC2" w:rsidR="006D427C" w:rsidRPr="00B375EA" w:rsidRDefault="006D427C" w:rsidP="00606835">
            <w:pPr>
              <w:jc w:val="center"/>
              <w:rPr>
                <w:color w:val="000000"/>
                <w:sz w:val="20"/>
                <w:szCs w:val="20"/>
              </w:rPr>
            </w:pPr>
            <w:r>
              <w:rPr>
                <w:sz w:val="20"/>
              </w:rPr>
              <w:t>5 460</w:t>
            </w:r>
          </w:p>
        </w:tc>
        <w:tc>
          <w:tcPr>
            <w:tcW w:w="444" w:type="pct"/>
            <w:tcBorders>
              <w:top w:val="nil"/>
              <w:left w:val="nil"/>
              <w:bottom w:val="single" w:sz="4" w:space="0" w:color="auto"/>
              <w:right w:val="single" w:sz="4" w:space="0" w:color="auto"/>
            </w:tcBorders>
            <w:shd w:val="clear" w:color="auto" w:fill="auto"/>
          </w:tcPr>
          <w:p w14:paraId="7BCC9834" w14:textId="472D932E" w:rsidR="006D427C" w:rsidRPr="00B375EA" w:rsidRDefault="006D427C" w:rsidP="00606835">
            <w:pPr>
              <w:jc w:val="center"/>
              <w:rPr>
                <w:color w:val="000000"/>
                <w:sz w:val="20"/>
                <w:szCs w:val="20"/>
              </w:rPr>
            </w:pPr>
            <w:r>
              <w:rPr>
                <w:sz w:val="20"/>
              </w:rPr>
              <w:t>55 575</w:t>
            </w:r>
          </w:p>
        </w:tc>
      </w:tr>
      <w:tr w:rsidR="00F53B5F" w:rsidRPr="00B375EA" w14:paraId="34593231" w14:textId="77777777" w:rsidTr="007476AB">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3114109A" w14:textId="77777777" w:rsidR="006D427C" w:rsidRPr="00B375EA" w:rsidRDefault="006D427C" w:rsidP="006D427C">
            <w:pPr>
              <w:jc w:val="left"/>
              <w:rPr>
                <w:color w:val="000000"/>
                <w:sz w:val="20"/>
                <w:szCs w:val="20"/>
              </w:rPr>
            </w:pPr>
            <w:r>
              <w:rPr>
                <w:color w:val="000000"/>
                <w:sz w:val="20"/>
              </w:rPr>
              <w:t>3,1</w:t>
            </w:r>
          </w:p>
        </w:tc>
        <w:tc>
          <w:tcPr>
            <w:tcW w:w="1967" w:type="pct"/>
            <w:tcBorders>
              <w:top w:val="nil"/>
              <w:left w:val="nil"/>
              <w:bottom w:val="single" w:sz="4" w:space="0" w:color="auto"/>
              <w:right w:val="single" w:sz="4" w:space="0" w:color="auto"/>
            </w:tcBorders>
            <w:shd w:val="clear" w:color="auto" w:fill="auto"/>
            <w:hideMark/>
          </w:tcPr>
          <w:p w14:paraId="69CDA235" w14:textId="77777777" w:rsidR="006D427C" w:rsidRPr="00B375EA" w:rsidRDefault="006D427C" w:rsidP="006D427C">
            <w:pPr>
              <w:jc w:val="left"/>
              <w:rPr>
                <w:color w:val="000000"/>
                <w:sz w:val="20"/>
                <w:szCs w:val="20"/>
              </w:rPr>
            </w:pPr>
            <w:r>
              <w:rPr>
                <w:color w:val="000000"/>
                <w:sz w:val="20"/>
              </w:rPr>
              <w:t>Total du financement convenu ($ US)</w:t>
            </w:r>
          </w:p>
        </w:tc>
        <w:tc>
          <w:tcPr>
            <w:tcW w:w="455" w:type="pct"/>
            <w:tcBorders>
              <w:top w:val="nil"/>
              <w:left w:val="nil"/>
              <w:bottom w:val="single" w:sz="4" w:space="0" w:color="auto"/>
              <w:right w:val="single" w:sz="4" w:space="0" w:color="auto"/>
            </w:tcBorders>
            <w:shd w:val="clear" w:color="auto" w:fill="auto"/>
          </w:tcPr>
          <w:p w14:paraId="10D4C949" w14:textId="3A742939" w:rsidR="006D427C" w:rsidRPr="00B375EA" w:rsidRDefault="006D427C" w:rsidP="00606835">
            <w:pPr>
              <w:jc w:val="center"/>
              <w:rPr>
                <w:color w:val="000000"/>
                <w:sz w:val="20"/>
                <w:szCs w:val="20"/>
              </w:rPr>
            </w:pPr>
            <w:r>
              <w:rPr>
                <w:sz w:val="20"/>
              </w:rPr>
              <w:t>150 000</w:t>
            </w:r>
          </w:p>
        </w:tc>
        <w:tc>
          <w:tcPr>
            <w:tcW w:w="455" w:type="pct"/>
            <w:tcBorders>
              <w:top w:val="nil"/>
              <w:left w:val="nil"/>
              <w:bottom w:val="single" w:sz="4" w:space="0" w:color="auto"/>
              <w:right w:val="single" w:sz="4" w:space="0" w:color="auto"/>
            </w:tcBorders>
            <w:shd w:val="clear" w:color="auto" w:fill="auto"/>
          </w:tcPr>
          <w:p w14:paraId="4E3ABCED" w14:textId="155E3D8F" w:rsidR="006D427C" w:rsidRPr="00B375EA" w:rsidRDefault="006D427C" w:rsidP="00606835">
            <w:pPr>
              <w:jc w:val="center"/>
              <w:rPr>
                <w:color w:val="000000"/>
                <w:sz w:val="20"/>
                <w:szCs w:val="20"/>
              </w:rPr>
            </w:pPr>
            <w:r>
              <w:rPr>
                <w:sz w:val="20"/>
              </w:rPr>
              <w:t>0</w:t>
            </w:r>
          </w:p>
        </w:tc>
        <w:tc>
          <w:tcPr>
            <w:tcW w:w="455" w:type="pct"/>
            <w:tcBorders>
              <w:top w:val="nil"/>
              <w:left w:val="nil"/>
              <w:bottom w:val="single" w:sz="4" w:space="0" w:color="auto"/>
              <w:right w:val="single" w:sz="4" w:space="0" w:color="auto"/>
            </w:tcBorders>
            <w:shd w:val="clear" w:color="auto" w:fill="auto"/>
          </w:tcPr>
          <w:p w14:paraId="3E6EADE9" w14:textId="5B6C6639" w:rsidR="006D427C" w:rsidRPr="00B375EA" w:rsidRDefault="006D427C" w:rsidP="00606835">
            <w:pPr>
              <w:jc w:val="center"/>
              <w:rPr>
                <w:color w:val="000000"/>
                <w:sz w:val="20"/>
                <w:szCs w:val="20"/>
              </w:rPr>
            </w:pPr>
            <w:r>
              <w:rPr>
                <w:sz w:val="20"/>
              </w:rPr>
              <w:t>235 500</w:t>
            </w:r>
          </w:p>
        </w:tc>
        <w:tc>
          <w:tcPr>
            <w:tcW w:w="455" w:type="pct"/>
            <w:tcBorders>
              <w:top w:val="nil"/>
              <w:left w:val="nil"/>
              <w:bottom w:val="single" w:sz="4" w:space="0" w:color="auto"/>
              <w:right w:val="single" w:sz="4" w:space="0" w:color="auto"/>
            </w:tcBorders>
            <w:shd w:val="clear" w:color="auto" w:fill="auto"/>
          </w:tcPr>
          <w:p w14:paraId="37128702" w14:textId="689A794A" w:rsidR="006D427C" w:rsidRPr="00B375EA" w:rsidRDefault="006D427C" w:rsidP="00606835">
            <w:pPr>
              <w:jc w:val="center"/>
              <w:rPr>
                <w:color w:val="000000"/>
                <w:sz w:val="20"/>
                <w:szCs w:val="20"/>
              </w:rPr>
            </w:pPr>
            <w:r>
              <w:rPr>
                <w:sz w:val="20"/>
              </w:rPr>
              <w:t>0</w:t>
            </w:r>
          </w:p>
        </w:tc>
        <w:tc>
          <w:tcPr>
            <w:tcW w:w="464" w:type="pct"/>
            <w:tcBorders>
              <w:top w:val="nil"/>
              <w:left w:val="nil"/>
              <w:bottom w:val="single" w:sz="4" w:space="0" w:color="auto"/>
              <w:right w:val="single" w:sz="4" w:space="0" w:color="auto"/>
            </w:tcBorders>
            <w:shd w:val="clear" w:color="auto" w:fill="auto"/>
          </w:tcPr>
          <w:p w14:paraId="5CD21684" w14:textId="092BEAE5" w:rsidR="006D427C" w:rsidRPr="00B375EA" w:rsidRDefault="006D427C" w:rsidP="00606835">
            <w:pPr>
              <w:jc w:val="center"/>
              <w:rPr>
                <w:color w:val="000000"/>
                <w:sz w:val="20"/>
                <w:szCs w:val="20"/>
              </w:rPr>
            </w:pPr>
            <w:r>
              <w:rPr>
                <w:sz w:val="20"/>
              </w:rPr>
              <w:t>42 000</w:t>
            </w:r>
          </w:p>
        </w:tc>
        <w:tc>
          <w:tcPr>
            <w:tcW w:w="444" w:type="pct"/>
            <w:tcBorders>
              <w:top w:val="nil"/>
              <w:left w:val="nil"/>
              <w:bottom w:val="single" w:sz="4" w:space="0" w:color="auto"/>
              <w:right w:val="single" w:sz="4" w:space="0" w:color="auto"/>
            </w:tcBorders>
            <w:shd w:val="clear" w:color="auto" w:fill="auto"/>
          </w:tcPr>
          <w:p w14:paraId="02B6A80A" w14:textId="74DF12F4" w:rsidR="006D427C" w:rsidRPr="00B375EA" w:rsidRDefault="006D427C" w:rsidP="00606835">
            <w:pPr>
              <w:jc w:val="center"/>
              <w:rPr>
                <w:color w:val="000000"/>
                <w:sz w:val="20"/>
                <w:szCs w:val="20"/>
              </w:rPr>
            </w:pPr>
            <w:r>
              <w:rPr>
                <w:sz w:val="20"/>
              </w:rPr>
              <w:t>427 500</w:t>
            </w:r>
          </w:p>
        </w:tc>
      </w:tr>
      <w:tr w:rsidR="00F53B5F" w:rsidRPr="00B375EA" w14:paraId="217C2E77" w14:textId="77777777" w:rsidTr="007476AB">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5CE7623C" w14:textId="77777777" w:rsidR="006D427C" w:rsidRPr="00B375EA" w:rsidRDefault="006D427C" w:rsidP="006D427C">
            <w:pPr>
              <w:jc w:val="left"/>
              <w:rPr>
                <w:color w:val="000000"/>
                <w:sz w:val="20"/>
                <w:szCs w:val="20"/>
              </w:rPr>
            </w:pPr>
            <w:r>
              <w:rPr>
                <w:color w:val="000000"/>
                <w:sz w:val="20"/>
              </w:rPr>
              <w:t>3,2</w:t>
            </w:r>
          </w:p>
        </w:tc>
        <w:tc>
          <w:tcPr>
            <w:tcW w:w="1967" w:type="pct"/>
            <w:tcBorders>
              <w:top w:val="nil"/>
              <w:left w:val="nil"/>
              <w:bottom w:val="single" w:sz="4" w:space="0" w:color="auto"/>
              <w:right w:val="single" w:sz="4" w:space="0" w:color="auto"/>
            </w:tcBorders>
            <w:shd w:val="clear" w:color="auto" w:fill="auto"/>
            <w:hideMark/>
          </w:tcPr>
          <w:p w14:paraId="33B07FE0" w14:textId="77777777" w:rsidR="006D427C" w:rsidRPr="00B375EA" w:rsidRDefault="006D427C" w:rsidP="006D427C">
            <w:pPr>
              <w:jc w:val="left"/>
              <w:rPr>
                <w:color w:val="000000"/>
                <w:sz w:val="20"/>
                <w:szCs w:val="20"/>
              </w:rPr>
            </w:pPr>
            <w:r>
              <w:rPr>
                <w:color w:val="000000"/>
                <w:sz w:val="20"/>
              </w:rPr>
              <w:t>Total des coûts d’appui ($ US)</w:t>
            </w:r>
          </w:p>
        </w:tc>
        <w:tc>
          <w:tcPr>
            <w:tcW w:w="455" w:type="pct"/>
            <w:tcBorders>
              <w:top w:val="nil"/>
              <w:left w:val="nil"/>
              <w:bottom w:val="single" w:sz="4" w:space="0" w:color="auto"/>
              <w:right w:val="single" w:sz="4" w:space="0" w:color="auto"/>
            </w:tcBorders>
            <w:shd w:val="clear" w:color="auto" w:fill="auto"/>
          </w:tcPr>
          <w:p w14:paraId="15267351" w14:textId="2CE70A96" w:rsidR="006D427C" w:rsidRPr="00B375EA" w:rsidRDefault="006D427C" w:rsidP="00606835">
            <w:pPr>
              <w:jc w:val="center"/>
              <w:rPr>
                <w:color w:val="000000"/>
                <w:sz w:val="20"/>
                <w:szCs w:val="20"/>
              </w:rPr>
            </w:pPr>
            <w:r>
              <w:rPr>
                <w:sz w:val="20"/>
              </w:rPr>
              <w:t>19 500</w:t>
            </w:r>
          </w:p>
        </w:tc>
        <w:tc>
          <w:tcPr>
            <w:tcW w:w="455" w:type="pct"/>
            <w:tcBorders>
              <w:top w:val="nil"/>
              <w:left w:val="nil"/>
              <w:bottom w:val="single" w:sz="4" w:space="0" w:color="auto"/>
              <w:right w:val="single" w:sz="4" w:space="0" w:color="auto"/>
            </w:tcBorders>
            <w:shd w:val="clear" w:color="auto" w:fill="auto"/>
          </w:tcPr>
          <w:p w14:paraId="7F22B414" w14:textId="368DDE5B" w:rsidR="006D427C" w:rsidRPr="00B375EA" w:rsidRDefault="006D427C" w:rsidP="00606835">
            <w:pPr>
              <w:jc w:val="center"/>
              <w:rPr>
                <w:color w:val="000000"/>
                <w:sz w:val="20"/>
                <w:szCs w:val="20"/>
              </w:rPr>
            </w:pPr>
            <w:r>
              <w:rPr>
                <w:sz w:val="20"/>
              </w:rPr>
              <w:t>0</w:t>
            </w:r>
          </w:p>
        </w:tc>
        <w:tc>
          <w:tcPr>
            <w:tcW w:w="455" w:type="pct"/>
            <w:tcBorders>
              <w:top w:val="nil"/>
              <w:left w:val="nil"/>
              <w:bottom w:val="single" w:sz="4" w:space="0" w:color="auto"/>
              <w:right w:val="single" w:sz="4" w:space="0" w:color="auto"/>
            </w:tcBorders>
            <w:shd w:val="clear" w:color="auto" w:fill="auto"/>
          </w:tcPr>
          <w:p w14:paraId="7163524F" w14:textId="7B9815EF" w:rsidR="006D427C" w:rsidRPr="00B375EA" w:rsidRDefault="006D427C" w:rsidP="00606835">
            <w:pPr>
              <w:jc w:val="center"/>
              <w:rPr>
                <w:color w:val="000000"/>
                <w:sz w:val="20"/>
                <w:szCs w:val="20"/>
              </w:rPr>
            </w:pPr>
            <w:r>
              <w:rPr>
                <w:sz w:val="20"/>
              </w:rPr>
              <w:t>30 615</w:t>
            </w:r>
          </w:p>
        </w:tc>
        <w:tc>
          <w:tcPr>
            <w:tcW w:w="455" w:type="pct"/>
            <w:tcBorders>
              <w:top w:val="nil"/>
              <w:left w:val="nil"/>
              <w:bottom w:val="single" w:sz="4" w:space="0" w:color="auto"/>
              <w:right w:val="single" w:sz="4" w:space="0" w:color="auto"/>
            </w:tcBorders>
            <w:shd w:val="clear" w:color="auto" w:fill="auto"/>
          </w:tcPr>
          <w:p w14:paraId="0A598209" w14:textId="148E599A" w:rsidR="006D427C" w:rsidRPr="00B375EA" w:rsidRDefault="006D427C" w:rsidP="00606835">
            <w:pPr>
              <w:jc w:val="center"/>
              <w:rPr>
                <w:color w:val="000000"/>
                <w:sz w:val="20"/>
                <w:szCs w:val="20"/>
              </w:rPr>
            </w:pPr>
            <w:r>
              <w:rPr>
                <w:sz w:val="20"/>
              </w:rPr>
              <w:t>0</w:t>
            </w:r>
          </w:p>
        </w:tc>
        <w:tc>
          <w:tcPr>
            <w:tcW w:w="464" w:type="pct"/>
            <w:tcBorders>
              <w:top w:val="nil"/>
              <w:left w:val="nil"/>
              <w:bottom w:val="single" w:sz="4" w:space="0" w:color="auto"/>
              <w:right w:val="single" w:sz="4" w:space="0" w:color="auto"/>
            </w:tcBorders>
            <w:shd w:val="clear" w:color="auto" w:fill="auto"/>
          </w:tcPr>
          <w:p w14:paraId="26DE44F3" w14:textId="34103273" w:rsidR="006D427C" w:rsidRPr="00B375EA" w:rsidRDefault="006D427C" w:rsidP="00606835">
            <w:pPr>
              <w:jc w:val="center"/>
              <w:rPr>
                <w:color w:val="000000"/>
                <w:sz w:val="20"/>
                <w:szCs w:val="20"/>
              </w:rPr>
            </w:pPr>
            <w:r>
              <w:rPr>
                <w:sz w:val="20"/>
              </w:rPr>
              <w:t>5 460</w:t>
            </w:r>
          </w:p>
        </w:tc>
        <w:tc>
          <w:tcPr>
            <w:tcW w:w="444" w:type="pct"/>
            <w:tcBorders>
              <w:top w:val="nil"/>
              <w:left w:val="nil"/>
              <w:bottom w:val="single" w:sz="4" w:space="0" w:color="auto"/>
              <w:right w:val="single" w:sz="4" w:space="0" w:color="auto"/>
            </w:tcBorders>
            <w:shd w:val="clear" w:color="auto" w:fill="auto"/>
          </w:tcPr>
          <w:p w14:paraId="3807E22A" w14:textId="6C6C46E2" w:rsidR="006D427C" w:rsidRPr="00B375EA" w:rsidRDefault="006D427C" w:rsidP="00606835">
            <w:pPr>
              <w:jc w:val="center"/>
              <w:rPr>
                <w:color w:val="000000"/>
                <w:sz w:val="20"/>
                <w:szCs w:val="20"/>
              </w:rPr>
            </w:pPr>
            <w:r>
              <w:rPr>
                <w:sz w:val="20"/>
              </w:rPr>
              <w:t>55 575</w:t>
            </w:r>
          </w:p>
        </w:tc>
      </w:tr>
      <w:tr w:rsidR="00F53B5F" w:rsidRPr="00B375EA" w14:paraId="4E77AA57" w14:textId="77777777" w:rsidTr="007476AB">
        <w:trPr>
          <w:trHeight w:val="53"/>
          <w:jc w:val="center"/>
        </w:trPr>
        <w:tc>
          <w:tcPr>
            <w:tcW w:w="305" w:type="pct"/>
            <w:tcBorders>
              <w:top w:val="nil"/>
              <w:left w:val="single" w:sz="4" w:space="0" w:color="auto"/>
              <w:bottom w:val="single" w:sz="4" w:space="0" w:color="auto"/>
              <w:right w:val="single" w:sz="4" w:space="0" w:color="auto"/>
            </w:tcBorders>
            <w:shd w:val="clear" w:color="auto" w:fill="auto"/>
            <w:hideMark/>
          </w:tcPr>
          <w:p w14:paraId="340F5077" w14:textId="77777777" w:rsidR="006D427C" w:rsidRPr="00B375EA" w:rsidRDefault="006D427C" w:rsidP="006D427C">
            <w:pPr>
              <w:jc w:val="left"/>
              <w:rPr>
                <w:color w:val="000000"/>
                <w:sz w:val="20"/>
                <w:szCs w:val="20"/>
              </w:rPr>
            </w:pPr>
            <w:r>
              <w:rPr>
                <w:color w:val="000000"/>
                <w:sz w:val="20"/>
              </w:rPr>
              <w:t>3,3</w:t>
            </w:r>
          </w:p>
        </w:tc>
        <w:tc>
          <w:tcPr>
            <w:tcW w:w="1967" w:type="pct"/>
            <w:tcBorders>
              <w:top w:val="nil"/>
              <w:left w:val="nil"/>
              <w:bottom w:val="single" w:sz="4" w:space="0" w:color="auto"/>
              <w:right w:val="single" w:sz="4" w:space="0" w:color="auto"/>
            </w:tcBorders>
            <w:shd w:val="clear" w:color="auto" w:fill="auto"/>
            <w:hideMark/>
          </w:tcPr>
          <w:p w14:paraId="4A8EB8C6" w14:textId="77777777" w:rsidR="006D427C" w:rsidRPr="00B375EA" w:rsidRDefault="006D427C" w:rsidP="006D427C">
            <w:pPr>
              <w:jc w:val="left"/>
              <w:rPr>
                <w:color w:val="000000"/>
                <w:sz w:val="20"/>
                <w:szCs w:val="20"/>
              </w:rPr>
            </w:pPr>
            <w:r>
              <w:rPr>
                <w:color w:val="000000"/>
                <w:sz w:val="20"/>
              </w:rPr>
              <w:t>Total des coûts convenus ($ US)</w:t>
            </w:r>
          </w:p>
        </w:tc>
        <w:tc>
          <w:tcPr>
            <w:tcW w:w="455" w:type="pct"/>
            <w:tcBorders>
              <w:top w:val="nil"/>
              <w:left w:val="nil"/>
              <w:bottom w:val="single" w:sz="4" w:space="0" w:color="auto"/>
              <w:right w:val="single" w:sz="4" w:space="0" w:color="auto"/>
            </w:tcBorders>
            <w:shd w:val="clear" w:color="auto" w:fill="auto"/>
          </w:tcPr>
          <w:p w14:paraId="60537213" w14:textId="10E83587" w:rsidR="006D427C" w:rsidRPr="00B375EA" w:rsidRDefault="006D427C" w:rsidP="00606835">
            <w:pPr>
              <w:jc w:val="center"/>
              <w:rPr>
                <w:color w:val="000000"/>
                <w:sz w:val="20"/>
                <w:szCs w:val="20"/>
              </w:rPr>
            </w:pPr>
            <w:r>
              <w:rPr>
                <w:sz w:val="20"/>
              </w:rPr>
              <w:t>169 500</w:t>
            </w:r>
          </w:p>
        </w:tc>
        <w:tc>
          <w:tcPr>
            <w:tcW w:w="455" w:type="pct"/>
            <w:tcBorders>
              <w:top w:val="nil"/>
              <w:left w:val="nil"/>
              <w:bottom w:val="single" w:sz="4" w:space="0" w:color="auto"/>
              <w:right w:val="single" w:sz="4" w:space="0" w:color="auto"/>
            </w:tcBorders>
            <w:shd w:val="clear" w:color="auto" w:fill="auto"/>
          </w:tcPr>
          <w:p w14:paraId="7C4C1D30" w14:textId="375A4566" w:rsidR="006D427C" w:rsidRPr="00B375EA" w:rsidRDefault="006D427C" w:rsidP="00606835">
            <w:pPr>
              <w:jc w:val="center"/>
              <w:rPr>
                <w:color w:val="000000"/>
                <w:sz w:val="20"/>
                <w:szCs w:val="20"/>
              </w:rPr>
            </w:pPr>
            <w:r>
              <w:rPr>
                <w:sz w:val="20"/>
              </w:rPr>
              <w:t>0</w:t>
            </w:r>
          </w:p>
        </w:tc>
        <w:tc>
          <w:tcPr>
            <w:tcW w:w="455" w:type="pct"/>
            <w:tcBorders>
              <w:top w:val="nil"/>
              <w:left w:val="nil"/>
              <w:bottom w:val="single" w:sz="4" w:space="0" w:color="auto"/>
              <w:right w:val="single" w:sz="4" w:space="0" w:color="auto"/>
            </w:tcBorders>
            <w:shd w:val="clear" w:color="auto" w:fill="auto"/>
          </w:tcPr>
          <w:p w14:paraId="0F08B5EC" w14:textId="1D252D3A" w:rsidR="006D427C" w:rsidRPr="00B375EA" w:rsidRDefault="006D427C" w:rsidP="00606835">
            <w:pPr>
              <w:jc w:val="center"/>
              <w:rPr>
                <w:color w:val="000000"/>
                <w:sz w:val="20"/>
                <w:szCs w:val="20"/>
              </w:rPr>
            </w:pPr>
            <w:r>
              <w:rPr>
                <w:sz w:val="20"/>
              </w:rPr>
              <w:t>266 115</w:t>
            </w:r>
          </w:p>
        </w:tc>
        <w:tc>
          <w:tcPr>
            <w:tcW w:w="455" w:type="pct"/>
            <w:tcBorders>
              <w:top w:val="nil"/>
              <w:left w:val="nil"/>
              <w:bottom w:val="single" w:sz="4" w:space="0" w:color="auto"/>
              <w:right w:val="single" w:sz="4" w:space="0" w:color="auto"/>
            </w:tcBorders>
            <w:shd w:val="clear" w:color="auto" w:fill="auto"/>
          </w:tcPr>
          <w:p w14:paraId="5C37DF65" w14:textId="3644D560" w:rsidR="006D427C" w:rsidRPr="00B375EA" w:rsidRDefault="006D427C" w:rsidP="00606835">
            <w:pPr>
              <w:jc w:val="center"/>
              <w:rPr>
                <w:color w:val="000000"/>
                <w:sz w:val="20"/>
                <w:szCs w:val="20"/>
              </w:rPr>
            </w:pPr>
            <w:r>
              <w:rPr>
                <w:sz w:val="20"/>
              </w:rPr>
              <w:t>0</w:t>
            </w:r>
          </w:p>
        </w:tc>
        <w:tc>
          <w:tcPr>
            <w:tcW w:w="464" w:type="pct"/>
            <w:tcBorders>
              <w:top w:val="nil"/>
              <w:left w:val="nil"/>
              <w:bottom w:val="single" w:sz="4" w:space="0" w:color="auto"/>
              <w:right w:val="single" w:sz="4" w:space="0" w:color="auto"/>
            </w:tcBorders>
            <w:shd w:val="clear" w:color="auto" w:fill="auto"/>
          </w:tcPr>
          <w:p w14:paraId="66821C87" w14:textId="09BA8C69" w:rsidR="006D427C" w:rsidRPr="00B375EA" w:rsidRDefault="006D427C" w:rsidP="00606835">
            <w:pPr>
              <w:jc w:val="center"/>
              <w:rPr>
                <w:color w:val="000000"/>
                <w:sz w:val="20"/>
                <w:szCs w:val="20"/>
              </w:rPr>
            </w:pPr>
            <w:r>
              <w:rPr>
                <w:sz w:val="20"/>
              </w:rPr>
              <w:t>47 460</w:t>
            </w:r>
          </w:p>
        </w:tc>
        <w:tc>
          <w:tcPr>
            <w:tcW w:w="444" w:type="pct"/>
            <w:tcBorders>
              <w:top w:val="nil"/>
              <w:left w:val="nil"/>
              <w:bottom w:val="single" w:sz="4" w:space="0" w:color="auto"/>
              <w:right w:val="single" w:sz="4" w:space="0" w:color="auto"/>
            </w:tcBorders>
            <w:shd w:val="clear" w:color="auto" w:fill="auto"/>
          </w:tcPr>
          <w:p w14:paraId="288D4408" w14:textId="54A94507" w:rsidR="006D427C" w:rsidRPr="00B375EA" w:rsidRDefault="006D427C" w:rsidP="00606835">
            <w:pPr>
              <w:jc w:val="center"/>
              <w:rPr>
                <w:color w:val="000000"/>
                <w:sz w:val="20"/>
                <w:szCs w:val="20"/>
              </w:rPr>
            </w:pPr>
            <w:r>
              <w:rPr>
                <w:sz w:val="20"/>
              </w:rPr>
              <w:t>483 075</w:t>
            </w:r>
          </w:p>
        </w:tc>
      </w:tr>
      <w:tr w:rsidR="00E63352" w:rsidRPr="00B375EA" w14:paraId="0029F84E" w14:textId="77777777" w:rsidTr="00080EF6">
        <w:trPr>
          <w:trHeight w:val="53"/>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5FCEB7BA" w14:textId="77777777" w:rsidR="00E63352" w:rsidRPr="00B375EA" w:rsidRDefault="00E63352" w:rsidP="00C0058C">
            <w:pPr>
              <w:jc w:val="left"/>
              <w:rPr>
                <w:color w:val="000000"/>
                <w:sz w:val="20"/>
                <w:szCs w:val="20"/>
              </w:rPr>
            </w:pPr>
            <w:r>
              <w:rPr>
                <w:color w:val="000000"/>
                <w:sz w:val="20"/>
              </w:rPr>
              <w:t>4.1.1</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186B3888" w14:textId="77777777" w:rsidR="00E63352" w:rsidRPr="00B375EA" w:rsidRDefault="00E63352" w:rsidP="00C0058C">
            <w:pPr>
              <w:jc w:val="left"/>
              <w:rPr>
                <w:color w:val="000000"/>
                <w:sz w:val="20"/>
                <w:szCs w:val="20"/>
              </w:rPr>
            </w:pPr>
            <w:r>
              <w:rPr>
                <w:color w:val="000000"/>
                <w:sz w:val="20"/>
              </w:rPr>
              <w:t>Élimination totale du HCFC-22 convenue aux termes du présent Accord (tonnes PAO)</w:t>
            </w:r>
          </w:p>
        </w:tc>
        <w:tc>
          <w:tcPr>
            <w:tcW w:w="444" w:type="pct"/>
            <w:tcBorders>
              <w:top w:val="single" w:sz="4" w:space="0" w:color="auto"/>
              <w:left w:val="nil"/>
              <w:bottom w:val="single" w:sz="4" w:space="0" w:color="auto"/>
              <w:right w:val="single" w:sz="4" w:space="0" w:color="auto"/>
            </w:tcBorders>
            <w:shd w:val="clear" w:color="auto" w:fill="auto"/>
          </w:tcPr>
          <w:p w14:paraId="64648AB4" w14:textId="37CA53CF" w:rsidR="00E63352" w:rsidRPr="00D81DBC" w:rsidRDefault="00D81DBC" w:rsidP="00606835">
            <w:pPr>
              <w:jc w:val="center"/>
              <w:rPr>
                <w:color w:val="000000"/>
                <w:sz w:val="20"/>
                <w:szCs w:val="20"/>
              </w:rPr>
            </w:pPr>
            <w:r>
              <w:rPr>
                <w:color w:val="000000"/>
                <w:sz w:val="20"/>
              </w:rPr>
              <w:t>0,09</w:t>
            </w:r>
          </w:p>
        </w:tc>
      </w:tr>
      <w:tr w:rsidR="00080EF6" w:rsidRPr="00B375EA" w14:paraId="030AA62B" w14:textId="77777777" w:rsidTr="00080EF6">
        <w:trPr>
          <w:trHeight w:val="116"/>
          <w:jc w:val="center"/>
        </w:trPr>
        <w:tc>
          <w:tcPr>
            <w:tcW w:w="305" w:type="pct"/>
            <w:tcBorders>
              <w:top w:val="nil"/>
              <w:left w:val="single" w:sz="4" w:space="0" w:color="auto"/>
              <w:bottom w:val="single" w:sz="4" w:space="0" w:color="auto"/>
              <w:right w:val="single" w:sz="4" w:space="0" w:color="auto"/>
            </w:tcBorders>
            <w:shd w:val="clear" w:color="auto" w:fill="auto"/>
            <w:hideMark/>
          </w:tcPr>
          <w:p w14:paraId="652784CD" w14:textId="77777777" w:rsidR="00E63352" w:rsidRPr="00B375EA" w:rsidRDefault="00E63352" w:rsidP="00C0058C">
            <w:pPr>
              <w:jc w:val="left"/>
              <w:rPr>
                <w:color w:val="000000"/>
                <w:sz w:val="20"/>
                <w:szCs w:val="20"/>
              </w:rPr>
            </w:pPr>
            <w:r>
              <w:rPr>
                <w:color w:val="000000"/>
                <w:sz w:val="20"/>
              </w:rPr>
              <w:t>4.1.2</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381E9CB8" w14:textId="77777777" w:rsidR="00E63352" w:rsidRPr="00B375EA" w:rsidRDefault="00E63352" w:rsidP="00C0058C">
            <w:pPr>
              <w:jc w:val="left"/>
              <w:rPr>
                <w:color w:val="000000"/>
                <w:sz w:val="20"/>
                <w:szCs w:val="20"/>
              </w:rPr>
            </w:pPr>
            <w:r>
              <w:rPr>
                <w:color w:val="000000"/>
                <w:sz w:val="20"/>
              </w:rPr>
              <w:t>Élimination du HCFC-22 devant être réalisée durant la phase précédente (tonnes PAO)</w:t>
            </w:r>
          </w:p>
        </w:tc>
        <w:tc>
          <w:tcPr>
            <w:tcW w:w="444" w:type="pct"/>
            <w:tcBorders>
              <w:top w:val="nil"/>
              <w:left w:val="nil"/>
              <w:bottom w:val="single" w:sz="4" w:space="0" w:color="auto"/>
              <w:right w:val="single" w:sz="4" w:space="0" w:color="auto"/>
            </w:tcBorders>
            <w:shd w:val="clear" w:color="auto" w:fill="auto"/>
          </w:tcPr>
          <w:p w14:paraId="096F0475" w14:textId="46CB767B" w:rsidR="00E63352" w:rsidRPr="00D81DBC" w:rsidRDefault="00D81DBC" w:rsidP="00606835">
            <w:pPr>
              <w:jc w:val="center"/>
              <w:rPr>
                <w:color w:val="000000"/>
                <w:sz w:val="20"/>
                <w:szCs w:val="20"/>
              </w:rPr>
            </w:pPr>
            <w:r>
              <w:rPr>
                <w:color w:val="000000"/>
                <w:sz w:val="20"/>
              </w:rPr>
              <w:t>0,05</w:t>
            </w:r>
          </w:p>
        </w:tc>
      </w:tr>
      <w:tr w:rsidR="00080EF6" w:rsidRPr="00B375EA" w14:paraId="0CE03A94" w14:textId="77777777" w:rsidTr="00080EF6">
        <w:trPr>
          <w:trHeight w:val="98"/>
          <w:jc w:val="center"/>
        </w:trPr>
        <w:tc>
          <w:tcPr>
            <w:tcW w:w="305" w:type="pct"/>
            <w:tcBorders>
              <w:top w:val="nil"/>
              <w:left w:val="single" w:sz="4" w:space="0" w:color="auto"/>
              <w:bottom w:val="single" w:sz="4" w:space="0" w:color="auto"/>
              <w:right w:val="single" w:sz="4" w:space="0" w:color="auto"/>
            </w:tcBorders>
            <w:shd w:val="clear" w:color="auto" w:fill="auto"/>
            <w:hideMark/>
          </w:tcPr>
          <w:p w14:paraId="4A9572CC" w14:textId="77777777" w:rsidR="00E63352" w:rsidRPr="00B375EA" w:rsidRDefault="00E63352" w:rsidP="00C0058C">
            <w:pPr>
              <w:jc w:val="left"/>
              <w:rPr>
                <w:color w:val="000000"/>
                <w:sz w:val="20"/>
                <w:szCs w:val="20"/>
              </w:rPr>
            </w:pPr>
            <w:r>
              <w:rPr>
                <w:color w:val="000000"/>
                <w:sz w:val="20"/>
              </w:rPr>
              <w:t>4.1.3</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6261D846" w14:textId="77777777" w:rsidR="00E63352" w:rsidRPr="00B375EA" w:rsidRDefault="00E63352" w:rsidP="00C0058C">
            <w:pPr>
              <w:jc w:val="left"/>
              <w:rPr>
                <w:color w:val="000000"/>
                <w:sz w:val="20"/>
                <w:szCs w:val="20"/>
              </w:rPr>
            </w:pPr>
            <w:r>
              <w:rPr>
                <w:color w:val="000000"/>
                <w:sz w:val="20"/>
              </w:rPr>
              <w:t xml:space="preserve">Consommation admissible restante </w:t>
            </w:r>
            <w:r>
              <w:rPr>
                <w:color w:val="000000"/>
                <w:sz w:val="20"/>
                <w:shd w:val="clear" w:color="auto" w:fill="FFFFFF" w:themeFill="background1"/>
              </w:rPr>
              <w:t>pour le HCFC-22</w:t>
            </w:r>
            <w:r>
              <w:rPr>
                <w:color w:val="000000"/>
                <w:sz w:val="20"/>
              </w:rPr>
              <w:t xml:space="preserve"> (tonnes PAO)</w:t>
            </w:r>
          </w:p>
        </w:tc>
        <w:tc>
          <w:tcPr>
            <w:tcW w:w="444" w:type="pct"/>
            <w:tcBorders>
              <w:top w:val="nil"/>
              <w:left w:val="nil"/>
              <w:bottom w:val="single" w:sz="4" w:space="0" w:color="auto"/>
              <w:right w:val="single" w:sz="4" w:space="0" w:color="auto"/>
            </w:tcBorders>
            <w:shd w:val="clear" w:color="auto" w:fill="auto"/>
          </w:tcPr>
          <w:p w14:paraId="5EB2CFF1" w14:textId="0D5BC543" w:rsidR="00E63352" w:rsidRPr="00D81DBC" w:rsidRDefault="00D81DBC" w:rsidP="00606835">
            <w:pPr>
              <w:jc w:val="center"/>
              <w:rPr>
                <w:color w:val="000000"/>
                <w:sz w:val="20"/>
                <w:szCs w:val="20"/>
              </w:rPr>
            </w:pPr>
            <w:r>
              <w:rPr>
                <w:color w:val="000000"/>
                <w:sz w:val="20"/>
              </w:rPr>
              <w:t>0,00</w:t>
            </w:r>
          </w:p>
        </w:tc>
      </w:tr>
    </w:tbl>
    <w:p w14:paraId="1133F412" w14:textId="5C54D0C9" w:rsidR="00E63352" w:rsidRPr="00604BA9" w:rsidRDefault="00E63352" w:rsidP="00E63352">
      <w:pPr>
        <w:pStyle w:val="Heading1"/>
        <w:numPr>
          <w:ilvl w:val="0"/>
          <w:numId w:val="0"/>
        </w:numPr>
        <w:rPr>
          <w:sz w:val="18"/>
          <w:szCs w:val="16"/>
        </w:rPr>
      </w:pPr>
      <w:r>
        <w:rPr>
          <w:sz w:val="18"/>
        </w:rPr>
        <w:t>* Date d’achèvement de la phase I conformément à la décision 87/28 : 31 décembre 2022.</w:t>
      </w:r>
    </w:p>
    <w:p w14:paraId="112701C7" w14:textId="46080DC5" w:rsidR="00E63352" w:rsidRPr="00EA35A6" w:rsidRDefault="00E63352" w:rsidP="00E63352">
      <w:pPr>
        <w:spacing w:before="360" w:after="240"/>
        <w:rPr>
          <w:b/>
        </w:rPr>
      </w:pPr>
      <w:r>
        <w:rPr>
          <w:b/>
        </w:rPr>
        <w:t xml:space="preserve">APPENDICE 3-A : CALENDRIER </w:t>
      </w:r>
      <w:r w:rsidR="00606835">
        <w:rPr>
          <w:b/>
        </w:rPr>
        <w:t>D</w:t>
      </w:r>
      <w:r w:rsidR="00606835" w:rsidRPr="00606835">
        <w:rPr>
          <w:b/>
        </w:rPr>
        <w:t>’APPROBATION DU FINANCEMENT</w:t>
      </w:r>
    </w:p>
    <w:p w14:paraId="207BDB5A" w14:textId="3AA89900" w:rsidR="00E63352" w:rsidRPr="00B375EA" w:rsidRDefault="00E63352" w:rsidP="00E63352">
      <w:pPr>
        <w:pStyle w:val="Heading1"/>
        <w:numPr>
          <w:ilvl w:val="0"/>
          <w:numId w:val="33"/>
        </w:numPr>
      </w:pPr>
      <w:r>
        <w:t>Le financement des futures tranches sera examiné aux fins d’approbation à la première réunion de l’année indiquée dans l’appendice 2-A.</w:t>
      </w:r>
    </w:p>
    <w:p w14:paraId="4A9ADE0B" w14:textId="77777777" w:rsidR="00E63352" w:rsidRDefault="00E63352" w:rsidP="00E63352">
      <w:pPr>
        <w:keepNext/>
        <w:keepLines/>
        <w:spacing w:before="360" w:after="240"/>
        <w:rPr>
          <w:b/>
        </w:rPr>
      </w:pPr>
      <w:r>
        <w:rPr>
          <w:b/>
        </w:rPr>
        <w:t>APPENDICE 4-A : FORMAT DES RAPPORTS ET DES PLANS DE MISE EN ŒUVRE DE LA TRANCHE</w:t>
      </w:r>
    </w:p>
    <w:p w14:paraId="32451760" w14:textId="77777777" w:rsidR="00E63352" w:rsidRPr="00D80495" w:rsidRDefault="00E63352" w:rsidP="00E63352">
      <w:pPr>
        <w:pStyle w:val="Heading1"/>
        <w:keepNext/>
        <w:keepLines/>
        <w:numPr>
          <w:ilvl w:val="0"/>
          <w:numId w:val="34"/>
        </w:numPr>
        <w:rPr>
          <w:b/>
        </w:rPr>
      </w:pPr>
      <w:r>
        <w:t>La présentation du rapport et des plans de mise en œuvre de tranche pour chaque demande de tranche comprendra cinq parties :</w:t>
      </w:r>
    </w:p>
    <w:p w14:paraId="1F9E8D60" w14:textId="77777777" w:rsidR="00E63352" w:rsidRPr="00B375EA" w:rsidRDefault="00E63352" w:rsidP="00080EF6">
      <w:pPr>
        <w:pStyle w:val="Heading2"/>
        <w:numPr>
          <w:ilvl w:val="1"/>
          <w:numId w:val="1"/>
        </w:numPr>
      </w:pPr>
      <w:r>
        <w:t xml:space="preserve">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devra inclure la quantité de SAO éliminée qui résulte directement de la mise en œuvre des activités, par substance, la technologie de remplacement utilisée et la transition vers les solutions de remplacement, afin de permettre au Secrétariat de transmettre au Comité exécutif des informations sur les changements qui en résultent dans les émissions affectant le climat. Le rapport devra aussi souligner les réussites, les expériences et les défis liés aux différentes activités incluses dans le Plan, en reflétant tout éventuel changement de circonstances survenu dans le Pays et en fournissant toute autre information pertinente. Le rapport devra également éclairer et justifier tout changement éventuel par rapport au(x) plan(s) de mise en œuvre de tranche soumis précédemment, tels que les retards, l’utilisation de la marge de manœuvre pour la réaffectation des fonds durant la mise en œuvre d’une tranche, tel qu’indiqué au paragraphe 7 du présent Accord, ou autres changements ; </w:t>
      </w:r>
    </w:p>
    <w:p w14:paraId="20A26B00" w14:textId="77777777" w:rsidR="00E63352" w:rsidRPr="00B375EA" w:rsidRDefault="00E63352" w:rsidP="00E63352">
      <w:pPr>
        <w:pStyle w:val="Heading2"/>
        <w:numPr>
          <w:ilvl w:val="1"/>
          <w:numId w:val="1"/>
        </w:numPr>
        <w:tabs>
          <w:tab w:val="clear" w:pos="0"/>
          <w:tab w:val="num" w:pos="-720"/>
        </w:tabs>
      </w:pPr>
      <w:r>
        <w:t>Un rapport de vérification indépendant des résultats du Plan et de la consommation des Substances mentionnées à l’alinéa 5(b) de l’Accord. À moins que le Comité exécutif n’en décide autrement, une telle vérification doit être remise avec chaque demande de tranche et devra fournir une vérification de la consommation pour toutes les années pertinentes, tel qu’indiqué à l’alinéa 5(a) du présent Accord, pour lesquelles un rapport de vérification n’a pas encore été accepté par le Comité ;</w:t>
      </w:r>
    </w:p>
    <w:p w14:paraId="11EFB1A6" w14:textId="77777777" w:rsidR="00E63352" w:rsidRPr="00B375EA" w:rsidRDefault="00E63352" w:rsidP="00E63352">
      <w:pPr>
        <w:pStyle w:val="Heading2"/>
        <w:numPr>
          <w:ilvl w:val="1"/>
          <w:numId w:val="1"/>
        </w:numPr>
        <w:tabs>
          <w:tab w:val="clear" w:pos="0"/>
          <w:tab w:val="num" w:pos="-720"/>
        </w:tabs>
      </w:pPr>
      <w:r>
        <w:t xml:space="preserve">Une description écrite des activités à entreprendre durant la période couverte par la tranche demandée, soulignant les étapes de la mise en œuvre, leur date d’achèvement et l’interdépendance entre les activités, et tenant compte de l’expérience acquise et des progrès accomplis dans la mise en œuvre des tranches précédentes ; les données du plan seront fournies par année civile. La description devra aussi faire référence au Plan global et aux progrès réalisés, ainsi qu’à toute possible modification du Plan global prévue. La </w:t>
      </w:r>
      <w:r>
        <w:lastRenderedPageBreak/>
        <w:t>description devra en outre préciser et expliquer en détail les changements apportés au Plan global. Cette description des activités futures peut être fournie dans le même document que le rapport narratif mentionné à l’alinéa (b) ci-dessus ;</w:t>
      </w:r>
    </w:p>
    <w:p w14:paraId="337EEE32" w14:textId="77777777" w:rsidR="00E63352" w:rsidRPr="00B375EA" w:rsidRDefault="00E63352" w:rsidP="00E63352">
      <w:pPr>
        <w:pStyle w:val="Heading2"/>
        <w:numPr>
          <w:ilvl w:val="1"/>
          <w:numId w:val="1"/>
        </w:numPr>
        <w:tabs>
          <w:tab w:val="clear" w:pos="0"/>
          <w:tab w:val="num" w:pos="-720"/>
        </w:tabs>
      </w:pPr>
      <w:r>
        <w:t>Une série d’informations quantitatives pour tous les rapports et plans de mise en œuvre de tranche, présentées dans une base de données communiquée en ligne ; et</w:t>
      </w:r>
    </w:p>
    <w:p w14:paraId="2784B32E" w14:textId="77777777" w:rsidR="00E63352" w:rsidRPr="00B375EA" w:rsidRDefault="00E63352" w:rsidP="00E63352">
      <w:pPr>
        <w:pStyle w:val="Heading2"/>
        <w:numPr>
          <w:ilvl w:val="1"/>
          <w:numId w:val="1"/>
        </w:numPr>
        <w:tabs>
          <w:tab w:val="clear" w:pos="0"/>
          <w:tab w:val="num" w:pos="-720"/>
        </w:tabs>
      </w:pPr>
      <w:r>
        <w:t>Un résumé analytique comprenant environ cinq paragraphes, résumant les informations des alinéas 1(a) à 1(d) ci-dessus.</w:t>
      </w:r>
    </w:p>
    <w:p w14:paraId="28DABC56" w14:textId="77777777" w:rsidR="00E63352" w:rsidRPr="00B375EA" w:rsidRDefault="00E63352" w:rsidP="00E63352">
      <w:pPr>
        <w:pStyle w:val="Heading1"/>
      </w:pPr>
      <w:r>
        <w:t>Si deux phases du Plan sont mises en œuvre en parallèle au cours d’une année donnée, il faudra tenir compte des considérations suivantes dans la préparation des rapports et plans de mise en œuvre de la tranche :</w:t>
      </w:r>
    </w:p>
    <w:p w14:paraId="6A77F3CD" w14:textId="77777777" w:rsidR="00E63352" w:rsidRPr="00B375EA" w:rsidRDefault="00E63352" w:rsidP="00E63352">
      <w:pPr>
        <w:pStyle w:val="Heading2"/>
        <w:widowControl/>
        <w:numPr>
          <w:ilvl w:val="1"/>
          <w:numId w:val="1"/>
        </w:numPr>
        <w:tabs>
          <w:tab w:val="clear" w:pos="0"/>
          <w:tab w:val="num" w:pos="-720"/>
        </w:tabs>
      </w:pPr>
      <w:r>
        <w:t>Les rapports et les plans de mise en œuvre de la tranche dont il est question dans le présent Accord ne porteront que sur les activités et les montants prévus dans le présent Accord ; et</w:t>
      </w:r>
    </w:p>
    <w:p w14:paraId="16D0E108" w14:textId="77777777" w:rsidR="00E63352" w:rsidRPr="00B375EA" w:rsidRDefault="00E63352" w:rsidP="00E63352">
      <w:pPr>
        <w:pStyle w:val="Heading2"/>
        <w:widowControl/>
        <w:numPr>
          <w:ilvl w:val="1"/>
          <w:numId w:val="1"/>
        </w:numPr>
        <w:tabs>
          <w:tab w:val="clear" w:pos="0"/>
          <w:tab w:val="num" w:pos="-720"/>
        </w:tabs>
      </w:pPr>
      <w:r>
        <w:t>Si les phases en cours de mise en œuvre ont des objectifs de consommation de HCFC différents selon l’Appendice 2</w:t>
      </w:r>
      <w:r>
        <w:noBreakHyphen/>
        <w:t>A de chaque Accord pour une année donnée, l’objectif de consommation de HCFC le plus faible qui sera utilisé comme référence pour la conformité à ces Accords et qui servira de base à la vérification indépendante.</w:t>
      </w:r>
    </w:p>
    <w:p w14:paraId="6655B669" w14:textId="77777777" w:rsidR="00E63352" w:rsidRPr="004525AA" w:rsidRDefault="00E63352" w:rsidP="00E63352">
      <w:pPr>
        <w:widowControl w:val="0"/>
        <w:spacing w:before="360" w:after="240"/>
        <w:rPr>
          <w:b/>
        </w:rPr>
      </w:pPr>
      <w:r>
        <w:rPr>
          <w:b/>
        </w:rPr>
        <w:t xml:space="preserve">APPENDICE 5-A : INSTITUTIONS DE SURVEILLANCE ET LEUR RÔLE </w:t>
      </w:r>
    </w:p>
    <w:p w14:paraId="22AC3F0D" w14:textId="1CA85C75" w:rsidR="00E63352" w:rsidRPr="00A917DB" w:rsidRDefault="00E63352" w:rsidP="00080EF6">
      <w:pPr>
        <w:pStyle w:val="Heading1"/>
        <w:numPr>
          <w:ilvl w:val="0"/>
          <w:numId w:val="49"/>
        </w:numPr>
      </w:pPr>
      <w:r>
        <w:t>Le bureau national de l’ozone soumettra à l’Agence d’exécution principale des rapports périodiques annuels sur l’état de la mise en œuvre du Plan. Le suivi de l’élaboration du Plan et la vérification de l’atteinte des objectifs d’efficacité spécifiés dans le Pan seront confiés par l’Agence d’exécution principale à des entreprises ou des consultants locaux indépendants.</w:t>
      </w:r>
    </w:p>
    <w:p w14:paraId="44FB9005" w14:textId="77777777" w:rsidR="00E63352" w:rsidRPr="001C3FA8" w:rsidRDefault="00E63352" w:rsidP="00E63352">
      <w:pPr>
        <w:spacing w:before="360" w:after="240"/>
        <w:rPr>
          <w:b/>
        </w:rPr>
      </w:pPr>
      <w:r>
        <w:rPr>
          <w:b/>
        </w:rPr>
        <w:t xml:space="preserve">APPENDICE 6-A : RÔLE DE L’AGENCE D’EXÉCUTION PRINCIPALE </w:t>
      </w:r>
    </w:p>
    <w:p w14:paraId="01D0DAF0" w14:textId="77777777" w:rsidR="00E63352" w:rsidRPr="00B375EA" w:rsidRDefault="00E63352" w:rsidP="00E63352">
      <w:pPr>
        <w:pStyle w:val="Heading1"/>
        <w:numPr>
          <w:ilvl w:val="0"/>
          <w:numId w:val="36"/>
        </w:numPr>
      </w:pPr>
      <w:r>
        <w:t>L’Agence d’exécution principale sera responsable d’une série d’activités, qui comprendront au moins les points suivants :</w:t>
      </w:r>
    </w:p>
    <w:p w14:paraId="446BCD27" w14:textId="77777777" w:rsidR="00E63352" w:rsidRPr="00B375EA" w:rsidRDefault="00E63352" w:rsidP="00080EF6">
      <w:pPr>
        <w:pStyle w:val="Heading2"/>
        <w:numPr>
          <w:ilvl w:val="1"/>
          <w:numId w:val="1"/>
        </w:numPr>
      </w:pPr>
      <w:r>
        <w:t>Assurer une vérification de l’efficacité et une vérification financière conformément au présent Accord et à ses procédures et exigences internes spécifiques, figurant dans le Plan du Pays ;</w:t>
      </w:r>
    </w:p>
    <w:p w14:paraId="76AA3233" w14:textId="77777777" w:rsidR="00E63352" w:rsidRPr="00B375EA" w:rsidRDefault="00E63352" w:rsidP="00E63352">
      <w:pPr>
        <w:pStyle w:val="Heading2"/>
        <w:numPr>
          <w:ilvl w:val="1"/>
          <w:numId w:val="1"/>
        </w:numPr>
        <w:tabs>
          <w:tab w:val="clear" w:pos="0"/>
          <w:tab w:val="num" w:pos="-720"/>
        </w:tabs>
      </w:pPr>
      <w:r>
        <w:t>Aider le Pays à préparer les rapports et les plans de mise en œuvre de la tranche, conformément à l’appendice 4</w:t>
      </w:r>
      <w:r>
        <w:noBreakHyphen/>
        <w:t>A ;</w:t>
      </w:r>
    </w:p>
    <w:p w14:paraId="7A54C7FC" w14:textId="77777777" w:rsidR="00E63352" w:rsidRPr="00B375EA" w:rsidRDefault="00E63352" w:rsidP="00E63352">
      <w:pPr>
        <w:pStyle w:val="Heading2"/>
        <w:numPr>
          <w:ilvl w:val="1"/>
          <w:numId w:val="1"/>
        </w:numPr>
        <w:tabs>
          <w:tab w:val="clear" w:pos="0"/>
          <w:tab w:val="num" w:pos="-720"/>
        </w:tabs>
      </w:pPr>
      <w:r>
        <w:t>Fournir au Comité exécutif une vérification indépendante confirmant que les Objectifs ont été atteints et que les activités liées à la tranche ont été réalisées comme indiqué dans le plan de mise en œuvre de la tranche, conformément à l’appendice 4-A ;</w:t>
      </w:r>
    </w:p>
    <w:p w14:paraId="2188F952" w14:textId="77777777" w:rsidR="00E63352" w:rsidRPr="00B375EA" w:rsidRDefault="00E63352" w:rsidP="00E63352">
      <w:pPr>
        <w:pStyle w:val="Heading2"/>
        <w:widowControl/>
        <w:numPr>
          <w:ilvl w:val="1"/>
          <w:numId w:val="1"/>
        </w:numPr>
        <w:tabs>
          <w:tab w:val="clear" w:pos="0"/>
          <w:tab w:val="num" w:pos="-720"/>
        </w:tabs>
      </w:pPr>
      <w:r>
        <w:t>Veiller à ce que l’expérience et les progrès transparaissent dans les mises à jour du plan global et dans les plans de mise en œuvre de tranches futures, conformément aux alinéas 1(c) et 1(d) de l’appendice 4</w:t>
      </w:r>
      <w:r>
        <w:noBreakHyphen/>
        <w:t>A ;</w:t>
      </w:r>
    </w:p>
    <w:p w14:paraId="1ED1927C" w14:textId="77777777" w:rsidR="00E63352" w:rsidRPr="00B375EA" w:rsidRDefault="00E63352" w:rsidP="004A33EB">
      <w:pPr>
        <w:pStyle w:val="Heading2"/>
        <w:keepNext/>
        <w:keepLines/>
        <w:numPr>
          <w:ilvl w:val="1"/>
          <w:numId w:val="1"/>
        </w:numPr>
        <w:tabs>
          <w:tab w:val="clear" w:pos="0"/>
          <w:tab w:val="num" w:pos="-720"/>
        </w:tabs>
      </w:pPr>
      <w:r>
        <w:lastRenderedPageBreak/>
        <w:t>Satisfaire aux exigences de rapport pour les rapports et plans de mise en œuvre de la tranche et le plan global selon les spécifications de l’appendice 4-A aux fins de présentation au Comité exécutif ;</w:t>
      </w:r>
    </w:p>
    <w:p w14:paraId="68ED74C3" w14:textId="77777777" w:rsidR="00E63352" w:rsidRPr="00B375EA" w:rsidRDefault="00E63352" w:rsidP="00E63352">
      <w:pPr>
        <w:pStyle w:val="Heading2"/>
        <w:numPr>
          <w:ilvl w:val="1"/>
          <w:numId w:val="1"/>
        </w:numPr>
        <w:tabs>
          <w:tab w:val="clear" w:pos="0"/>
          <w:tab w:val="num" w:pos="-720"/>
        </w:tabs>
      </w:pPr>
      <w:r>
        <w:t>Si la dernière tranche de financement est demandée une ou plusieurs années avant la dernière année pour laquelle un objectif de consommation a été fixé, les rapports annuels sur la mise en œuvre de la tranche et, s’il y a lieu, les rapports de vérification portant sur la phase actuelle du Plan devront être soumis jusqu’à ce que toutes les activités prévues soient achevées et les objectifs de consommation de HCFC atteints ;</w:t>
      </w:r>
    </w:p>
    <w:p w14:paraId="78A5553F" w14:textId="77777777" w:rsidR="00E63352" w:rsidRPr="00B375EA" w:rsidRDefault="00E63352" w:rsidP="00E63352">
      <w:pPr>
        <w:pStyle w:val="Heading2"/>
        <w:numPr>
          <w:ilvl w:val="1"/>
          <w:numId w:val="1"/>
        </w:numPr>
        <w:tabs>
          <w:tab w:val="clear" w:pos="0"/>
          <w:tab w:val="num" w:pos="-720"/>
        </w:tabs>
      </w:pPr>
      <w:r>
        <w:t>Veiller à ce que des experts techniques indépendants appropriés réalisent les évaluations techniques ;</w:t>
      </w:r>
    </w:p>
    <w:p w14:paraId="79C44E1D" w14:textId="77777777" w:rsidR="00E63352" w:rsidRPr="00B375EA" w:rsidRDefault="00E63352" w:rsidP="00E63352">
      <w:pPr>
        <w:pStyle w:val="Heading2"/>
        <w:numPr>
          <w:ilvl w:val="1"/>
          <w:numId w:val="1"/>
        </w:numPr>
        <w:tabs>
          <w:tab w:val="clear" w:pos="0"/>
          <w:tab w:val="num" w:pos="-720"/>
        </w:tabs>
      </w:pPr>
      <w:r>
        <w:t>Réaliser les missions de supervision requises ;</w:t>
      </w:r>
    </w:p>
    <w:p w14:paraId="7AF5B507" w14:textId="77777777" w:rsidR="00E63352" w:rsidRPr="00B375EA" w:rsidRDefault="00E63352" w:rsidP="00E63352">
      <w:pPr>
        <w:pStyle w:val="Heading2"/>
        <w:numPr>
          <w:ilvl w:val="1"/>
          <w:numId w:val="1"/>
        </w:numPr>
        <w:tabs>
          <w:tab w:val="clear" w:pos="0"/>
          <w:tab w:val="num" w:pos="-720"/>
        </w:tabs>
      </w:pPr>
      <w:r>
        <w:t>S’assurer qu’il existe un mécanisme opérationnel permettant la mise en œuvre efficace et transparente du plan de mise en œuvre de la tranche et la communication de données correctes ;</w:t>
      </w:r>
    </w:p>
    <w:p w14:paraId="3F2ECF8B" w14:textId="77777777" w:rsidR="00E63352" w:rsidRPr="00B375EA" w:rsidRDefault="00E63352" w:rsidP="00E63352">
      <w:pPr>
        <w:pStyle w:val="Heading2"/>
        <w:numPr>
          <w:ilvl w:val="1"/>
          <w:numId w:val="1"/>
        </w:numPr>
        <w:tabs>
          <w:tab w:val="clear" w:pos="0"/>
          <w:tab w:val="num" w:pos="-720"/>
        </w:tabs>
      </w:pPr>
      <w:r>
        <w:t>En cas de réduction du soutien financier pour non-conformité au paragraphe 11 de l’Accord, déterminer, en consultation avec le Pays, la répartition des réductions aux différents postes budgétaires et au financement de l’Agence d’exécution principale ;</w:t>
      </w:r>
    </w:p>
    <w:p w14:paraId="01DCE709" w14:textId="77777777" w:rsidR="00E63352" w:rsidRPr="00231AD1" w:rsidRDefault="00E63352" w:rsidP="00E63352">
      <w:pPr>
        <w:pStyle w:val="Heading2"/>
        <w:numPr>
          <w:ilvl w:val="1"/>
          <w:numId w:val="1"/>
        </w:numPr>
        <w:shd w:val="clear" w:color="auto" w:fill="FFFFFF" w:themeFill="background1"/>
        <w:tabs>
          <w:tab w:val="clear" w:pos="0"/>
          <w:tab w:val="num" w:pos="-720"/>
        </w:tabs>
      </w:pPr>
      <w:r>
        <w:t>Veiller à ce que les versements effectués au Pays reposent sur l’utilisation des indicateurs ;</w:t>
      </w:r>
    </w:p>
    <w:p w14:paraId="1297E817" w14:textId="77777777" w:rsidR="00E63352" w:rsidRPr="00231AD1" w:rsidRDefault="00E63352" w:rsidP="00080EF6">
      <w:pPr>
        <w:pStyle w:val="Heading2"/>
        <w:numPr>
          <w:ilvl w:val="1"/>
          <w:numId w:val="1"/>
        </w:numPr>
        <w:shd w:val="clear" w:color="auto" w:fill="FFFFFF" w:themeFill="background1"/>
      </w:pPr>
      <w:r>
        <w:t>Fournir si nécessaire une assistance en matière de politique, de gestion et de soutien technique ; et</w:t>
      </w:r>
    </w:p>
    <w:p w14:paraId="68AF6716" w14:textId="77777777" w:rsidR="00E63352" w:rsidRPr="00B375EA" w:rsidRDefault="00E63352" w:rsidP="00E63352">
      <w:pPr>
        <w:pStyle w:val="Heading2"/>
        <w:numPr>
          <w:ilvl w:val="1"/>
          <w:numId w:val="1"/>
        </w:numPr>
        <w:tabs>
          <w:tab w:val="clear" w:pos="0"/>
          <w:tab w:val="num" w:pos="-720"/>
        </w:tabs>
      </w:pPr>
      <w:r>
        <w:t>Décaisser dans les délais prévus les fonds destinés au Pays / aux entreprises participantes pour achever les activités liées au projet.</w:t>
      </w:r>
    </w:p>
    <w:p w14:paraId="2C12B8B2" w14:textId="77777777" w:rsidR="00E63352" w:rsidRPr="00B375EA" w:rsidRDefault="00E63352" w:rsidP="004A33EB">
      <w:pPr>
        <w:pStyle w:val="Heading1"/>
        <w:spacing w:after="120"/>
      </w:pPr>
      <w:r>
        <w:t>Après avoir consulté le Pays et pris en considération les points de vue exprimés, l’Agence d’exécution principale sélectionnera et chargera une organisation indépendante de réaliser la vérification des résultats du Plan et de la consommation des Substances mentionnées à l’appendice 1-A, conformément à l’alinéa 5(b) de l’Accord et à l’alinéa 1(b) de l’appendice 4-A.</w:t>
      </w:r>
    </w:p>
    <w:p w14:paraId="6544483F" w14:textId="77777777" w:rsidR="00E63352" w:rsidRPr="00B375EA" w:rsidRDefault="00E63352" w:rsidP="004A33EB">
      <w:pPr>
        <w:spacing w:after="120"/>
        <w:rPr>
          <w:b/>
        </w:rPr>
      </w:pPr>
      <w:r>
        <w:rPr>
          <w:b/>
        </w:rPr>
        <w:t>APPENDICE 7-A : RÉDUCTIONS DU FINANCEMENT EN CAS DE NON-CONFORMITÉ</w:t>
      </w:r>
    </w:p>
    <w:p w14:paraId="079492F3" w14:textId="5F9397F3" w:rsidR="00E63352" w:rsidRPr="00B375EA" w:rsidRDefault="00E63352" w:rsidP="004A33EB">
      <w:pPr>
        <w:pStyle w:val="Heading1"/>
        <w:numPr>
          <w:ilvl w:val="0"/>
          <w:numId w:val="26"/>
        </w:numPr>
        <w:spacing w:after="120"/>
      </w:pPr>
      <w:r>
        <w:t>Conformément au paragraphe 11 de l’Accord, il pourra être déduit du financement accordé un montant de 180 $ US par kg PAO de consommation dépassant la quantité précisée à la ligne 1.2 de l’appendice 2-A pour chaque année de non-conformité à l’objectif précisé à la ligne 1.2 de l’appendice 2</w:t>
      </w:r>
      <w:r w:rsidR="004A33EB">
        <w:noBreakHyphen/>
      </w:r>
      <w:r>
        <w:t>A, étant entendu que la réduction maximale du financement ne dépassera pas le niveau de financement de la tranche demandée. Des mesures supplémentaires pourraient être envisagées si le non-respect persiste deux années de suite.</w:t>
      </w:r>
    </w:p>
    <w:p w14:paraId="6DF6FA4E" w14:textId="63FC699D" w:rsidR="00A943D2" w:rsidRPr="00A943D2" w:rsidRDefault="00E63352" w:rsidP="004A33EB">
      <w:pPr>
        <w:pStyle w:val="Heading1"/>
        <w:spacing w:after="120"/>
      </w:pPr>
      <w:r>
        <w:t>Si la sanction doit être appliquée au cours d’une année où deux Accords assortis de niveaux de sanction alités différents sont en vigueur (mise en œuvre en parallèle de deux phases du Plan), l’application de la sanction sera déterminée au cas par cas en tenant compte du secteur en particulier responsable de la non-conformité. S’il est impossible de déterminer le secteur, ou si les deux phases concernent le même secteur, le niveau de sanction le plus élevé sera appliqué.</w:t>
      </w:r>
    </w:p>
    <w:p w14:paraId="5721CFE6" w14:textId="77777777" w:rsidR="00E63352" w:rsidRPr="004A33EB" w:rsidRDefault="00E63352" w:rsidP="00A943D2">
      <w:pPr>
        <w:widowControl w:val="0"/>
        <w:contextualSpacing/>
        <w:jc w:val="center"/>
        <w:rPr>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63352" w:rsidRPr="00A943D2" w14:paraId="47E7D878" w14:textId="77777777" w:rsidTr="00C0058C">
        <w:tc>
          <w:tcPr>
            <w:tcW w:w="1915" w:type="dxa"/>
          </w:tcPr>
          <w:p w14:paraId="4731806C" w14:textId="77777777" w:rsidR="00E63352" w:rsidRPr="00A943D2" w:rsidRDefault="00E63352" w:rsidP="00A943D2">
            <w:pPr>
              <w:jc w:val="center"/>
            </w:pPr>
          </w:p>
        </w:tc>
        <w:tc>
          <w:tcPr>
            <w:tcW w:w="1915" w:type="dxa"/>
          </w:tcPr>
          <w:p w14:paraId="51188F38" w14:textId="77777777" w:rsidR="00E63352" w:rsidRPr="00A943D2" w:rsidRDefault="00E63352" w:rsidP="00A943D2">
            <w:pPr>
              <w:jc w:val="center"/>
            </w:pPr>
          </w:p>
        </w:tc>
        <w:tc>
          <w:tcPr>
            <w:tcW w:w="1915" w:type="dxa"/>
            <w:tcBorders>
              <w:bottom w:val="single" w:sz="4" w:space="0" w:color="auto"/>
            </w:tcBorders>
          </w:tcPr>
          <w:p w14:paraId="363B24F8" w14:textId="77777777" w:rsidR="00E63352" w:rsidRPr="00A943D2" w:rsidRDefault="00E63352" w:rsidP="00A943D2">
            <w:pPr>
              <w:jc w:val="center"/>
            </w:pPr>
          </w:p>
        </w:tc>
        <w:tc>
          <w:tcPr>
            <w:tcW w:w="1915" w:type="dxa"/>
          </w:tcPr>
          <w:p w14:paraId="16061ED4" w14:textId="77777777" w:rsidR="00E63352" w:rsidRPr="00A943D2" w:rsidRDefault="00E63352" w:rsidP="00A943D2">
            <w:pPr>
              <w:jc w:val="center"/>
            </w:pPr>
          </w:p>
        </w:tc>
        <w:tc>
          <w:tcPr>
            <w:tcW w:w="1916" w:type="dxa"/>
          </w:tcPr>
          <w:p w14:paraId="03D9719A" w14:textId="77777777" w:rsidR="00E63352" w:rsidRPr="00A943D2" w:rsidRDefault="00E63352" w:rsidP="00A943D2">
            <w:pPr>
              <w:jc w:val="center"/>
            </w:pPr>
          </w:p>
        </w:tc>
      </w:tr>
    </w:tbl>
    <w:p w14:paraId="5815F4A5" w14:textId="77777777" w:rsidR="00E85409" w:rsidRPr="00A943D2" w:rsidRDefault="00E85409" w:rsidP="0019446B">
      <w:pPr>
        <w:pStyle w:val="Heading1"/>
        <w:numPr>
          <w:ilvl w:val="0"/>
          <w:numId w:val="0"/>
        </w:numPr>
      </w:pPr>
    </w:p>
    <w:sectPr w:rsidR="00E85409" w:rsidRPr="00A943D2" w:rsidSect="0061557A">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D8EE0B" w14:textId="77777777" w:rsidR="0061557A" w:rsidRDefault="0061557A" w:rsidP="004A504B">
      <w:r>
        <w:separator/>
      </w:r>
    </w:p>
  </w:endnote>
  <w:endnote w:type="continuationSeparator" w:id="0">
    <w:p w14:paraId="732B7AB6" w14:textId="77777777" w:rsidR="0061557A" w:rsidRDefault="0061557A" w:rsidP="004A504B">
      <w:r>
        <w:continuationSeparator/>
      </w:r>
    </w:p>
  </w:endnote>
  <w:endnote w:type="continuationNotice" w:id="1">
    <w:p w14:paraId="7EF197EE" w14:textId="77777777" w:rsidR="0061557A" w:rsidRDefault="006155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A03737"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3DD63D"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D58D9D" w14:textId="77777777" w:rsidR="003532C0" w:rsidRDefault="003532C0" w:rsidP="003532C0">
    <w:pPr>
      <w:pBdr>
        <w:top w:val="single" w:sz="4" w:space="1" w:color="auto"/>
        <w:left w:val="single" w:sz="4" w:space="4" w:color="auto"/>
        <w:bottom w:val="single" w:sz="4" w:space="1" w:color="auto"/>
        <w:right w:val="single" w:sz="4" w:space="4" w:color="auto"/>
      </w:pBdr>
      <w:jc w:val="center"/>
      <w:rPr>
        <w:rFonts w:cs="MS Serif"/>
        <w:sz w:val="20"/>
      </w:rPr>
    </w:pPr>
    <w:r>
      <w:rPr>
        <w:rFonts w:cs="MS Serif"/>
        <w:sz w:val="20"/>
      </w:rPr>
      <w:t xml:space="preserve">Les documents de présession du Comité exécutif du Fonds multilatéral aux fins d’application du Protocole de </w:t>
    </w:r>
  </w:p>
  <w:p w14:paraId="71A6AB68" w14:textId="77777777" w:rsidR="003532C0" w:rsidRDefault="003532C0" w:rsidP="003532C0">
    <w:pPr>
      <w:pBdr>
        <w:top w:val="single" w:sz="4" w:space="1" w:color="auto"/>
        <w:left w:val="single" w:sz="4" w:space="4" w:color="auto"/>
        <w:bottom w:val="single" w:sz="4" w:space="1" w:color="auto"/>
        <w:right w:val="single" w:sz="4" w:space="4" w:color="auto"/>
      </w:pBdr>
      <w:jc w:val="center"/>
      <w:rPr>
        <w:rFonts w:cs="MS Serif"/>
        <w:sz w:val="20"/>
      </w:rPr>
    </w:pPr>
    <w:r>
      <w:rPr>
        <w:rFonts w:cs="MS Serif"/>
        <w:sz w:val="20"/>
      </w:rPr>
      <w:t>Montréal sont présentés sous réserve des décisions pouvant être prises par le Comité exécutif après leur publication.</w:t>
    </w:r>
  </w:p>
  <w:p w14:paraId="1E1A8AAE" w14:textId="77777777" w:rsidR="004E7F9C" w:rsidRPr="003532C0" w:rsidRDefault="004E7F9C" w:rsidP="003532C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004A54" w14:textId="77777777" w:rsidR="00CF377A" w:rsidRPr="0033525D" w:rsidRDefault="00CF377A">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0793EA" w14:textId="77777777" w:rsidR="00CF377A" w:rsidRPr="0033525D" w:rsidRDefault="00CF377A">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B128CE" w14:textId="77777777" w:rsidR="00CF377A" w:rsidRDefault="00CF377A"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0B7723FB" w14:textId="77777777" w:rsidR="00CF377A" w:rsidRDefault="00CF377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D085F1" w14:textId="77777777" w:rsidR="0061557A" w:rsidRDefault="0061557A" w:rsidP="004A504B">
      <w:r>
        <w:separator/>
      </w:r>
    </w:p>
  </w:footnote>
  <w:footnote w:type="continuationSeparator" w:id="0">
    <w:p w14:paraId="0BC79793" w14:textId="77777777" w:rsidR="0061557A" w:rsidRDefault="0061557A" w:rsidP="004A504B">
      <w:r>
        <w:continuationSeparator/>
      </w:r>
    </w:p>
  </w:footnote>
  <w:footnote w:type="continuationNotice" w:id="1">
    <w:p w14:paraId="6028BAF6" w14:textId="77777777" w:rsidR="0061557A" w:rsidRDefault="0061557A"/>
  </w:footnote>
  <w:footnote w:id="2">
    <w:p w14:paraId="06DE82F2" w14:textId="77777777" w:rsidR="00E63352" w:rsidRPr="001E1147" w:rsidRDefault="00E63352" w:rsidP="00CD650D">
      <w:pPr>
        <w:pStyle w:val="FootnoteText"/>
        <w:spacing w:before="120" w:after="120"/>
      </w:pPr>
      <w:r>
        <w:rPr>
          <w:rStyle w:val="FootnoteReference"/>
        </w:rPr>
        <w:footnoteRef/>
      </w:r>
      <w:r>
        <w:t xml:space="preserve"> UNEP/</w:t>
      </w:r>
      <w:proofErr w:type="spellStart"/>
      <w:r>
        <w:t>OzL.Pro</w:t>
      </w:r>
      <w:proofErr w:type="spellEnd"/>
      <w:r>
        <w:t>/</w:t>
      </w:r>
      <w:proofErr w:type="spellStart"/>
      <w:r>
        <w:t>ExCom</w:t>
      </w:r>
      <w:proofErr w:type="spellEnd"/>
      <w:r>
        <w:t>/94/1.</w:t>
      </w:r>
    </w:p>
  </w:footnote>
  <w:footnote w:id="3">
    <w:p w14:paraId="215233CA" w14:textId="77777777" w:rsidR="00E63352" w:rsidRPr="00A5156B" w:rsidRDefault="00E63352" w:rsidP="00E63352">
      <w:pPr>
        <w:pStyle w:val="FootnoteText"/>
      </w:pPr>
      <w:r>
        <w:rPr>
          <w:rStyle w:val="FootnoteReference"/>
        </w:rPr>
        <w:footnoteRef/>
      </w:r>
      <w:r>
        <w:t> Conformément à la lettre du 31 janvier 2024 adressée par le Ministère de l’agriculture, de la pêche, de l’environnement, du tourisme et de l’artisanat des Comores au Secrétariat.</w:t>
      </w:r>
    </w:p>
  </w:footnote>
  <w:footnote w:id="4">
    <w:p w14:paraId="699996DC" w14:textId="77777777" w:rsidR="00E63352" w:rsidRPr="00432410" w:rsidRDefault="00E63352" w:rsidP="00E63352">
      <w:pPr>
        <w:pStyle w:val="FootnoteText"/>
      </w:pPr>
      <w:r>
        <w:rPr>
          <w:rStyle w:val="FootnoteReference"/>
        </w:rPr>
        <w:footnoteRef/>
      </w:r>
      <w:r>
        <w:t> Décision 64/30.</w:t>
      </w:r>
    </w:p>
  </w:footnote>
  <w:footnote w:id="5">
    <w:p w14:paraId="76865011" w14:textId="2475BC29" w:rsidR="005F4E9B" w:rsidRPr="005F4E9B" w:rsidRDefault="005F4E9B">
      <w:pPr>
        <w:pStyle w:val="FootnoteText"/>
      </w:pPr>
      <w:r>
        <w:rPr>
          <w:rStyle w:val="FootnoteReference"/>
        </w:rPr>
        <w:footnoteRef/>
      </w:r>
      <w:r>
        <w:t> Se référer au paragraphe 27 du rapport de vérification.</w:t>
      </w:r>
    </w:p>
  </w:footnote>
  <w:footnote w:id="6">
    <w:p w14:paraId="17A72B35" w14:textId="379B959E" w:rsidR="003F56B5" w:rsidRPr="003F56B5" w:rsidRDefault="003F56B5">
      <w:pPr>
        <w:pStyle w:val="FootnoteText"/>
      </w:pPr>
      <w:r>
        <w:rPr>
          <w:rStyle w:val="FootnoteReference"/>
        </w:rPr>
        <w:footnoteRef/>
      </w:r>
      <w:r>
        <w:t> Notamment des systèmes de récupération portatifs, des détecteurs de fuites, des dispositifs d’identification des frigorigènes et des pompes à vide.</w:t>
      </w:r>
    </w:p>
  </w:footnote>
  <w:footnote w:id="7">
    <w:p w14:paraId="443D64E4" w14:textId="4EFEC1C9" w:rsidR="00E63352" w:rsidRPr="003F56B5" w:rsidRDefault="00E63352" w:rsidP="00E63352">
      <w:pPr>
        <w:pStyle w:val="FootnoteText"/>
      </w:pPr>
      <w:r>
        <w:rPr>
          <w:rStyle w:val="FootnoteReference"/>
        </w:rPr>
        <w:footnoteRef/>
      </w:r>
      <w:r>
        <w:t> Avec des outils et équipements similaires à ceux de l’ENTP.</w:t>
      </w:r>
    </w:p>
  </w:footnote>
  <w:footnote w:id="8">
    <w:p w14:paraId="6F457A1F" w14:textId="166C5A50" w:rsidR="00347ADC" w:rsidRPr="00B44335" w:rsidRDefault="00347ADC" w:rsidP="00347ADC">
      <w:pPr>
        <w:rPr>
          <w:sz w:val="20"/>
          <w:szCs w:val="20"/>
        </w:rPr>
      </w:pPr>
      <w:r>
        <w:rPr>
          <w:rStyle w:val="FootnoteReference"/>
        </w:rPr>
        <w:footnoteRef/>
      </w:r>
      <w:r>
        <w:t> </w:t>
      </w:r>
      <w:r>
        <w:rPr>
          <w:sz w:val="20"/>
        </w:rPr>
        <w:t>Comprenant des systèmes de récupération, des dérivations équipées de balances interchangeables pour le HCFC-22, le HFC-134a et le R-600a, des flexibles, des outils pour retirer les robinets, des miroirs d’inspection, des systèmes pour évaser les tubes, des serre-tubes, des coupe-tubes, des thermomètres électroniques, des clés à cliquet et des ressorts de cintrage.</w:t>
      </w:r>
    </w:p>
  </w:footnote>
  <w:footnote w:id="9">
    <w:p w14:paraId="15797B98" w14:textId="77777777" w:rsidR="00E63352" w:rsidRDefault="00E63352" w:rsidP="00E63352">
      <w:pPr>
        <w:pStyle w:val="FootnoteText"/>
      </w:pPr>
      <w:r>
        <w:rPr>
          <w:rStyle w:val="FootnoteReference"/>
        </w:rPr>
        <w:footnoteRef/>
      </w:r>
      <w:r>
        <w:t xml:space="preserve"> </w:t>
      </w:r>
      <w:bookmarkStart w:id="27" w:name="_Hlk165061167"/>
      <w:bookmarkStart w:id="28" w:name="_Hlk165061168"/>
      <w:r>
        <w:t>Pour encourager les agences bilatérales principales et d’exécution soumettant des demandes de tranche de PGEH à la première réunion de l’année à inclure un rapport de vérification des objectifs de consommation nationale pour l’année précédant immédiatement l’année durant laquelle la tranche a été soumise.</w:t>
      </w:r>
      <w:bookmarkEnd w:id="27"/>
      <w:bookmarkEnd w:id="28"/>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023E3E" w14:textId="6DDF5F56" w:rsidR="00DC6A10" w:rsidRPr="0033525D" w:rsidRDefault="00ED37B8" w:rsidP="00080EF6">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/94/30</w:t>
    </w:r>
    <w:r>
      <w:fldChar w:fldCharType="end"/>
    </w:r>
  </w:p>
  <w:p w14:paraId="785B4E24" w14:textId="77777777" w:rsidR="002D01B8" w:rsidRPr="0033525D" w:rsidRDefault="002D01B8" w:rsidP="00080EF6"/>
  <w:p w14:paraId="78068374" w14:textId="77777777" w:rsidR="00DC6A10" w:rsidRPr="0033525D" w:rsidRDefault="00DC6A10" w:rsidP="00080EF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79B18C" w14:textId="5749515A" w:rsidR="009A3E69" w:rsidRPr="009B0D30" w:rsidRDefault="009A3E69" w:rsidP="009A3E69">
    <w:pPr>
      <w:jc w:val="right"/>
    </w:pPr>
    <w:r>
      <w:fldChar w:fldCharType="begin"/>
    </w:r>
    <w:r>
      <w:instrText xml:space="preserve"> DOCPROPERTY "Document number"  \* MERGEFORMAT </w:instrText>
    </w:r>
    <w:r>
      <w:fldChar w:fldCharType="separate"/>
    </w:r>
    <w:r w:rsidR="00ED37B8">
      <w:t>UNEP/</w:t>
    </w:r>
    <w:proofErr w:type="spellStart"/>
    <w:r w:rsidR="00ED37B8">
      <w:t>OzL.Pro</w:t>
    </w:r>
    <w:proofErr w:type="spellEnd"/>
    <w:r w:rsidR="00ED37B8">
      <w:t>/</w:t>
    </w:r>
    <w:proofErr w:type="spellStart"/>
    <w:r w:rsidR="00ED37B8">
      <w:t>ExCom</w:t>
    </w:r>
    <w:proofErr w:type="spellEnd"/>
    <w:r w:rsidR="00ED37B8">
      <w:t>/94/30</w:t>
    </w:r>
    <w:r>
      <w:fldChar w:fldCharType="end"/>
    </w:r>
  </w:p>
  <w:p w14:paraId="3D82AA19" w14:textId="77777777" w:rsidR="00C109A1" w:rsidRDefault="00C109A1" w:rsidP="007476AB">
    <w:pPr>
      <w:pStyle w:val="Header"/>
      <w:jc w:val="right"/>
      <w:rPr>
        <w:u w:val="single"/>
      </w:rPr>
    </w:pPr>
  </w:p>
  <w:p w14:paraId="7F8D8527" w14:textId="77777777" w:rsidR="00C109A1" w:rsidRPr="00C109A1" w:rsidRDefault="00C109A1" w:rsidP="007476AB">
    <w:pPr>
      <w:pStyle w:val="Header"/>
      <w:jc w:val="right"/>
      <w:rPr>
        <w:u w:val="sing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74C32F" w14:textId="78356983" w:rsidR="004A33EB" w:rsidRPr="004A33EB" w:rsidRDefault="004A33EB" w:rsidP="004A33EB">
    <w:pPr>
      <w:rPr>
        <w:lang w:val="en-CA"/>
      </w:rPr>
    </w:pPr>
    <w:r>
      <w:fldChar w:fldCharType="begin"/>
    </w:r>
    <w:r w:rsidRPr="004A33EB">
      <w:rPr>
        <w:lang w:val="en-CA"/>
      </w:rPr>
      <w:instrText xml:space="preserve"> DOCPROPERTY "Document number"  \* MERGEFORMAT </w:instrText>
    </w:r>
    <w:r>
      <w:fldChar w:fldCharType="separate"/>
    </w:r>
    <w:r w:rsidR="00ED37B8">
      <w:rPr>
        <w:lang w:val="en-CA"/>
      </w:rPr>
      <w:t>UNEP/</w:t>
    </w:r>
    <w:proofErr w:type="spellStart"/>
    <w:r w:rsidR="00ED37B8">
      <w:rPr>
        <w:lang w:val="en-CA"/>
      </w:rPr>
      <w:t>OzL.Pro</w:t>
    </w:r>
    <w:proofErr w:type="spellEnd"/>
    <w:r w:rsidR="00ED37B8">
      <w:rPr>
        <w:lang w:val="en-CA"/>
      </w:rPr>
      <w:t>/ExCom/94/30</w:t>
    </w:r>
    <w:r>
      <w:fldChar w:fldCharType="end"/>
    </w:r>
  </w:p>
  <w:p w14:paraId="34413760" w14:textId="6343548A" w:rsidR="00CF377A" w:rsidRPr="009A3E69" w:rsidRDefault="00CF377A" w:rsidP="00080EF6">
    <w:pPr>
      <w:rPr>
        <w:lang w:val="en-CA"/>
      </w:rPr>
    </w:pPr>
    <w:r w:rsidRPr="009A3E69">
      <w:rPr>
        <w:lang w:val="en-CA"/>
      </w:rPr>
      <w:t>Annexe I</w:t>
    </w:r>
  </w:p>
  <w:p w14:paraId="24E839DD" w14:textId="77777777" w:rsidR="00CF377A" w:rsidRPr="009A3E69" w:rsidRDefault="00CF377A" w:rsidP="00080EF6">
    <w:pPr>
      <w:rPr>
        <w:lang w:val="en-CA"/>
      </w:rPr>
    </w:pPr>
  </w:p>
  <w:p w14:paraId="44F6394A" w14:textId="77777777" w:rsidR="00CF377A" w:rsidRPr="009A3E69" w:rsidRDefault="00CF377A" w:rsidP="00080EF6">
    <w:pPr>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6E37F6" w14:textId="73636275" w:rsidR="004A33EB" w:rsidRPr="004A33EB" w:rsidRDefault="004A33EB" w:rsidP="004A33EB">
    <w:pPr>
      <w:jc w:val="right"/>
      <w:rPr>
        <w:lang w:val="en-CA"/>
      </w:rPr>
    </w:pPr>
    <w:r>
      <w:fldChar w:fldCharType="begin"/>
    </w:r>
    <w:r w:rsidRPr="004A33EB">
      <w:rPr>
        <w:lang w:val="en-CA"/>
      </w:rPr>
      <w:instrText xml:space="preserve"> DOCPROPERTY "Document number"  \* MERGEFORMAT </w:instrText>
    </w:r>
    <w:r>
      <w:fldChar w:fldCharType="separate"/>
    </w:r>
    <w:r w:rsidR="00ED37B8">
      <w:rPr>
        <w:lang w:val="en-CA"/>
      </w:rPr>
      <w:t>UNEP/</w:t>
    </w:r>
    <w:proofErr w:type="spellStart"/>
    <w:r w:rsidR="00ED37B8">
      <w:rPr>
        <w:lang w:val="en-CA"/>
      </w:rPr>
      <w:t>OzL.Pro</w:t>
    </w:r>
    <w:proofErr w:type="spellEnd"/>
    <w:r w:rsidR="00ED37B8">
      <w:rPr>
        <w:lang w:val="en-CA"/>
      </w:rPr>
      <w:t>/ExCom/94/30</w:t>
    </w:r>
    <w:r>
      <w:fldChar w:fldCharType="end"/>
    </w:r>
  </w:p>
  <w:p w14:paraId="276F6713" w14:textId="7E319583" w:rsidR="00CF377A" w:rsidRPr="009A3E69" w:rsidRDefault="00CF377A" w:rsidP="007476AB">
    <w:pPr>
      <w:pStyle w:val="Header"/>
      <w:jc w:val="right"/>
      <w:rPr>
        <w:lang w:val="en-CA"/>
      </w:rPr>
    </w:pPr>
    <w:r w:rsidRPr="009A3E69">
      <w:rPr>
        <w:lang w:val="en-CA"/>
      </w:rPr>
      <w:t>Annexe I</w:t>
    </w:r>
  </w:p>
  <w:p w14:paraId="2919F9A7" w14:textId="77777777" w:rsidR="00CF377A" w:rsidRPr="009A3E69" w:rsidRDefault="00CF377A" w:rsidP="007476AB">
    <w:pPr>
      <w:pStyle w:val="Header"/>
      <w:jc w:val="right"/>
      <w:rPr>
        <w:u w:val="single"/>
        <w:lang w:val="en-CA"/>
      </w:rPr>
    </w:pPr>
  </w:p>
  <w:p w14:paraId="77D204F0" w14:textId="77777777" w:rsidR="00CF377A" w:rsidRPr="009A3E69" w:rsidRDefault="00CF377A" w:rsidP="007476AB">
    <w:pPr>
      <w:pStyle w:val="Header"/>
      <w:jc w:val="right"/>
      <w:rPr>
        <w:u w:val="single"/>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1C257E" w14:textId="77777777" w:rsidR="00CF377A" w:rsidRDefault="00CF37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A16F2B8"/>
    <w:lvl w:ilvl="0">
      <w:start w:val="1"/>
      <w:numFmt w:val="decimal"/>
      <w:pStyle w:val="Heading1"/>
      <w:lvlText w:val="%1."/>
      <w:lvlJc w:val="left"/>
      <w:pPr>
        <w:tabs>
          <w:tab w:val="num" w:pos="0"/>
        </w:tabs>
        <w:ind w:left="0" w:firstLine="0"/>
      </w:pPr>
      <w:rPr>
        <w:b w:val="0"/>
        <w:bCs/>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b w:val="0"/>
        <w:bCs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A83122"/>
    <w:multiLevelType w:val="hybridMultilevel"/>
    <w:tmpl w:val="C2E66BF4"/>
    <w:lvl w:ilvl="0" w:tplc="BE94B08E">
      <w:start w:val="1"/>
      <w:numFmt w:val="upperRoman"/>
      <w:lvlText w:val="%1."/>
      <w:lvlJc w:val="left"/>
      <w:pPr>
        <w:ind w:left="1080" w:hanging="720"/>
      </w:pPr>
      <w:rPr>
        <w:rFonts w:hint="default"/>
        <w:i/>
        <w:color w:val="auto"/>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D1F00D5"/>
    <w:multiLevelType w:val="multilevel"/>
    <w:tmpl w:val="0D1F00D5"/>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lang w:val="en-GB"/>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2200F7A"/>
    <w:multiLevelType w:val="hybridMultilevel"/>
    <w:tmpl w:val="C114AE5A"/>
    <w:lvl w:ilvl="0" w:tplc="695692EA">
      <w:start w:val="1"/>
      <w:numFmt w:val="decimal"/>
      <w:lvlText w:val="%1."/>
      <w:lvlJc w:val="left"/>
      <w:pPr>
        <w:ind w:left="720" w:hanging="360"/>
      </w:pPr>
      <w:rPr>
        <w:rFonts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700F24"/>
    <w:multiLevelType w:val="hybridMultilevel"/>
    <w:tmpl w:val="055CF55A"/>
    <w:lvl w:ilvl="0" w:tplc="14320020">
      <w:start w:val="1"/>
      <w:numFmt w:val="upperRoman"/>
      <w:lvlText w:val="%1."/>
      <w:lvlJc w:val="left"/>
      <w:pPr>
        <w:ind w:left="1080" w:hanging="720"/>
      </w:pPr>
      <w:rPr>
        <w:rFonts w:hint="default"/>
        <w:b/>
        <w:bCs/>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51643B2"/>
    <w:multiLevelType w:val="hybridMultilevel"/>
    <w:tmpl w:val="46FEED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F82E42"/>
    <w:multiLevelType w:val="hybridMultilevel"/>
    <w:tmpl w:val="082AA5F6"/>
    <w:lvl w:ilvl="0" w:tplc="10085346">
      <w:start w:val="1"/>
      <w:numFmt w:val="upperRoman"/>
      <w:lvlText w:val="%1."/>
      <w:lvlJc w:val="left"/>
      <w:pPr>
        <w:ind w:left="1080" w:hanging="720"/>
      </w:pPr>
      <w:rPr>
        <w:rFonts w:hint="default"/>
        <w:i/>
        <w:color w:val="auto"/>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0C7886"/>
    <w:multiLevelType w:val="multilevel"/>
    <w:tmpl w:val="4A0C78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2F311DF"/>
    <w:multiLevelType w:val="hybridMultilevel"/>
    <w:tmpl w:val="055CF55A"/>
    <w:lvl w:ilvl="0" w:tplc="FFFFFFFF">
      <w:start w:val="1"/>
      <w:numFmt w:val="upperRoman"/>
      <w:lvlText w:val="%1."/>
      <w:lvlJc w:val="left"/>
      <w:pPr>
        <w:ind w:left="1080" w:hanging="72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3333224"/>
    <w:multiLevelType w:val="multilevel"/>
    <w:tmpl w:val="73333224"/>
    <w:lvl w:ilvl="0">
      <w:start w:val="1"/>
      <w:numFmt w:val="bullet"/>
      <w:lvlText w:val="-"/>
      <w:lvlJc w:val="left"/>
      <w:pPr>
        <w:tabs>
          <w:tab w:val="num" w:pos="720"/>
        </w:tabs>
        <w:ind w:left="720" w:hanging="360"/>
      </w:pPr>
      <w:rPr>
        <w:rFonts w:ascii="Times New Roman" w:eastAsia="Times New Roman" w:hAnsi="Times New Roman"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72D5A59"/>
    <w:multiLevelType w:val="multilevel"/>
    <w:tmpl w:val="772D5A5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D10311E"/>
    <w:multiLevelType w:val="hybridMultilevel"/>
    <w:tmpl w:val="4E765F1A"/>
    <w:lvl w:ilvl="0" w:tplc="966C193A">
      <w:start w:val="1"/>
      <w:numFmt w:val="upperRoman"/>
      <w:lvlText w:val="%1."/>
      <w:lvlJc w:val="left"/>
      <w:pPr>
        <w:ind w:left="1080" w:hanging="720"/>
      </w:pPr>
      <w:rPr>
        <w:rFonts w:hint="default"/>
        <w:i/>
        <w:color w:val="auto"/>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22"/>
  </w:num>
  <w:num w:numId="18" w16cid:durableId="559828470">
    <w:abstractNumId w:val="23"/>
  </w:num>
  <w:num w:numId="19" w16cid:durableId="1488010068">
    <w:abstractNumId w:val="29"/>
  </w:num>
  <w:num w:numId="20" w16cid:durableId="444007775">
    <w:abstractNumId w:val="17"/>
  </w:num>
  <w:num w:numId="21" w16cid:durableId="2081637436">
    <w:abstractNumId w:val="24"/>
  </w:num>
  <w:num w:numId="22" w16cid:durableId="1708261730">
    <w:abstractNumId w:val="20"/>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4"/>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38554626">
    <w:abstractNumId w:val="26"/>
  </w:num>
  <w:num w:numId="40" w16cid:durableId="564680955">
    <w:abstractNumId w:val="21"/>
  </w:num>
  <w:num w:numId="41" w16cid:durableId="1288317882">
    <w:abstractNumId w:val="12"/>
  </w:num>
  <w:num w:numId="42" w16cid:durableId="886332558">
    <w:abstractNumId w:val="27"/>
  </w:num>
  <w:num w:numId="43" w16cid:durableId="587159318">
    <w:abstractNumId w:val="13"/>
  </w:num>
  <w:num w:numId="44" w16cid:durableId="1784032268">
    <w:abstractNumId w:val="19"/>
  </w:num>
  <w:num w:numId="45" w16cid:durableId="141392269">
    <w:abstractNumId w:val="11"/>
  </w:num>
  <w:num w:numId="46" w16cid:durableId="413015853">
    <w:abstractNumId w:val="28"/>
  </w:num>
  <w:num w:numId="47" w16cid:durableId="224489627">
    <w:abstractNumId w:val="16"/>
  </w:num>
  <w:num w:numId="48" w16cid:durableId="1139953155">
    <w:abstractNumId w:val="25"/>
  </w:num>
  <w:num w:numId="49" w16cid:durableId="18270840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821968326">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92345"/>
    <w:rsid w:val="0000005D"/>
    <w:rsid w:val="00000FED"/>
    <w:rsid w:val="00002D57"/>
    <w:rsid w:val="0000434E"/>
    <w:rsid w:val="00004384"/>
    <w:rsid w:val="00004407"/>
    <w:rsid w:val="0000467F"/>
    <w:rsid w:val="00005527"/>
    <w:rsid w:val="0000707B"/>
    <w:rsid w:val="00007EF2"/>
    <w:rsid w:val="0001345E"/>
    <w:rsid w:val="0001522E"/>
    <w:rsid w:val="00021019"/>
    <w:rsid w:val="000211A9"/>
    <w:rsid w:val="00021238"/>
    <w:rsid w:val="00022071"/>
    <w:rsid w:val="00023493"/>
    <w:rsid w:val="0002634A"/>
    <w:rsid w:val="00026D66"/>
    <w:rsid w:val="000307F2"/>
    <w:rsid w:val="00031260"/>
    <w:rsid w:val="0003681A"/>
    <w:rsid w:val="000372B7"/>
    <w:rsid w:val="00040A0E"/>
    <w:rsid w:val="00042573"/>
    <w:rsid w:val="000428DF"/>
    <w:rsid w:val="00046E5C"/>
    <w:rsid w:val="00046FC3"/>
    <w:rsid w:val="00050BD0"/>
    <w:rsid w:val="00050F6E"/>
    <w:rsid w:val="00054917"/>
    <w:rsid w:val="00061EC2"/>
    <w:rsid w:val="00062EB2"/>
    <w:rsid w:val="00064DF9"/>
    <w:rsid w:val="0006523C"/>
    <w:rsid w:val="00066CE8"/>
    <w:rsid w:val="00073757"/>
    <w:rsid w:val="00074BF0"/>
    <w:rsid w:val="00074FD0"/>
    <w:rsid w:val="00075E91"/>
    <w:rsid w:val="00076A4C"/>
    <w:rsid w:val="00080ED0"/>
    <w:rsid w:val="00080EF6"/>
    <w:rsid w:val="0008461A"/>
    <w:rsid w:val="00085B8F"/>
    <w:rsid w:val="0008607A"/>
    <w:rsid w:val="00087E98"/>
    <w:rsid w:val="00090481"/>
    <w:rsid w:val="0009302D"/>
    <w:rsid w:val="00093537"/>
    <w:rsid w:val="000952AA"/>
    <w:rsid w:val="000A2916"/>
    <w:rsid w:val="000A3826"/>
    <w:rsid w:val="000A4242"/>
    <w:rsid w:val="000A4B0A"/>
    <w:rsid w:val="000A4FE9"/>
    <w:rsid w:val="000A6C26"/>
    <w:rsid w:val="000A6FC7"/>
    <w:rsid w:val="000B0051"/>
    <w:rsid w:val="000B03DB"/>
    <w:rsid w:val="000B25B8"/>
    <w:rsid w:val="000B36C8"/>
    <w:rsid w:val="000B5021"/>
    <w:rsid w:val="000C008D"/>
    <w:rsid w:val="000C17AB"/>
    <w:rsid w:val="000C1A08"/>
    <w:rsid w:val="000D38EC"/>
    <w:rsid w:val="000D52A4"/>
    <w:rsid w:val="000D5977"/>
    <w:rsid w:val="000E07BC"/>
    <w:rsid w:val="000E19C6"/>
    <w:rsid w:val="000E2E21"/>
    <w:rsid w:val="000E381D"/>
    <w:rsid w:val="000F1CD4"/>
    <w:rsid w:val="000F4103"/>
    <w:rsid w:val="000F70A7"/>
    <w:rsid w:val="000F73CA"/>
    <w:rsid w:val="00101C43"/>
    <w:rsid w:val="00105B9F"/>
    <w:rsid w:val="0011292B"/>
    <w:rsid w:val="00113CCA"/>
    <w:rsid w:val="00122F25"/>
    <w:rsid w:val="00123111"/>
    <w:rsid w:val="00135980"/>
    <w:rsid w:val="001363F8"/>
    <w:rsid w:val="001377DF"/>
    <w:rsid w:val="0013786F"/>
    <w:rsid w:val="001419FC"/>
    <w:rsid w:val="00147640"/>
    <w:rsid w:val="00150379"/>
    <w:rsid w:val="00151AE0"/>
    <w:rsid w:val="0015257C"/>
    <w:rsid w:val="001544B1"/>
    <w:rsid w:val="00154687"/>
    <w:rsid w:val="00155781"/>
    <w:rsid w:val="00157A49"/>
    <w:rsid w:val="001600A4"/>
    <w:rsid w:val="00162F1F"/>
    <w:rsid w:val="00163D2B"/>
    <w:rsid w:val="0016434F"/>
    <w:rsid w:val="001644D2"/>
    <w:rsid w:val="00164719"/>
    <w:rsid w:val="001663CF"/>
    <w:rsid w:val="00166FC4"/>
    <w:rsid w:val="001677AC"/>
    <w:rsid w:val="0017057A"/>
    <w:rsid w:val="001714E9"/>
    <w:rsid w:val="00173515"/>
    <w:rsid w:val="00176518"/>
    <w:rsid w:val="00176AFA"/>
    <w:rsid w:val="001804EA"/>
    <w:rsid w:val="001806EA"/>
    <w:rsid w:val="0018228B"/>
    <w:rsid w:val="00183F29"/>
    <w:rsid w:val="00185274"/>
    <w:rsid w:val="00187A06"/>
    <w:rsid w:val="00190A61"/>
    <w:rsid w:val="00191A7B"/>
    <w:rsid w:val="00192E09"/>
    <w:rsid w:val="0019446B"/>
    <w:rsid w:val="001959A9"/>
    <w:rsid w:val="00197179"/>
    <w:rsid w:val="001A2215"/>
    <w:rsid w:val="001A3342"/>
    <w:rsid w:val="001A3B4C"/>
    <w:rsid w:val="001A3E3D"/>
    <w:rsid w:val="001A4159"/>
    <w:rsid w:val="001A4200"/>
    <w:rsid w:val="001A7049"/>
    <w:rsid w:val="001B1E40"/>
    <w:rsid w:val="001B442F"/>
    <w:rsid w:val="001B4446"/>
    <w:rsid w:val="001C197C"/>
    <w:rsid w:val="001C764E"/>
    <w:rsid w:val="001D0700"/>
    <w:rsid w:val="001D3582"/>
    <w:rsid w:val="001D7F6F"/>
    <w:rsid w:val="001E08CE"/>
    <w:rsid w:val="001E1052"/>
    <w:rsid w:val="001E21B1"/>
    <w:rsid w:val="001E2F93"/>
    <w:rsid w:val="001E4554"/>
    <w:rsid w:val="001E48BA"/>
    <w:rsid w:val="001E61E5"/>
    <w:rsid w:val="001E6699"/>
    <w:rsid w:val="001F00D4"/>
    <w:rsid w:val="001F2159"/>
    <w:rsid w:val="001F3123"/>
    <w:rsid w:val="001F53FD"/>
    <w:rsid w:val="001F5EB4"/>
    <w:rsid w:val="001F6845"/>
    <w:rsid w:val="00204061"/>
    <w:rsid w:val="0020422D"/>
    <w:rsid w:val="00210701"/>
    <w:rsid w:val="00210B8B"/>
    <w:rsid w:val="00212B71"/>
    <w:rsid w:val="00214863"/>
    <w:rsid w:val="002156B4"/>
    <w:rsid w:val="002212AE"/>
    <w:rsid w:val="002238B7"/>
    <w:rsid w:val="0022394D"/>
    <w:rsid w:val="00224247"/>
    <w:rsid w:val="00224BAC"/>
    <w:rsid w:val="00224E1C"/>
    <w:rsid w:val="00224FCD"/>
    <w:rsid w:val="002318A0"/>
    <w:rsid w:val="00231AD1"/>
    <w:rsid w:val="00232537"/>
    <w:rsid w:val="002326E3"/>
    <w:rsid w:val="00236DAE"/>
    <w:rsid w:val="00250DF7"/>
    <w:rsid w:val="00251AF1"/>
    <w:rsid w:val="00253222"/>
    <w:rsid w:val="00254E8F"/>
    <w:rsid w:val="00257709"/>
    <w:rsid w:val="002604B1"/>
    <w:rsid w:val="00261C13"/>
    <w:rsid w:val="00262804"/>
    <w:rsid w:val="00262847"/>
    <w:rsid w:val="00264782"/>
    <w:rsid w:val="00272368"/>
    <w:rsid w:val="00272FC2"/>
    <w:rsid w:val="00280BF1"/>
    <w:rsid w:val="0028199C"/>
    <w:rsid w:val="00281BB2"/>
    <w:rsid w:val="00284C26"/>
    <w:rsid w:val="00285EDB"/>
    <w:rsid w:val="002863EF"/>
    <w:rsid w:val="00287361"/>
    <w:rsid w:val="00290C5A"/>
    <w:rsid w:val="00291025"/>
    <w:rsid w:val="00291A72"/>
    <w:rsid w:val="002938C8"/>
    <w:rsid w:val="002A03C3"/>
    <w:rsid w:val="002A1210"/>
    <w:rsid w:val="002A4F5A"/>
    <w:rsid w:val="002A6AFD"/>
    <w:rsid w:val="002B01A6"/>
    <w:rsid w:val="002B0402"/>
    <w:rsid w:val="002B254E"/>
    <w:rsid w:val="002B2D82"/>
    <w:rsid w:val="002B4CE8"/>
    <w:rsid w:val="002B612B"/>
    <w:rsid w:val="002B6C89"/>
    <w:rsid w:val="002B72E9"/>
    <w:rsid w:val="002C2115"/>
    <w:rsid w:val="002C2773"/>
    <w:rsid w:val="002C3677"/>
    <w:rsid w:val="002C4EB2"/>
    <w:rsid w:val="002C7998"/>
    <w:rsid w:val="002D01B8"/>
    <w:rsid w:val="002D161C"/>
    <w:rsid w:val="002D42F6"/>
    <w:rsid w:val="002D6AB2"/>
    <w:rsid w:val="002E1C62"/>
    <w:rsid w:val="002E1E1E"/>
    <w:rsid w:val="002E1EF2"/>
    <w:rsid w:val="002E5907"/>
    <w:rsid w:val="002E6B17"/>
    <w:rsid w:val="002F1E53"/>
    <w:rsid w:val="002F2CAA"/>
    <w:rsid w:val="002F4E46"/>
    <w:rsid w:val="002F5E67"/>
    <w:rsid w:val="003003C4"/>
    <w:rsid w:val="0030052C"/>
    <w:rsid w:val="00301846"/>
    <w:rsid w:val="00302D05"/>
    <w:rsid w:val="0030354F"/>
    <w:rsid w:val="003046B9"/>
    <w:rsid w:val="00306D91"/>
    <w:rsid w:val="00311227"/>
    <w:rsid w:val="00315A17"/>
    <w:rsid w:val="00316172"/>
    <w:rsid w:val="0031654B"/>
    <w:rsid w:val="00316962"/>
    <w:rsid w:val="00324059"/>
    <w:rsid w:val="00324515"/>
    <w:rsid w:val="00324F21"/>
    <w:rsid w:val="00326FCB"/>
    <w:rsid w:val="003270B0"/>
    <w:rsid w:val="0033058A"/>
    <w:rsid w:val="003306E1"/>
    <w:rsid w:val="003320E4"/>
    <w:rsid w:val="0033276F"/>
    <w:rsid w:val="00333360"/>
    <w:rsid w:val="003336A9"/>
    <w:rsid w:val="00333FE4"/>
    <w:rsid w:val="00335242"/>
    <w:rsid w:val="0033525D"/>
    <w:rsid w:val="00337E4E"/>
    <w:rsid w:val="003406DC"/>
    <w:rsid w:val="003414F3"/>
    <w:rsid w:val="00343BE0"/>
    <w:rsid w:val="00344DFF"/>
    <w:rsid w:val="003465FF"/>
    <w:rsid w:val="0034691B"/>
    <w:rsid w:val="00347ADC"/>
    <w:rsid w:val="00351F1B"/>
    <w:rsid w:val="003532C0"/>
    <w:rsid w:val="003551E5"/>
    <w:rsid w:val="0035613E"/>
    <w:rsid w:val="00357510"/>
    <w:rsid w:val="00361555"/>
    <w:rsid w:val="00362F5B"/>
    <w:rsid w:val="00363230"/>
    <w:rsid w:val="00363EE9"/>
    <w:rsid w:val="00365184"/>
    <w:rsid w:val="00365C80"/>
    <w:rsid w:val="00370096"/>
    <w:rsid w:val="00372DD3"/>
    <w:rsid w:val="0037583F"/>
    <w:rsid w:val="00376128"/>
    <w:rsid w:val="0037742E"/>
    <w:rsid w:val="00377D56"/>
    <w:rsid w:val="0038245A"/>
    <w:rsid w:val="003840E6"/>
    <w:rsid w:val="00384CED"/>
    <w:rsid w:val="00385CFC"/>
    <w:rsid w:val="00392C4B"/>
    <w:rsid w:val="0039337A"/>
    <w:rsid w:val="00394E5D"/>
    <w:rsid w:val="003A0273"/>
    <w:rsid w:val="003A1AB8"/>
    <w:rsid w:val="003A1C3E"/>
    <w:rsid w:val="003A30C8"/>
    <w:rsid w:val="003A3189"/>
    <w:rsid w:val="003A3993"/>
    <w:rsid w:val="003A3CA7"/>
    <w:rsid w:val="003A7258"/>
    <w:rsid w:val="003B055D"/>
    <w:rsid w:val="003B17B5"/>
    <w:rsid w:val="003B33BD"/>
    <w:rsid w:val="003B3B27"/>
    <w:rsid w:val="003B55B1"/>
    <w:rsid w:val="003B569D"/>
    <w:rsid w:val="003B5E15"/>
    <w:rsid w:val="003B6A93"/>
    <w:rsid w:val="003B75F3"/>
    <w:rsid w:val="003B7B5F"/>
    <w:rsid w:val="003C0918"/>
    <w:rsid w:val="003C257F"/>
    <w:rsid w:val="003C30E3"/>
    <w:rsid w:val="003C3C0E"/>
    <w:rsid w:val="003C5E85"/>
    <w:rsid w:val="003D04E9"/>
    <w:rsid w:val="003D1DD8"/>
    <w:rsid w:val="003D42A6"/>
    <w:rsid w:val="003D4C90"/>
    <w:rsid w:val="003D4EDF"/>
    <w:rsid w:val="003D4F21"/>
    <w:rsid w:val="003D4FAC"/>
    <w:rsid w:val="003D6EEF"/>
    <w:rsid w:val="003D78A6"/>
    <w:rsid w:val="003E1394"/>
    <w:rsid w:val="003E1885"/>
    <w:rsid w:val="003E2DED"/>
    <w:rsid w:val="003E3AFC"/>
    <w:rsid w:val="003E4C97"/>
    <w:rsid w:val="003E549E"/>
    <w:rsid w:val="003E6160"/>
    <w:rsid w:val="003E635C"/>
    <w:rsid w:val="003E7906"/>
    <w:rsid w:val="003F000F"/>
    <w:rsid w:val="003F0E56"/>
    <w:rsid w:val="003F26BD"/>
    <w:rsid w:val="003F2A36"/>
    <w:rsid w:val="003F3C50"/>
    <w:rsid w:val="003F56B5"/>
    <w:rsid w:val="00406202"/>
    <w:rsid w:val="00406A6A"/>
    <w:rsid w:val="00406B22"/>
    <w:rsid w:val="00407147"/>
    <w:rsid w:val="004078FA"/>
    <w:rsid w:val="004105AF"/>
    <w:rsid w:val="00410F07"/>
    <w:rsid w:val="00411890"/>
    <w:rsid w:val="004126D9"/>
    <w:rsid w:val="00412CD2"/>
    <w:rsid w:val="00414F0E"/>
    <w:rsid w:val="004177A6"/>
    <w:rsid w:val="004262E9"/>
    <w:rsid w:val="00431535"/>
    <w:rsid w:val="00431E08"/>
    <w:rsid w:val="00432410"/>
    <w:rsid w:val="004328A7"/>
    <w:rsid w:val="00432CB2"/>
    <w:rsid w:val="00434C74"/>
    <w:rsid w:val="00434DA5"/>
    <w:rsid w:val="00435236"/>
    <w:rsid w:val="00437300"/>
    <w:rsid w:val="004429FA"/>
    <w:rsid w:val="00444F99"/>
    <w:rsid w:val="0044673B"/>
    <w:rsid w:val="00451CD1"/>
    <w:rsid w:val="004525AA"/>
    <w:rsid w:val="004558B0"/>
    <w:rsid w:val="00456AB5"/>
    <w:rsid w:val="00456EB4"/>
    <w:rsid w:val="00457827"/>
    <w:rsid w:val="00466EA9"/>
    <w:rsid w:val="004718F3"/>
    <w:rsid w:val="00473041"/>
    <w:rsid w:val="004732FF"/>
    <w:rsid w:val="00473D54"/>
    <w:rsid w:val="00475040"/>
    <w:rsid w:val="00481140"/>
    <w:rsid w:val="004877B0"/>
    <w:rsid w:val="00490C06"/>
    <w:rsid w:val="00493D40"/>
    <w:rsid w:val="00493EE3"/>
    <w:rsid w:val="00494FE8"/>
    <w:rsid w:val="00495CC1"/>
    <w:rsid w:val="004967B6"/>
    <w:rsid w:val="004A05C3"/>
    <w:rsid w:val="004A222C"/>
    <w:rsid w:val="004A23D8"/>
    <w:rsid w:val="004A33EB"/>
    <w:rsid w:val="004A504B"/>
    <w:rsid w:val="004A5298"/>
    <w:rsid w:val="004A6911"/>
    <w:rsid w:val="004B042C"/>
    <w:rsid w:val="004B3012"/>
    <w:rsid w:val="004B3652"/>
    <w:rsid w:val="004B4DE3"/>
    <w:rsid w:val="004B54E0"/>
    <w:rsid w:val="004B6215"/>
    <w:rsid w:val="004B7384"/>
    <w:rsid w:val="004C3CBC"/>
    <w:rsid w:val="004C4269"/>
    <w:rsid w:val="004C5CF6"/>
    <w:rsid w:val="004D1729"/>
    <w:rsid w:val="004D287C"/>
    <w:rsid w:val="004D2DC2"/>
    <w:rsid w:val="004D4341"/>
    <w:rsid w:val="004D5EFE"/>
    <w:rsid w:val="004D61A5"/>
    <w:rsid w:val="004D6236"/>
    <w:rsid w:val="004D6641"/>
    <w:rsid w:val="004D7F90"/>
    <w:rsid w:val="004E06DE"/>
    <w:rsid w:val="004E0E3A"/>
    <w:rsid w:val="004E3D35"/>
    <w:rsid w:val="004E4CE7"/>
    <w:rsid w:val="004E4DBB"/>
    <w:rsid w:val="004E4E41"/>
    <w:rsid w:val="004E5D9D"/>
    <w:rsid w:val="004E73DB"/>
    <w:rsid w:val="004E7F9C"/>
    <w:rsid w:val="004F1343"/>
    <w:rsid w:val="004F3493"/>
    <w:rsid w:val="004F363B"/>
    <w:rsid w:val="004F4031"/>
    <w:rsid w:val="004F5143"/>
    <w:rsid w:val="004F69AB"/>
    <w:rsid w:val="005012A0"/>
    <w:rsid w:val="00502A7B"/>
    <w:rsid w:val="00504BAC"/>
    <w:rsid w:val="00506E41"/>
    <w:rsid w:val="00512B09"/>
    <w:rsid w:val="00512F16"/>
    <w:rsid w:val="00516982"/>
    <w:rsid w:val="00516CB1"/>
    <w:rsid w:val="005220ED"/>
    <w:rsid w:val="00525968"/>
    <w:rsid w:val="0052597B"/>
    <w:rsid w:val="00527CDF"/>
    <w:rsid w:val="005321C7"/>
    <w:rsid w:val="005326A0"/>
    <w:rsid w:val="00533796"/>
    <w:rsid w:val="00533962"/>
    <w:rsid w:val="00535719"/>
    <w:rsid w:val="00537343"/>
    <w:rsid w:val="00546E15"/>
    <w:rsid w:val="00547FEC"/>
    <w:rsid w:val="005516F3"/>
    <w:rsid w:val="00551734"/>
    <w:rsid w:val="00554868"/>
    <w:rsid w:val="0055593D"/>
    <w:rsid w:val="00555D75"/>
    <w:rsid w:val="00556BE7"/>
    <w:rsid w:val="00560DF0"/>
    <w:rsid w:val="0056129E"/>
    <w:rsid w:val="00565F46"/>
    <w:rsid w:val="005660BE"/>
    <w:rsid w:val="00567090"/>
    <w:rsid w:val="0056759C"/>
    <w:rsid w:val="0057135E"/>
    <w:rsid w:val="0057777C"/>
    <w:rsid w:val="0058320C"/>
    <w:rsid w:val="00585A16"/>
    <w:rsid w:val="00590836"/>
    <w:rsid w:val="00592471"/>
    <w:rsid w:val="0059513E"/>
    <w:rsid w:val="005A15EF"/>
    <w:rsid w:val="005A2657"/>
    <w:rsid w:val="005A6AA4"/>
    <w:rsid w:val="005A6D9F"/>
    <w:rsid w:val="005B48FF"/>
    <w:rsid w:val="005B534D"/>
    <w:rsid w:val="005C1532"/>
    <w:rsid w:val="005C1E32"/>
    <w:rsid w:val="005C354E"/>
    <w:rsid w:val="005C670D"/>
    <w:rsid w:val="005C79AB"/>
    <w:rsid w:val="005C7BA7"/>
    <w:rsid w:val="005D11AF"/>
    <w:rsid w:val="005D18EB"/>
    <w:rsid w:val="005D363F"/>
    <w:rsid w:val="005E5724"/>
    <w:rsid w:val="005E5C76"/>
    <w:rsid w:val="005E718E"/>
    <w:rsid w:val="005F2519"/>
    <w:rsid w:val="005F416E"/>
    <w:rsid w:val="005F4E9B"/>
    <w:rsid w:val="005F6EE5"/>
    <w:rsid w:val="00603544"/>
    <w:rsid w:val="00604C15"/>
    <w:rsid w:val="00605DCE"/>
    <w:rsid w:val="00606835"/>
    <w:rsid w:val="00606EE4"/>
    <w:rsid w:val="00607D19"/>
    <w:rsid w:val="0061198C"/>
    <w:rsid w:val="00614FF7"/>
    <w:rsid w:val="0061557A"/>
    <w:rsid w:val="006158D5"/>
    <w:rsid w:val="00622E62"/>
    <w:rsid w:val="00623748"/>
    <w:rsid w:val="00625D83"/>
    <w:rsid w:val="006264D4"/>
    <w:rsid w:val="00627E08"/>
    <w:rsid w:val="00630DCA"/>
    <w:rsid w:val="00631EFF"/>
    <w:rsid w:val="00632F79"/>
    <w:rsid w:val="006360ED"/>
    <w:rsid w:val="00636EAC"/>
    <w:rsid w:val="006427FA"/>
    <w:rsid w:val="00647725"/>
    <w:rsid w:val="00651984"/>
    <w:rsid w:val="00652578"/>
    <w:rsid w:val="00657C3C"/>
    <w:rsid w:val="006615F3"/>
    <w:rsid w:val="006623E7"/>
    <w:rsid w:val="00662B80"/>
    <w:rsid w:val="00665607"/>
    <w:rsid w:val="00666522"/>
    <w:rsid w:val="0066768F"/>
    <w:rsid w:val="00670F6C"/>
    <w:rsid w:val="00671096"/>
    <w:rsid w:val="006713F1"/>
    <w:rsid w:val="006741F1"/>
    <w:rsid w:val="00676E58"/>
    <w:rsid w:val="00677A7F"/>
    <w:rsid w:val="0068087C"/>
    <w:rsid w:val="00683080"/>
    <w:rsid w:val="00684F3A"/>
    <w:rsid w:val="00684FC9"/>
    <w:rsid w:val="006852C7"/>
    <w:rsid w:val="006852CE"/>
    <w:rsid w:val="00692D14"/>
    <w:rsid w:val="0069460A"/>
    <w:rsid w:val="00695CA6"/>
    <w:rsid w:val="006A1195"/>
    <w:rsid w:val="006A1B18"/>
    <w:rsid w:val="006A5A6E"/>
    <w:rsid w:val="006A7A3B"/>
    <w:rsid w:val="006B24CA"/>
    <w:rsid w:val="006B2FDC"/>
    <w:rsid w:val="006B3227"/>
    <w:rsid w:val="006B3C52"/>
    <w:rsid w:val="006B5459"/>
    <w:rsid w:val="006B5735"/>
    <w:rsid w:val="006B65C7"/>
    <w:rsid w:val="006C1727"/>
    <w:rsid w:val="006C32FD"/>
    <w:rsid w:val="006C39CE"/>
    <w:rsid w:val="006D0FCC"/>
    <w:rsid w:val="006D2090"/>
    <w:rsid w:val="006D21F5"/>
    <w:rsid w:val="006D3089"/>
    <w:rsid w:val="006D3C3D"/>
    <w:rsid w:val="006D427C"/>
    <w:rsid w:val="006D4B5B"/>
    <w:rsid w:val="006D4F33"/>
    <w:rsid w:val="006E0E55"/>
    <w:rsid w:val="006E0F27"/>
    <w:rsid w:val="006E126D"/>
    <w:rsid w:val="006E1FC3"/>
    <w:rsid w:val="006E5379"/>
    <w:rsid w:val="006E5CD9"/>
    <w:rsid w:val="006E7299"/>
    <w:rsid w:val="006F16E9"/>
    <w:rsid w:val="006F659E"/>
    <w:rsid w:val="006F7D71"/>
    <w:rsid w:val="0070407D"/>
    <w:rsid w:val="00704CE9"/>
    <w:rsid w:val="0070616B"/>
    <w:rsid w:val="00706295"/>
    <w:rsid w:val="00706FDA"/>
    <w:rsid w:val="007102B1"/>
    <w:rsid w:val="00711F9A"/>
    <w:rsid w:val="00712FB7"/>
    <w:rsid w:val="007137E1"/>
    <w:rsid w:val="00713810"/>
    <w:rsid w:val="00713E31"/>
    <w:rsid w:val="00722546"/>
    <w:rsid w:val="00722FFC"/>
    <w:rsid w:val="007303A5"/>
    <w:rsid w:val="00730B3E"/>
    <w:rsid w:val="007322C8"/>
    <w:rsid w:val="00732306"/>
    <w:rsid w:val="0073362F"/>
    <w:rsid w:val="0073420B"/>
    <w:rsid w:val="00734A72"/>
    <w:rsid w:val="007359FE"/>
    <w:rsid w:val="00735D72"/>
    <w:rsid w:val="00736367"/>
    <w:rsid w:val="00741974"/>
    <w:rsid w:val="00742D9D"/>
    <w:rsid w:val="0074421E"/>
    <w:rsid w:val="0074760E"/>
    <w:rsid w:val="007476AB"/>
    <w:rsid w:val="00754ABA"/>
    <w:rsid w:val="00755AF1"/>
    <w:rsid w:val="0076161B"/>
    <w:rsid w:val="007665B4"/>
    <w:rsid w:val="0076765E"/>
    <w:rsid w:val="00767BC6"/>
    <w:rsid w:val="00771E8C"/>
    <w:rsid w:val="0077315A"/>
    <w:rsid w:val="00773CA5"/>
    <w:rsid w:val="00780108"/>
    <w:rsid w:val="00782B0D"/>
    <w:rsid w:val="00784C2E"/>
    <w:rsid w:val="00784E3B"/>
    <w:rsid w:val="007870FA"/>
    <w:rsid w:val="00792086"/>
    <w:rsid w:val="00792938"/>
    <w:rsid w:val="0079320C"/>
    <w:rsid w:val="00793BAC"/>
    <w:rsid w:val="007964F5"/>
    <w:rsid w:val="0079781A"/>
    <w:rsid w:val="00797A5C"/>
    <w:rsid w:val="007A1546"/>
    <w:rsid w:val="007A1BE7"/>
    <w:rsid w:val="007A228C"/>
    <w:rsid w:val="007A3448"/>
    <w:rsid w:val="007A368E"/>
    <w:rsid w:val="007A385A"/>
    <w:rsid w:val="007A3FDB"/>
    <w:rsid w:val="007A5868"/>
    <w:rsid w:val="007A635A"/>
    <w:rsid w:val="007A7373"/>
    <w:rsid w:val="007B04CE"/>
    <w:rsid w:val="007B4268"/>
    <w:rsid w:val="007B6676"/>
    <w:rsid w:val="007B6871"/>
    <w:rsid w:val="007B6A82"/>
    <w:rsid w:val="007B7A2F"/>
    <w:rsid w:val="007C1454"/>
    <w:rsid w:val="007C16AD"/>
    <w:rsid w:val="007C1B75"/>
    <w:rsid w:val="007C328D"/>
    <w:rsid w:val="007C32EE"/>
    <w:rsid w:val="007C3D33"/>
    <w:rsid w:val="007C7317"/>
    <w:rsid w:val="007D2586"/>
    <w:rsid w:val="007D294A"/>
    <w:rsid w:val="007D2D6F"/>
    <w:rsid w:val="007D33A1"/>
    <w:rsid w:val="007D3694"/>
    <w:rsid w:val="007D43A3"/>
    <w:rsid w:val="007D47D2"/>
    <w:rsid w:val="007D6EC0"/>
    <w:rsid w:val="007D7E1D"/>
    <w:rsid w:val="007E0447"/>
    <w:rsid w:val="007E1A01"/>
    <w:rsid w:val="007E3657"/>
    <w:rsid w:val="007E503C"/>
    <w:rsid w:val="007E6A8F"/>
    <w:rsid w:val="007F11D8"/>
    <w:rsid w:val="007F2250"/>
    <w:rsid w:val="007F5004"/>
    <w:rsid w:val="0080345C"/>
    <w:rsid w:val="008043B3"/>
    <w:rsid w:val="0080713D"/>
    <w:rsid w:val="00807CFF"/>
    <w:rsid w:val="008115D3"/>
    <w:rsid w:val="008127EF"/>
    <w:rsid w:val="00813299"/>
    <w:rsid w:val="00817E74"/>
    <w:rsid w:val="0082522F"/>
    <w:rsid w:val="00831979"/>
    <w:rsid w:val="00834482"/>
    <w:rsid w:val="00835C2E"/>
    <w:rsid w:val="00836287"/>
    <w:rsid w:val="00851352"/>
    <w:rsid w:val="0085489B"/>
    <w:rsid w:val="008555DC"/>
    <w:rsid w:val="00857077"/>
    <w:rsid w:val="00857F71"/>
    <w:rsid w:val="00861448"/>
    <w:rsid w:val="00861C07"/>
    <w:rsid w:val="00863230"/>
    <w:rsid w:val="00864E9B"/>
    <w:rsid w:val="00865BD0"/>
    <w:rsid w:val="00865F42"/>
    <w:rsid w:val="00867E5A"/>
    <w:rsid w:val="008717D8"/>
    <w:rsid w:val="0087215C"/>
    <w:rsid w:val="008756B5"/>
    <w:rsid w:val="00875D25"/>
    <w:rsid w:val="0087782A"/>
    <w:rsid w:val="00880E35"/>
    <w:rsid w:val="00884535"/>
    <w:rsid w:val="00884686"/>
    <w:rsid w:val="0088684A"/>
    <w:rsid w:val="008875FE"/>
    <w:rsid w:val="00887F8E"/>
    <w:rsid w:val="00891183"/>
    <w:rsid w:val="00892345"/>
    <w:rsid w:val="00894C65"/>
    <w:rsid w:val="00896234"/>
    <w:rsid w:val="00897E43"/>
    <w:rsid w:val="008A03A7"/>
    <w:rsid w:val="008A06BC"/>
    <w:rsid w:val="008A275C"/>
    <w:rsid w:val="008A53F5"/>
    <w:rsid w:val="008B1F3B"/>
    <w:rsid w:val="008C222B"/>
    <w:rsid w:val="008C2B6B"/>
    <w:rsid w:val="008C37EB"/>
    <w:rsid w:val="008C5738"/>
    <w:rsid w:val="008C5FFC"/>
    <w:rsid w:val="008C7EAD"/>
    <w:rsid w:val="008D0CFE"/>
    <w:rsid w:val="008D0D84"/>
    <w:rsid w:val="008D4302"/>
    <w:rsid w:val="008D5680"/>
    <w:rsid w:val="008D6152"/>
    <w:rsid w:val="008E1B26"/>
    <w:rsid w:val="008E6C3E"/>
    <w:rsid w:val="008E6CCC"/>
    <w:rsid w:val="008E6E97"/>
    <w:rsid w:val="008E7BA9"/>
    <w:rsid w:val="008F0F81"/>
    <w:rsid w:val="008F27BF"/>
    <w:rsid w:val="008F2E64"/>
    <w:rsid w:val="008F30AF"/>
    <w:rsid w:val="008F59B1"/>
    <w:rsid w:val="008F78D4"/>
    <w:rsid w:val="00904ECC"/>
    <w:rsid w:val="00905BDA"/>
    <w:rsid w:val="00905F56"/>
    <w:rsid w:val="00907103"/>
    <w:rsid w:val="00910E78"/>
    <w:rsid w:val="00913E76"/>
    <w:rsid w:val="009142EC"/>
    <w:rsid w:val="009145E4"/>
    <w:rsid w:val="009154C3"/>
    <w:rsid w:val="0091718E"/>
    <w:rsid w:val="009202A0"/>
    <w:rsid w:val="009208BE"/>
    <w:rsid w:val="00922F97"/>
    <w:rsid w:val="00923540"/>
    <w:rsid w:val="009249F5"/>
    <w:rsid w:val="00926767"/>
    <w:rsid w:val="00926EF5"/>
    <w:rsid w:val="00934ED2"/>
    <w:rsid w:val="009361D5"/>
    <w:rsid w:val="0094177D"/>
    <w:rsid w:val="009428A4"/>
    <w:rsid w:val="00944963"/>
    <w:rsid w:val="00947925"/>
    <w:rsid w:val="00947A5E"/>
    <w:rsid w:val="00947AEC"/>
    <w:rsid w:val="009556FE"/>
    <w:rsid w:val="009659F4"/>
    <w:rsid w:val="00965D86"/>
    <w:rsid w:val="0096608E"/>
    <w:rsid w:val="009676B3"/>
    <w:rsid w:val="00970D60"/>
    <w:rsid w:val="009730B5"/>
    <w:rsid w:val="009776B6"/>
    <w:rsid w:val="00981BC2"/>
    <w:rsid w:val="009828B7"/>
    <w:rsid w:val="00992319"/>
    <w:rsid w:val="0099332E"/>
    <w:rsid w:val="0099390E"/>
    <w:rsid w:val="0099487D"/>
    <w:rsid w:val="009960E5"/>
    <w:rsid w:val="00996CE7"/>
    <w:rsid w:val="00997A4F"/>
    <w:rsid w:val="009A3917"/>
    <w:rsid w:val="009A3E69"/>
    <w:rsid w:val="009A5667"/>
    <w:rsid w:val="009A7ADC"/>
    <w:rsid w:val="009A7E44"/>
    <w:rsid w:val="009B0D30"/>
    <w:rsid w:val="009B1396"/>
    <w:rsid w:val="009C19B7"/>
    <w:rsid w:val="009C5ABB"/>
    <w:rsid w:val="009D077D"/>
    <w:rsid w:val="009D4A02"/>
    <w:rsid w:val="009D7C51"/>
    <w:rsid w:val="009E0A15"/>
    <w:rsid w:val="009E196C"/>
    <w:rsid w:val="009E1E91"/>
    <w:rsid w:val="009E3D14"/>
    <w:rsid w:val="009E648C"/>
    <w:rsid w:val="009E6A0A"/>
    <w:rsid w:val="009F36BF"/>
    <w:rsid w:val="009F3E6F"/>
    <w:rsid w:val="009F4499"/>
    <w:rsid w:val="009F5FFE"/>
    <w:rsid w:val="009F660F"/>
    <w:rsid w:val="009F775F"/>
    <w:rsid w:val="00A000B1"/>
    <w:rsid w:val="00A003C7"/>
    <w:rsid w:val="00A004D5"/>
    <w:rsid w:val="00A005D8"/>
    <w:rsid w:val="00A025EB"/>
    <w:rsid w:val="00A029B3"/>
    <w:rsid w:val="00A03677"/>
    <w:rsid w:val="00A060E8"/>
    <w:rsid w:val="00A0782F"/>
    <w:rsid w:val="00A07BCC"/>
    <w:rsid w:val="00A111B6"/>
    <w:rsid w:val="00A13DFF"/>
    <w:rsid w:val="00A2311E"/>
    <w:rsid w:val="00A23CEA"/>
    <w:rsid w:val="00A2487E"/>
    <w:rsid w:val="00A26D27"/>
    <w:rsid w:val="00A3283F"/>
    <w:rsid w:val="00A340DE"/>
    <w:rsid w:val="00A3527E"/>
    <w:rsid w:val="00A37319"/>
    <w:rsid w:val="00A376EE"/>
    <w:rsid w:val="00A3777B"/>
    <w:rsid w:val="00A418C1"/>
    <w:rsid w:val="00A42A99"/>
    <w:rsid w:val="00A43AD3"/>
    <w:rsid w:val="00A43B9A"/>
    <w:rsid w:val="00A5151A"/>
    <w:rsid w:val="00A5156B"/>
    <w:rsid w:val="00A5753D"/>
    <w:rsid w:val="00A57E0A"/>
    <w:rsid w:val="00A608FD"/>
    <w:rsid w:val="00A62F09"/>
    <w:rsid w:val="00A63DBB"/>
    <w:rsid w:val="00A641E1"/>
    <w:rsid w:val="00A65A12"/>
    <w:rsid w:val="00A760F6"/>
    <w:rsid w:val="00A77919"/>
    <w:rsid w:val="00A823F6"/>
    <w:rsid w:val="00A83498"/>
    <w:rsid w:val="00A8719E"/>
    <w:rsid w:val="00A90AE1"/>
    <w:rsid w:val="00A917DB"/>
    <w:rsid w:val="00A92840"/>
    <w:rsid w:val="00A943D2"/>
    <w:rsid w:val="00AA0A89"/>
    <w:rsid w:val="00AA0D7F"/>
    <w:rsid w:val="00AA5368"/>
    <w:rsid w:val="00AA6429"/>
    <w:rsid w:val="00AA6752"/>
    <w:rsid w:val="00AA68A0"/>
    <w:rsid w:val="00AA77DA"/>
    <w:rsid w:val="00AB26C7"/>
    <w:rsid w:val="00AB3726"/>
    <w:rsid w:val="00AB4461"/>
    <w:rsid w:val="00AB4657"/>
    <w:rsid w:val="00AB5F29"/>
    <w:rsid w:val="00AB6563"/>
    <w:rsid w:val="00AB6DDC"/>
    <w:rsid w:val="00AC01AA"/>
    <w:rsid w:val="00AC2D8F"/>
    <w:rsid w:val="00AC4F72"/>
    <w:rsid w:val="00AC5041"/>
    <w:rsid w:val="00AC6488"/>
    <w:rsid w:val="00AC7869"/>
    <w:rsid w:val="00AD30E7"/>
    <w:rsid w:val="00AD65D7"/>
    <w:rsid w:val="00AD772D"/>
    <w:rsid w:val="00AE1117"/>
    <w:rsid w:val="00AE4399"/>
    <w:rsid w:val="00AE482E"/>
    <w:rsid w:val="00AE6929"/>
    <w:rsid w:val="00AF13FD"/>
    <w:rsid w:val="00AF28D1"/>
    <w:rsid w:val="00AF6B25"/>
    <w:rsid w:val="00AF6DED"/>
    <w:rsid w:val="00AF741A"/>
    <w:rsid w:val="00B00965"/>
    <w:rsid w:val="00B01ADB"/>
    <w:rsid w:val="00B0201B"/>
    <w:rsid w:val="00B04161"/>
    <w:rsid w:val="00B056F9"/>
    <w:rsid w:val="00B108E4"/>
    <w:rsid w:val="00B11E3D"/>
    <w:rsid w:val="00B14D2C"/>
    <w:rsid w:val="00B16200"/>
    <w:rsid w:val="00B16230"/>
    <w:rsid w:val="00B17E82"/>
    <w:rsid w:val="00B2281E"/>
    <w:rsid w:val="00B228D2"/>
    <w:rsid w:val="00B2366F"/>
    <w:rsid w:val="00B25556"/>
    <w:rsid w:val="00B25B7D"/>
    <w:rsid w:val="00B26ACE"/>
    <w:rsid w:val="00B311C1"/>
    <w:rsid w:val="00B33AE3"/>
    <w:rsid w:val="00B33C4F"/>
    <w:rsid w:val="00B35B86"/>
    <w:rsid w:val="00B37575"/>
    <w:rsid w:val="00B37F1D"/>
    <w:rsid w:val="00B441FC"/>
    <w:rsid w:val="00B4575A"/>
    <w:rsid w:val="00B458B0"/>
    <w:rsid w:val="00B474ED"/>
    <w:rsid w:val="00B4750C"/>
    <w:rsid w:val="00B50211"/>
    <w:rsid w:val="00B575BA"/>
    <w:rsid w:val="00B57B98"/>
    <w:rsid w:val="00B60DD4"/>
    <w:rsid w:val="00B615BB"/>
    <w:rsid w:val="00B61D38"/>
    <w:rsid w:val="00B63E11"/>
    <w:rsid w:val="00B7060E"/>
    <w:rsid w:val="00B71608"/>
    <w:rsid w:val="00B71D68"/>
    <w:rsid w:val="00B72FCE"/>
    <w:rsid w:val="00B74843"/>
    <w:rsid w:val="00B75D62"/>
    <w:rsid w:val="00B76429"/>
    <w:rsid w:val="00B8029D"/>
    <w:rsid w:val="00B80649"/>
    <w:rsid w:val="00B8414E"/>
    <w:rsid w:val="00B86471"/>
    <w:rsid w:val="00B87C61"/>
    <w:rsid w:val="00B9028F"/>
    <w:rsid w:val="00B93200"/>
    <w:rsid w:val="00B956D4"/>
    <w:rsid w:val="00B97446"/>
    <w:rsid w:val="00BA52E1"/>
    <w:rsid w:val="00BA7432"/>
    <w:rsid w:val="00BB20C5"/>
    <w:rsid w:val="00BB2764"/>
    <w:rsid w:val="00BB6596"/>
    <w:rsid w:val="00BB775E"/>
    <w:rsid w:val="00BB785A"/>
    <w:rsid w:val="00BC1059"/>
    <w:rsid w:val="00BC1AA0"/>
    <w:rsid w:val="00BC2495"/>
    <w:rsid w:val="00BC314A"/>
    <w:rsid w:val="00BC7EB9"/>
    <w:rsid w:val="00BD2643"/>
    <w:rsid w:val="00BD537F"/>
    <w:rsid w:val="00BD5654"/>
    <w:rsid w:val="00BD56B1"/>
    <w:rsid w:val="00BD57F4"/>
    <w:rsid w:val="00BD6558"/>
    <w:rsid w:val="00BD6993"/>
    <w:rsid w:val="00BE09E3"/>
    <w:rsid w:val="00BE4E77"/>
    <w:rsid w:val="00BE5A3A"/>
    <w:rsid w:val="00BF2AD7"/>
    <w:rsid w:val="00BF2F76"/>
    <w:rsid w:val="00BF3022"/>
    <w:rsid w:val="00BF3140"/>
    <w:rsid w:val="00BF3214"/>
    <w:rsid w:val="00BF4DA9"/>
    <w:rsid w:val="00BF5573"/>
    <w:rsid w:val="00C00262"/>
    <w:rsid w:val="00C031F3"/>
    <w:rsid w:val="00C109A1"/>
    <w:rsid w:val="00C11163"/>
    <w:rsid w:val="00C151FA"/>
    <w:rsid w:val="00C15867"/>
    <w:rsid w:val="00C2063B"/>
    <w:rsid w:val="00C214FA"/>
    <w:rsid w:val="00C22398"/>
    <w:rsid w:val="00C2296D"/>
    <w:rsid w:val="00C22E84"/>
    <w:rsid w:val="00C23155"/>
    <w:rsid w:val="00C24DFE"/>
    <w:rsid w:val="00C26576"/>
    <w:rsid w:val="00C27A8C"/>
    <w:rsid w:val="00C319C2"/>
    <w:rsid w:val="00C36AE5"/>
    <w:rsid w:val="00C377D5"/>
    <w:rsid w:val="00C40A15"/>
    <w:rsid w:val="00C40C16"/>
    <w:rsid w:val="00C40C41"/>
    <w:rsid w:val="00C4196B"/>
    <w:rsid w:val="00C45885"/>
    <w:rsid w:val="00C467CC"/>
    <w:rsid w:val="00C500B5"/>
    <w:rsid w:val="00C50F22"/>
    <w:rsid w:val="00C513C6"/>
    <w:rsid w:val="00C560A5"/>
    <w:rsid w:val="00C57971"/>
    <w:rsid w:val="00C6038C"/>
    <w:rsid w:val="00C60E4E"/>
    <w:rsid w:val="00C63FB1"/>
    <w:rsid w:val="00C64813"/>
    <w:rsid w:val="00C64BAA"/>
    <w:rsid w:val="00C65BD7"/>
    <w:rsid w:val="00C66158"/>
    <w:rsid w:val="00C700B3"/>
    <w:rsid w:val="00C7226E"/>
    <w:rsid w:val="00C73699"/>
    <w:rsid w:val="00C76BA4"/>
    <w:rsid w:val="00C80E3F"/>
    <w:rsid w:val="00C82814"/>
    <w:rsid w:val="00C83A48"/>
    <w:rsid w:val="00C85865"/>
    <w:rsid w:val="00C85E85"/>
    <w:rsid w:val="00C90C0A"/>
    <w:rsid w:val="00C9103C"/>
    <w:rsid w:val="00C928F2"/>
    <w:rsid w:val="00C95204"/>
    <w:rsid w:val="00C95FE3"/>
    <w:rsid w:val="00C97502"/>
    <w:rsid w:val="00C97FBC"/>
    <w:rsid w:val="00CA15DF"/>
    <w:rsid w:val="00CA2EAE"/>
    <w:rsid w:val="00CA4AC1"/>
    <w:rsid w:val="00CA5498"/>
    <w:rsid w:val="00CA59FB"/>
    <w:rsid w:val="00CB0316"/>
    <w:rsid w:val="00CB0B11"/>
    <w:rsid w:val="00CB15F9"/>
    <w:rsid w:val="00CB1CD3"/>
    <w:rsid w:val="00CB1DBA"/>
    <w:rsid w:val="00CB20C4"/>
    <w:rsid w:val="00CB426A"/>
    <w:rsid w:val="00CB5354"/>
    <w:rsid w:val="00CB6F07"/>
    <w:rsid w:val="00CC027D"/>
    <w:rsid w:val="00CC2449"/>
    <w:rsid w:val="00CC361E"/>
    <w:rsid w:val="00CC3C9E"/>
    <w:rsid w:val="00CC4BA0"/>
    <w:rsid w:val="00CC6A14"/>
    <w:rsid w:val="00CC70A3"/>
    <w:rsid w:val="00CD4442"/>
    <w:rsid w:val="00CD53C3"/>
    <w:rsid w:val="00CD574E"/>
    <w:rsid w:val="00CD650D"/>
    <w:rsid w:val="00CD7044"/>
    <w:rsid w:val="00CD72E1"/>
    <w:rsid w:val="00CE0213"/>
    <w:rsid w:val="00CE16C8"/>
    <w:rsid w:val="00CE1BD6"/>
    <w:rsid w:val="00CE1E9E"/>
    <w:rsid w:val="00CE2667"/>
    <w:rsid w:val="00CE2FFE"/>
    <w:rsid w:val="00CE4C22"/>
    <w:rsid w:val="00CE6FA9"/>
    <w:rsid w:val="00CE76E5"/>
    <w:rsid w:val="00CF377A"/>
    <w:rsid w:val="00CF41EC"/>
    <w:rsid w:val="00CF5D04"/>
    <w:rsid w:val="00D0096C"/>
    <w:rsid w:val="00D04DE4"/>
    <w:rsid w:val="00D0511F"/>
    <w:rsid w:val="00D063F1"/>
    <w:rsid w:val="00D106CA"/>
    <w:rsid w:val="00D10F11"/>
    <w:rsid w:val="00D12E96"/>
    <w:rsid w:val="00D134C5"/>
    <w:rsid w:val="00D1432B"/>
    <w:rsid w:val="00D14F22"/>
    <w:rsid w:val="00D16B94"/>
    <w:rsid w:val="00D176A2"/>
    <w:rsid w:val="00D1794C"/>
    <w:rsid w:val="00D30001"/>
    <w:rsid w:val="00D3024C"/>
    <w:rsid w:val="00D36D12"/>
    <w:rsid w:val="00D37391"/>
    <w:rsid w:val="00D4741C"/>
    <w:rsid w:val="00D56317"/>
    <w:rsid w:val="00D57918"/>
    <w:rsid w:val="00D6113B"/>
    <w:rsid w:val="00D632D6"/>
    <w:rsid w:val="00D702B8"/>
    <w:rsid w:val="00D721EB"/>
    <w:rsid w:val="00D725E9"/>
    <w:rsid w:val="00D73DC6"/>
    <w:rsid w:val="00D749C3"/>
    <w:rsid w:val="00D74C1A"/>
    <w:rsid w:val="00D75349"/>
    <w:rsid w:val="00D754C1"/>
    <w:rsid w:val="00D75A6B"/>
    <w:rsid w:val="00D77393"/>
    <w:rsid w:val="00D77A35"/>
    <w:rsid w:val="00D81B3E"/>
    <w:rsid w:val="00D81DBC"/>
    <w:rsid w:val="00D8332E"/>
    <w:rsid w:val="00D84201"/>
    <w:rsid w:val="00D86056"/>
    <w:rsid w:val="00D867CB"/>
    <w:rsid w:val="00D87894"/>
    <w:rsid w:val="00D90C70"/>
    <w:rsid w:val="00D90E49"/>
    <w:rsid w:val="00D93132"/>
    <w:rsid w:val="00D96ADE"/>
    <w:rsid w:val="00DA0778"/>
    <w:rsid w:val="00DA0CE2"/>
    <w:rsid w:val="00DA186F"/>
    <w:rsid w:val="00DA2387"/>
    <w:rsid w:val="00DA2940"/>
    <w:rsid w:val="00DA4AEE"/>
    <w:rsid w:val="00DA6997"/>
    <w:rsid w:val="00DB09F6"/>
    <w:rsid w:val="00DB2256"/>
    <w:rsid w:val="00DB3898"/>
    <w:rsid w:val="00DB45E2"/>
    <w:rsid w:val="00DB7420"/>
    <w:rsid w:val="00DC0461"/>
    <w:rsid w:val="00DC27DB"/>
    <w:rsid w:val="00DC3B24"/>
    <w:rsid w:val="00DC62AE"/>
    <w:rsid w:val="00DC6663"/>
    <w:rsid w:val="00DC6A10"/>
    <w:rsid w:val="00DE0043"/>
    <w:rsid w:val="00DE0151"/>
    <w:rsid w:val="00DE0DEE"/>
    <w:rsid w:val="00DE10F8"/>
    <w:rsid w:val="00DE20D0"/>
    <w:rsid w:val="00DE4616"/>
    <w:rsid w:val="00DE59D5"/>
    <w:rsid w:val="00DE5E10"/>
    <w:rsid w:val="00DE657E"/>
    <w:rsid w:val="00DF4704"/>
    <w:rsid w:val="00DF7E31"/>
    <w:rsid w:val="00E01F29"/>
    <w:rsid w:val="00E024AA"/>
    <w:rsid w:val="00E0596F"/>
    <w:rsid w:val="00E06E09"/>
    <w:rsid w:val="00E15541"/>
    <w:rsid w:val="00E15C77"/>
    <w:rsid w:val="00E16BAC"/>
    <w:rsid w:val="00E16F52"/>
    <w:rsid w:val="00E250F1"/>
    <w:rsid w:val="00E30C98"/>
    <w:rsid w:val="00E3550D"/>
    <w:rsid w:val="00E37363"/>
    <w:rsid w:val="00E41AC6"/>
    <w:rsid w:val="00E44A6D"/>
    <w:rsid w:val="00E478E2"/>
    <w:rsid w:val="00E5281B"/>
    <w:rsid w:val="00E52838"/>
    <w:rsid w:val="00E54936"/>
    <w:rsid w:val="00E6124A"/>
    <w:rsid w:val="00E614E0"/>
    <w:rsid w:val="00E62FF2"/>
    <w:rsid w:val="00E63352"/>
    <w:rsid w:val="00E640C6"/>
    <w:rsid w:val="00E73F7F"/>
    <w:rsid w:val="00E753E8"/>
    <w:rsid w:val="00E829A3"/>
    <w:rsid w:val="00E85409"/>
    <w:rsid w:val="00E864D3"/>
    <w:rsid w:val="00E8690D"/>
    <w:rsid w:val="00E87A04"/>
    <w:rsid w:val="00E93C4B"/>
    <w:rsid w:val="00E946D5"/>
    <w:rsid w:val="00E9478A"/>
    <w:rsid w:val="00E96B14"/>
    <w:rsid w:val="00EA1454"/>
    <w:rsid w:val="00EA1CA8"/>
    <w:rsid w:val="00EA28D5"/>
    <w:rsid w:val="00EA429F"/>
    <w:rsid w:val="00EA48AF"/>
    <w:rsid w:val="00EA4946"/>
    <w:rsid w:val="00EA4F9E"/>
    <w:rsid w:val="00EA63CA"/>
    <w:rsid w:val="00EA6D3B"/>
    <w:rsid w:val="00EB00AD"/>
    <w:rsid w:val="00EB136C"/>
    <w:rsid w:val="00EB25DF"/>
    <w:rsid w:val="00EB40FD"/>
    <w:rsid w:val="00EB4583"/>
    <w:rsid w:val="00EB480E"/>
    <w:rsid w:val="00EB5EC6"/>
    <w:rsid w:val="00EB7FC9"/>
    <w:rsid w:val="00EC1DAE"/>
    <w:rsid w:val="00EC32F4"/>
    <w:rsid w:val="00EC5657"/>
    <w:rsid w:val="00ED0185"/>
    <w:rsid w:val="00ED06A4"/>
    <w:rsid w:val="00ED27E8"/>
    <w:rsid w:val="00ED37B8"/>
    <w:rsid w:val="00ED7137"/>
    <w:rsid w:val="00EE2FA2"/>
    <w:rsid w:val="00EE3AB8"/>
    <w:rsid w:val="00EE3FFB"/>
    <w:rsid w:val="00EE4B86"/>
    <w:rsid w:val="00EE51E1"/>
    <w:rsid w:val="00EF05E6"/>
    <w:rsid w:val="00EF06EA"/>
    <w:rsid w:val="00EF46E4"/>
    <w:rsid w:val="00F00F9D"/>
    <w:rsid w:val="00F02F9D"/>
    <w:rsid w:val="00F036AD"/>
    <w:rsid w:val="00F07604"/>
    <w:rsid w:val="00F07DBD"/>
    <w:rsid w:val="00F11459"/>
    <w:rsid w:val="00F132CB"/>
    <w:rsid w:val="00F13C1E"/>
    <w:rsid w:val="00F21088"/>
    <w:rsid w:val="00F218C2"/>
    <w:rsid w:val="00F21CCE"/>
    <w:rsid w:val="00F224FB"/>
    <w:rsid w:val="00F23C23"/>
    <w:rsid w:val="00F2507D"/>
    <w:rsid w:val="00F262DE"/>
    <w:rsid w:val="00F27524"/>
    <w:rsid w:val="00F279BE"/>
    <w:rsid w:val="00F313A9"/>
    <w:rsid w:val="00F3146A"/>
    <w:rsid w:val="00F326BF"/>
    <w:rsid w:val="00F327E7"/>
    <w:rsid w:val="00F33415"/>
    <w:rsid w:val="00F33DBB"/>
    <w:rsid w:val="00F33DEF"/>
    <w:rsid w:val="00F35746"/>
    <w:rsid w:val="00F36148"/>
    <w:rsid w:val="00F40EDC"/>
    <w:rsid w:val="00F41C0A"/>
    <w:rsid w:val="00F43D9A"/>
    <w:rsid w:val="00F447C7"/>
    <w:rsid w:val="00F459B4"/>
    <w:rsid w:val="00F5211B"/>
    <w:rsid w:val="00F53A10"/>
    <w:rsid w:val="00F53B5F"/>
    <w:rsid w:val="00F546A1"/>
    <w:rsid w:val="00F554A9"/>
    <w:rsid w:val="00F601DD"/>
    <w:rsid w:val="00F618CD"/>
    <w:rsid w:val="00F641E6"/>
    <w:rsid w:val="00F642A4"/>
    <w:rsid w:val="00F655F1"/>
    <w:rsid w:val="00F70DD8"/>
    <w:rsid w:val="00F716FD"/>
    <w:rsid w:val="00F717E9"/>
    <w:rsid w:val="00F754EB"/>
    <w:rsid w:val="00F778BF"/>
    <w:rsid w:val="00F80355"/>
    <w:rsid w:val="00F82920"/>
    <w:rsid w:val="00F85803"/>
    <w:rsid w:val="00F861BA"/>
    <w:rsid w:val="00F86A98"/>
    <w:rsid w:val="00F87C43"/>
    <w:rsid w:val="00F906A8"/>
    <w:rsid w:val="00F90C2E"/>
    <w:rsid w:val="00F91DCA"/>
    <w:rsid w:val="00F93800"/>
    <w:rsid w:val="00F95E8B"/>
    <w:rsid w:val="00FA5722"/>
    <w:rsid w:val="00FB0C81"/>
    <w:rsid w:val="00FB250F"/>
    <w:rsid w:val="00FB531D"/>
    <w:rsid w:val="00FB605B"/>
    <w:rsid w:val="00FC06F8"/>
    <w:rsid w:val="00FC09C3"/>
    <w:rsid w:val="00FC2147"/>
    <w:rsid w:val="00FC2200"/>
    <w:rsid w:val="00FC2540"/>
    <w:rsid w:val="00FC2AF8"/>
    <w:rsid w:val="00FC6C46"/>
    <w:rsid w:val="00FD065C"/>
    <w:rsid w:val="00FD0B8D"/>
    <w:rsid w:val="00FD0EEE"/>
    <w:rsid w:val="00FD0F79"/>
    <w:rsid w:val="00FD203F"/>
    <w:rsid w:val="00FD4184"/>
    <w:rsid w:val="00FD68A0"/>
    <w:rsid w:val="00FD7483"/>
    <w:rsid w:val="00FD7978"/>
    <w:rsid w:val="00FD7E29"/>
    <w:rsid w:val="00FE009C"/>
    <w:rsid w:val="00FE22D0"/>
    <w:rsid w:val="00FE5594"/>
    <w:rsid w:val="00FF0204"/>
    <w:rsid w:val="00FF3AED"/>
    <w:rsid w:val="00FF4CF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5FE23B"/>
  <w15:docId w15:val="{36ED160A-370D-45B7-A5F3-652A2D1E1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3352"/>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link w:val="ListParagraphChar"/>
    <w:uiPriority w:val="34"/>
    <w:qFormat/>
    <w:rsid w:val="00E63352"/>
    <w:pPr>
      <w:ind w:left="720"/>
      <w:contextualSpacing/>
    </w:pPr>
  </w:style>
  <w:style w:type="character" w:customStyle="1" w:styleId="ListParagraphChar">
    <w:name w:val="List Paragraph Char"/>
    <w:basedOn w:val="DefaultParagraphFont"/>
    <w:link w:val="ListParagraph"/>
    <w:uiPriority w:val="34"/>
    <w:locked/>
    <w:rsid w:val="00E63352"/>
    <w:rPr>
      <w:sz w:val="22"/>
      <w:szCs w:val="22"/>
      <w:lang w:val="fr-FR"/>
    </w:rPr>
  </w:style>
  <w:style w:type="paragraph" w:customStyle="1" w:styleId="Default">
    <w:name w:val="Default"/>
    <w:rsid w:val="00E63352"/>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63352"/>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63352"/>
    <w:rPr>
      <w:sz w:val="22"/>
      <w:szCs w:val="22"/>
    </w:rPr>
  </w:style>
  <w:style w:type="paragraph" w:styleId="NormalWeb">
    <w:name w:val="Normal (Web)"/>
    <w:basedOn w:val="Normal"/>
    <w:uiPriority w:val="99"/>
    <w:semiHidden/>
    <w:unhideWhenUsed/>
    <w:rsid w:val="00E63352"/>
    <w:pPr>
      <w:jc w:val="left"/>
    </w:pPr>
    <w:rPr>
      <w:rFonts w:eastAsiaTheme="minorHAnsi"/>
      <w:sz w:val="24"/>
      <w:szCs w:val="24"/>
    </w:rPr>
  </w:style>
  <w:style w:type="paragraph" w:styleId="EndnoteText">
    <w:name w:val="endnote text"/>
    <w:basedOn w:val="Normal"/>
    <w:link w:val="EndnoteTextChar"/>
    <w:uiPriority w:val="99"/>
    <w:semiHidden/>
    <w:unhideWhenUsed/>
    <w:rsid w:val="00E63352"/>
    <w:rPr>
      <w:sz w:val="20"/>
      <w:szCs w:val="20"/>
    </w:rPr>
  </w:style>
  <w:style w:type="character" w:customStyle="1" w:styleId="EndnoteTextChar">
    <w:name w:val="Endnote Text Char"/>
    <w:basedOn w:val="DefaultParagraphFont"/>
    <w:link w:val="EndnoteText"/>
    <w:uiPriority w:val="99"/>
    <w:semiHidden/>
    <w:rsid w:val="00E63352"/>
    <w:rPr>
      <w:lang w:val="fr-FR"/>
    </w:rPr>
  </w:style>
  <w:style w:type="character" w:styleId="EndnoteReference">
    <w:name w:val="endnote reference"/>
    <w:basedOn w:val="DefaultParagraphFont"/>
    <w:uiPriority w:val="99"/>
    <w:semiHidden/>
    <w:unhideWhenUsed/>
    <w:rsid w:val="00E63352"/>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63352"/>
    <w:rPr>
      <w:sz w:val="22"/>
      <w:szCs w:val="22"/>
      <w:lang w:val="fr-FR"/>
    </w:rPr>
  </w:style>
  <w:style w:type="character" w:styleId="Hyperlink">
    <w:name w:val="Hyperlink"/>
    <w:basedOn w:val="DefaultParagraphFont"/>
    <w:uiPriority w:val="99"/>
    <w:unhideWhenUsed/>
    <w:rsid w:val="00E63352"/>
    <w:rPr>
      <w:color w:val="0000FF" w:themeColor="hyperlink"/>
      <w:u w:val="single"/>
    </w:rPr>
  </w:style>
  <w:style w:type="character" w:styleId="UnresolvedMention">
    <w:name w:val="Unresolved Mention"/>
    <w:basedOn w:val="DefaultParagraphFont"/>
    <w:uiPriority w:val="99"/>
    <w:semiHidden/>
    <w:unhideWhenUsed/>
    <w:rsid w:val="00E63352"/>
    <w:rPr>
      <w:color w:val="605E5C"/>
      <w:shd w:val="clear" w:color="auto" w:fill="E1DFDD"/>
    </w:rPr>
  </w:style>
  <w:style w:type="character" w:customStyle="1" w:styleId="cf01">
    <w:name w:val="cf01"/>
    <w:basedOn w:val="DefaultParagraphFont"/>
    <w:rsid w:val="0091718E"/>
    <w:rPr>
      <w:rFonts w:ascii="Segoe UI" w:hAnsi="Segoe UI" w:cs="Segoe UI" w:hint="default"/>
      <w:sz w:val="18"/>
      <w:szCs w:val="18"/>
    </w:rPr>
  </w:style>
  <w:style w:type="character" w:customStyle="1" w:styleId="ui-provider">
    <w:name w:val="ui-provider"/>
    <w:basedOn w:val="DefaultParagraphFont"/>
    <w:rsid w:val="00D179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68303247">
      <w:bodyDiv w:val="1"/>
      <w:marLeft w:val="0"/>
      <w:marRight w:val="0"/>
      <w:marTop w:val="0"/>
      <w:marBottom w:val="0"/>
      <w:divBdr>
        <w:top w:val="none" w:sz="0" w:space="0" w:color="auto"/>
        <w:left w:val="none" w:sz="0" w:space="0" w:color="auto"/>
        <w:bottom w:val="none" w:sz="0" w:space="0" w:color="auto"/>
        <w:right w:val="none" w:sz="0" w:space="0" w:color="auto"/>
      </w:divBdr>
    </w:div>
    <w:div w:id="1314093954">
      <w:bodyDiv w:val="1"/>
      <w:marLeft w:val="0"/>
      <w:marRight w:val="0"/>
      <w:marTop w:val="0"/>
      <w:marBottom w:val="0"/>
      <w:divBdr>
        <w:top w:val="none" w:sz="0" w:space="0" w:color="auto"/>
        <w:left w:val="none" w:sz="0" w:space="0" w:color="auto"/>
        <w:bottom w:val="none" w:sz="0" w:space="0" w:color="auto"/>
        <w:right w:val="none" w:sz="0" w:space="0" w:color="auto"/>
      </w:divBdr>
    </w:div>
    <w:div w:id="1405372095">
      <w:bodyDiv w:val="1"/>
      <w:marLeft w:val="0"/>
      <w:marRight w:val="0"/>
      <w:marTop w:val="0"/>
      <w:marBottom w:val="0"/>
      <w:divBdr>
        <w:top w:val="none" w:sz="0" w:space="0" w:color="auto"/>
        <w:left w:val="none" w:sz="0" w:space="0" w:color="auto"/>
        <w:bottom w:val="none" w:sz="0" w:space="0" w:color="auto"/>
        <w:right w:val="none" w:sz="0" w:space="0" w:color="auto"/>
      </w:divBdr>
    </w:div>
    <w:div w:id="181235981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UNEP-UNMFS-Shared_drives%20-%20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UNEP/OzL.Pro/ExCom/94/30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81D6F5B3C066F4585A645B8FC801316" ma:contentTypeVersion="5" ma:contentTypeDescription="Create a new document." ma:contentTypeScope="" ma:versionID="2eed13ee09967b1a4fd237a02d751e4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F292F23C-ED4E-4DEB-AD5D-E4C91D6534C1}"/>
</file>

<file path=docProps/app.xml><?xml version="1.0" encoding="utf-8"?>
<Properties xmlns="http://schemas.openxmlformats.org/officeDocument/2006/extended-properties" xmlns:vt="http://schemas.openxmlformats.org/officeDocument/2006/docPropsVTypes">
  <Template>Eec94G</Template>
  <TotalTime>8</TotalTime>
  <Pages>19</Pages>
  <Words>8463</Words>
  <Characters>48243</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Proposition de projet : Les Comores</vt:lpstr>
    </vt:vector>
  </TitlesOfParts>
  <Company>UNMFS</Company>
  <LinksUpToDate>false</LinksUpToDate>
  <CharactersWithSpaces>56593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Les Comores     </dc:title>
  <dc:creator>Dominika Suwik</dc:creator>
  <cp:keywords>94th ExCom</cp:keywords>
  <dc:description>HPMP SII</dc:description>
  <cp:lastModifiedBy>Angela Xue He Yan</cp:lastModifiedBy>
  <cp:revision>6</cp:revision>
  <cp:lastPrinted>2024-05-07T18:48:00Z</cp:lastPrinted>
  <dcterms:created xsi:type="dcterms:W3CDTF">2024-05-07T15:14:00Z</dcterms:created>
  <dcterms:modified xsi:type="dcterms:W3CDTF">2024-05-07T18:49:00Z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UNEP/OzL.Pro/ExCom/94/30</vt:lpwstr>
  </property>
  <property fmtid="{D5CDD505-2E9C-101B-9397-08002B2CF9AE}" pid="3" name="Revision date">
    <vt:lpwstr>5/3/2024</vt:lpwstr>
  </property>
  <property fmtid="{D5CDD505-2E9C-101B-9397-08002B2CF9AE}" pid="4" name="ContentTypeId">
    <vt:lpwstr>0x010100281D6F5B3C066F4585A645B8FC801316</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1cc7aac79bbb35a43d05a78fa8bf8390aec5a1570a1028e136096e9d918c38a1</vt:lpwstr>
  </property>
  <property fmtid="{D5CDD505-2E9C-101B-9397-08002B2CF9AE}" pid="9"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