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60" w:type="dxa"/>
        <w:tblInd w:w="-432" w:type="dxa"/>
        <w:tblLayout w:type="fixed"/>
        <w:tblLook w:val="0000" w:firstRow="0" w:lastRow="0" w:firstColumn="0" w:lastColumn="0" w:noHBand="0" w:noVBand="0"/>
      </w:tblPr>
      <w:tblGrid>
        <w:gridCol w:w="2070"/>
        <w:gridCol w:w="4140"/>
        <w:gridCol w:w="4050"/>
      </w:tblGrid>
      <w:tr w:rsidR="00642AEE" w:rsidRPr="00642AEE" w14:paraId="1FA3F34C" w14:textId="77777777" w:rsidTr="002676AA">
        <w:trPr>
          <w:trHeight w:val="720"/>
        </w:trPr>
        <w:tc>
          <w:tcPr>
            <w:tcW w:w="6210" w:type="dxa"/>
            <w:gridSpan w:val="2"/>
            <w:tcBorders>
              <w:bottom w:val="single" w:sz="18" w:space="0" w:color="auto"/>
            </w:tcBorders>
          </w:tcPr>
          <w:p w14:paraId="084EB66A" w14:textId="77777777" w:rsidR="00C15867" w:rsidRPr="00642AEE" w:rsidRDefault="00D3341D" w:rsidP="00D334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sidR="00C15867" w:rsidRPr="00642AEE">
              <w:rPr>
                <w:rFonts w:ascii="Univers" w:hAnsi="Univers"/>
                <w:b/>
                <w:sz w:val="28"/>
                <w:szCs w:val="28"/>
              </w:rPr>
              <w:br/>
            </w:r>
            <w:r>
              <w:rPr>
                <w:rFonts w:ascii="Univers" w:hAnsi="Univers"/>
                <w:b/>
                <w:sz w:val="28"/>
                <w:szCs w:val="28"/>
              </w:rPr>
              <w:t>UNID</w:t>
            </w:r>
            <w:r w:rsidR="00C15867" w:rsidRPr="00642AEE">
              <w:rPr>
                <w:rFonts w:ascii="Univers" w:hAnsi="Univers"/>
                <w:b/>
                <w:sz w:val="28"/>
                <w:szCs w:val="28"/>
              </w:rPr>
              <w:t>AS</w:t>
            </w:r>
          </w:p>
        </w:tc>
        <w:tc>
          <w:tcPr>
            <w:tcW w:w="4050" w:type="dxa"/>
            <w:tcBorders>
              <w:bottom w:val="single" w:sz="18" w:space="0" w:color="auto"/>
            </w:tcBorders>
          </w:tcPr>
          <w:p w14:paraId="4EB8B927" w14:textId="77777777" w:rsidR="00C15867" w:rsidRPr="00642AEE" w:rsidRDefault="00C15867" w:rsidP="00E0564F">
            <w:pPr>
              <w:jc w:val="right"/>
              <w:rPr>
                <w:sz w:val="52"/>
                <w:szCs w:val="52"/>
              </w:rPr>
            </w:pPr>
            <w:r w:rsidRPr="00642AEE">
              <w:rPr>
                <w:rFonts w:ascii="Univers Bold" w:hAnsi="Univers Bold"/>
                <w:b/>
                <w:sz w:val="72"/>
              </w:rPr>
              <w:t>EP</w:t>
            </w:r>
          </w:p>
        </w:tc>
      </w:tr>
      <w:tr w:rsidR="002676AA" w:rsidRPr="00642AEE" w14:paraId="35395C48" w14:textId="77777777" w:rsidTr="002676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FB97430" w14:textId="37F3AAE0" w:rsidR="002676AA" w:rsidRPr="00642AEE" w:rsidRDefault="002676AA" w:rsidP="002676AA">
            <w:pPr>
              <w:spacing w:before="120"/>
            </w:pPr>
            <w:r>
              <w:rPr>
                <w:noProof/>
              </w:rPr>
              <w:pict w14:anchorId="7F6C1474">
                <v:group id="Group 1" o:spid="_x0000_s2059" style="position:absolute;left:0;text-align:left;margin-left:0;margin-top:11.4pt;width:66.5pt;height:118pt;z-index:251661312;mso-position-horizontal-relative:text;mso-position-vertical-relative:text;mso-height-relative:margin" coordsize="8444,14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lPda/ZACAACwBwAADgAAAAAAAAAAAAAAAAA6AgAAZHJzL2Uyb0RvYy54bWxQSwECLQAK&#10;AAAAAAAAACEAfhWsvxIGAAASBgAAFAAAAAAAAAAAAAAAAAD2BAAAZHJzL21lZGlhL2ltYWdlMS5w&#10;bmdQSwECLQAKAAAAAAAAACEA4IndHG0JAABtCQAAFAAAAAAAAAAAAAAAAAA6CwAAZHJzL21lZGlh&#10;L2ltYWdlMi5wbmdQSwECLQAUAAYACAAAACEAIOI/3tsAAAAFAQAADwAAAAAAAAAAAAAAAADZ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60" type="#_x0000_t75" alt="UNEP" style="position:absolute;left:666;top:7680;width:7778;height:7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61"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140" w:type="dxa"/>
            <w:tcBorders>
              <w:top w:val="nil"/>
              <w:left w:val="nil"/>
              <w:bottom w:val="single" w:sz="36" w:space="0" w:color="auto"/>
              <w:right w:val="nil"/>
            </w:tcBorders>
          </w:tcPr>
          <w:p w14:paraId="75E123CA" w14:textId="77777777" w:rsidR="002676AA" w:rsidRDefault="002676AA" w:rsidP="002676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926F863" w14:textId="77777777" w:rsidR="002676AA" w:rsidRDefault="002676AA" w:rsidP="002676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6453B">
              <w:rPr>
                <w:rFonts w:ascii="Univers" w:hAnsi="Univers"/>
                <w:b/>
                <w:sz w:val="32"/>
                <w:lang w:val="es-ES_tradnl"/>
              </w:rPr>
              <w:t>Programa de las</w:t>
            </w:r>
          </w:p>
          <w:p w14:paraId="4713DF7B" w14:textId="77777777" w:rsidR="002676AA" w:rsidRDefault="002676AA" w:rsidP="002676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6453B">
              <w:rPr>
                <w:rFonts w:ascii="Univers" w:hAnsi="Univers"/>
                <w:b/>
                <w:sz w:val="32"/>
                <w:lang w:val="es-ES_tradnl"/>
              </w:rPr>
              <w:t>Naciones Unidas</w:t>
            </w:r>
          </w:p>
          <w:p w14:paraId="607152A4" w14:textId="77777777" w:rsidR="002676AA" w:rsidRDefault="002676AA" w:rsidP="002676AA">
            <w:pPr>
              <w:tabs>
                <w:tab w:val="left" w:pos="680"/>
                <w:tab w:val="left" w:pos="1360"/>
                <w:tab w:val="left" w:pos="2041"/>
                <w:tab w:val="left" w:pos="3402"/>
                <w:tab w:val="left" w:pos="4082"/>
                <w:tab w:val="left" w:pos="4762"/>
                <w:tab w:val="left" w:pos="5443"/>
                <w:tab w:val="left" w:pos="6123"/>
                <w:tab w:val="left" w:pos="6804"/>
                <w:tab w:val="left" w:pos="7484"/>
                <w:tab w:val="left" w:pos="8164"/>
                <w:tab w:val="left" w:pos="8845"/>
              </w:tabs>
              <w:suppressAutoHyphens/>
              <w:ind w:right="-540"/>
              <w:jc w:val="left"/>
              <w:rPr>
                <w:rFonts w:ascii="Univers Bold" w:hAnsi="Univers Bold"/>
                <w:b/>
                <w:sz w:val="32"/>
                <w:lang w:val="es-ES_tradnl"/>
              </w:rPr>
            </w:pPr>
            <w:r w:rsidRPr="00B6453B">
              <w:rPr>
                <w:rFonts w:ascii="Univers" w:hAnsi="Univers"/>
                <w:b/>
                <w:sz w:val="32"/>
                <w:lang w:val="es-ES_tradnl"/>
              </w:rPr>
              <w:t>para el Medio Ambiente</w:t>
            </w:r>
          </w:p>
          <w:p w14:paraId="6727A0F9" w14:textId="0C931A04" w:rsidR="002676AA" w:rsidRPr="00642AEE" w:rsidRDefault="002676AA" w:rsidP="002676AA">
            <w:pPr>
              <w:tabs>
                <w:tab w:val="left" w:pos="680"/>
                <w:tab w:val="left" w:pos="1360"/>
                <w:tab w:val="left" w:pos="3402"/>
                <w:tab w:val="left" w:pos="4082"/>
                <w:tab w:val="left" w:pos="4762"/>
                <w:tab w:val="left" w:pos="5443"/>
                <w:tab w:val="left" w:pos="6123"/>
                <w:tab w:val="left" w:pos="6804"/>
                <w:tab w:val="left" w:pos="7484"/>
                <w:tab w:val="left" w:pos="8164"/>
                <w:tab w:val="left" w:pos="8845"/>
              </w:tabs>
              <w:suppressAutoHyphens/>
            </w:pPr>
          </w:p>
        </w:tc>
        <w:tc>
          <w:tcPr>
            <w:tcW w:w="4050" w:type="dxa"/>
            <w:tcBorders>
              <w:top w:val="nil"/>
              <w:left w:val="nil"/>
              <w:bottom w:val="single" w:sz="36" w:space="0" w:color="auto"/>
              <w:right w:val="nil"/>
            </w:tcBorders>
          </w:tcPr>
          <w:p w14:paraId="76575D53" w14:textId="77777777" w:rsidR="002676AA" w:rsidRPr="00642AEE" w:rsidRDefault="002676AA" w:rsidP="002676AA">
            <w:pPr>
              <w:ind w:firstLine="430"/>
            </w:pPr>
            <w:proofErr w:type="spellStart"/>
            <w:r w:rsidRPr="00642AEE">
              <w:t>Distr</w:t>
            </w:r>
            <w:proofErr w:type="spellEnd"/>
            <w:r w:rsidRPr="00642AEE">
              <w:t>.</w:t>
            </w:r>
          </w:p>
          <w:p w14:paraId="10A43670" w14:textId="77777777" w:rsidR="002676AA" w:rsidRPr="00642AEE" w:rsidRDefault="002676AA" w:rsidP="002676AA">
            <w:pPr>
              <w:ind w:firstLine="430"/>
            </w:pPr>
            <w:r w:rsidRPr="00642AEE">
              <w:t>GENERAL</w:t>
            </w:r>
          </w:p>
          <w:p w14:paraId="06C90EC7" w14:textId="77777777" w:rsidR="002676AA" w:rsidRPr="00642AEE" w:rsidRDefault="002676AA" w:rsidP="002676AA">
            <w:pPr>
              <w:ind w:firstLine="430"/>
            </w:pPr>
          </w:p>
          <w:p w14:paraId="6A48A296" w14:textId="77777777" w:rsidR="002676AA" w:rsidRPr="00642AEE" w:rsidRDefault="002676AA" w:rsidP="002676AA">
            <w:pPr>
              <w:ind w:firstLine="430"/>
            </w:pPr>
          </w:p>
          <w:p w14:paraId="03064EB5" w14:textId="53721BC0" w:rsidR="002676AA" w:rsidRPr="00642AEE" w:rsidRDefault="002676AA" w:rsidP="002676AA">
            <w:pPr>
              <w:ind w:firstLine="430"/>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/94/63</w:t>
            </w:r>
            <w:r>
              <w:fldChar w:fldCharType="end"/>
            </w:r>
          </w:p>
          <w:p w14:paraId="27D9EF9A" w14:textId="77777777" w:rsidR="002676AA" w:rsidRPr="00642AEE" w:rsidRDefault="002676AA" w:rsidP="002676AA">
            <w:pPr>
              <w:ind w:firstLine="430"/>
            </w:pPr>
            <w:r w:rsidRPr="00642AEE">
              <w:t xml:space="preserve">29 </w:t>
            </w:r>
            <w:r>
              <w:t>de abril de</w:t>
            </w:r>
            <w:r w:rsidRPr="00642AEE">
              <w:t xml:space="preserve"> 2024</w:t>
            </w:r>
          </w:p>
          <w:p w14:paraId="6EC9B0E6" w14:textId="77777777" w:rsidR="002676AA" w:rsidRPr="00642AEE" w:rsidRDefault="002676AA" w:rsidP="002676AA">
            <w:pPr>
              <w:ind w:firstLine="430"/>
              <w:rPr>
                <w:caps/>
              </w:rPr>
            </w:pPr>
          </w:p>
          <w:p w14:paraId="4A944C1C" w14:textId="77777777" w:rsidR="002676AA" w:rsidRDefault="002676AA" w:rsidP="002676AA">
            <w:pPr>
              <w:ind w:firstLine="430"/>
            </w:pPr>
            <w:r>
              <w:t>ESPAÑOL</w:t>
            </w:r>
          </w:p>
          <w:p w14:paraId="36389F05" w14:textId="77777777" w:rsidR="002676AA" w:rsidRPr="00642AEE" w:rsidRDefault="002676AA" w:rsidP="002676AA">
            <w:pPr>
              <w:ind w:firstLine="430"/>
            </w:pPr>
            <w:r w:rsidRPr="00642AEE">
              <w:t xml:space="preserve">ORIGINAL: </w:t>
            </w:r>
            <w:r>
              <w:t>I</w:t>
            </w:r>
            <w:r w:rsidRPr="00642AEE">
              <w:t>NGL</w:t>
            </w:r>
            <w:r>
              <w:t>ÉS</w:t>
            </w:r>
          </w:p>
        </w:tc>
      </w:tr>
    </w:tbl>
    <w:p w14:paraId="74960B59" w14:textId="77777777" w:rsidR="00CA59FB" w:rsidRPr="00642AEE" w:rsidRDefault="00C73352" w:rsidP="00CA59FB">
      <w:pPr>
        <w:jc w:val="left"/>
      </w:pPr>
      <w:r>
        <w:t>COMITÉ EJECUTIVO DEL</w:t>
      </w:r>
      <w:r w:rsidR="00C15867" w:rsidRPr="00642AEE">
        <w:br/>
        <w:t xml:space="preserve">  </w:t>
      </w:r>
      <w:r>
        <w:t xml:space="preserve">FONDO </w:t>
      </w:r>
      <w:r w:rsidR="00C15867" w:rsidRPr="00642AEE">
        <w:t xml:space="preserve">MULTILATERAL </w:t>
      </w:r>
      <w:r>
        <w:t>PARA LA</w:t>
      </w:r>
      <w:r w:rsidR="00C15867" w:rsidRPr="00642AEE">
        <w:br/>
        <w:t xml:space="preserve">  </w:t>
      </w:r>
      <w:r>
        <w:t>APLICACIÓN DEL PROTOCOLO DE</w:t>
      </w:r>
      <w:r w:rsidR="00C15867" w:rsidRPr="00642AEE">
        <w:t xml:space="preserve"> MONTREAL</w:t>
      </w:r>
      <w:r w:rsidR="00C15867" w:rsidRPr="00642AEE">
        <w:br/>
      </w:r>
      <w:r w:rsidRPr="00E70FEC">
        <w:t>Nonagésima</w:t>
      </w:r>
      <w:r>
        <w:t xml:space="preserve"> cuarta</w:t>
      </w:r>
      <w:r w:rsidRPr="00E70FEC">
        <w:t xml:space="preserve"> reunión</w:t>
      </w:r>
    </w:p>
    <w:p w14:paraId="3B3E4354" w14:textId="77777777" w:rsidR="00CA59FB" w:rsidRPr="00642AEE" w:rsidRDefault="00CA59FB" w:rsidP="00CA59FB">
      <w:pPr>
        <w:jc w:val="left"/>
      </w:pPr>
      <w:r w:rsidRPr="00642AEE">
        <w:t xml:space="preserve">Montreal, </w:t>
      </w:r>
      <w:r w:rsidR="00A77919" w:rsidRPr="00642AEE">
        <w:t>27</w:t>
      </w:r>
      <w:r w:rsidR="00407147" w:rsidRPr="00642AEE">
        <w:t>-</w:t>
      </w:r>
      <w:r w:rsidR="00A77919" w:rsidRPr="00642AEE">
        <w:t>31</w:t>
      </w:r>
      <w:r w:rsidR="00C73352">
        <w:t xml:space="preserve"> de mayo de </w:t>
      </w:r>
      <w:r w:rsidR="00DA2387" w:rsidRPr="00642AEE">
        <w:t>202</w:t>
      </w:r>
      <w:r w:rsidR="00A77919" w:rsidRPr="00642AEE">
        <w:t>4</w:t>
      </w:r>
    </w:p>
    <w:p w14:paraId="5EA9B9DE" w14:textId="77777777" w:rsidR="0079781A" w:rsidRPr="00642AEE" w:rsidRDefault="00C73352" w:rsidP="0079781A">
      <w:pPr>
        <w:jc w:val="left"/>
      </w:pPr>
      <w:r>
        <w:t>Cuestión</w:t>
      </w:r>
      <w:r w:rsidR="0079781A" w:rsidRPr="00642AEE">
        <w:t xml:space="preserve"> </w:t>
      </w:r>
      <w:r w:rsidR="00BA54CA" w:rsidRPr="00642AEE">
        <w:t>13</w:t>
      </w:r>
      <w:r w:rsidR="0079781A" w:rsidRPr="00642AEE">
        <w:t xml:space="preserve"> </w:t>
      </w:r>
      <w:r>
        <w:t>de la orden del día</w:t>
      </w:r>
      <w:r w:rsidR="0079781A" w:rsidRPr="00642AEE">
        <w:t xml:space="preserve"> provisional</w:t>
      </w:r>
      <w:r w:rsidR="0079781A" w:rsidRPr="00642AEE">
        <w:rPr>
          <w:rStyle w:val="FootnoteReference"/>
        </w:rPr>
        <w:footnoteReference w:id="1"/>
      </w:r>
    </w:p>
    <w:p w14:paraId="304C5703" w14:textId="77777777" w:rsidR="00C15867" w:rsidRPr="00642AEE" w:rsidRDefault="00C15867" w:rsidP="00CA59FB">
      <w:pPr>
        <w:jc w:val="left"/>
      </w:pPr>
    </w:p>
    <w:p w14:paraId="7BB2CE00" w14:textId="77777777" w:rsidR="009145E4" w:rsidRPr="00642AEE" w:rsidRDefault="009145E4" w:rsidP="00BA54CA">
      <w:pPr>
        <w:pStyle w:val="Heading1"/>
        <w:numPr>
          <w:ilvl w:val="0"/>
          <w:numId w:val="0"/>
        </w:numPr>
        <w:spacing w:after="0"/>
      </w:pPr>
    </w:p>
    <w:p w14:paraId="2FEE3E93" w14:textId="0E0428CD" w:rsidR="00BA54CA" w:rsidRPr="00D92D83" w:rsidRDefault="00C0407D" w:rsidP="006E5EB3">
      <w:pPr>
        <w:pStyle w:val="Title1"/>
        <w:spacing w:after="240"/>
        <w:rPr>
          <w:rFonts w:asciiTheme="majorBidi" w:hAnsiTheme="majorBidi" w:cstheme="majorBidi"/>
          <w:b w:val="0"/>
          <w:lang w:val="fr-CA"/>
        </w:rPr>
      </w:pPr>
      <w:r w:rsidRPr="00C0407D">
        <w:rPr>
          <w:rFonts w:asciiTheme="majorBidi" w:hAnsiTheme="majorBidi" w:cstheme="majorBidi"/>
          <w:caps w:val="0"/>
          <w:lang w:val="fr-FR"/>
        </w:rPr>
        <w:t>DOCUMENTO SOBRE COMO PODRIAN CONTRIBUIR LAS ACTIVIDADES DE ELIMINACION DE HCFC Y REDUCCION DE HFC APOYADAS POR EL FONDO MULTILATERAL A LA REFRIGERACION SOSTENIBLE (DECISION 92/1 B))</w:t>
      </w:r>
    </w:p>
    <w:p w14:paraId="68115454" w14:textId="2D65B732" w:rsidR="00BA54CA" w:rsidRPr="00642AEE" w:rsidRDefault="00B450FE" w:rsidP="006E5EB3">
      <w:pPr>
        <w:spacing w:after="240"/>
        <w:rPr>
          <w:rFonts w:asciiTheme="majorBidi" w:hAnsiTheme="majorBidi" w:cstheme="majorBidi"/>
        </w:rPr>
      </w:pPr>
      <w:r>
        <w:rPr>
          <w:rFonts w:asciiTheme="majorBidi" w:hAnsiTheme="majorBidi" w:cstheme="majorBidi"/>
          <w:b/>
          <w:bCs/>
          <w:sz w:val="24"/>
          <w:szCs w:val="24"/>
        </w:rPr>
        <w:t>Antecedentes</w:t>
      </w:r>
    </w:p>
    <w:p w14:paraId="7BDD06B5" w14:textId="00858EF4" w:rsidR="00BA54CA" w:rsidRPr="00642AEE" w:rsidRDefault="00D3341D" w:rsidP="006E5EB3">
      <w:pPr>
        <w:pStyle w:val="Heading1"/>
      </w:pPr>
      <w:r>
        <w:t xml:space="preserve">En la </w:t>
      </w:r>
      <w:r w:rsidR="00BA54CA" w:rsidRPr="00642AEE">
        <w:t>92</w:t>
      </w:r>
      <w:r>
        <w:t>ª reunión,</w:t>
      </w:r>
      <w:r w:rsidR="00BA54CA" w:rsidRPr="00642AEE">
        <w:t xml:space="preserve"> </w:t>
      </w:r>
      <w:r>
        <w:t>un miembro del</w:t>
      </w:r>
      <w:r w:rsidR="004073B3">
        <w:t xml:space="preserve"> Comité</w:t>
      </w:r>
      <w:r w:rsidRPr="00D3341D">
        <w:t xml:space="preserve"> Ejecutivo presentó un proyecto de decisión en el que se solicitaba a la Secretaría que examinase algunos de los planes de acción nacionales </w:t>
      </w:r>
      <w:r>
        <w:t>sobre</w:t>
      </w:r>
      <w:r w:rsidRPr="00D3341D">
        <w:t xml:space="preserve"> refrigeración desarrollados por los países y que </w:t>
      </w:r>
      <w:r>
        <w:t>elaborase</w:t>
      </w:r>
      <w:r w:rsidRPr="00D3341D">
        <w:t xml:space="preserve"> un documento sobre cómo las actividades de eliminación de HCFC y </w:t>
      </w:r>
      <w:r w:rsidR="00793715">
        <w:t xml:space="preserve">reducción </w:t>
      </w:r>
      <w:r w:rsidRPr="00D3341D">
        <w:t xml:space="preserve">de HFC </w:t>
      </w:r>
      <w:r w:rsidR="00793715">
        <w:t>que financia</w:t>
      </w:r>
      <w:r w:rsidRPr="00D3341D">
        <w:t xml:space="preserve"> el Fondo Multilateral (FML) podrían contribuir a</w:t>
      </w:r>
      <w:r w:rsidR="00793715">
        <w:t>l enfriamiento soste</w:t>
      </w:r>
      <w:r w:rsidRPr="00D3341D">
        <w:t>nible y a</w:t>
      </w:r>
      <w:r w:rsidR="00793715">
        <w:t xml:space="preserve"> la </w:t>
      </w:r>
      <w:r w:rsidR="00C0407D">
        <w:t xml:space="preserve">comodidad </w:t>
      </w:r>
      <w:r w:rsidR="00C0407D" w:rsidRPr="00D3341D">
        <w:t>térmica</w:t>
      </w:r>
      <w:r w:rsidR="00793715">
        <w:t>. E</w:t>
      </w:r>
      <w:r w:rsidR="005924F8">
        <w:t>se miembro dijo que e</w:t>
      </w:r>
      <w:r w:rsidR="00793715">
        <w:t xml:space="preserve">l </w:t>
      </w:r>
      <w:r w:rsidR="00611B2F">
        <w:t>requisito</w:t>
      </w:r>
      <w:r w:rsidR="00793715">
        <w:t xml:space="preserve"> de</w:t>
      </w:r>
      <w:r w:rsidRPr="00D3341D">
        <w:t xml:space="preserve"> refrigeración era un</w:t>
      </w:r>
      <w:r w:rsidR="00793715">
        <w:t xml:space="preserve"> problema</w:t>
      </w:r>
      <w:r w:rsidRPr="00D3341D">
        <w:t xml:space="preserve"> intersectorial </w:t>
      </w:r>
      <w:r w:rsidR="00793715">
        <w:t xml:space="preserve">y </w:t>
      </w:r>
      <w:r w:rsidRPr="00D3341D">
        <w:t xml:space="preserve">esencial para el crecimiento económico y presentaba tanto retos como oportunidades en términos de eficiencia energética y transición de refrigerantes. </w:t>
      </w:r>
      <w:r w:rsidR="00BE381B">
        <w:t>Gran parte de los requisitos de refrigeración intersectorial se</w:t>
      </w:r>
      <w:r w:rsidR="00BE381B" w:rsidRPr="00D3341D">
        <w:t xml:space="preserve"> </w:t>
      </w:r>
      <w:r w:rsidRPr="00D3341D">
        <w:t>ha</w:t>
      </w:r>
      <w:r w:rsidR="00793715">
        <w:t>bían</w:t>
      </w:r>
      <w:r w:rsidRPr="00D3341D">
        <w:t xml:space="preserve"> </w:t>
      </w:r>
      <w:r w:rsidR="00BE381B">
        <w:t>logrado a través de</w:t>
      </w:r>
      <w:r w:rsidRPr="00D3341D">
        <w:t xml:space="preserve"> tecnologías de refrigeración y aire acondicionado que utilizan refrigerantes con potencial de agotamiento de</w:t>
      </w:r>
      <w:r w:rsidR="004D2106">
        <w:t>l</w:t>
      </w:r>
      <w:r w:rsidRPr="00D3341D">
        <w:t xml:space="preserve"> ozono (</w:t>
      </w:r>
      <w:r w:rsidR="004D2106">
        <w:t>PAO</w:t>
      </w:r>
      <w:r w:rsidRPr="00D3341D">
        <w:t xml:space="preserve">) o potencial de calentamiento </w:t>
      </w:r>
      <w:r w:rsidR="004D2106">
        <w:t>atmosférico</w:t>
      </w:r>
      <w:r w:rsidR="00BE381B">
        <w:t xml:space="preserve"> (PCA)</w:t>
      </w:r>
      <w:r w:rsidRPr="00D3341D">
        <w:t xml:space="preserve">. Por lo tanto, el </w:t>
      </w:r>
      <w:r w:rsidR="00BE381B">
        <w:t xml:space="preserve">importante </w:t>
      </w:r>
      <w:r w:rsidRPr="00D3341D">
        <w:t xml:space="preserve">papel </w:t>
      </w:r>
      <w:r w:rsidR="00BE381B">
        <w:t xml:space="preserve">que juega </w:t>
      </w:r>
      <w:r w:rsidRPr="00D3341D">
        <w:t xml:space="preserve">el FML </w:t>
      </w:r>
      <w:r w:rsidR="00BE381B">
        <w:t>en prestar apoyo</w:t>
      </w:r>
      <w:r w:rsidRPr="00D3341D">
        <w:t xml:space="preserve"> a los países del </w:t>
      </w:r>
      <w:r w:rsidR="00BE381B">
        <w:t>a</w:t>
      </w:r>
      <w:r w:rsidRPr="00D3341D">
        <w:t xml:space="preserve">rtículo 5 </w:t>
      </w:r>
      <w:r w:rsidR="00BE381B">
        <w:t xml:space="preserve">para transitar </w:t>
      </w:r>
      <w:r w:rsidRPr="00D3341D">
        <w:t xml:space="preserve">hacia alternativas </w:t>
      </w:r>
      <w:r w:rsidR="00BE381B">
        <w:t>más compatibles con el clima es</w:t>
      </w:r>
      <w:r w:rsidRPr="00D3341D">
        <w:t xml:space="preserve"> especialmente relevante. Tras l</w:t>
      </w:r>
      <w:r w:rsidR="00BE381B">
        <w:t>as deliberaciones</w:t>
      </w:r>
      <w:r w:rsidRPr="00D3341D">
        <w:t xml:space="preserve">, el Comité Ejecutivo solicitó a la Secretaría que </w:t>
      </w:r>
      <w:r w:rsidR="00BE381B">
        <w:t>elaborase</w:t>
      </w:r>
      <w:r w:rsidRPr="00D3341D">
        <w:t xml:space="preserve">, para </w:t>
      </w:r>
      <w:r w:rsidR="00BE381B">
        <w:t>ser</w:t>
      </w:r>
      <w:r w:rsidRPr="00D3341D">
        <w:t xml:space="preserve"> considera</w:t>
      </w:r>
      <w:r w:rsidR="00BE381B">
        <w:t>do</w:t>
      </w:r>
      <w:r w:rsidRPr="00D3341D">
        <w:t xml:space="preserve"> por el Comité Ejecutivo </w:t>
      </w:r>
      <w:r w:rsidR="00BE381B">
        <w:t>durante la</w:t>
      </w:r>
      <w:r w:rsidRPr="00D3341D">
        <w:t xml:space="preserve"> 94ª reunión, un documento sobre </w:t>
      </w:r>
      <w:r w:rsidR="00BE381B">
        <w:t xml:space="preserve">la posible contribución al enfriamiento sostenible de las </w:t>
      </w:r>
      <w:r w:rsidRPr="00D3341D">
        <w:t xml:space="preserve">actividades de eliminación de HCFC y reducción de HFC </w:t>
      </w:r>
      <w:r w:rsidR="00BE381B">
        <w:t>que financia e</w:t>
      </w:r>
      <w:r w:rsidRPr="00D3341D">
        <w:t>l Fondo Multilateral (decisión</w:t>
      </w:r>
      <w:r>
        <w:t xml:space="preserve"> </w:t>
      </w:r>
      <w:r w:rsidR="00BA54CA" w:rsidRPr="00642AEE">
        <w:t>92/1</w:t>
      </w:r>
      <w:r w:rsidR="00C73352">
        <w:t xml:space="preserve"> </w:t>
      </w:r>
      <w:r w:rsidR="00BA54CA" w:rsidRPr="00642AEE">
        <w:t>b)).</w:t>
      </w:r>
    </w:p>
    <w:p w14:paraId="6957590B" w14:textId="77777777" w:rsidR="00BA54CA" w:rsidRPr="00642AEE" w:rsidRDefault="00C73352" w:rsidP="004035EC">
      <w:pPr>
        <w:pStyle w:val="Heading1"/>
        <w:rPr>
          <w:rFonts w:asciiTheme="majorBidi" w:hAnsiTheme="majorBidi" w:cstheme="majorBidi"/>
        </w:rPr>
      </w:pPr>
      <w:r>
        <w:t>Para la preparación de</w:t>
      </w:r>
      <w:r w:rsidRPr="00C73352">
        <w:t xml:space="preserve">l presente documento, la Secretaría consultó a expertos técnicos en tecnologías de refrigeración sostenibles en aplicaciones de refrigeración, aire acondicionado y bombas de calor (RACHP). Además, con el fin de analizar cómo la </w:t>
      </w:r>
      <w:r w:rsidR="00DA5C56">
        <w:t>reducción</w:t>
      </w:r>
      <w:r w:rsidRPr="00C73352">
        <w:t xml:space="preserve"> de los HFC podría contribuir a las emisiones directas e indirectas de gases de efecto invernadero (GEI) en los países del </w:t>
      </w:r>
      <w:r w:rsidR="00DA5C56">
        <w:t>a</w:t>
      </w:r>
      <w:r w:rsidRPr="00C73352">
        <w:t>rtículo 5</w:t>
      </w:r>
      <w:r w:rsidR="00BA54CA" w:rsidRPr="00642AEE">
        <w:rPr>
          <w:rStyle w:val="FootnoteReference"/>
          <w:rFonts w:asciiTheme="majorBidi" w:hAnsiTheme="majorBidi" w:cstheme="majorBidi"/>
        </w:rPr>
        <w:footnoteReference w:id="2"/>
      </w:r>
      <w:r w:rsidR="00DA5C56" w:rsidRPr="00642AEE">
        <w:t>,</w:t>
      </w:r>
      <w:r w:rsidR="00BA54CA" w:rsidRPr="00642AEE">
        <w:t xml:space="preserve"> </w:t>
      </w:r>
      <w:r w:rsidR="00DA5C56" w:rsidRPr="00C73352">
        <w:t xml:space="preserve">la </w:t>
      </w:r>
      <w:r w:rsidR="00DA5C56" w:rsidRPr="00C73352">
        <w:lastRenderedPageBreak/>
        <w:t xml:space="preserve">Secretaría analizó los datos del informe </w:t>
      </w:r>
      <w:r w:rsidR="00DA5C56">
        <w:t>Vigilancia Mundial de la Refrigeración</w:t>
      </w:r>
      <w:r w:rsidR="00DA5C56" w:rsidRPr="00C73352">
        <w:t xml:space="preserve"> 2023 del </w:t>
      </w:r>
      <w:r w:rsidR="00DA5C56">
        <w:t>PNUMA</w:t>
      </w:r>
      <w:r w:rsidR="00BA54CA" w:rsidRPr="00642AEE">
        <w:rPr>
          <w:rStyle w:val="FootnoteReference"/>
          <w:rFonts w:asciiTheme="majorBidi" w:hAnsiTheme="majorBidi" w:cstheme="majorBidi"/>
        </w:rPr>
        <w:footnoteReference w:id="3"/>
      </w:r>
      <w:r w:rsidR="00DA5C56" w:rsidRPr="00642AEE">
        <w:rPr>
          <w:rFonts w:asciiTheme="majorBidi" w:hAnsiTheme="majorBidi" w:cstheme="majorBidi"/>
        </w:rPr>
        <w:t>;</w:t>
      </w:r>
      <w:r w:rsidR="00DA5C56">
        <w:rPr>
          <w:rFonts w:asciiTheme="majorBidi" w:hAnsiTheme="majorBidi" w:cstheme="majorBidi"/>
        </w:rPr>
        <w:t xml:space="preserve">  </w:t>
      </w:r>
      <w:r w:rsidR="00DA5C56">
        <w:t>examinó</w:t>
      </w:r>
      <w:r w:rsidR="00DA5C56" w:rsidRPr="00C73352">
        <w:t xml:space="preserve"> los planes nacionales </w:t>
      </w:r>
      <w:r w:rsidR="00611B2F">
        <w:t>sobre</w:t>
      </w:r>
      <w:r w:rsidR="00DA5C56" w:rsidRPr="00C73352">
        <w:t xml:space="preserve"> refrigeración, incluido el resumen de los planes de acción nacionales de refrigeración (NCAP</w:t>
      </w:r>
      <w:r w:rsidR="00535EB1">
        <w:t>, por sus siglas en inglés</w:t>
      </w:r>
      <w:r w:rsidR="00DA5C56" w:rsidRPr="00C73352">
        <w:t xml:space="preserve">) apoyados por el PNUD e informes similares a nivel de país sobre refrigeración; y consultó la evaluación </w:t>
      </w:r>
      <w:r w:rsidR="00353BFC">
        <w:t xml:space="preserve">de </w:t>
      </w:r>
      <w:r w:rsidR="00DA5C56" w:rsidRPr="00C73352">
        <w:t>2022 del Comité de Opciones Técnicas sobre Refrigeración, Aire Acondicionado y Bombas de</w:t>
      </w:r>
      <w:r w:rsidR="00DA5C56">
        <w:t xml:space="preserve"> </w:t>
      </w:r>
      <w:r w:rsidR="00DA5C56" w:rsidRPr="00C73352">
        <w:rPr>
          <w:rFonts w:asciiTheme="majorBidi" w:hAnsiTheme="majorBidi" w:cstheme="majorBidi"/>
        </w:rPr>
        <w:t>Calor (RTOC - evaluación 2022).  Por último, la Secretaría obtuvo aportaciones de organismos bilaterales y de ejecución</w:t>
      </w:r>
      <w:r w:rsidR="00BA54CA" w:rsidRPr="00642AEE">
        <w:rPr>
          <w:rFonts w:asciiTheme="majorBidi" w:hAnsiTheme="majorBidi" w:cstheme="majorBidi"/>
        </w:rPr>
        <w:t>.</w:t>
      </w:r>
    </w:p>
    <w:p w14:paraId="56FFEE9C" w14:textId="77777777" w:rsidR="00BA54CA" w:rsidRPr="00642AEE" w:rsidRDefault="00383EFA" w:rsidP="004035EC">
      <w:pPr>
        <w:pStyle w:val="Heading1"/>
      </w:pPr>
      <w:r>
        <w:t xml:space="preserve">Además </w:t>
      </w:r>
      <w:r w:rsidRPr="00383EFA">
        <w:t>de describir los aspectos de la refrigeración sostenible y los sectores relacionados cubiertos por la financiación del FML, e</w:t>
      </w:r>
      <w:r>
        <w:t>n e</w:t>
      </w:r>
      <w:r w:rsidRPr="00383EFA">
        <w:t xml:space="preserve">l presente documento </w:t>
      </w:r>
      <w:r>
        <w:t xml:space="preserve">se </w:t>
      </w:r>
      <w:r w:rsidRPr="00383EFA">
        <w:t>examina</w:t>
      </w:r>
      <w:r>
        <w:t>n los efectos</w:t>
      </w:r>
      <w:r w:rsidRPr="00383EFA">
        <w:t xml:space="preserve"> de las actividades de eliminación de HCFC y </w:t>
      </w:r>
      <w:r>
        <w:t xml:space="preserve">reducción de </w:t>
      </w:r>
      <w:r w:rsidRPr="00383EFA">
        <w:t>HFC en</w:t>
      </w:r>
      <w:r>
        <w:t xml:space="preserve"> el logro</w:t>
      </w:r>
      <w:r w:rsidRPr="00383EFA">
        <w:t xml:space="preserve"> de la refrigeración sostenible, </w:t>
      </w:r>
      <w:r>
        <w:t xml:space="preserve">se </w:t>
      </w:r>
      <w:r w:rsidRPr="00383EFA">
        <w:t>analiza</w:t>
      </w:r>
      <w:r>
        <w:t>n</w:t>
      </w:r>
      <w:r w:rsidRPr="00383EFA">
        <w:t xml:space="preserve"> las emisiones directas e indirectas, así como las tendencias </w:t>
      </w:r>
      <w:r w:rsidR="00AA12ED">
        <w:t>futuras</w:t>
      </w:r>
      <w:r w:rsidR="005924F8">
        <w:t xml:space="preserve"> derivadas </w:t>
      </w:r>
      <w:r w:rsidRPr="00383EFA">
        <w:t xml:space="preserve">de las necesidades de refrigeración, y </w:t>
      </w:r>
      <w:r>
        <w:t xml:space="preserve">se </w:t>
      </w:r>
      <w:r w:rsidRPr="00383EFA">
        <w:t>presenta lo que</w:t>
      </w:r>
      <w:r w:rsidR="005924F8">
        <w:t xml:space="preserve"> se</w:t>
      </w:r>
      <w:r w:rsidRPr="00383EFA">
        <w:t xml:space="preserve"> podría hacer en relación con la refrigeración sostenible en el marco de los </w:t>
      </w:r>
      <w:r w:rsidR="00A857F5" w:rsidRPr="00EA5DA5">
        <w:t>plan</w:t>
      </w:r>
      <w:r w:rsidR="00A857F5">
        <w:t>es</w:t>
      </w:r>
      <w:r w:rsidR="00A857F5" w:rsidRPr="00EA5DA5">
        <w:t xml:space="preserve"> de gestión de la eliminación de los HCFC</w:t>
      </w:r>
      <w:r w:rsidR="00A857F5">
        <w:t xml:space="preserve"> (PGEH</w:t>
      </w:r>
      <w:r w:rsidRPr="00383EFA">
        <w:t xml:space="preserve">) y los </w:t>
      </w:r>
      <w:r w:rsidR="00A857F5">
        <w:t>planes de aplicación de la Enmienda de Kigali</w:t>
      </w:r>
      <w:r w:rsidR="00BA54CA" w:rsidRPr="00642AEE">
        <w:t xml:space="preserve">. </w:t>
      </w:r>
    </w:p>
    <w:p w14:paraId="2D1CF149" w14:textId="38FC4EC3" w:rsidR="00BA54CA" w:rsidRPr="00642AEE" w:rsidRDefault="00BA54CA" w:rsidP="006E5EB3">
      <w:pPr>
        <w:spacing w:after="240"/>
        <w:rPr>
          <w:rFonts w:asciiTheme="majorBidi" w:hAnsiTheme="majorBidi" w:cstheme="majorBidi"/>
          <w:u w:val="single"/>
        </w:rPr>
      </w:pPr>
      <w:proofErr w:type="spellStart"/>
      <w:r w:rsidRPr="00C0407D">
        <w:rPr>
          <w:rFonts w:asciiTheme="majorBidi" w:hAnsiTheme="majorBidi" w:cstheme="majorBidi"/>
          <w:b/>
          <w:bCs/>
          <w:sz w:val="24"/>
          <w:szCs w:val="24"/>
          <w:lang w:val="fr-FR"/>
        </w:rPr>
        <w:t>Aspect</w:t>
      </w:r>
      <w:r w:rsidR="00A857F5" w:rsidRPr="00C0407D">
        <w:rPr>
          <w:rFonts w:asciiTheme="majorBidi" w:hAnsiTheme="majorBidi" w:cstheme="majorBidi"/>
          <w:b/>
          <w:bCs/>
          <w:sz w:val="24"/>
          <w:szCs w:val="24"/>
          <w:lang w:val="fr-FR"/>
        </w:rPr>
        <w:t>o</w:t>
      </w:r>
      <w:r w:rsidRPr="00C0407D">
        <w:rPr>
          <w:rFonts w:asciiTheme="majorBidi" w:hAnsiTheme="majorBidi" w:cstheme="majorBidi"/>
          <w:b/>
          <w:bCs/>
          <w:sz w:val="24"/>
          <w:szCs w:val="24"/>
          <w:lang w:val="fr-FR"/>
        </w:rPr>
        <w:t>s</w:t>
      </w:r>
      <w:proofErr w:type="spellEnd"/>
      <w:r w:rsidRPr="00C0407D">
        <w:rPr>
          <w:rFonts w:asciiTheme="majorBidi" w:hAnsiTheme="majorBidi" w:cstheme="majorBidi"/>
          <w:b/>
          <w:bCs/>
          <w:sz w:val="24"/>
          <w:szCs w:val="24"/>
          <w:lang w:val="fr-FR"/>
        </w:rPr>
        <w:t xml:space="preserve"> </w:t>
      </w:r>
      <w:proofErr w:type="spellStart"/>
      <w:r w:rsidRPr="00C0407D">
        <w:rPr>
          <w:rFonts w:asciiTheme="majorBidi" w:hAnsiTheme="majorBidi" w:cstheme="majorBidi"/>
          <w:b/>
          <w:bCs/>
          <w:sz w:val="24"/>
          <w:szCs w:val="24"/>
          <w:lang w:val="fr-FR"/>
        </w:rPr>
        <w:t>rela</w:t>
      </w:r>
      <w:r w:rsidR="00A857F5" w:rsidRPr="00C0407D">
        <w:rPr>
          <w:rFonts w:asciiTheme="majorBidi" w:hAnsiTheme="majorBidi" w:cstheme="majorBidi"/>
          <w:b/>
          <w:bCs/>
          <w:sz w:val="24"/>
          <w:szCs w:val="24"/>
          <w:lang w:val="fr-FR"/>
        </w:rPr>
        <w:t>cionados</w:t>
      </w:r>
      <w:proofErr w:type="spellEnd"/>
      <w:r w:rsidR="00A857F5" w:rsidRPr="00C0407D">
        <w:rPr>
          <w:rFonts w:asciiTheme="majorBidi" w:hAnsiTheme="majorBidi" w:cstheme="majorBidi"/>
          <w:b/>
          <w:bCs/>
          <w:sz w:val="24"/>
          <w:szCs w:val="24"/>
          <w:lang w:val="fr-FR"/>
        </w:rPr>
        <w:t xml:space="preserve"> con la </w:t>
      </w:r>
      <w:proofErr w:type="spellStart"/>
      <w:r w:rsidR="00A857F5" w:rsidRPr="00C0407D">
        <w:rPr>
          <w:rFonts w:asciiTheme="majorBidi" w:hAnsiTheme="majorBidi" w:cstheme="majorBidi"/>
          <w:b/>
          <w:bCs/>
          <w:sz w:val="24"/>
          <w:szCs w:val="24"/>
          <w:lang w:val="fr-FR"/>
        </w:rPr>
        <w:t>refrigeración</w:t>
      </w:r>
      <w:proofErr w:type="spellEnd"/>
      <w:r w:rsidR="00A857F5" w:rsidRPr="00C0407D">
        <w:rPr>
          <w:rFonts w:asciiTheme="majorBidi" w:hAnsiTheme="majorBidi" w:cstheme="majorBidi"/>
          <w:b/>
          <w:bCs/>
          <w:sz w:val="24"/>
          <w:szCs w:val="24"/>
          <w:lang w:val="fr-FR"/>
        </w:rPr>
        <w:t xml:space="preserve"> </w:t>
      </w:r>
      <w:proofErr w:type="spellStart"/>
      <w:r w:rsidR="00A857F5" w:rsidRPr="00C0407D">
        <w:rPr>
          <w:rFonts w:asciiTheme="majorBidi" w:hAnsiTheme="majorBidi" w:cstheme="majorBidi"/>
          <w:b/>
          <w:bCs/>
          <w:sz w:val="24"/>
          <w:szCs w:val="24"/>
          <w:lang w:val="fr-FR"/>
        </w:rPr>
        <w:t>sostenible</w:t>
      </w:r>
      <w:proofErr w:type="spellEnd"/>
      <w:r w:rsidRPr="00642AEE">
        <w:rPr>
          <w:rStyle w:val="FootnoteReference"/>
          <w:rFonts w:asciiTheme="majorBidi" w:hAnsiTheme="majorBidi" w:cstheme="majorBidi"/>
          <w:b/>
          <w:bCs/>
          <w:sz w:val="24"/>
          <w:szCs w:val="24"/>
          <w:lang w:val="en-US"/>
        </w:rPr>
        <w:footnoteReference w:id="4"/>
      </w:r>
    </w:p>
    <w:p w14:paraId="4A615988" w14:textId="77777777" w:rsidR="00BA54CA" w:rsidRPr="00642AEE" w:rsidRDefault="00A857F5" w:rsidP="006E5EB3">
      <w:pPr>
        <w:pStyle w:val="Heading1"/>
      </w:pPr>
      <w:r>
        <w:t xml:space="preserve">La </w:t>
      </w:r>
      <w:r w:rsidRPr="00A857F5">
        <w:t xml:space="preserve">refrigeración sostenible </w:t>
      </w:r>
      <w:r w:rsidR="00E0564F">
        <w:t>se refiere al logro</w:t>
      </w:r>
      <w:r w:rsidR="005924F8">
        <w:t xml:space="preserve"> de</w:t>
      </w:r>
      <w:r w:rsidRPr="00A857F5">
        <w:t xml:space="preserve"> un</w:t>
      </w:r>
      <w:r w:rsidR="00E0564F">
        <w:t xml:space="preserve"> enfriamiento y un</w:t>
      </w:r>
      <w:r w:rsidRPr="00A857F5">
        <w:t>a refrigeración confortable</w:t>
      </w:r>
      <w:r w:rsidR="00E0564F">
        <w:t>s</w:t>
      </w:r>
      <w:r w:rsidRPr="00A857F5">
        <w:t xml:space="preserve"> en la cadena de frío, con un mínimo de emisiones directas e indirectas de GEI y otros </w:t>
      </w:r>
      <w:r w:rsidR="00994FB9">
        <w:t xml:space="preserve">impactos </w:t>
      </w:r>
      <w:r w:rsidRPr="00A857F5">
        <w:t xml:space="preserve">ambientales adversos, utilizando tecnologías que sean asequibles, </w:t>
      </w:r>
      <w:r w:rsidR="00611B2F" w:rsidRPr="00E0564F">
        <w:t>viables desde el punto de vista técnico y económico y escalables</w:t>
      </w:r>
      <w:r w:rsidRPr="00A857F5">
        <w:t xml:space="preserve">. En general, el mayor </w:t>
      </w:r>
      <w:r w:rsidRPr="00676D14">
        <w:t>beneficio</w:t>
      </w:r>
      <w:r w:rsidR="005924F8">
        <w:t xml:space="preserve"> de</w:t>
      </w:r>
      <w:r w:rsidRPr="00676D14">
        <w:t xml:space="preserve"> </w:t>
      </w:r>
      <w:r w:rsidR="00676D14" w:rsidRPr="00676D14">
        <w:t xml:space="preserve">implementar </w:t>
      </w:r>
      <w:r w:rsidR="004073B3">
        <w:t>la refrigeración</w:t>
      </w:r>
      <w:r w:rsidR="00676D14" w:rsidRPr="00676D14">
        <w:t xml:space="preserve"> sostenible</w:t>
      </w:r>
      <w:r w:rsidRPr="00676D14">
        <w:t xml:space="preserve"> es </w:t>
      </w:r>
      <w:r w:rsidR="00676D14" w:rsidRPr="00676D14">
        <w:t>reducir</w:t>
      </w:r>
      <w:r w:rsidR="00676D14">
        <w:t xml:space="preserve"> el</w:t>
      </w:r>
      <w:r w:rsidRPr="00A857F5">
        <w:t xml:space="preserve"> consumo de energía necesario para alcanzar el mismo nivel de </w:t>
      </w:r>
      <w:r w:rsidR="004073B3">
        <w:t>refrigeración</w:t>
      </w:r>
      <w:r w:rsidRPr="00A857F5">
        <w:t xml:space="preserve">, incluido el «dimensionamiento correcto» de las necesidades de </w:t>
      </w:r>
      <w:r w:rsidR="004073B3">
        <w:t>refrigeración</w:t>
      </w:r>
      <w:r w:rsidRPr="00A857F5">
        <w:t xml:space="preserve">. </w:t>
      </w:r>
      <w:r w:rsidR="00CF24C0">
        <w:t>La refrigeración</w:t>
      </w:r>
      <w:r w:rsidRPr="00A857F5">
        <w:t xml:space="preserve"> sostenible también puede abarcar intervenciones </w:t>
      </w:r>
      <w:r w:rsidR="00676D14">
        <w:t xml:space="preserve">que van </w:t>
      </w:r>
      <w:r w:rsidRPr="00A857F5">
        <w:t xml:space="preserve">más allá de la selección y el uso de tecnologías de </w:t>
      </w:r>
      <w:r w:rsidR="00CF24C0">
        <w:t>refrigeración</w:t>
      </w:r>
      <w:r w:rsidR="005C31F0">
        <w:t xml:space="preserve"> </w:t>
      </w:r>
      <w:r w:rsidRPr="00A857F5">
        <w:t xml:space="preserve">e incluir la eliminación responsable de refrigerantes. </w:t>
      </w:r>
      <w:r w:rsidR="00CF24C0">
        <w:t>La refrigeración</w:t>
      </w:r>
      <w:r w:rsidR="005C31F0">
        <w:t xml:space="preserve"> </w:t>
      </w:r>
      <w:r w:rsidRPr="00A857F5">
        <w:t>sostenible contribuye a los Objetivos de Desarrollo Sostenible (ODS</w:t>
      </w:r>
      <w:r w:rsidR="005C31F0">
        <w:t>)</w:t>
      </w:r>
      <w:r w:rsidR="00BA54CA" w:rsidRPr="00642AEE">
        <w:t xml:space="preserve"> 2, 3, 4, 8, 9, 10, 11</w:t>
      </w:r>
      <w:r w:rsidR="005C31F0">
        <w:t xml:space="preserve"> y</w:t>
      </w:r>
      <w:r w:rsidR="00BA54CA" w:rsidRPr="00642AEE">
        <w:t xml:space="preserve"> 12</w:t>
      </w:r>
      <w:r w:rsidR="00BA54CA" w:rsidRPr="00642AEE">
        <w:rPr>
          <w:rStyle w:val="FootnoteReference"/>
          <w:rFonts w:asciiTheme="majorBidi" w:hAnsiTheme="majorBidi" w:cstheme="majorBidi"/>
        </w:rPr>
        <w:footnoteReference w:id="5"/>
      </w:r>
      <w:r w:rsidR="005C31F0" w:rsidRPr="00642AEE">
        <w:t>.</w:t>
      </w:r>
    </w:p>
    <w:p w14:paraId="115F0EF1" w14:textId="3CE82DF8" w:rsidR="00BA54CA" w:rsidRPr="00642AEE" w:rsidRDefault="00BA54CA" w:rsidP="006E5EB3">
      <w:pPr>
        <w:spacing w:after="240"/>
        <w:rPr>
          <w:rFonts w:asciiTheme="majorBidi" w:hAnsiTheme="majorBidi" w:cstheme="majorBidi"/>
          <w:b/>
          <w:bCs/>
        </w:rPr>
      </w:pPr>
      <w:r w:rsidRPr="00642AEE">
        <w:rPr>
          <w:rFonts w:asciiTheme="majorBidi" w:hAnsiTheme="majorBidi" w:cstheme="majorBidi"/>
          <w:b/>
          <w:bCs/>
          <w:sz w:val="24"/>
          <w:szCs w:val="24"/>
        </w:rPr>
        <w:t>Sector</w:t>
      </w:r>
      <w:r w:rsidR="005C31F0">
        <w:rPr>
          <w:rFonts w:asciiTheme="majorBidi" w:hAnsiTheme="majorBidi" w:cstheme="majorBidi"/>
          <w:b/>
          <w:bCs/>
          <w:sz w:val="24"/>
          <w:szCs w:val="24"/>
        </w:rPr>
        <w:t>e</w:t>
      </w:r>
      <w:r w:rsidRPr="00642AEE">
        <w:rPr>
          <w:rFonts w:asciiTheme="majorBidi" w:hAnsiTheme="majorBidi" w:cstheme="majorBidi"/>
          <w:b/>
          <w:bCs/>
          <w:sz w:val="24"/>
          <w:szCs w:val="24"/>
        </w:rPr>
        <w:t>s c</w:t>
      </w:r>
      <w:r w:rsidR="005C31F0">
        <w:rPr>
          <w:rFonts w:asciiTheme="majorBidi" w:hAnsiTheme="majorBidi" w:cstheme="majorBidi"/>
          <w:b/>
          <w:bCs/>
          <w:sz w:val="24"/>
          <w:szCs w:val="24"/>
        </w:rPr>
        <w:t>ubiertos por la financiación del Fondo Multilateral en relación con el enfriamiento sostenible</w:t>
      </w:r>
    </w:p>
    <w:p w14:paraId="06CCE648" w14:textId="77777777" w:rsidR="00BA54CA" w:rsidRPr="00642AEE" w:rsidRDefault="00775B22" w:rsidP="006E5EB3">
      <w:pPr>
        <w:pStyle w:val="Heading1"/>
      </w:pPr>
      <w:r>
        <w:t>A lo</w:t>
      </w:r>
      <w:r w:rsidRPr="00775B22">
        <w:t xml:space="preserve"> largo de más de tres décadas, las actividades de eliminación de SAO para diferentes aplicaciones de </w:t>
      </w:r>
      <w:r w:rsidR="006B2974">
        <w:t xml:space="preserve">refrigeración, aire acondicionado y bombas de calor (RACHP) </w:t>
      </w:r>
      <w:r w:rsidRPr="00775B22">
        <w:t xml:space="preserve">se han abordado con el apoyo del FML. Entre ellas se incluyen los refrigeradores domésticos, la refrigeración comercial, industrial y del transporte, el aire acondicionado residencial, comercial, industrial y móvil, y los </w:t>
      </w:r>
      <w:r w:rsidRPr="00775B22">
        <w:lastRenderedPageBreak/>
        <w:t>enfriadores. Los proyectos abordaron principalmente la conversión de refrigerantes y espumas aislantes a tecnologías alternativas</w:t>
      </w:r>
      <w:r w:rsidR="00BA54CA" w:rsidRPr="00642AEE">
        <w:t xml:space="preserve">.  </w:t>
      </w:r>
    </w:p>
    <w:p w14:paraId="7DAB0A81" w14:textId="77777777" w:rsidR="00BA54CA" w:rsidRPr="00642AEE" w:rsidRDefault="0082212A" w:rsidP="006E5EB3">
      <w:pPr>
        <w:pStyle w:val="Heading1"/>
      </w:pPr>
      <w:r w:rsidRPr="0082212A">
        <w:t>Las aplicaciones basadas en HFC y el consumo de HFC en dichas aplicaciones han ido en aumento. Además, habrá nuevas aplicaciones que podrían suponer un crecimiento del consumo de HFC (p</w:t>
      </w:r>
      <w:r>
        <w:t>. ej.,</w:t>
      </w:r>
      <w:r w:rsidRPr="0082212A">
        <w:t xml:space="preserve"> centros de datos, secadoras)</w:t>
      </w:r>
      <w:r w:rsidR="00BA54CA" w:rsidRPr="00642AEE">
        <w:rPr>
          <w:rStyle w:val="FootnoteReference"/>
        </w:rPr>
        <w:footnoteReference w:id="6"/>
      </w:r>
      <w:r w:rsidRPr="00642AEE">
        <w:t>.</w:t>
      </w:r>
      <w:r w:rsidR="00BA54CA" w:rsidRPr="00642AEE">
        <w:t xml:space="preserve"> </w:t>
      </w:r>
      <w:r w:rsidRPr="0082212A">
        <w:t>Durante la</w:t>
      </w:r>
      <w:r w:rsidR="00461D84">
        <w:t xml:space="preserve"> reducción</w:t>
      </w:r>
      <w:r w:rsidRPr="0082212A">
        <w:t xml:space="preserve"> de los HFC, estas aplicaciones </w:t>
      </w:r>
      <w:r w:rsidR="00461D84">
        <w:t xml:space="preserve">que consumen </w:t>
      </w:r>
      <w:r w:rsidRPr="0082212A">
        <w:t>HFC se abordarán en función de la estructura industrial nacional y de las tendencias de consumo de HFC, así como de las políticas y directrices aprobadas por el Comité Ejecutivo. Se espera la conversión a tecnologías alternativas, y las intervenciones podrían incluir</w:t>
      </w:r>
      <w:r w:rsidR="001B3EB5">
        <w:t xml:space="preserve"> evitar </w:t>
      </w:r>
      <w:r w:rsidR="00461D84">
        <w:t>e</w:t>
      </w:r>
      <w:r w:rsidRPr="0082212A">
        <w:t>l crecimiento del consumo de HFC en estas aplicaciones, así como el apoyo a la conversión a alternativas</w:t>
      </w:r>
      <w:r w:rsidR="00BA54CA" w:rsidRPr="00642AEE">
        <w:t>.</w:t>
      </w:r>
    </w:p>
    <w:p w14:paraId="2A7514C9" w14:textId="692E8791" w:rsidR="00BA54CA" w:rsidRPr="00642AEE" w:rsidRDefault="00BA54CA" w:rsidP="006E5EB3">
      <w:pPr>
        <w:keepNext/>
        <w:spacing w:after="240"/>
      </w:pPr>
      <w:r w:rsidRPr="00642AEE">
        <w:rPr>
          <w:rFonts w:asciiTheme="majorBidi" w:hAnsiTheme="majorBidi" w:cstheme="majorBidi"/>
          <w:b/>
          <w:bCs/>
          <w:sz w:val="24"/>
          <w:szCs w:val="24"/>
        </w:rPr>
        <w:t>Impact</w:t>
      </w:r>
      <w:r w:rsidR="00842E07">
        <w:rPr>
          <w:rFonts w:asciiTheme="majorBidi" w:hAnsiTheme="majorBidi" w:cstheme="majorBidi"/>
          <w:b/>
          <w:bCs/>
          <w:sz w:val="24"/>
          <w:szCs w:val="24"/>
        </w:rPr>
        <w:t xml:space="preserve">o de las actividades de eliminación de </w:t>
      </w:r>
      <w:r w:rsidRPr="00642AEE">
        <w:rPr>
          <w:rFonts w:asciiTheme="majorBidi" w:hAnsiTheme="majorBidi" w:cstheme="majorBidi"/>
          <w:b/>
          <w:bCs/>
          <w:sz w:val="24"/>
          <w:szCs w:val="24"/>
        </w:rPr>
        <w:t xml:space="preserve">HCFC </w:t>
      </w:r>
      <w:r w:rsidR="00842E07">
        <w:rPr>
          <w:rFonts w:asciiTheme="majorBidi" w:hAnsiTheme="majorBidi" w:cstheme="majorBidi"/>
          <w:b/>
          <w:bCs/>
          <w:sz w:val="24"/>
          <w:szCs w:val="24"/>
        </w:rPr>
        <w:t xml:space="preserve">y reducción de </w:t>
      </w:r>
      <w:r w:rsidRPr="00642AEE">
        <w:rPr>
          <w:rFonts w:asciiTheme="majorBidi" w:hAnsiTheme="majorBidi" w:cstheme="majorBidi"/>
          <w:b/>
          <w:bCs/>
          <w:sz w:val="24"/>
          <w:szCs w:val="24"/>
        </w:rPr>
        <w:t>HFC</w:t>
      </w:r>
      <w:r w:rsidR="00842E07">
        <w:rPr>
          <w:rFonts w:asciiTheme="majorBidi" w:hAnsiTheme="majorBidi" w:cstheme="majorBidi"/>
          <w:b/>
          <w:bCs/>
          <w:sz w:val="24"/>
          <w:szCs w:val="24"/>
        </w:rPr>
        <w:t xml:space="preserve"> en el logro de una</w:t>
      </w:r>
      <w:r w:rsidR="006E5EB3">
        <w:rPr>
          <w:rFonts w:asciiTheme="majorBidi" w:hAnsiTheme="majorBidi" w:cstheme="majorBidi"/>
          <w:b/>
          <w:bCs/>
          <w:sz w:val="24"/>
          <w:szCs w:val="24"/>
        </w:rPr>
        <w:t xml:space="preserve"> </w:t>
      </w:r>
      <w:r w:rsidR="00842E07">
        <w:rPr>
          <w:rFonts w:asciiTheme="majorBidi" w:hAnsiTheme="majorBidi" w:cstheme="majorBidi"/>
          <w:b/>
          <w:bCs/>
          <w:sz w:val="24"/>
          <w:szCs w:val="24"/>
        </w:rPr>
        <w:t>refrigeración sostenible</w:t>
      </w:r>
    </w:p>
    <w:p w14:paraId="68AB3297" w14:textId="77777777" w:rsidR="00BA54CA" w:rsidRPr="00642AEE" w:rsidRDefault="00AD1BE3" w:rsidP="006E5EB3">
      <w:pPr>
        <w:pStyle w:val="Heading1"/>
        <w:keepNext/>
      </w:pPr>
      <w:r>
        <w:t xml:space="preserve">Durante </w:t>
      </w:r>
      <w:r w:rsidRPr="00AD1BE3">
        <w:t xml:space="preserve">más de tres décadas, el Fondo Multilateral ha apoyado intervenciones en los sectores de </w:t>
      </w:r>
      <w:r w:rsidR="00D7012E" w:rsidRPr="00F4276E">
        <w:t xml:space="preserve">refrigeración y aire acondicionado </w:t>
      </w:r>
      <w:r w:rsidR="00D7012E">
        <w:t xml:space="preserve">(RAC) </w:t>
      </w:r>
      <w:r w:rsidRPr="00AD1BE3">
        <w:t xml:space="preserve">y </w:t>
      </w:r>
      <w:r w:rsidR="00D7012E">
        <w:t xml:space="preserve">de las </w:t>
      </w:r>
      <w:r w:rsidRPr="00AD1BE3">
        <w:t xml:space="preserve">espumas que han permitido la transición a tecnologías de refrigeración más respetuosas con el medio ambiente. </w:t>
      </w:r>
      <w:r w:rsidR="00D7012E">
        <w:t>Estas</w:t>
      </w:r>
      <w:r w:rsidRPr="00AD1BE3">
        <w:t xml:space="preserve"> actividades no s</w:t>
      </w:r>
      <w:r w:rsidR="00D7012E">
        <w:t>o</w:t>
      </w:r>
      <w:r w:rsidRPr="00AD1BE3">
        <w:t xml:space="preserve">lo dieron lugar a la conversión de la industria a alternativas respetuosas con </w:t>
      </w:r>
      <w:r w:rsidR="00D7012E">
        <w:t>el</w:t>
      </w:r>
      <w:r w:rsidRPr="00AD1BE3">
        <w:t xml:space="preserve"> ozono, sino que también ayudaron a la industria, en particular a las pequeñas y medianas empresas (</w:t>
      </w:r>
      <w:r w:rsidR="00D7012E">
        <w:t>pymes</w:t>
      </w:r>
      <w:r w:rsidRPr="00AD1BE3">
        <w:t>) y a las del sector de</w:t>
      </w:r>
      <w:r w:rsidR="00D7012E" w:rsidRPr="00813F24">
        <w:t xml:space="preserve"> mantenimiento de </w:t>
      </w:r>
      <w:r w:rsidR="00D7012E">
        <w:t>los equipos de refrigeración y aire acondicionado</w:t>
      </w:r>
      <w:r w:rsidRPr="00AD1BE3">
        <w:t>, a gestionar su transición a las alternativas de forma segura y garantizando al mismo tiempo la continuidad</w:t>
      </w:r>
      <w:r w:rsidR="005924F8">
        <w:t xml:space="preserve"> del </w:t>
      </w:r>
      <w:r w:rsidR="005924F8" w:rsidRPr="005924F8">
        <w:t>negocio</w:t>
      </w:r>
      <w:r w:rsidRPr="005924F8">
        <w:t>. Además</w:t>
      </w:r>
      <w:r w:rsidRPr="00AD1BE3">
        <w:t xml:space="preserve">, las actividades </w:t>
      </w:r>
      <w:r w:rsidR="00813F24">
        <w:t xml:space="preserve">de </w:t>
      </w:r>
      <w:r w:rsidR="00813F24" w:rsidRPr="00AD1BE3">
        <w:t>divulgación de información</w:t>
      </w:r>
      <w:r w:rsidRPr="00AD1BE3">
        <w:t xml:space="preserve"> y concienciación dirigidas a l</w:t>
      </w:r>
      <w:r w:rsidR="00813F24">
        <w:t xml:space="preserve">os </w:t>
      </w:r>
      <w:r w:rsidRPr="00AD1BE3">
        <w:t>distint</w:t>
      </w:r>
      <w:r w:rsidR="00813F24">
        <w:t>o</w:t>
      </w:r>
      <w:r w:rsidRPr="00AD1BE3">
        <w:t xml:space="preserve">s </w:t>
      </w:r>
      <w:r w:rsidR="00813F24">
        <w:t>i</w:t>
      </w:r>
      <w:r w:rsidRPr="00AD1BE3">
        <w:t>nteresad</w:t>
      </w:r>
      <w:r w:rsidR="00813F24">
        <w:t>o</w:t>
      </w:r>
      <w:r w:rsidRPr="00AD1BE3">
        <w:t xml:space="preserve">s y apoyadas por el </w:t>
      </w:r>
      <w:r w:rsidR="00813F24">
        <w:t>FML</w:t>
      </w:r>
      <w:r w:rsidRPr="00AD1BE3">
        <w:t xml:space="preserve"> permitieron la adopción de tecnologías respetuosas con el medio ambiente</w:t>
      </w:r>
      <w:r w:rsidR="00BA54CA" w:rsidRPr="00642AEE">
        <w:t>.</w:t>
      </w:r>
    </w:p>
    <w:p w14:paraId="0AC0C751" w14:textId="3473EC94" w:rsidR="00BA54CA" w:rsidRPr="00642AEE" w:rsidRDefault="00BA54CA" w:rsidP="004035EC">
      <w:pPr>
        <w:pStyle w:val="Heading1"/>
      </w:pPr>
      <w:r w:rsidRPr="00642AEE">
        <w:t xml:space="preserve">A </w:t>
      </w:r>
      <w:r w:rsidR="00C0407D">
        <w:t>continuación,</w:t>
      </w:r>
      <w:r w:rsidR="00813F24">
        <w:t xml:space="preserve"> </w:t>
      </w:r>
      <w:r w:rsidR="00813F24" w:rsidRPr="00813F24">
        <w:t>se</w:t>
      </w:r>
      <w:r w:rsidR="00813F24">
        <w:t xml:space="preserve"> presenta</w:t>
      </w:r>
      <w:r w:rsidR="00813F24" w:rsidRPr="00813F24">
        <w:t xml:space="preserve"> un resumen de observaciones importantes basadas en la experiencia adquirida en la aplicación de los planes de gestión de la eliminación de los HCFC</w:t>
      </w:r>
      <w:r w:rsidR="00F6079D">
        <w:t xml:space="preserve"> (PGEH)</w:t>
      </w:r>
      <w:r w:rsidRPr="00642AEE">
        <w:t>.</w:t>
      </w:r>
    </w:p>
    <w:p w14:paraId="20AB1697" w14:textId="77777777" w:rsidR="00BA54CA" w:rsidRPr="00642AEE" w:rsidRDefault="00F6079D" w:rsidP="004035EC">
      <w:pPr>
        <w:pStyle w:val="Heading1"/>
        <w:numPr>
          <w:ilvl w:val="0"/>
          <w:numId w:val="0"/>
        </w:numPr>
        <w:rPr>
          <w:rFonts w:asciiTheme="majorBidi" w:hAnsiTheme="majorBidi" w:cstheme="majorBidi"/>
          <w:u w:val="single"/>
        </w:rPr>
      </w:pPr>
      <w:r>
        <w:rPr>
          <w:rFonts w:asciiTheme="majorBidi" w:hAnsiTheme="majorBidi" w:cstheme="majorBidi"/>
          <w:u w:val="single"/>
        </w:rPr>
        <w:t>Relacionados con la fabricación</w:t>
      </w:r>
    </w:p>
    <w:p w14:paraId="5E8E601E" w14:textId="77777777" w:rsidR="00BA54CA" w:rsidRPr="00642AEE" w:rsidRDefault="00F6079D" w:rsidP="004035EC">
      <w:pPr>
        <w:pStyle w:val="Heading2"/>
      </w:pPr>
      <w:r>
        <w:t>En e</w:t>
      </w:r>
      <w:r w:rsidR="00F84354">
        <w:t>l marco d</w:t>
      </w:r>
      <w:r w:rsidRPr="00F6079D">
        <w:t xml:space="preserve">e los </w:t>
      </w:r>
      <w:r w:rsidR="00F84354">
        <w:t>PGEH</w:t>
      </w:r>
      <w:r w:rsidRPr="00F6079D">
        <w:t xml:space="preserve"> y otros proyectos de eliminación de SAO, el enfoque se centró en</w:t>
      </w:r>
      <w:r w:rsidR="005924F8">
        <w:t xml:space="preserve"> alcanzar </w:t>
      </w:r>
      <w:r w:rsidRPr="00F6079D">
        <w:t>los objetivos de cumplimiento</w:t>
      </w:r>
      <w:r w:rsidR="00BA54CA" w:rsidRPr="00642AEE">
        <w:rPr>
          <w:rStyle w:val="FootnoteReference"/>
          <w:rFonts w:asciiTheme="majorBidi" w:hAnsiTheme="majorBidi" w:cstheme="majorBidi"/>
        </w:rPr>
        <w:footnoteReference w:id="7"/>
      </w:r>
      <w:r w:rsidR="00BA54CA" w:rsidRPr="00642AEE">
        <w:t xml:space="preserve"> </w:t>
      </w:r>
      <w:r w:rsidR="00F84354" w:rsidRPr="00F6079D">
        <w:t xml:space="preserve">definidos para dichas sustancias. Los planes de ejecución se desglosaron en objetivos anuales </w:t>
      </w:r>
      <w:r w:rsidR="00F84354">
        <w:t>en diferentes</w:t>
      </w:r>
      <w:r w:rsidR="00F84354" w:rsidRPr="00F6079D">
        <w:t xml:space="preserve"> plazos (p</w:t>
      </w:r>
      <w:r w:rsidR="00F84354">
        <w:t>. ej.</w:t>
      </w:r>
      <w:r w:rsidR="00F84354" w:rsidRPr="00F6079D">
        <w:t>, la</w:t>
      </w:r>
      <w:r w:rsidR="00F84354">
        <w:t xml:space="preserve"> etapa</w:t>
      </w:r>
      <w:r w:rsidR="00F84354" w:rsidRPr="00F6079D">
        <w:t xml:space="preserve"> I de los </w:t>
      </w:r>
      <w:r w:rsidR="00F84354">
        <w:t>PGEH</w:t>
      </w:r>
      <w:r w:rsidR="00F84354" w:rsidRPr="00F6079D">
        <w:t xml:space="preserve"> para </w:t>
      </w:r>
      <w:r w:rsidR="00916E0C">
        <w:t>países que no son de bajo volumen de consumo</w:t>
      </w:r>
      <w:r w:rsidR="00916E0C" w:rsidRPr="00F6079D">
        <w:t xml:space="preserve"> </w:t>
      </w:r>
      <w:r w:rsidR="00F84354" w:rsidRPr="00F6079D">
        <w:t xml:space="preserve">se centró en alcanzar el objetivo de eliminación de 2015). Aunque los planes a largo plazo para conseguir la eliminación de los HCFC se tuvieron en cuenta al desarrollar la estrategia general de eliminación de un país, los objetivos de reducción del consumo y de cumplimiento para cada uno de los plazos </w:t>
      </w:r>
      <w:r w:rsidR="00F84354" w:rsidRPr="005924F8">
        <w:t>especificados</w:t>
      </w:r>
      <w:r w:rsidR="005924F8" w:rsidRPr="005924F8">
        <w:t xml:space="preserve"> </w:t>
      </w:r>
      <w:r w:rsidR="00916E0C" w:rsidRPr="005924F8">
        <w:t>sirvieron de base</w:t>
      </w:r>
      <w:r w:rsidR="00F84354" w:rsidRPr="005924F8">
        <w:t xml:space="preserve"> para</w:t>
      </w:r>
      <w:r w:rsidR="00F84354" w:rsidRPr="00F6079D">
        <w:t xml:space="preserve"> proporcionar apoyo financiero a los proyectos</w:t>
      </w:r>
      <w:r w:rsidR="00BA54CA" w:rsidRPr="00642AEE">
        <w:t xml:space="preserve">.  </w:t>
      </w:r>
    </w:p>
    <w:p w14:paraId="170A40C2" w14:textId="0016FAC8" w:rsidR="00BA54CA" w:rsidRPr="00642AEE" w:rsidRDefault="00916E0C" w:rsidP="004035EC">
      <w:pPr>
        <w:pStyle w:val="Heading2"/>
      </w:pPr>
      <w:r>
        <w:t xml:space="preserve">La esfera </w:t>
      </w:r>
      <w:r w:rsidRPr="00916E0C">
        <w:t xml:space="preserve">prioritaria durante la ejecución del </w:t>
      </w:r>
      <w:r>
        <w:t>PGEH</w:t>
      </w:r>
      <w:r w:rsidRPr="00916E0C">
        <w:t xml:space="preserve">, </w:t>
      </w:r>
      <w:r w:rsidR="00AA04FD">
        <w:t>desde el punto de vista del contenido</w:t>
      </w:r>
      <w:r w:rsidRPr="00916E0C">
        <w:t>, fue la eliminación del HCFC</w:t>
      </w:r>
      <w:r w:rsidR="005924F8">
        <w:t>-</w:t>
      </w:r>
      <w:r w:rsidRPr="00916E0C">
        <w:t>141b utilizado como disolvente y agente espumante. Esto se debió a que tenía un PAO más elevado en comparación con el HCFC</w:t>
      </w:r>
      <w:r w:rsidR="00C0407D">
        <w:noBreakHyphen/>
      </w:r>
      <w:r w:rsidRPr="00916E0C">
        <w:t>22 y a que había otros HCFC y alternativas de</w:t>
      </w:r>
      <w:r w:rsidR="00AA04FD" w:rsidRPr="00B1146D">
        <w:t xml:space="preserve"> bajo </w:t>
      </w:r>
      <w:r w:rsidR="00AA04FD">
        <w:t>PCA</w:t>
      </w:r>
      <w:r w:rsidRPr="00916E0C">
        <w:t xml:space="preserve"> disponibles como alternativas al HCFC-141b en casi todas las aplicaciones. Menos del 1</w:t>
      </w:r>
      <w:r w:rsidR="00AA04FD">
        <w:t xml:space="preserve"> </w:t>
      </w:r>
      <w:r w:rsidRPr="00916E0C">
        <w:t>% de los proyectos de eliminación de HCFC-141b se destinaron a la conversión a agentes espumantes de alto PCA</w:t>
      </w:r>
      <w:r w:rsidR="00BA54CA" w:rsidRPr="00642AEE">
        <w:t>.</w:t>
      </w:r>
    </w:p>
    <w:p w14:paraId="7F630E7E" w14:textId="77777777" w:rsidR="00BA54CA" w:rsidRPr="00642AEE" w:rsidRDefault="00082C8A" w:rsidP="004035EC">
      <w:pPr>
        <w:pStyle w:val="Heading2"/>
      </w:pPr>
      <w:r>
        <w:t xml:space="preserve">Los </w:t>
      </w:r>
      <w:r w:rsidRPr="00082C8A">
        <w:t xml:space="preserve">fabricantes de aparatos de aire acondicionado eran uno de los mayores consumidores </w:t>
      </w:r>
      <w:r w:rsidRPr="00082C8A">
        <w:lastRenderedPageBreak/>
        <w:t xml:space="preserve">de HCFC-22. Inicialmente, el FML </w:t>
      </w:r>
      <w:r w:rsidR="005924F8">
        <w:t xml:space="preserve">apoyaba </w:t>
      </w:r>
      <w:r w:rsidRPr="00082C8A">
        <w:t xml:space="preserve">las conversiones a R-410A, teniendo en cuenta la viabilidad técnica, la viabilidad económica y la estrategia del país en ese momento. Después de la 68ª reunión, con la creciente disponibilidad de alternativas de bajo y menor PCA, el Comité Ejecutivo dejó de financiar proyectos de conversión a R-410A en aplicaciones de aire acondicionado, dado el elevado PCA de la sustancia. Se cree que </w:t>
      </w:r>
      <w:r w:rsidRPr="005924F8">
        <w:t>los fabricantes que no recibieron apoyo del FML para su conversión se han convertido en gran parte al</w:t>
      </w:r>
      <w:r w:rsidRPr="00082C8A">
        <w:t xml:space="preserve"> R-410A, lo que dificulta una conversión completa a alternativas de bajo o menor PCA en estas aplicaciones. Dicho esto, en un gran país </w:t>
      </w:r>
      <w:r>
        <w:t xml:space="preserve">que opera al amparo </w:t>
      </w:r>
      <w:r w:rsidRPr="00082C8A">
        <w:t xml:space="preserve">del </w:t>
      </w:r>
      <w:r w:rsidR="008F25F9">
        <w:t>a</w:t>
      </w:r>
      <w:r w:rsidRPr="00082C8A">
        <w:t xml:space="preserve">rtículo 5, parece que la tecnología dominante ha sido sustituida por el HFC-32 a pesar de que el FML no </w:t>
      </w:r>
      <w:r w:rsidR="008F25F9">
        <w:t>prest</w:t>
      </w:r>
      <w:r w:rsidR="005924F8">
        <w:t>ó</w:t>
      </w:r>
      <w:r w:rsidR="008F25F9">
        <w:t xml:space="preserve"> </w:t>
      </w:r>
      <w:r w:rsidRPr="00082C8A">
        <w:t>apoy</w:t>
      </w:r>
      <w:r w:rsidR="008F25F9">
        <w:t xml:space="preserve">o para </w:t>
      </w:r>
      <w:r w:rsidRPr="00082C8A">
        <w:t>dicha transició</w:t>
      </w:r>
      <w:r>
        <w:t>n</w:t>
      </w:r>
      <w:r w:rsidR="00BA54CA" w:rsidRPr="00642AEE">
        <w:t xml:space="preserve">.  </w:t>
      </w:r>
    </w:p>
    <w:p w14:paraId="162FE492" w14:textId="77777777" w:rsidR="00BA54CA" w:rsidRPr="00642AEE" w:rsidRDefault="00076128" w:rsidP="00AB5737">
      <w:pPr>
        <w:pStyle w:val="Heading2"/>
        <w:widowControl/>
      </w:pPr>
      <w:r>
        <w:t>Aunque el F</w:t>
      </w:r>
      <w:r w:rsidRPr="00076128">
        <w:t xml:space="preserve">ondo Multilateral ha apoyado las conversiones de aire acondicionado (AC) a R-290, hasta la fecha la fabricación de estos equipos en las líneas convertidas ha sido limitada, sobre todo en el caso de las unidades de AC con una capacidad de refrigeración superior a 1 tonelada de refrigeración (TR). </w:t>
      </w:r>
      <w:r>
        <w:t xml:space="preserve">Si </w:t>
      </w:r>
      <w:r w:rsidRPr="005924F8">
        <w:t>bien los diversos problemas (p</w:t>
      </w:r>
      <w:r w:rsidR="00D67D30" w:rsidRPr="005924F8">
        <w:t>. ej.</w:t>
      </w:r>
      <w:r w:rsidRPr="005924F8">
        <w:t>,</w:t>
      </w:r>
      <w:r w:rsidRPr="00076128">
        <w:t xml:space="preserve"> la falta de disponibilidad de compresores, la ausencia de normativas para la adopción en el mercado de </w:t>
      </w:r>
      <w:r w:rsidR="00D67D30">
        <w:t xml:space="preserve">aires </w:t>
      </w:r>
      <w:r w:rsidRPr="00076128">
        <w:t>acondicionado</w:t>
      </w:r>
      <w:r w:rsidR="00D67D30">
        <w:t>s con</w:t>
      </w:r>
      <w:r w:rsidRPr="00076128">
        <w:t xml:space="preserve"> HC, el mayor tiempo necesario para la instalación de unidades divididas) pueden haber contribuido a la limitada fabricación, la competencia de</w:t>
      </w:r>
      <w:r w:rsidR="005924F8">
        <w:t xml:space="preserve"> </w:t>
      </w:r>
      <w:r w:rsidRPr="00076128">
        <w:t xml:space="preserve">productos que utilizan otros refrigerantes que se consideraban más </w:t>
      </w:r>
      <w:r w:rsidR="00D67D30">
        <w:t>favorables al</w:t>
      </w:r>
      <w:r w:rsidRPr="00076128">
        <w:t xml:space="preserve"> mercado y más seguros fue probablemente un factor determinante</w:t>
      </w:r>
      <w:r w:rsidR="00BA54CA" w:rsidRPr="00642AEE">
        <w:t xml:space="preserve">. </w:t>
      </w:r>
    </w:p>
    <w:p w14:paraId="466084FD" w14:textId="77777777" w:rsidR="00BA54CA" w:rsidRPr="00642AEE" w:rsidRDefault="000F1A1D" w:rsidP="004035EC">
      <w:pPr>
        <w:pStyle w:val="Heading2"/>
      </w:pPr>
      <w:r>
        <w:t xml:space="preserve">Se aprobó </w:t>
      </w:r>
      <w:r w:rsidRPr="000F1A1D">
        <w:t>un número limitado de proyectos para la conversión de HCFC-22 a alternativas en la fabricación de aplicaciones de refrigeración, principalmente aplicaciones de refrigeración comercial, ya que el consumo de HCFC</w:t>
      </w:r>
      <w:r w:rsidR="005924F8">
        <w:t>-</w:t>
      </w:r>
      <w:r w:rsidRPr="000F1A1D">
        <w:t>22 era relativamente bajo en la fabricación de equipos de refrigeración. También se sabía que la mayoría de las empresas que fabricaban equipos de refrigeración comercial utilizaban HFC de bajo coste (p</w:t>
      </w:r>
      <w:r>
        <w:t>. ej.</w:t>
      </w:r>
      <w:r w:rsidRPr="000F1A1D">
        <w:t>, R</w:t>
      </w:r>
      <w:r>
        <w:t>-</w:t>
      </w:r>
      <w:r w:rsidRPr="000F1A1D">
        <w:t xml:space="preserve">404A, que tiene un </w:t>
      </w:r>
      <w:r>
        <w:t>PCA</w:t>
      </w:r>
      <w:r w:rsidRPr="000F1A1D">
        <w:t xml:space="preserve"> de 3</w:t>
      </w:r>
      <w:r>
        <w:t>922)</w:t>
      </w:r>
      <w:r w:rsidR="00BA54CA" w:rsidRPr="00642AEE">
        <w:rPr>
          <w:rStyle w:val="FootnoteReference"/>
          <w:rFonts w:asciiTheme="majorBidi" w:hAnsiTheme="majorBidi" w:cstheme="majorBidi"/>
        </w:rPr>
        <w:footnoteReference w:id="8"/>
      </w:r>
      <w:r w:rsidRPr="00642AEE">
        <w:t>.</w:t>
      </w:r>
      <w:r w:rsidR="00BA54CA" w:rsidRPr="00642AEE">
        <w:t xml:space="preserve"> </w:t>
      </w:r>
      <w:r w:rsidRPr="000F1A1D">
        <w:t xml:space="preserve">Esto no </w:t>
      </w:r>
      <w:r w:rsidRPr="00AE688D">
        <w:t>se supervisó ni se notificó, ya que los HFC no estaban controlados en virtud del Protocolo</w:t>
      </w:r>
      <w:r w:rsidRPr="000F1A1D">
        <w:t xml:space="preserve"> de Montreal antes de la ratificación y aplicación de la Enmienda de Kigali y no había mecanismos disponibles para realizar una evaluación tecnológica sectorial holística durante la ejecución del proyect</w:t>
      </w:r>
      <w:r>
        <w:t>o</w:t>
      </w:r>
      <w:r w:rsidR="00BA54CA" w:rsidRPr="00642AEE">
        <w:t>.</w:t>
      </w:r>
    </w:p>
    <w:p w14:paraId="7FDAB07A" w14:textId="77777777" w:rsidR="00BA54CA" w:rsidRPr="00642AEE" w:rsidRDefault="000F1A1D" w:rsidP="004035EC">
      <w:pPr>
        <w:pStyle w:val="Heading2"/>
      </w:pPr>
      <w:r>
        <w:t>Las pymes</w:t>
      </w:r>
      <w:r w:rsidRPr="000F1A1D">
        <w:t xml:space="preserve"> recibieron apoyo adicional </w:t>
      </w:r>
      <w:r w:rsidRPr="00AE688D">
        <w:t>para poner en marcha proyectos</w:t>
      </w:r>
      <w:r w:rsidRPr="000F1A1D">
        <w:t xml:space="preserve"> de conversión. </w:t>
      </w:r>
      <w:r w:rsidR="00223603">
        <w:t>Mediante las decisiones</w:t>
      </w:r>
      <w:r w:rsidR="00BA54CA" w:rsidRPr="00642AEE">
        <w:t xml:space="preserve"> 60/44 </w:t>
      </w:r>
      <w:r w:rsidR="00223603">
        <w:t>y</w:t>
      </w:r>
      <w:r w:rsidR="00BA54CA" w:rsidRPr="00642AEE">
        <w:t xml:space="preserve"> 74/50</w:t>
      </w:r>
      <w:r w:rsidR="00BA54CA" w:rsidRPr="000949CF">
        <w:footnoteReference w:id="9"/>
      </w:r>
      <w:r w:rsidR="00223603" w:rsidRPr="00642AEE">
        <w:t>,</w:t>
      </w:r>
      <w:r w:rsidR="00BA54CA" w:rsidRPr="00642AEE">
        <w:t xml:space="preserve"> </w:t>
      </w:r>
      <w:r w:rsidRPr="000F1A1D">
        <w:t>se dispuso de financiación adicional para proyectos de conversión de</w:t>
      </w:r>
      <w:r w:rsidR="00223603">
        <w:t xml:space="preserve"> pymes</w:t>
      </w:r>
      <w:r w:rsidRPr="000F1A1D">
        <w:t xml:space="preserve"> a tecnologías de refrigeración de bajo PC</w:t>
      </w:r>
      <w:r w:rsidR="00223603">
        <w:t>A</w:t>
      </w:r>
      <w:r w:rsidRPr="000F1A1D">
        <w:t xml:space="preserve">. Además, </w:t>
      </w:r>
      <w:r w:rsidR="00223603">
        <w:t xml:space="preserve">se prestó </w:t>
      </w:r>
      <w:r w:rsidRPr="000F1A1D">
        <w:t xml:space="preserve">asistencia técnica a las </w:t>
      </w:r>
      <w:r w:rsidR="00223603">
        <w:t>pymes</w:t>
      </w:r>
      <w:r w:rsidRPr="000F1A1D">
        <w:t xml:space="preserve"> para aumentar su </w:t>
      </w:r>
      <w:r w:rsidR="00223603">
        <w:t xml:space="preserve">conocimiento de </w:t>
      </w:r>
      <w:r w:rsidRPr="000F1A1D">
        <w:t>las tecnologías de refrigerantes de bajo PC</w:t>
      </w:r>
      <w:r w:rsidR="00223603">
        <w:t>A</w:t>
      </w:r>
      <w:r w:rsidRPr="000F1A1D">
        <w:t xml:space="preserve"> y facilitar su adopción. Cabe señalar que las </w:t>
      </w:r>
      <w:r w:rsidR="00223603">
        <w:t>pymes</w:t>
      </w:r>
      <w:r w:rsidRPr="000F1A1D">
        <w:t xml:space="preserve">, en particular las de fabricación </w:t>
      </w:r>
      <w:r w:rsidRPr="00AE688D">
        <w:t>y montaje de equipos de refrigeración comercial, necesitaron una asistencia especial para la conversión debido a su falta de capacidad técnica y financiera para adoptar las tecnologí</w:t>
      </w:r>
      <w:r w:rsidR="00223603" w:rsidRPr="00AE688D">
        <w:t>as</w:t>
      </w:r>
      <w:r w:rsidR="00223603">
        <w:t xml:space="preserve"> de refrigerantes con bajo </w:t>
      </w:r>
      <w:r w:rsidRPr="000F1A1D">
        <w:t>PCA</w:t>
      </w:r>
      <w:r w:rsidR="00BA54CA" w:rsidRPr="00642AEE">
        <w:t xml:space="preserve">.  </w:t>
      </w:r>
    </w:p>
    <w:p w14:paraId="03B13EF8" w14:textId="77777777" w:rsidR="00BA54CA" w:rsidRPr="00642AEE" w:rsidRDefault="00223603" w:rsidP="004035EC">
      <w:pPr>
        <w:pStyle w:val="Heading1"/>
        <w:numPr>
          <w:ilvl w:val="0"/>
          <w:numId w:val="0"/>
        </w:numPr>
        <w:rPr>
          <w:rFonts w:asciiTheme="majorBidi" w:hAnsiTheme="majorBidi" w:cstheme="majorBidi"/>
          <w:u w:val="single"/>
        </w:rPr>
      </w:pPr>
      <w:r>
        <w:rPr>
          <w:rFonts w:asciiTheme="majorBidi" w:hAnsiTheme="majorBidi" w:cstheme="majorBidi"/>
          <w:u w:val="single"/>
        </w:rPr>
        <w:t>Apoyo al sector</w:t>
      </w:r>
      <w:r w:rsidR="00A40AD7">
        <w:rPr>
          <w:rFonts w:asciiTheme="majorBidi" w:hAnsiTheme="majorBidi" w:cstheme="majorBidi"/>
          <w:u w:val="single"/>
        </w:rPr>
        <w:t xml:space="preserve"> de servicio y </w:t>
      </w:r>
      <w:r>
        <w:rPr>
          <w:rFonts w:asciiTheme="majorBidi" w:hAnsiTheme="majorBidi" w:cstheme="majorBidi"/>
          <w:u w:val="single"/>
        </w:rPr>
        <w:t>mantenimiento y creación de capacidad</w:t>
      </w:r>
    </w:p>
    <w:p w14:paraId="41C9734E" w14:textId="77777777" w:rsidR="00BA54CA" w:rsidRPr="00642AEE" w:rsidRDefault="000949CF" w:rsidP="004035EC">
      <w:pPr>
        <w:pStyle w:val="Heading2"/>
      </w:pPr>
      <w:r>
        <w:t xml:space="preserve">El </w:t>
      </w:r>
      <w:r w:rsidRPr="000949CF">
        <w:t>apoyo</w:t>
      </w:r>
      <w:r>
        <w:t xml:space="preserve"> </w:t>
      </w:r>
      <w:r w:rsidRPr="000949CF">
        <w:t xml:space="preserve">al sector de </w:t>
      </w:r>
      <w:r w:rsidR="00A40AD7">
        <w:t xml:space="preserve">servicio y </w:t>
      </w:r>
      <w:r w:rsidRPr="000949CF">
        <w:t xml:space="preserve">mantenimiento incluyó, entre otras cosas, la formación y certificación de técnicos de refrigeración en buenas prácticas de </w:t>
      </w:r>
      <w:r w:rsidR="00A40AD7">
        <w:t xml:space="preserve">servicio y </w:t>
      </w:r>
      <w:r w:rsidRPr="000949CF">
        <w:lastRenderedPageBreak/>
        <w:t>mantenimiento</w:t>
      </w:r>
      <w:r w:rsidR="00BA54CA" w:rsidRPr="00642AEE">
        <w:rPr>
          <w:rStyle w:val="FootnoteReference"/>
        </w:rPr>
        <w:footnoteReference w:id="10"/>
      </w:r>
      <w:r w:rsidRPr="00642AEE">
        <w:t>;</w:t>
      </w:r>
      <w:r>
        <w:t xml:space="preserve"> </w:t>
      </w:r>
      <w:r w:rsidRPr="000949CF">
        <w:t xml:space="preserve">el suministro de herramientas y equipos básicos a los técnicos y a las instituciones técnicas que imparten formación a los técnicos; la ampliación de la </w:t>
      </w:r>
      <w:r>
        <w:t xml:space="preserve">certificación a las empresas de </w:t>
      </w:r>
      <w:r w:rsidRPr="000949CF">
        <w:t xml:space="preserve">mantenimiento </w:t>
      </w:r>
      <w:r>
        <w:tab/>
        <w:t>que</w:t>
      </w:r>
      <w:r w:rsidR="00AE688D">
        <w:t xml:space="preserve"> </w:t>
      </w:r>
      <w:r>
        <w:t xml:space="preserve">participan </w:t>
      </w:r>
      <w:r w:rsidRPr="000949CF">
        <w:t xml:space="preserve">en la instalación, </w:t>
      </w:r>
      <w:r>
        <w:t>el</w:t>
      </w:r>
      <w:r w:rsidRPr="000949CF">
        <w:t xml:space="preserve"> mantenimiento </w:t>
      </w:r>
      <w:r>
        <w:t xml:space="preserve">y el desmantelamiento </w:t>
      </w:r>
      <w:r w:rsidRPr="000949CF">
        <w:t xml:space="preserve">de equipos de refrigeración; </w:t>
      </w:r>
      <w:r>
        <w:t xml:space="preserve">la prestación de </w:t>
      </w:r>
      <w:r w:rsidRPr="000949CF">
        <w:t xml:space="preserve">apoyo normativo que promueva la certificación de técnicos, apoyo en el desarrollo y adopción de normas y códigos de prácticas para el sector de </w:t>
      </w:r>
      <w:r w:rsidR="00A40AD7">
        <w:t xml:space="preserve">servicio y </w:t>
      </w:r>
      <w:r w:rsidRPr="000949CF">
        <w:t xml:space="preserve">mantenimiento, fortalecimiento </w:t>
      </w:r>
      <w:r w:rsidR="008A3FCC">
        <w:t>continuo de las asociaciones de equipos de refrigeración y aire acondicionado</w:t>
      </w:r>
      <w:r w:rsidRPr="000949CF">
        <w:t xml:space="preserve"> y su participación en la promoción o aplicación de actividades relacionadas con el Protocolo de Montreal; y establec</w:t>
      </w:r>
      <w:r w:rsidR="008A3FCC">
        <w:t xml:space="preserve">imiento de </w:t>
      </w:r>
      <w:r w:rsidRPr="000949CF">
        <w:t xml:space="preserve">planes de recuperación y reciclaje de refrigerantes, así como centros de regeneración, incluido el apoyo normativo para la recuperación y reciclaje de </w:t>
      </w:r>
      <w:r w:rsidRPr="00AE688D">
        <w:t xml:space="preserve">refrigerantes </w:t>
      </w:r>
      <w:r w:rsidR="008A3FCC" w:rsidRPr="00AE688D">
        <w:t>siempre que sea viable</w:t>
      </w:r>
      <w:r w:rsidR="00BA54CA" w:rsidRPr="00642AEE">
        <w:rPr>
          <w:rStyle w:val="FootnoteReference"/>
          <w:rFonts w:asciiTheme="majorBidi" w:hAnsiTheme="majorBidi" w:cstheme="majorBidi"/>
        </w:rPr>
        <w:footnoteReference w:id="11"/>
      </w:r>
      <w:r w:rsidR="008A3FCC" w:rsidRPr="00642AEE">
        <w:t>.</w:t>
      </w:r>
    </w:p>
    <w:p w14:paraId="68594E8D" w14:textId="5C4C8052" w:rsidR="00BA54CA" w:rsidRPr="00642AEE" w:rsidRDefault="00973439" w:rsidP="00AB5737">
      <w:pPr>
        <w:pStyle w:val="Heading2"/>
        <w:widowControl/>
      </w:pPr>
      <w:r>
        <w:t xml:space="preserve">Las </w:t>
      </w:r>
      <w:r w:rsidRPr="00973439">
        <w:t xml:space="preserve">actividades del sector de </w:t>
      </w:r>
      <w:r w:rsidR="00A40AD7">
        <w:t xml:space="preserve">servicio y </w:t>
      </w:r>
      <w:r w:rsidRPr="00973439">
        <w:t xml:space="preserve">mantenimiento facilitaron las buenas prácticas de </w:t>
      </w:r>
      <w:r w:rsidR="00A40AD7">
        <w:t xml:space="preserve">servicio y </w:t>
      </w:r>
      <w:r w:rsidRPr="00973439">
        <w:t>mantenimiento, incluida la promoción de la instalación y el mantenimiento adecuados de los diferentes equipos RACHP, la recuperación y reutilización del HCFC</w:t>
      </w:r>
      <w:r w:rsidR="00C0407D">
        <w:noBreakHyphen/>
      </w:r>
      <w:r w:rsidRPr="00973439">
        <w:t xml:space="preserve">22, las prácticas de mantenimiento seguras que utilizan alternativas, incluidos refrigerantes de bajo </w:t>
      </w:r>
      <w:r w:rsidR="00944106">
        <w:t>PCA</w:t>
      </w:r>
      <w:r w:rsidRPr="00973439">
        <w:t xml:space="preserve">, el apoyo a la infraestructura de las instituciones de formación, así como la </w:t>
      </w:r>
      <w:r w:rsidR="00944106">
        <w:t xml:space="preserve">creación de </w:t>
      </w:r>
      <w:r w:rsidRPr="00973439">
        <w:t>capaci</w:t>
      </w:r>
      <w:r w:rsidR="00944106">
        <w:t>dad</w:t>
      </w:r>
      <w:r w:rsidRPr="00973439">
        <w:t xml:space="preserve"> de las asociaciones </w:t>
      </w:r>
      <w:r w:rsidR="00944106">
        <w:t xml:space="preserve">de equipos </w:t>
      </w:r>
      <w:r w:rsidRPr="00973439">
        <w:t xml:space="preserve">RACHP para el apoyo a la formación continua, lo que indirectamente dio lugar a la adopción de tecnologías de bajo </w:t>
      </w:r>
      <w:r w:rsidR="00561B14">
        <w:t>PCA</w:t>
      </w:r>
      <w:r w:rsidRPr="00973439">
        <w:t xml:space="preserve"> en diferentes aplicaciones RACHP</w:t>
      </w:r>
      <w:r w:rsidR="00BA54CA" w:rsidRPr="00642AEE">
        <w:rPr>
          <w:rStyle w:val="FootnoteReference"/>
          <w:rFonts w:asciiTheme="majorBidi" w:hAnsiTheme="majorBidi" w:cstheme="majorBidi"/>
        </w:rPr>
        <w:footnoteReference w:id="12"/>
      </w:r>
      <w:r w:rsidR="00561B14" w:rsidRPr="00642AEE">
        <w:t>.</w:t>
      </w:r>
    </w:p>
    <w:p w14:paraId="4527618C" w14:textId="77777777" w:rsidR="00BA54CA" w:rsidRPr="00642AEE" w:rsidRDefault="00561B14" w:rsidP="004035EC">
      <w:pPr>
        <w:pStyle w:val="Heading2"/>
      </w:pPr>
      <w:r>
        <w:t xml:space="preserve">Durante </w:t>
      </w:r>
      <w:r w:rsidRPr="00561B14">
        <w:t xml:space="preserve">la ejecución de los </w:t>
      </w:r>
      <w:r>
        <w:t>PGEH</w:t>
      </w:r>
      <w:r w:rsidRPr="00561B14">
        <w:t xml:space="preserve">, se informó de que en varios países que operan al amparo del artículo 5 se estaban utilizando hidrocarburos (HC) para </w:t>
      </w:r>
      <w:r w:rsidR="00884A29">
        <w:t>modernizar</w:t>
      </w:r>
      <w:r w:rsidRPr="00561B14">
        <w:t xml:space="preserve">, hacer funcionar y rellenar equipos </w:t>
      </w:r>
      <w:r w:rsidR="00124237">
        <w:t>con</w:t>
      </w:r>
      <w:r w:rsidRPr="00561B14">
        <w:t xml:space="preserve"> HCFC</w:t>
      </w:r>
      <w:r w:rsidR="00884A29">
        <w:t>-</w:t>
      </w:r>
      <w:r w:rsidRPr="00561B14">
        <w:t xml:space="preserve">22. Se plantearon inquietudes en relación con el uso seguro de refrigerantes inflamables en estos sistemas que están diseñados para refrigerantes no inflamables y los riesgos asociados para los técnicos y los usuarios finales. En respuesta a esta práctica, el Comité Ejecutivo </w:t>
      </w:r>
      <w:r w:rsidR="00884A29">
        <w:t>observó</w:t>
      </w:r>
      <w:r w:rsidRPr="00561B14">
        <w:t xml:space="preserve"> que, si el país se dedicaba a </w:t>
      </w:r>
      <w:r w:rsidR="00884A29">
        <w:t xml:space="preserve">adaptar los </w:t>
      </w:r>
      <w:r w:rsidRPr="00561B14">
        <w:t>equipos de</w:t>
      </w:r>
      <w:r w:rsidR="00884A29">
        <w:t xml:space="preserve"> RAC con</w:t>
      </w:r>
      <w:r w:rsidRPr="00561B14">
        <w:t xml:space="preserve"> HCFC a refrigerantes inflamables o tóxicos y al servicio</w:t>
      </w:r>
      <w:r w:rsidR="00884A29">
        <w:t xml:space="preserve"> y mantenimiento</w:t>
      </w:r>
      <w:r w:rsidRPr="00561B14">
        <w:t xml:space="preserve"> asociado</w:t>
      </w:r>
      <w:r w:rsidR="00884A29">
        <w:t>s</w:t>
      </w:r>
      <w:r w:rsidRPr="00561B14">
        <w:t xml:space="preserve"> con asistencia del Fondo, lo hacía en el entendimiento de que asumía todas las responsabilidades y </w:t>
      </w:r>
      <w:r w:rsidR="00884A29">
        <w:t xml:space="preserve">los </w:t>
      </w:r>
      <w:r w:rsidRPr="00561B14">
        <w:t xml:space="preserve">riesgos asociados y que </w:t>
      </w:r>
      <w:r w:rsidR="00884A29">
        <w:t>esa adaptación</w:t>
      </w:r>
      <w:r w:rsidRPr="00561B14">
        <w:t xml:space="preserve"> debía hacerse únicamente de conformidad con las normas y </w:t>
      </w:r>
      <w:r w:rsidR="000703C8">
        <w:t xml:space="preserve">los </w:t>
      </w:r>
      <w:r w:rsidRPr="00561B14">
        <w:t>protocolos pertinentes (</w:t>
      </w:r>
      <w:r>
        <w:t xml:space="preserve">decisiones </w:t>
      </w:r>
      <w:r w:rsidR="00BA54CA" w:rsidRPr="00642AEE">
        <w:t xml:space="preserve">72/17 </w:t>
      </w:r>
      <w:r w:rsidR="000703C8">
        <w:t>y</w:t>
      </w:r>
      <w:r w:rsidR="00BA54CA" w:rsidRPr="00642AEE">
        <w:t xml:space="preserve"> 73/34)</w:t>
      </w:r>
      <w:r w:rsidR="00BA54CA" w:rsidRPr="00642AEE">
        <w:rPr>
          <w:rStyle w:val="FootnoteReference"/>
          <w:rFonts w:asciiTheme="majorBidi" w:hAnsiTheme="majorBidi" w:cstheme="majorBidi"/>
        </w:rPr>
        <w:footnoteReference w:id="13"/>
      </w:r>
      <w:r w:rsidR="000703C8" w:rsidRPr="00642AEE">
        <w:t>.</w:t>
      </w:r>
    </w:p>
    <w:p w14:paraId="12D60809" w14:textId="77777777" w:rsidR="00BA54CA" w:rsidRPr="00642AEE" w:rsidRDefault="00812360" w:rsidP="004035EC">
      <w:pPr>
        <w:pStyle w:val="Heading2"/>
      </w:pPr>
      <w:r>
        <w:t>En la</w:t>
      </w:r>
      <w:r w:rsidRPr="00812360">
        <w:t xml:space="preserve"> 92</w:t>
      </w:r>
      <w:r>
        <w:t>.</w:t>
      </w:r>
      <w:r w:rsidRPr="00812360">
        <w:t xml:space="preserve">ª reunión, el Comité Ejecutivo examinó un informe sobre los planes de incentivos para usuarios finales financiados en el marco de los </w:t>
      </w:r>
      <w:r>
        <w:t>PGEH aprobado</w:t>
      </w:r>
      <w:r w:rsidR="00BA54CA" w:rsidRPr="00642AEE">
        <w:t>s</w:t>
      </w:r>
      <w:r w:rsidR="00BA54CA" w:rsidRPr="00642AEE">
        <w:rPr>
          <w:rStyle w:val="FootnoteReference"/>
        </w:rPr>
        <w:footnoteReference w:id="14"/>
      </w:r>
      <w:r w:rsidRPr="00642AEE">
        <w:t>.</w:t>
      </w:r>
      <w:r w:rsidR="00BA54CA" w:rsidRPr="00642AEE">
        <w:t xml:space="preserve"> </w:t>
      </w:r>
      <w:r w:rsidRPr="00812360">
        <w:t xml:space="preserve">A raíz de sus deliberaciones sobre el informe, el Comité Ejecutivo, entre otras cosas, </w:t>
      </w:r>
      <w:r>
        <w:t>solicit</w:t>
      </w:r>
      <w:r w:rsidRPr="00812360">
        <w:t>ó a los países del artículo 5 y a los organismos bilaterales y de ejecución que, a</w:t>
      </w:r>
      <w:r>
        <w:t xml:space="preserve"> la hora de</w:t>
      </w:r>
      <w:r w:rsidRPr="00812360">
        <w:t xml:space="preserve"> diseñar </w:t>
      </w:r>
      <w:r>
        <w:t xml:space="preserve">programas </w:t>
      </w:r>
      <w:r w:rsidRPr="00812360">
        <w:t xml:space="preserve">de incentivos para usuarios finales, tuvieran en cuenta </w:t>
      </w:r>
      <w:r>
        <w:t xml:space="preserve">los </w:t>
      </w:r>
      <w:r w:rsidRPr="00812360">
        <w:t>factores que contribu</w:t>
      </w:r>
      <w:r>
        <w:t>irían</w:t>
      </w:r>
      <w:r w:rsidRPr="00812360">
        <w:t xml:space="preserve"> a la sostenibilidad y escalabilidad de la adopción de alternativas de bajo </w:t>
      </w:r>
      <w:r>
        <w:lastRenderedPageBreak/>
        <w:t>PCA</w:t>
      </w:r>
      <w:r w:rsidRPr="00812360">
        <w:t xml:space="preserve"> por parte de los usuarios finales, </w:t>
      </w:r>
      <w:r>
        <w:t xml:space="preserve">tales </w:t>
      </w:r>
      <w:r w:rsidR="003E54D8">
        <w:t>como la potencial optimización de la eficiencia energética y las oportunidades para otras modalidades y fuentes de financiación, siempre que sea posible y voluntario</w:t>
      </w:r>
      <w:r w:rsidR="003E54D8" w:rsidRPr="00812360">
        <w:t xml:space="preserve"> </w:t>
      </w:r>
      <w:r w:rsidRPr="00812360">
        <w:t>(decisión 92/36 e</w:t>
      </w:r>
      <w:r w:rsidR="00BA54CA" w:rsidRPr="00642AEE">
        <w:t>)).</w:t>
      </w:r>
    </w:p>
    <w:p w14:paraId="37FF0262" w14:textId="77777777" w:rsidR="00BA54CA" w:rsidRPr="00642AEE" w:rsidRDefault="003E54D8" w:rsidP="004035EC">
      <w:pPr>
        <w:pStyle w:val="Heading2"/>
      </w:pPr>
      <w:r>
        <w:t xml:space="preserve">Las empresas </w:t>
      </w:r>
      <w:r w:rsidRPr="003E54D8">
        <w:t xml:space="preserve">dedicadas a la instalación y el montaje locales recibieron apoyo en el marco de los </w:t>
      </w:r>
      <w:r>
        <w:t>PGEH</w:t>
      </w:r>
      <w:r w:rsidRPr="003E54D8">
        <w:t xml:space="preserve"> de conformidad con las directrices de política para el sector de </w:t>
      </w:r>
      <w:r>
        <w:t>servicio y mantenimiento</w:t>
      </w:r>
      <w:r w:rsidRPr="003E54D8">
        <w:t xml:space="preserve">. Dado que la cantidad de HCFC utilizada en estas aplicaciones no era elevada, se solicitó y, por consiguiente, se proporcionó un apoyo adicional limitado a estas empresas en el marco de los </w:t>
      </w:r>
      <w:r>
        <w:t>PGEH</w:t>
      </w:r>
      <w:r w:rsidR="00BA54CA" w:rsidRPr="00642AEE">
        <w:rPr>
          <w:rStyle w:val="FootnoteReference"/>
          <w:rFonts w:asciiTheme="majorBidi" w:hAnsiTheme="majorBidi" w:cstheme="majorBidi"/>
        </w:rPr>
        <w:footnoteReference w:id="15"/>
      </w:r>
      <w:r w:rsidRPr="00642AEE">
        <w:t>.</w:t>
      </w:r>
    </w:p>
    <w:p w14:paraId="4D0B3D85" w14:textId="77777777" w:rsidR="00BA54CA" w:rsidRPr="00642AEE" w:rsidRDefault="003E54D8" w:rsidP="004035EC">
      <w:pPr>
        <w:pStyle w:val="Heading2"/>
      </w:pPr>
      <w:r>
        <w:t xml:space="preserve">La </w:t>
      </w:r>
      <w:r w:rsidRPr="003E54D8">
        <w:t xml:space="preserve">ejecución de los proyectos </w:t>
      </w:r>
      <w:r w:rsidRPr="00AE688D">
        <w:t>y la supervisión de las actividades</w:t>
      </w:r>
      <w:r w:rsidRPr="003E54D8">
        <w:t xml:space="preserve"> se llevaron a cabo no solo para lograr la finalización rentable y oportuna de los proyectos, sino también para reducir el consumo de </w:t>
      </w:r>
      <w:r>
        <w:t xml:space="preserve">conformidad </w:t>
      </w:r>
      <w:r w:rsidRPr="003E54D8">
        <w:t xml:space="preserve">con los objetivos de cumplimiento. El </w:t>
      </w:r>
      <w:r w:rsidR="00CD21F1">
        <w:t>efecto</w:t>
      </w:r>
      <w:r w:rsidRPr="003E54D8">
        <w:t xml:space="preserve"> de las actividades de conversión en el crecimiento del consumo de HFC no se supervisó ni notificó</w:t>
      </w:r>
      <w:r w:rsidR="00CD21F1">
        <w:t xml:space="preserve"> en general</w:t>
      </w:r>
      <w:r w:rsidRPr="003E54D8">
        <w:t xml:space="preserve">, ya que, durante el período anterior a octubre de 2016, esas sustancias no estaban controladas en virtud del Protocolo de Montreal ni </w:t>
      </w:r>
      <w:r w:rsidRPr="00AE688D">
        <w:t>de la normativa nacional</w:t>
      </w:r>
      <w:r w:rsidR="00BA54CA" w:rsidRPr="00AE688D">
        <w:t>.</w:t>
      </w:r>
    </w:p>
    <w:p w14:paraId="434401F1" w14:textId="77777777" w:rsidR="00BA54CA" w:rsidRPr="00642AEE" w:rsidRDefault="00CD21F1" w:rsidP="004035EC">
      <w:pPr>
        <w:pStyle w:val="Heading1"/>
      </w:pPr>
      <w:r>
        <w:t xml:space="preserve">A </w:t>
      </w:r>
      <w:r w:rsidRPr="00CD21F1">
        <w:t xml:space="preserve">pesar del apoyo prestado a los países del artículo 5 para la adopción de alternativas de bajo PCA a los HCFC en diferentes aplicaciones de RACHP y espumas, se produjo una considerable adopción de equipos y tecnologías </w:t>
      </w:r>
      <w:r>
        <w:t>con</w:t>
      </w:r>
      <w:r w:rsidRPr="00CD21F1">
        <w:t xml:space="preserve"> HFC en los países del artículo 5 debido, entre otras cosas, a los niveles de evolución tecnológica que afectaron a la disponibilidad en el mercado de tecnologías maduras a precios competitivos; a la cautela ejercida por la industria a la hora de adoptar tecnologías de bajo PCA; y a factores de mercado y normativos. Esto fue especialmente pronunciado en el sector del aire acondicionado residencial, en el que se adoptaron con frecuencia tecnologías energéticamente eficientes </w:t>
      </w:r>
      <w:r w:rsidR="00A2739A">
        <w:t>con</w:t>
      </w:r>
      <w:r w:rsidRPr="00CD21F1">
        <w:t xml:space="preserve"> HFC de alto PCA (p</w:t>
      </w:r>
      <w:r w:rsidR="00A2739A">
        <w:t>.</w:t>
      </w:r>
      <w:r w:rsidRPr="00CD21F1">
        <w:t xml:space="preserve"> ej</w:t>
      </w:r>
      <w:r w:rsidR="00A2739A">
        <w:t>.</w:t>
      </w:r>
      <w:r w:rsidRPr="00CD21F1">
        <w:t xml:space="preserve">, los AC </w:t>
      </w:r>
      <w:r w:rsidR="00A2739A">
        <w:t>con</w:t>
      </w:r>
      <w:r w:rsidRPr="00CD21F1">
        <w:t xml:space="preserve"> R</w:t>
      </w:r>
      <w:r w:rsidR="00A2739A">
        <w:t>-</w:t>
      </w:r>
      <w:r w:rsidRPr="00CD21F1">
        <w:t xml:space="preserve">410A energéticamente eficientes), sobre todo al principio de la eliminación de los HCFC. Esa transición ayudó a los países a lograr la eliminación de los HCFC con mayor rapidez. Sin embargo, esto también aumentó las existencias de tecnologías </w:t>
      </w:r>
      <w:r w:rsidR="00A63EDD">
        <w:t>con</w:t>
      </w:r>
      <w:r w:rsidRPr="00CD21F1">
        <w:t xml:space="preserve"> HFC en aplicaciones que antes utilizaban HCFC</w:t>
      </w:r>
      <w:r w:rsidR="00BA54CA" w:rsidRPr="00642AEE">
        <w:t>.</w:t>
      </w:r>
      <w:r w:rsidR="00A2739A">
        <w:t xml:space="preserve"> </w:t>
      </w:r>
    </w:p>
    <w:p w14:paraId="230B403C" w14:textId="77777777" w:rsidR="00BA54CA" w:rsidRPr="00642AEE" w:rsidRDefault="00A63EDD" w:rsidP="004035EC">
      <w:pPr>
        <w:pStyle w:val="Heading1"/>
      </w:pPr>
      <w:r>
        <w:t xml:space="preserve">La </w:t>
      </w:r>
      <w:r w:rsidRPr="00A63EDD">
        <w:t xml:space="preserve">adopción de la Enmienda de Kigali en 2016 ha dado lugar a un amplio aumento de los niveles de concienciación sobre el impacto climático del uso de tecnologías </w:t>
      </w:r>
      <w:r>
        <w:t>con</w:t>
      </w:r>
      <w:r w:rsidRPr="00A63EDD">
        <w:t xml:space="preserve"> HFC en aplicaciones </w:t>
      </w:r>
      <w:r>
        <w:t xml:space="preserve">de </w:t>
      </w:r>
      <w:r w:rsidRPr="00A63EDD">
        <w:t xml:space="preserve">RACHP, y sobre la necesidad de </w:t>
      </w:r>
      <w:r>
        <w:t>reducir</w:t>
      </w:r>
      <w:r w:rsidRPr="00A63EDD">
        <w:t xml:space="preserve"> las tecnologías </w:t>
      </w:r>
      <w:r>
        <w:t>con</w:t>
      </w:r>
      <w:r w:rsidRPr="00A63EDD">
        <w:t xml:space="preserve"> HFC. </w:t>
      </w:r>
      <w:r>
        <w:t>Desde</w:t>
      </w:r>
      <w:r w:rsidRPr="00A63EDD">
        <w:t xml:space="preserve"> la 93</w:t>
      </w:r>
      <w:r>
        <w:t>.</w:t>
      </w:r>
      <w:r w:rsidRPr="00A63EDD">
        <w:t>ª reunión, 106 países han recibido financiación para la preparación de</w:t>
      </w:r>
      <w:r w:rsidR="00B6795E">
        <w:t xml:space="preserve"> los planes de aplicación de la Enmienda de Kigali</w:t>
      </w:r>
      <w:r w:rsidRPr="00A63EDD">
        <w:t xml:space="preserve">, 24 países han recibido financiación para </w:t>
      </w:r>
      <w:r w:rsidR="00B6795E">
        <w:t>los planes de aplicación de la Enmienda de Kigali</w:t>
      </w:r>
      <w:r w:rsidRPr="00A63EDD">
        <w:t xml:space="preserve"> y 14 países han aprobado proyectos de inversión independientes para la </w:t>
      </w:r>
      <w:r w:rsidR="00B6795E">
        <w:t>reducción de los</w:t>
      </w:r>
      <w:r w:rsidRPr="00A63EDD">
        <w:t xml:space="preserve"> HFC. Además, se </w:t>
      </w:r>
      <w:r w:rsidR="00B6795E">
        <w:t>prevé</w:t>
      </w:r>
      <w:r w:rsidRPr="00A63EDD">
        <w:t xml:space="preserve"> que en los próximos 24 meses se presenten los </w:t>
      </w:r>
      <w:r w:rsidR="00B6795E">
        <w:t>planes de aplicación de la Enmienda de Kigali</w:t>
      </w:r>
      <w:r w:rsidRPr="00A63EDD">
        <w:t xml:space="preserve"> de otros países, incluidos los países del artículo 5 que se espera que ratifiquen la Enmienda de Kigali en un futuro próximo. Dado que los </w:t>
      </w:r>
      <w:r w:rsidR="00B6795E">
        <w:t>planes de aplicación de la Enmienda de Kigali</w:t>
      </w:r>
      <w:r w:rsidRPr="00A63EDD">
        <w:t xml:space="preserve"> aprobados se encuentran en fases muy tempranas de aplicación, es difícil evaluar su impacto </w:t>
      </w:r>
      <w:r w:rsidRPr="00AE688D">
        <w:t xml:space="preserve">en </w:t>
      </w:r>
      <w:r w:rsidR="00B6795E" w:rsidRPr="00AE688D">
        <w:t>la tasa</w:t>
      </w:r>
      <w:r w:rsidRPr="00AE688D">
        <w:t xml:space="preserve"> de adopción de tecnologías de bajo PCA y en las tendencias de consumo de dichas tecnologías. Cabe señalar que varios de los fabricantes de equipos de refrigeración domésticos y comerciales autónomos que recibieron ayuda </w:t>
      </w:r>
      <w:r w:rsidR="00B6795E" w:rsidRPr="00AE688D">
        <w:t>mediante</w:t>
      </w:r>
      <w:r w:rsidRPr="00AE688D">
        <w:t xml:space="preserve"> proyectos</w:t>
      </w:r>
      <w:r w:rsidRPr="00A63EDD">
        <w:t xml:space="preserve"> de inversión en HFC han completado sus conversiones a alternativas de bajo PC</w:t>
      </w:r>
      <w:r w:rsidR="00B6795E">
        <w:t>A</w:t>
      </w:r>
      <w:r w:rsidR="00BA54CA" w:rsidRPr="00642AEE">
        <w:t>.</w:t>
      </w:r>
    </w:p>
    <w:p w14:paraId="01AC14CB" w14:textId="5E0020A4" w:rsidR="00BA54CA" w:rsidRPr="00642AEE" w:rsidRDefault="00C20B5D" w:rsidP="004035EC">
      <w:pPr>
        <w:pStyle w:val="Heading1"/>
      </w:pPr>
      <w:r>
        <w:t xml:space="preserve">Tras la adopción de la Enmienda </w:t>
      </w:r>
      <w:r w:rsidR="00C0407D">
        <w:t xml:space="preserve">de </w:t>
      </w:r>
      <w:r w:rsidR="00C0407D" w:rsidRPr="00642AEE">
        <w:t>Kigali</w:t>
      </w:r>
      <w:r w:rsidR="00BA54CA" w:rsidRPr="00642AEE">
        <w:t xml:space="preserve">, </w:t>
      </w:r>
      <w:r w:rsidRPr="00C20B5D">
        <w:t xml:space="preserve">el Comité Ejecutivo sigue </w:t>
      </w:r>
      <w:r>
        <w:t>examinando</w:t>
      </w:r>
      <w:r w:rsidRPr="00C20B5D">
        <w:t xml:space="preserve"> diferentes aspectos políticos destinados a pr</w:t>
      </w:r>
      <w:r>
        <w:t>oporcionar apoyo para mantener o</w:t>
      </w:r>
      <w:r w:rsidRPr="00C20B5D">
        <w:t xml:space="preserve"> mejorar la eficiencia energética al tiempo que se adoptan tecnologías alternativas en el contexto de la eliminación</w:t>
      </w:r>
      <w:r>
        <w:t xml:space="preserve"> de los HCFC y la </w:t>
      </w:r>
      <w:r w:rsidRPr="00C20B5D">
        <w:t>re</w:t>
      </w:r>
      <w:r>
        <w:t xml:space="preserve">ducción </w:t>
      </w:r>
      <w:r w:rsidRPr="00C20B5D">
        <w:t xml:space="preserve">de los </w:t>
      </w:r>
      <w:r w:rsidR="00BA54CA" w:rsidRPr="00642AEE">
        <w:t>HFC.</w:t>
      </w:r>
    </w:p>
    <w:p w14:paraId="41A65ECD" w14:textId="77777777" w:rsidR="00BA54CA" w:rsidRPr="00642AEE" w:rsidRDefault="00C20B5D" w:rsidP="004035EC">
      <w:pPr>
        <w:pStyle w:val="Heading1"/>
        <w:rPr>
          <w:sz w:val="24"/>
          <w:szCs w:val="24"/>
        </w:rPr>
      </w:pPr>
      <w:r w:rsidRPr="00AE688D">
        <w:t xml:space="preserve">En la actualidad, se </w:t>
      </w:r>
      <w:r w:rsidR="00381D0F" w:rsidRPr="00AE688D">
        <w:t xml:space="preserve">dispone </w:t>
      </w:r>
      <w:r w:rsidR="00381D0F">
        <w:t xml:space="preserve">de </w:t>
      </w:r>
      <w:r w:rsidRPr="00C20B5D">
        <w:t xml:space="preserve">apoyo </w:t>
      </w:r>
      <w:r w:rsidR="00381D0F">
        <w:t>par</w:t>
      </w:r>
      <w:r w:rsidRPr="00C20B5D">
        <w:t xml:space="preserve">a proyectos piloto relacionados con la eficiencia energética en el contexto de la </w:t>
      </w:r>
      <w:r w:rsidR="00381D0F">
        <w:t>reducción</w:t>
      </w:r>
      <w:r w:rsidRPr="00C20B5D">
        <w:t xml:space="preserve"> de los HFC (decisión 91/65) y </w:t>
      </w:r>
      <w:r w:rsidR="00381D0F">
        <w:t>par</w:t>
      </w:r>
      <w:r w:rsidRPr="00C20B5D">
        <w:t xml:space="preserve">a actividades relacionadas con </w:t>
      </w:r>
      <w:r w:rsidRPr="00C20B5D">
        <w:lastRenderedPageBreak/>
        <w:t>la eficiencia energética en el sector de</w:t>
      </w:r>
      <w:r w:rsidR="00381D0F">
        <w:t xml:space="preserve"> servicio y mantenimiento</w:t>
      </w:r>
      <w:r w:rsidRPr="00C20B5D">
        <w:t xml:space="preserve"> para los países de bajo consumo cuando adoptan tecnologías de bajo PCA al tiempo que eliminan los HCFC (decisión 89/6). El Comité Ejecutivo prosigue sus consultas relativas a las actividades para mantener o mejorar la eficiencia energética durante la </w:t>
      </w:r>
      <w:r w:rsidR="0050533D">
        <w:t xml:space="preserve">reducción </w:t>
      </w:r>
      <w:r w:rsidRPr="00C20B5D">
        <w:t>de los HFC en el documento</w:t>
      </w:r>
      <w:r w:rsidR="00BA54CA" w:rsidRPr="00642AEE">
        <w:t xml:space="preserve"> UNEP/</w:t>
      </w:r>
      <w:proofErr w:type="spellStart"/>
      <w:r w:rsidR="00BA54CA" w:rsidRPr="00642AEE">
        <w:t>OzL.Pro</w:t>
      </w:r>
      <w:proofErr w:type="spellEnd"/>
      <w:r w:rsidR="00BA54CA" w:rsidRPr="00642AEE">
        <w:t>/</w:t>
      </w:r>
      <w:proofErr w:type="spellStart"/>
      <w:r w:rsidR="00BA54CA" w:rsidRPr="00642AEE">
        <w:t>ExCom</w:t>
      </w:r>
      <w:proofErr w:type="spellEnd"/>
      <w:r w:rsidR="00BA54CA" w:rsidRPr="00642AEE">
        <w:t>/94/61.</w:t>
      </w:r>
    </w:p>
    <w:p w14:paraId="268FBB03" w14:textId="77777777" w:rsidR="00BA54CA" w:rsidRPr="00642AEE" w:rsidRDefault="0050533D" w:rsidP="004035EC">
      <w:pPr>
        <w:pStyle w:val="Heading1"/>
        <w:numPr>
          <w:ilvl w:val="0"/>
          <w:numId w:val="0"/>
        </w:numPr>
        <w:rPr>
          <w:b/>
          <w:bCs/>
          <w:sz w:val="24"/>
          <w:szCs w:val="24"/>
        </w:rPr>
      </w:pPr>
      <w:r>
        <w:rPr>
          <w:b/>
          <w:bCs/>
          <w:sz w:val="24"/>
          <w:szCs w:val="24"/>
        </w:rPr>
        <w:t xml:space="preserve">Análisis </w:t>
      </w:r>
      <w:r w:rsidRPr="0050533D">
        <w:rPr>
          <w:b/>
          <w:bCs/>
          <w:sz w:val="24"/>
          <w:szCs w:val="24"/>
        </w:rPr>
        <w:t>de las emisiones directas e indirectas y tendencias futuras derivadas de las necesidades de refrigeración</w:t>
      </w:r>
    </w:p>
    <w:p w14:paraId="73063914" w14:textId="4ECA0EF1" w:rsidR="00BA54CA" w:rsidRPr="00642AEE" w:rsidRDefault="0050533D" w:rsidP="004035EC">
      <w:pPr>
        <w:pStyle w:val="Heading1"/>
      </w:pPr>
      <w:r>
        <w:t>El informe Vigilancia Mundial de la Refrigeración</w:t>
      </w:r>
      <w:r w:rsidRPr="00C73352">
        <w:t xml:space="preserve"> 2023</w:t>
      </w:r>
      <w:r>
        <w:t xml:space="preserve"> </w:t>
      </w:r>
      <w:r w:rsidRPr="0050533D">
        <w:t xml:space="preserve">presenta información sobre las </w:t>
      </w:r>
      <w:r w:rsidRPr="00AE688D">
        <w:t>tendencias de las emisiones directas e indirectas hasta 2050, incluyendo diferentes escenarios en función de la tasa de</w:t>
      </w:r>
      <w:r w:rsidRPr="0050533D">
        <w:t xml:space="preserve"> adopción de tecnologías que podrían reducir las emisiones directas (p</w:t>
      </w:r>
      <w:r>
        <w:t>.</w:t>
      </w:r>
      <w:r w:rsidRPr="0050533D">
        <w:t xml:space="preserve"> ej</w:t>
      </w:r>
      <w:r>
        <w:t>.</w:t>
      </w:r>
      <w:r w:rsidRPr="0050533D">
        <w:t xml:space="preserve">, una </w:t>
      </w:r>
      <w:r>
        <w:t>reducción</w:t>
      </w:r>
      <w:r w:rsidRPr="0050533D">
        <w:t xml:space="preserve"> más rápida de los HFC en comparación con l</w:t>
      </w:r>
      <w:r>
        <w:t>as metas</w:t>
      </w:r>
      <w:r w:rsidRPr="0050533D">
        <w:t xml:space="preserve"> de la Enmienda de Kigali) y las emisiones indirectas (p</w:t>
      </w:r>
      <w:r>
        <w:t>.</w:t>
      </w:r>
      <w:r w:rsidR="00C0407D">
        <w:t> </w:t>
      </w:r>
      <w:r w:rsidRPr="0050533D">
        <w:t>ej</w:t>
      </w:r>
      <w:r>
        <w:t>.</w:t>
      </w:r>
      <w:r w:rsidRPr="0050533D">
        <w:t>, el impacto de un aumento de la eficiencia energética o la adopción de la refrigeración pasiva). Hay que señalar que el análisis de l</w:t>
      </w:r>
      <w:r>
        <w:t>as conclusiones</w:t>
      </w:r>
      <w:r w:rsidRPr="0050533D">
        <w:t xml:space="preserve"> que se presenta a continuación no prejuzga ninguna decisión política relacionada con la refrigeración sostenible, sino que presenta un resumen de </w:t>
      </w:r>
      <w:r w:rsidR="00C87FF5">
        <w:t>las diversas</w:t>
      </w:r>
      <w:r w:rsidRPr="0050533D">
        <w:t xml:space="preserve"> intervenciones posibles y </w:t>
      </w:r>
      <w:r w:rsidR="00C87FF5">
        <w:t>los efectos</w:t>
      </w:r>
      <w:r w:rsidRPr="0050533D">
        <w:t xml:space="preserve"> de </w:t>
      </w:r>
      <w:proofErr w:type="gramStart"/>
      <w:r w:rsidRPr="0050533D">
        <w:t>las mismas</w:t>
      </w:r>
      <w:proofErr w:type="gramEnd"/>
      <w:r w:rsidRPr="0050533D">
        <w:t>. Además, las estimaciones de las emisiones se basan en</w:t>
      </w:r>
      <w:r w:rsidR="00C87FF5">
        <w:t xml:space="preserve"> modelos </w:t>
      </w:r>
      <w:r w:rsidRPr="0050533D">
        <w:t>de las emisiones directas e indirectas realizad</w:t>
      </w:r>
      <w:r w:rsidR="00C87FF5">
        <w:t>os</w:t>
      </w:r>
      <w:r w:rsidRPr="0050533D">
        <w:t xml:space="preserve"> con aportaciones de expertos sobre las tendencias tecnológicas en </w:t>
      </w:r>
      <w:r w:rsidRPr="00AE688D">
        <w:t>las distintas aplicaciones</w:t>
      </w:r>
      <w:r w:rsidRPr="0050533D">
        <w:t xml:space="preserve"> de refrigeración y en la generación de electricida</w:t>
      </w:r>
      <w:r>
        <w:t>d</w:t>
      </w:r>
      <w:r w:rsidR="00BA54CA" w:rsidRPr="00642AEE">
        <w:t xml:space="preserve">. </w:t>
      </w:r>
    </w:p>
    <w:p w14:paraId="50C8B00C" w14:textId="77777777" w:rsidR="00BA54CA" w:rsidRPr="00642AEE" w:rsidRDefault="008D3E3D" w:rsidP="004035EC">
      <w:pPr>
        <w:rPr>
          <w:u w:val="single"/>
        </w:rPr>
      </w:pPr>
      <w:r>
        <w:rPr>
          <w:u w:val="single"/>
        </w:rPr>
        <w:t>Demanda de refrigeración y emisiones de gases de efecto invernadero</w:t>
      </w:r>
    </w:p>
    <w:p w14:paraId="3E1698E5" w14:textId="77777777" w:rsidR="00BA54CA" w:rsidRPr="00642AEE" w:rsidRDefault="00BA54CA" w:rsidP="004035EC"/>
    <w:p w14:paraId="03F46F8C" w14:textId="0CAFF3DC" w:rsidR="00BA54CA" w:rsidRPr="00642AEE" w:rsidRDefault="00747534" w:rsidP="004035EC">
      <w:pPr>
        <w:pStyle w:val="Heading1"/>
      </w:pPr>
      <w:r>
        <w:t xml:space="preserve">Se </w:t>
      </w:r>
      <w:r w:rsidRPr="00747534">
        <w:t xml:space="preserve">espera que la demanda de refrigeración en términos de </w:t>
      </w:r>
      <w:proofErr w:type="spellStart"/>
      <w:r w:rsidRPr="00747534">
        <w:t>teravatios</w:t>
      </w:r>
      <w:proofErr w:type="spellEnd"/>
      <w:r w:rsidRPr="00747534">
        <w:t xml:space="preserve"> (TW) de capacidad de refrigeración instalada en los países del artículo 5 aumente de 10,1 TW en 2022 a 39,4 TW en 2050 </w:t>
      </w:r>
      <w:r>
        <w:t>basándose en un</w:t>
      </w:r>
      <w:r w:rsidR="008B3ECA">
        <w:t xml:space="preserve"> escenario tendencial </w:t>
      </w:r>
      <w:r w:rsidR="00773D53" w:rsidRPr="00773D53">
        <w:t>(</w:t>
      </w:r>
      <w:proofErr w:type="spellStart"/>
      <w:r w:rsidR="00773D53" w:rsidRPr="00773D53">
        <w:t>B</w:t>
      </w:r>
      <w:r w:rsidR="008B3ECA">
        <w:t>a</w:t>
      </w:r>
      <w:r w:rsidR="00773D53" w:rsidRPr="00773D53">
        <w:t>U</w:t>
      </w:r>
      <w:proofErr w:type="spellEnd"/>
      <w:r w:rsidR="00773D53" w:rsidRPr="00773D53">
        <w:t>)</w:t>
      </w:r>
      <w:r w:rsidRPr="00747534">
        <w:t xml:space="preserve">. </w:t>
      </w:r>
      <w:r w:rsidR="008B3ECA">
        <w:t xml:space="preserve">El escenario tendencial o </w:t>
      </w:r>
      <w:proofErr w:type="spellStart"/>
      <w:r w:rsidR="008B3ECA">
        <w:t>BaU</w:t>
      </w:r>
      <w:proofErr w:type="spellEnd"/>
      <w:r>
        <w:rPr>
          <w:i/>
        </w:rPr>
        <w:t xml:space="preserve"> </w:t>
      </w:r>
      <w:r w:rsidRPr="00747534">
        <w:t xml:space="preserve">tiene en cuenta, entre otras cosas, las previsiones de población basadas en las estimaciones de crecimiento medio de la ONU; las previsiones de producto interior bruto basadas en la Convención Marco de las Naciones Unidas sobre el Cambio Climático </w:t>
      </w:r>
      <w:r w:rsidR="00EF6494">
        <w:t>–</w:t>
      </w:r>
      <w:r w:rsidRPr="00747534">
        <w:t xml:space="preserve"> </w:t>
      </w:r>
      <w:r w:rsidR="00EF6494">
        <w:t xml:space="preserve">Trayectoria </w:t>
      </w:r>
      <w:r w:rsidRPr="00747534">
        <w:t>Socioeconómica Compartida 2 (</w:t>
      </w:r>
      <w:r w:rsidR="00EF6494">
        <w:t>SSP 2 de la CMNUCC</w:t>
      </w:r>
      <w:r w:rsidRPr="00747534">
        <w:t>) («M</w:t>
      </w:r>
      <w:r w:rsidR="00EF6494">
        <w:t>itad de camino</w:t>
      </w:r>
      <w:r w:rsidRPr="00747534">
        <w:t>»);</w:t>
      </w:r>
      <w:r w:rsidR="00DC6BCB">
        <w:rPr>
          <w:rStyle w:val="FootnoteReference"/>
        </w:rPr>
        <w:footnoteReference w:id="16"/>
      </w:r>
      <w:r w:rsidRPr="00747534">
        <w:t xml:space="preserve"> y otros parámetros macroeconómicos como el acceso a la electricidad, el número de hogares y el número de vehículo</w:t>
      </w:r>
      <w:r>
        <w:t>s</w:t>
      </w:r>
      <w:r w:rsidR="00BA54CA" w:rsidRPr="00642AEE">
        <w:t xml:space="preserve">. </w:t>
      </w:r>
    </w:p>
    <w:p w14:paraId="536805FB" w14:textId="7534657A" w:rsidR="00BA54CA" w:rsidRPr="00642AEE" w:rsidRDefault="00C0407D" w:rsidP="004035EC">
      <w:pPr>
        <w:pStyle w:val="Heading1"/>
      </w:pPr>
      <w:r>
        <w:t xml:space="preserve">En </w:t>
      </w:r>
      <w:r w:rsidRPr="005E57F9">
        <w:t>un</w:t>
      </w:r>
      <w:r w:rsidR="005E57F9" w:rsidRPr="005E57F9">
        <w:t xml:space="preserve"> escenario de acceso mejorado (A</w:t>
      </w:r>
      <w:r w:rsidR="005E57F9">
        <w:t>M</w:t>
      </w:r>
      <w:r w:rsidR="005E57F9" w:rsidRPr="005E57F9">
        <w:t>) que considera equipamiento adicional (es decir, acceso a un</w:t>
      </w:r>
      <w:r w:rsidR="005E57F9">
        <w:t xml:space="preserve"> refrigerador</w:t>
      </w:r>
      <w:r w:rsidR="005E57F9" w:rsidRPr="005E57F9">
        <w:t xml:space="preserve"> doméstico y a un pequeño aire acondicionado para los 1000 m</w:t>
      </w:r>
      <w:r w:rsidR="005E57F9">
        <w:t>illones de hogares más pobres</w:t>
      </w:r>
      <w:r w:rsidR="00BA54CA" w:rsidRPr="00642AEE">
        <w:t>)</w:t>
      </w:r>
      <w:r w:rsidR="00BA54CA" w:rsidRPr="00642AEE">
        <w:rPr>
          <w:rStyle w:val="FootnoteReference"/>
          <w:rFonts w:asciiTheme="majorBidi" w:hAnsiTheme="majorBidi" w:cstheme="majorBidi"/>
        </w:rPr>
        <w:footnoteReference w:id="17"/>
      </w:r>
      <w:r w:rsidR="005E57F9" w:rsidRPr="00642AEE">
        <w:t>,</w:t>
      </w:r>
      <w:r w:rsidR="00BA54CA" w:rsidRPr="00642AEE">
        <w:t xml:space="preserve"> </w:t>
      </w:r>
      <w:r w:rsidR="005E57F9" w:rsidRPr="005E57F9">
        <w:t xml:space="preserve">la demanda de refrigeración en los países del </w:t>
      </w:r>
      <w:r w:rsidR="005E57F9">
        <w:t>a</w:t>
      </w:r>
      <w:r w:rsidR="005E57F9" w:rsidRPr="005E57F9">
        <w:t>rtículo 5 en 2050 se estima en 43,2 TW. Esto se traduce en un crecimiento de la demanda de refrigeración per cápita de 1,5 kW en 2022 a 4,8 kW en 2050. Se espera que el multiplicador de crecimiento (es decir, la relación entre la demanda de refrigeración en 2050 (</w:t>
      </w:r>
      <w:r w:rsidR="008B3ECA">
        <w:t xml:space="preserve">escenario </w:t>
      </w:r>
      <w:proofErr w:type="spellStart"/>
      <w:r w:rsidR="008B3ECA">
        <w:t>BaU</w:t>
      </w:r>
      <w:proofErr w:type="spellEnd"/>
      <w:r w:rsidR="005E57F9" w:rsidRPr="005E57F9">
        <w:t xml:space="preserve">) y en 2022) sea </w:t>
      </w:r>
      <w:r w:rsidR="001535B4">
        <w:t>el más alto de</w:t>
      </w:r>
      <w:r w:rsidR="005E57F9" w:rsidRPr="005E57F9">
        <w:t xml:space="preserve"> los países de África y de la región Asia-Pacífico, seguidos de las regiones de América Latina y el Caribe y de Europa oriental</w:t>
      </w:r>
      <w:r w:rsidR="00BA54CA" w:rsidRPr="00642AEE">
        <w:t>.</w:t>
      </w:r>
    </w:p>
    <w:p w14:paraId="58BA49E5" w14:textId="77777777" w:rsidR="00BA54CA" w:rsidRPr="00642AEE" w:rsidRDefault="001535B4" w:rsidP="004035EC">
      <w:pPr>
        <w:pStyle w:val="Heading1"/>
      </w:pPr>
      <w:r>
        <w:t xml:space="preserve">Se prevé </w:t>
      </w:r>
      <w:r w:rsidRPr="001535B4">
        <w:t xml:space="preserve">que las emisiones anuales de </w:t>
      </w:r>
      <w:r>
        <w:t>GEI</w:t>
      </w:r>
      <w:r w:rsidRPr="001535B4">
        <w:t xml:space="preserve"> procedentes de los equipos de refrigeración utilizados en los países del artículo 5 aumenten de 2700 millones de toneladas equivalentes de </w:t>
      </w:r>
      <w:r w:rsidRPr="00642AEE">
        <w:t>CO</w:t>
      </w:r>
      <w:r w:rsidRPr="00642AEE">
        <w:rPr>
          <w:vertAlign w:val="subscript"/>
        </w:rPr>
        <w:t>2</w:t>
      </w:r>
      <w:r w:rsidRPr="001535B4">
        <w:t xml:space="preserve"> (</w:t>
      </w:r>
      <w:r w:rsidRPr="00642AEE">
        <w:t>CO</w:t>
      </w:r>
      <w:r w:rsidRPr="00642AEE">
        <w:rPr>
          <w:vertAlign w:val="subscript"/>
        </w:rPr>
        <w:t>2</w:t>
      </w:r>
      <w:r w:rsidRPr="00642AEE">
        <w:noBreakHyphen/>
        <w:t>eq</w:t>
      </w:r>
      <w:r w:rsidRPr="001535B4">
        <w:t xml:space="preserve">) en 2022 a 7470 millones de toneladas </w:t>
      </w:r>
      <w:r w:rsidRPr="00642AEE">
        <w:t>CO</w:t>
      </w:r>
      <w:r w:rsidRPr="00642AEE">
        <w:rPr>
          <w:vertAlign w:val="subscript"/>
        </w:rPr>
        <w:t>2</w:t>
      </w:r>
      <w:r w:rsidRPr="00642AEE">
        <w:noBreakHyphen/>
        <w:t>eq</w:t>
      </w:r>
      <w:r w:rsidRPr="001535B4">
        <w:t xml:space="preserve"> y 8150 millones de toneladas </w:t>
      </w:r>
      <w:r w:rsidRPr="00642AEE">
        <w:t>CO</w:t>
      </w:r>
      <w:r w:rsidRPr="00642AEE">
        <w:rPr>
          <w:vertAlign w:val="subscript"/>
        </w:rPr>
        <w:t>2</w:t>
      </w:r>
      <w:r w:rsidRPr="00642AEE">
        <w:noBreakHyphen/>
        <w:t>eq</w:t>
      </w:r>
      <w:r>
        <w:t xml:space="preserve"> en 2050 en </w:t>
      </w:r>
      <w:r w:rsidR="008B3ECA">
        <w:t>los e</w:t>
      </w:r>
      <w:r>
        <w:t>s</w:t>
      </w:r>
      <w:r w:rsidR="008B3ECA">
        <w:t>cenarios</w:t>
      </w:r>
      <w:r>
        <w:t xml:space="preserve"> de </w:t>
      </w:r>
      <w:r w:rsidRPr="001535B4">
        <w:t xml:space="preserve">crecimiento </w:t>
      </w:r>
      <w:proofErr w:type="spellStart"/>
      <w:r w:rsidRPr="001535B4">
        <w:t>B</w:t>
      </w:r>
      <w:r w:rsidR="008B3ECA">
        <w:t>a</w:t>
      </w:r>
      <w:r w:rsidRPr="001535B4">
        <w:t>U</w:t>
      </w:r>
      <w:proofErr w:type="spellEnd"/>
      <w:r w:rsidRPr="001535B4">
        <w:t xml:space="preserve"> </w:t>
      </w:r>
      <w:r w:rsidR="00773D53">
        <w:t>y AM</w:t>
      </w:r>
      <w:r w:rsidRPr="001535B4">
        <w:t>, respectivamente</w:t>
      </w:r>
      <w:r w:rsidR="00BA54CA" w:rsidRPr="00642AEE">
        <w:t xml:space="preserve">. </w:t>
      </w:r>
    </w:p>
    <w:p w14:paraId="7DB1BC9D" w14:textId="77777777" w:rsidR="00BA54CA" w:rsidRPr="00642AEE" w:rsidRDefault="00BA54CA" w:rsidP="004035EC">
      <w:pPr>
        <w:keepNext/>
        <w:rPr>
          <w:u w:val="single"/>
        </w:rPr>
      </w:pPr>
      <w:r w:rsidRPr="00642AEE">
        <w:rPr>
          <w:u w:val="single"/>
        </w:rPr>
        <w:t>Pos</w:t>
      </w:r>
      <w:r w:rsidR="00671E82">
        <w:rPr>
          <w:u w:val="single"/>
        </w:rPr>
        <w:t xml:space="preserve">ibles </w:t>
      </w:r>
      <w:r w:rsidR="00671E82" w:rsidRPr="00671E82">
        <w:rPr>
          <w:u w:val="single"/>
        </w:rPr>
        <w:t>intervenciones para reducir las emisiones de gases de efecto invernadero</w:t>
      </w:r>
    </w:p>
    <w:p w14:paraId="269DDEDA" w14:textId="77777777" w:rsidR="00BA54CA" w:rsidRPr="00642AEE" w:rsidRDefault="00BA54CA" w:rsidP="004035EC">
      <w:pPr>
        <w:keepNext/>
      </w:pPr>
    </w:p>
    <w:p w14:paraId="117B28F1" w14:textId="77777777" w:rsidR="00BA54CA" w:rsidRPr="00642AEE" w:rsidRDefault="00671E82" w:rsidP="004035EC">
      <w:pPr>
        <w:pStyle w:val="Heading1"/>
        <w:keepNext/>
      </w:pPr>
      <w:r>
        <w:t>El informe Vigilancia Mundial de la Refrigeración</w:t>
      </w:r>
      <w:r w:rsidRPr="00C73352">
        <w:t xml:space="preserve"> 2023</w:t>
      </w:r>
      <w:r>
        <w:t xml:space="preserve"> </w:t>
      </w:r>
      <w:r w:rsidRPr="00671E82">
        <w:t xml:space="preserve">incluye estimaciones del impacto de diferentes intervenciones sobre los niveles de emisiones de GEI en 2050 de todos los países. </w:t>
      </w:r>
      <w:r>
        <w:t>En el cuadro</w:t>
      </w:r>
      <w:r w:rsidRPr="00671E82">
        <w:t xml:space="preserve"> 1 </w:t>
      </w:r>
      <w:r>
        <w:t xml:space="preserve">se </w:t>
      </w:r>
      <w:r w:rsidRPr="00671E82">
        <w:t xml:space="preserve">presenta información </w:t>
      </w:r>
      <w:r w:rsidR="00E233A8" w:rsidRPr="00E233A8">
        <w:t xml:space="preserve">sobre las estimaciones del impacto sobre </w:t>
      </w:r>
      <w:r w:rsidR="00E233A8" w:rsidRPr="00AE688D">
        <w:t>las emisiones de las diferentes políticas aplicadas a los países del artículo 5</w:t>
      </w:r>
      <w:r w:rsidRPr="00AE688D">
        <w:t>. Las estimaciones presentadas</w:t>
      </w:r>
      <w:r w:rsidRPr="00671E82">
        <w:t xml:space="preserve"> en el informe muestran que diversas intervenciones tienen el potencial de reducir las emisiones directas e indirectas de GEI </w:t>
      </w:r>
      <w:r w:rsidRPr="00671E82">
        <w:lastRenderedPageBreak/>
        <w:t xml:space="preserve">relacionadas con la refrigeración en 2050 de 8150 millones de toneladas de </w:t>
      </w:r>
      <w:r w:rsidR="00E233A8" w:rsidRPr="00642AEE">
        <w:t>CO</w:t>
      </w:r>
      <w:r w:rsidR="00E233A8" w:rsidRPr="00642AEE">
        <w:rPr>
          <w:vertAlign w:val="subscript"/>
        </w:rPr>
        <w:t>2</w:t>
      </w:r>
      <w:r w:rsidR="00E233A8" w:rsidRPr="00642AEE">
        <w:noBreakHyphen/>
        <w:t>eq</w:t>
      </w:r>
      <w:r w:rsidR="00E233A8" w:rsidRPr="00671E82">
        <w:t xml:space="preserve"> </w:t>
      </w:r>
      <w:r w:rsidRPr="00671E82">
        <w:t xml:space="preserve">a 2110 millones de toneladas de </w:t>
      </w:r>
      <w:r w:rsidR="00E233A8" w:rsidRPr="00642AEE">
        <w:t>CO</w:t>
      </w:r>
      <w:r w:rsidR="00E233A8" w:rsidRPr="00642AEE">
        <w:rPr>
          <w:vertAlign w:val="subscript"/>
        </w:rPr>
        <w:t>2</w:t>
      </w:r>
      <w:r w:rsidR="00E233A8" w:rsidRPr="00642AEE">
        <w:noBreakHyphen/>
        <w:t>eq</w:t>
      </w:r>
      <w:r w:rsidR="00BA54CA" w:rsidRPr="00642AEE">
        <w:rPr>
          <w:rStyle w:val="FootnoteReference"/>
          <w:rFonts w:asciiTheme="majorBidi" w:hAnsiTheme="majorBidi" w:cstheme="majorBidi"/>
        </w:rPr>
        <w:footnoteReference w:id="18"/>
      </w:r>
      <w:r w:rsidR="00E233A8" w:rsidRPr="00642AEE">
        <w:t>.</w:t>
      </w:r>
    </w:p>
    <w:p w14:paraId="3CDE4D90" w14:textId="77777777" w:rsidR="00BA54CA" w:rsidRPr="00642AEE" w:rsidRDefault="00E233A8" w:rsidP="004035EC">
      <w:pPr>
        <w:pStyle w:val="StyleHeader4Para4Left0Firstline0"/>
        <w:numPr>
          <w:ilvl w:val="0"/>
          <w:numId w:val="0"/>
        </w:numPr>
        <w:tabs>
          <w:tab w:val="clear" w:pos="2880"/>
          <w:tab w:val="clear" w:pos="5760"/>
        </w:tabs>
        <w:spacing w:after="0"/>
        <w:rPr>
          <w:rFonts w:asciiTheme="majorBidi" w:hAnsiTheme="majorBidi" w:cstheme="majorBidi"/>
          <w:b/>
          <w:sz w:val="22"/>
        </w:rPr>
      </w:pPr>
      <w:r>
        <w:rPr>
          <w:rFonts w:asciiTheme="majorBidi" w:hAnsiTheme="majorBidi" w:cstheme="majorBidi"/>
          <w:b/>
          <w:sz w:val="22"/>
        </w:rPr>
        <w:t>Cuadro</w:t>
      </w:r>
      <w:r w:rsidR="00BA54CA" w:rsidRPr="00642AEE">
        <w:rPr>
          <w:rFonts w:asciiTheme="majorBidi" w:hAnsiTheme="majorBidi" w:cstheme="majorBidi"/>
          <w:b/>
          <w:sz w:val="22"/>
        </w:rPr>
        <w:t xml:space="preserve"> 1. Impact</w:t>
      </w:r>
      <w:r>
        <w:rPr>
          <w:rFonts w:asciiTheme="majorBidi" w:hAnsiTheme="majorBidi" w:cstheme="majorBidi"/>
          <w:b/>
          <w:sz w:val="22"/>
        </w:rPr>
        <w:t xml:space="preserve">o </w:t>
      </w:r>
      <w:r w:rsidRPr="00E233A8">
        <w:rPr>
          <w:rFonts w:asciiTheme="majorBidi" w:hAnsiTheme="majorBidi" w:cstheme="majorBidi"/>
          <w:b/>
          <w:sz w:val="22"/>
        </w:rPr>
        <w:t xml:space="preserve">de las intervenciones en los países del artículo 5 para lograr una refrigeración sostenible </w:t>
      </w:r>
      <w:r>
        <w:rPr>
          <w:rFonts w:asciiTheme="majorBidi" w:hAnsiTheme="majorBidi" w:cstheme="majorBidi"/>
          <w:b/>
          <w:sz w:val="22"/>
        </w:rPr>
        <w:t>en</w:t>
      </w:r>
      <w:r w:rsidRPr="00E233A8">
        <w:rPr>
          <w:rFonts w:asciiTheme="majorBidi" w:hAnsiTheme="majorBidi" w:cstheme="majorBidi"/>
          <w:b/>
          <w:sz w:val="22"/>
        </w:rPr>
        <w:t xml:space="preserve"> las emisione</w:t>
      </w:r>
      <w:r>
        <w:rPr>
          <w:rFonts w:asciiTheme="majorBidi" w:hAnsiTheme="majorBidi" w:cstheme="majorBidi"/>
          <w:b/>
          <w:sz w:val="22"/>
        </w:rPr>
        <w:t>s directas e indirectas en 205</w:t>
      </w:r>
      <w:r w:rsidR="00BA54CA" w:rsidRPr="00642AEE">
        <w:rPr>
          <w:rFonts w:asciiTheme="majorBidi" w:hAnsiTheme="majorBidi" w:cstheme="majorBidi"/>
          <w:b/>
          <w:sz w:val="22"/>
        </w:rPr>
        <w:t>0</w:t>
      </w:r>
      <w:r w:rsidR="00BA54CA" w:rsidRPr="00642AEE">
        <w:rPr>
          <w:rStyle w:val="FootnoteReference"/>
          <w:rFonts w:asciiTheme="majorBidi" w:hAnsiTheme="majorBidi" w:cstheme="majorBidi"/>
          <w:b/>
          <w:sz w:val="22"/>
        </w:rPr>
        <w:footnoteReference w:id="19"/>
      </w:r>
      <w:r w:rsidR="00BA54CA" w:rsidRPr="00642AEE">
        <w:rPr>
          <w:rFonts w:asciiTheme="majorBidi" w:hAnsiTheme="majorBidi" w:cstheme="majorBidi"/>
          <w:b/>
          <w:sz w:val="22"/>
        </w:rPr>
        <w:t xml:space="preserve"> </w:t>
      </w:r>
      <w:r w:rsidRPr="00E233A8">
        <w:rPr>
          <w:rFonts w:asciiTheme="majorBidi" w:hAnsiTheme="majorBidi" w:cstheme="majorBidi"/>
          <w:b/>
          <w:sz w:val="22"/>
        </w:rPr>
        <w:t xml:space="preserve">en </w:t>
      </w:r>
      <w:r>
        <w:rPr>
          <w:rFonts w:asciiTheme="majorBidi" w:hAnsiTheme="majorBidi" w:cstheme="majorBidi"/>
          <w:b/>
          <w:sz w:val="22"/>
        </w:rPr>
        <w:t xml:space="preserve">la hipótesis </w:t>
      </w:r>
      <w:r w:rsidRPr="00E233A8">
        <w:rPr>
          <w:rFonts w:asciiTheme="majorBidi" w:hAnsiTheme="majorBidi" w:cstheme="majorBidi"/>
          <w:b/>
          <w:sz w:val="22"/>
        </w:rPr>
        <w:t xml:space="preserve">de crecimiento </w:t>
      </w:r>
      <w:r>
        <w:rPr>
          <w:rFonts w:asciiTheme="majorBidi" w:hAnsiTheme="majorBidi" w:cstheme="majorBidi"/>
          <w:b/>
          <w:sz w:val="22"/>
        </w:rPr>
        <w:t>con AM</w:t>
      </w:r>
    </w:p>
    <w:tbl>
      <w:tblPr>
        <w:tblW w:w="9563" w:type="dxa"/>
        <w:tblInd w:w="-5" w:type="dxa"/>
        <w:tblLayout w:type="fixed"/>
        <w:tblLook w:val="04A0" w:firstRow="1" w:lastRow="0" w:firstColumn="1" w:lastColumn="0" w:noHBand="0" w:noVBand="1"/>
      </w:tblPr>
      <w:tblGrid>
        <w:gridCol w:w="3806"/>
        <w:gridCol w:w="1530"/>
        <w:gridCol w:w="2067"/>
        <w:gridCol w:w="2160"/>
      </w:tblGrid>
      <w:tr w:rsidR="00642AEE" w:rsidRPr="00642AEE" w14:paraId="053C67C0" w14:textId="77777777" w:rsidTr="001A3DB2">
        <w:trPr>
          <w:trHeight w:val="290"/>
          <w:tblHeader/>
        </w:trPr>
        <w:tc>
          <w:tcPr>
            <w:tcW w:w="38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26701" w14:textId="77777777" w:rsidR="00BA54CA" w:rsidRPr="00642AEE" w:rsidRDefault="00BA54CA" w:rsidP="00E233A8">
            <w:pP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Interven</w:t>
            </w:r>
            <w:r w:rsidR="00E233A8">
              <w:rPr>
                <w:rFonts w:asciiTheme="majorBidi" w:hAnsiTheme="majorBidi" w:cstheme="majorBidi"/>
                <w:b/>
                <w:bCs/>
                <w:sz w:val="20"/>
                <w:szCs w:val="20"/>
                <w:lang w:eastAsia="en-CA"/>
              </w:rPr>
              <w:t>ciones</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6F465519" w14:textId="77777777" w:rsidR="00BA54CA" w:rsidRPr="00642AEE" w:rsidRDefault="00E233A8" w:rsidP="00E233A8">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Emisiones totales en</w:t>
            </w:r>
            <w:r w:rsidR="00BA54CA" w:rsidRPr="00642AEE">
              <w:rPr>
                <w:rFonts w:asciiTheme="majorBidi" w:hAnsiTheme="majorBidi" w:cstheme="majorBidi"/>
                <w:b/>
                <w:bCs/>
                <w:sz w:val="20"/>
                <w:szCs w:val="20"/>
                <w:lang w:eastAsia="en-CA"/>
              </w:rPr>
              <w:t xml:space="preserve"> 2050</w:t>
            </w:r>
          </w:p>
        </w:tc>
        <w:tc>
          <w:tcPr>
            <w:tcW w:w="2067" w:type="dxa"/>
            <w:tcBorders>
              <w:top w:val="single" w:sz="4" w:space="0" w:color="auto"/>
              <w:left w:val="nil"/>
              <w:bottom w:val="single" w:sz="4" w:space="0" w:color="auto"/>
              <w:right w:val="single" w:sz="4" w:space="0" w:color="auto"/>
            </w:tcBorders>
            <w:shd w:val="clear" w:color="auto" w:fill="auto"/>
            <w:noWrap/>
            <w:vAlign w:val="center"/>
          </w:tcPr>
          <w:p w14:paraId="783B81B6" w14:textId="77777777" w:rsidR="00BA54CA" w:rsidRPr="00642AEE" w:rsidRDefault="00E233A8" w:rsidP="00E233A8">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Emisiones de refrigerantes directas</w:t>
            </w:r>
          </w:p>
        </w:tc>
        <w:tc>
          <w:tcPr>
            <w:tcW w:w="2160" w:type="dxa"/>
            <w:tcBorders>
              <w:top w:val="single" w:sz="4" w:space="0" w:color="auto"/>
              <w:left w:val="nil"/>
              <w:bottom w:val="single" w:sz="4" w:space="0" w:color="auto"/>
              <w:right w:val="single" w:sz="4" w:space="0" w:color="auto"/>
            </w:tcBorders>
            <w:shd w:val="clear" w:color="auto" w:fill="auto"/>
            <w:noWrap/>
            <w:vAlign w:val="center"/>
          </w:tcPr>
          <w:p w14:paraId="1DEC1709" w14:textId="77777777" w:rsidR="00BA54CA" w:rsidRPr="00642AEE" w:rsidRDefault="00DF211A" w:rsidP="004035EC">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Emisiones de energía indirectas</w:t>
            </w:r>
          </w:p>
        </w:tc>
      </w:tr>
      <w:tr w:rsidR="00642AEE" w:rsidRPr="00642AEE" w14:paraId="17D57A69" w14:textId="77777777" w:rsidTr="001A3DB2">
        <w:trPr>
          <w:trHeight w:val="238"/>
          <w:tblHeader/>
        </w:trPr>
        <w:tc>
          <w:tcPr>
            <w:tcW w:w="38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64DC0E" w14:textId="77777777" w:rsidR="00BA54CA" w:rsidRPr="00642AEE" w:rsidRDefault="00BA54CA" w:rsidP="004035EC">
            <w:pPr>
              <w:rPr>
                <w:rFonts w:asciiTheme="majorBidi" w:hAnsiTheme="majorBidi" w:cstheme="majorBidi"/>
                <w:b/>
                <w:bCs/>
                <w:sz w:val="20"/>
                <w:szCs w:val="20"/>
                <w:lang w:eastAsia="en-CA"/>
              </w:rPr>
            </w:pPr>
          </w:p>
        </w:tc>
        <w:tc>
          <w:tcPr>
            <w:tcW w:w="5757" w:type="dxa"/>
            <w:gridSpan w:val="3"/>
            <w:tcBorders>
              <w:top w:val="single" w:sz="4" w:space="0" w:color="auto"/>
              <w:left w:val="nil"/>
              <w:bottom w:val="single" w:sz="4" w:space="0" w:color="auto"/>
              <w:right w:val="single" w:sz="4" w:space="0" w:color="auto"/>
            </w:tcBorders>
            <w:shd w:val="clear" w:color="auto" w:fill="auto"/>
            <w:noWrap/>
            <w:vAlign w:val="bottom"/>
          </w:tcPr>
          <w:p w14:paraId="2D5B04D7" w14:textId="77777777" w:rsidR="00BA54CA" w:rsidRPr="00642AEE" w:rsidRDefault="00DF211A" w:rsidP="00DF211A">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 xml:space="preserve">Miles de millones de toneladas </w:t>
            </w:r>
            <w:r w:rsidR="00BA54CA" w:rsidRPr="00642AEE">
              <w:rPr>
                <w:rFonts w:asciiTheme="majorBidi" w:hAnsiTheme="majorBidi" w:cstheme="majorBidi"/>
                <w:b/>
                <w:bCs/>
                <w:sz w:val="20"/>
                <w:szCs w:val="20"/>
                <w:lang w:eastAsia="en-CA"/>
              </w:rPr>
              <w:t>CO</w:t>
            </w:r>
            <w:r w:rsidR="00BA54CA" w:rsidRPr="00642AEE">
              <w:rPr>
                <w:rFonts w:asciiTheme="majorBidi" w:hAnsiTheme="majorBidi" w:cstheme="majorBidi"/>
                <w:b/>
                <w:bCs/>
                <w:sz w:val="20"/>
                <w:szCs w:val="20"/>
                <w:vertAlign w:val="subscript"/>
                <w:lang w:eastAsia="en-CA"/>
              </w:rPr>
              <w:t>2</w:t>
            </w:r>
            <w:r w:rsidR="00BA54CA" w:rsidRPr="00642AEE">
              <w:rPr>
                <w:rFonts w:asciiTheme="majorBidi" w:hAnsiTheme="majorBidi" w:cstheme="majorBidi"/>
                <w:b/>
                <w:bCs/>
                <w:sz w:val="20"/>
                <w:szCs w:val="20"/>
                <w:lang w:eastAsia="en-CA"/>
              </w:rPr>
              <w:t>-eq</w:t>
            </w:r>
          </w:p>
        </w:tc>
      </w:tr>
      <w:tr w:rsidR="00642AEE" w:rsidRPr="00642AEE" w14:paraId="19A4D858" w14:textId="77777777" w:rsidTr="001A3DB2">
        <w:trPr>
          <w:trHeight w:val="238"/>
        </w:trPr>
        <w:tc>
          <w:tcPr>
            <w:tcW w:w="38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5BA80" w14:textId="77777777" w:rsidR="00BA54CA" w:rsidRPr="00642AEE" w:rsidRDefault="00DF211A" w:rsidP="004035EC">
            <w:pPr>
              <w:jc w:val="left"/>
              <w:rPr>
                <w:rFonts w:asciiTheme="majorBidi" w:hAnsiTheme="majorBidi" w:cstheme="majorBidi"/>
                <w:sz w:val="20"/>
                <w:szCs w:val="20"/>
                <w:lang w:eastAsia="en-CA"/>
              </w:rPr>
            </w:pPr>
            <w:bookmarkStart w:id="0" w:name="_Hlk164186748"/>
            <w:r>
              <w:rPr>
                <w:rFonts w:asciiTheme="majorBidi" w:hAnsiTheme="majorBidi" w:cstheme="majorBidi"/>
                <w:sz w:val="20"/>
                <w:szCs w:val="20"/>
                <w:lang w:eastAsia="en-CA"/>
              </w:rPr>
              <w:t>Ninguna medida política</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0390AEB9" w14:textId="77777777" w:rsidR="00BA54CA" w:rsidRPr="00642AEE" w:rsidRDefault="00DF211A" w:rsidP="00DF211A">
            <w:pPr>
              <w:jc w:val="right"/>
              <w:rPr>
                <w:rFonts w:asciiTheme="majorBidi" w:hAnsiTheme="majorBidi" w:cstheme="majorBidi"/>
                <w:sz w:val="20"/>
                <w:szCs w:val="20"/>
                <w:lang w:eastAsia="en-CA"/>
              </w:rPr>
            </w:pPr>
            <w:r>
              <w:rPr>
                <w:rFonts w:asciiTheme="majorBidi" w:hAnsiTheme="majorBidi" w:cstheme="majorBidi"/>
                <w:sz w:val="20"/>
                <w:szCs w:val="20"/>
                <w:lang w:eastAsia="en-CA"/>
              </w:rPr>
              <w:t>8150</w:t>
            </w:r>
          </w:p>
        </w:tc>
        <w:tc>
          <w:tcPr>
            <w:tcW w:w="2067" w:type="dxa"/>
            <w:tcBorders>
              <w:top w:val="single" w:sz="4" w:space="0" w:color="auto"/>
              <w:left w:val="nil"/>
              <w:bottom w:val="single" w:sz="4" w:space="0" w:color="auto"/>
              <w:right w:val="single" w:sz="4" w:space="0" w:color="auto"/>
            </w:tcBorders>
            <w:shd w:val="clear" w:color="auto" w:fill="auto"/>
            <w:noWrap/>
            <w:vAlign w:val="bottom"/>
            <w:hideMark/>
          </w:tcPr>
          <w:p w14:paraId="608BAA2D"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122</w:t>
            </w:r>
            <w:r w:rsidR="00DF211A">
              <w:rPr>
                <w:rFonts w:asciiTheme="majorBidi" w:hAnsiTheme="majorBidi" w:cstheme="majorBidi"/>
                <w:sz w:val="20"/>
                <w:szCs w:val="20"/>
                <w:lang w:eastAsia="en-CA"/>
              </w:rPr>
              <w:t>0</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690C5850"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693</w:t>
            </w:r>
            <w:r w:rsidR="00DF211A">
              <w:rPr>
                <w:rFonts w:asciiTheme="majorBidi" w:hAnsiTheme="majorBidi" w:cstheme="majorBidi"/>
                <w:sz w:val="20"/>
                <w:szCs w:val="20"/>
                <w:lang w:eastAsia="en-CA"/>
              </w:rPr>
              <w:t>0</w:t>
            </w:r>
          </w:p>
        </w:tc>
      </w:tr>
      <w:tr w:rsidR="00642AEE" w:rsidRPr="00642AEE" w14:paraId="0D381313" w14:textId="77777777" w:rsidTr="001A3DB2">
        <w:trPr>
          <w:trHeight w:val="238"/>
        </w:trPr>
        <w:tc>
          <w:tcPr>
            <w:tcW w:w="3806" w:type="dxa"/>
            <w:tcBorders>
              <w:top w:val="nil"/>
              <w:left w:val="single" w:sz="4" w:space="0" w:color="auto"/>
              <w:bottom w:val="single" w:sz="4" w:space="0" w:color="auto"/>
              <w:right w:val="single" w:sz="4" w:space="0" w:color="auto"/>
            </w:tcBorders>
            <w:shd w:val="clear" w:color="auto" w:fill="auto"/>
            <w:noWrap/>
            <w:vAlign w:val="bottom"/>
            <w:hideMark/>
          </w:tcPr>
          <w:p w14:paraId="640C754B" w14:textId="77777777" w:rsidR="00BA54CA" w:rsidRPr="00642AEE" w:rsidRDefault="00DF211A" w:rsidP="00DF211A">
            <w:pPr>
              <w:jc w:val="left"/>
              <w:rPr>
                <w:rFonts w:asciiTheme="majorBidi" w:hAnsiTheme="majorBidi" w:cstheme="majorBidi"/>
                <w:sz w:val="20"/>
                <w:szCs w:val="20"/>
                <w:lang w:eastAsia="en-CA"/>
              </w:rPr>
            </w:pPr>
            <w:r>
              <w:rPr>
                <w:rFonts w:asciiTheme="majorBidi" w:hAnsiTheme="majorBidi" w:cstheme="majorBidi"/>
                <w:sz w:val="20"/>
                <w:szCs w:val="20"/>
                <w:lang w:eastAsia="en-CA"/>
              </w:rPr>
              <w:t xml:space="preserve">Cumplimiento de la Enmienda de </w:t>
            </w:r>
            <w:r w:rsidR="00BA54CA" w:rsidRPr="00642AEE">
              <w:rPr>
                <w:rFonts w:asciiTheme="majorBidi" w:hAnsiTheme="majorBidi" w:cstheme="majorBidi"/>
                <w:sz w:val="20"/>
                <w:szCs w:val="20"/>
                <w:lang w:eastAsia="en-CA"/>
              </w:rPr>
              <w:t>Kigali</w:t>
            </w:r>
          </w:p>
        </w:tc>
        <w:tc>
          <w:tcPr>
            <w:tcW w:w="1530" w:type="dxa"/>
            <w:tcBorders>
              <w:top w:val="nil"/>
              <w:left w:val="nil"/>
              <w:bottom w:val="single" w:sz="4" w:space="0" w:color="auto"/>
              <w:right w:val="single" w:sz="4" w:space="0" w:color="auto"/>
            </w:tcBorders>
            <w:shd w:val="clear" w:color="auto" w:fill="auto"/>
            <w:noWrap/>
            <w:vAlign w:val="bottom"/>
            <w:hideMark/>
          </w:tcPr>
          <w:p w14:paraId="4CFCA978"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722</w:t>
            </w:r>
            <w:r w:rsidR="00DF211A">
              <w:rPr>
                <w:rFonts w:asciiTheme="majorBidi" w:hAnsiTheme="majorBidi" w:cstheme="majorBidi"/>
                <w:sz w:val="20"/>
                <w:szCs w:val="20"/>
                <w:lang w:eastAsia="en-CA"/>
              </w:rPr>
              <w:t>0</w:t>
            </w:r>
          </w:p>
        </w:tc>
        <w:tc>
          <w:tcPr>
            <w:tcW w:w="2067" w:type="dxa"/>
            <w:tcBorders>
              <w:top w:val="nil"/>
              <w:left w:val="nil"/>
              <w:bottom w:val="single" w:sz="4" w:space="0" w:color="auto"/>
              <w:right w:val="single" w:sz="4" w:space="0" w:color="auto"/>
            </w:tcBorders>
            <w:shd w:val="clear" w:color="auto" w:fill="auto"/>
            <w:noWrap/>
            <w:vAlign w:val="bottom"/>
            <w:hideMark/>
          </w:tcPr>
          <w:p w14:paraId="13FE37AA" w14:textId="77777777" w:rsidR="00BA54CA" w:rsidRPr="00AE688D" w:rsidRDefault="00942D30" w:rsidP="00AE688D">
            <w:pPr>
              <w:jc w:val="right"/>
              <w:rPr>
                <w:rFonts w:asciiTheme="majorBidi" w:hAnsiTheme="majorBidi" w:cstheme="majorBidi"/>
                <w:sz w:val="20"/>
                <w:szCs w:val="20"/>
                <w:lang w:eastAsia="en-CA"/>
              </w:rPr>
            </w:pPr>
            <w:r w:rsidRPr="00AE688D">
              <w:rPr>
                <w:rFonts w:asciiTheme="majorBidi" w:hAnsiTheme="majorBidi" w:cstheme="majorBidi"/>
                <w:sz w:val="20"/>
                <w:szCs w:val="20"/>
                <w:lang w:eastAsia="en-CA"/>
              </w:rPr>
              <w:t>290</w:t>
            </w:r>
          </w:p>
        </w:tc>
        <w:tc>
          <w:tcPr>
            <w:tcW w:w="2160" w:type="dxa"/>
            <w:tcBorders>
              <w:top w:val="nil"/>
              <w:left w:val="nil"/>
              <w:bottom w:val="single" w:sz="4" w:space="0" w:color="auto"/>
              <w:right w:val="single" w:sz="4" w:space="0" w:color="auto"/>
            </w:tcBorders>
            <w:shd w:val="clear" w:color="auto" w:fill="auto"/>
            <w:noWrap/>
            <w:vAlign w:val="bottom"/>
            <w:hideMark/>
          </w:tcPr>
          <w:p w14:paraId="1AAA2AC9"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693</w:t>
            </w:r>
            <w:r w:rsidR="00DF211A">
              <w:rPr>
                <w:rFonts w:asciiTheme="majorBidi" w:hAnsiTheme="majorBidi" w:cstheme="majorBidi"/>
                <w:sz w:val="20"/>
                <w:szCs w:val="20"/>
                <w:lang w:eastAsia="en-CA"/>
              </w:rPr>
              <w:t>0</w:t>
            </w:r>
          </w:p>
        </w:tc>
      </w:tr>
      <w:tr w:rsidR="00642AEE" w:rsidRPr="00642AEE" w14:paraId="170F3B5D" w14:textId="77777777" w:rsidTr="001A3DB2">
        <w:trPr>
          <w:trHeight w:val="238"/>
        </w:trPr>
        <w:tc>
          <w:tcPr>
            <w:tcW w:w="3806" w:type="dxa"/>
            <w:tcBorders>
              <w:top w:val="nil"/>
              <w:left w:val="single" w:sz="4" w:space="0" w:color="auto"/>
              <w:bottom w:val="single" w:sz="4" w:space="0" w:color="auto"/>
              <w:right w:val="single" w:sz="4" w:space="0" w:color="auto"/>
            </w:tcBorders>
            <w:shd w:val="clear" w:color="auto" w:fill="auto"/>
            <w:noWrap/>
            <w:vAlign w:val="bottom"/>
            <w:hideMark/>
          </w:tcPr>
          <w:p w14:paraId="3B408044" w14:textId="77777777" w:rsidR="00BA54CA" w:rsidRPr="00642AEE" w:rsidRDefault="00DF211A" w:rsidP="00453942">
            <w:pPr>
              <w:jc w:val="left"/>
              <w:rPr>
                <w:rFonts w:asciiTheme="majorBidi" w:hAnsiTheme="majorBidi" w:cstheme="majorBidi"/>
                <w:sz w:val="20"/>
                <w:szCs w:val="20"/>
                <w:lang w:eastAsia="en-CA"/>
              </w:rPr>
            </w:pPr>
            <w:r>
              <w:rPr>
                <w:rFonts w:asciiTheme="majorBidi" w:hAnsiTheme="majorBidi" w:cstheme="majorBidi"/>
                <w:sz w:val="20"/>
                <w:szCs w:val="20"/>
                <w:lang w:eastAsia="en-CA"/>
              </w:rPr>
              <w:t xml:space="preserve">Ganancia de eficiencia energética </w:t>
            </w:r>
            <w:proofErr w:type="spellStart"/>
            <w:r w:rsidR="00BA54CA" w:rsidRPr="00642AEE">
              <w:rPr>
                <w:rFonts w:asciiTheme="majorBidi" w:hAnsiTheme="majorBidi" w:cstheme="majorBidi"/>
                <w:sz w:val="20"/>
                <w:szCs w:val="20"/>
                <w:lang w:eastAsia="en-CA"/>
              </w:rPr>
              <w:t>B</w:t>
            </w:r>
            <w:r w:rsidR="00453942">
              <w:rPr>
                <w:rFonts w:asciiTheme="majorBidi" w:hAnsiTheme="majorBidi" w:cstheme="majorBidi"/>
                <w:sz w:val="20"/>
                <w:szCs w:val="20"/>
                <w:lang w:eastAsia="en-CA"/>
              </w:rPr>
              <w:t>a</w:t>
            </w:r>
            <w:r w:rsidR="00BA54CA" w:rsidRPr="00642AEE">
              <w:rPr>
                <w:rFonts w:asciiTheme="majorBidi" w:hAnsiTheme="majorBidi" w:cstheme="majorBidi"/>
                <w:sz w:val="20"/>
                <w:szCs w:val="20"/>
                <w:lang w:eastAsia="en-CA"/>
              </w:rPr>
              <w:t>U</w:t>
            </w:r>
            <w:proofErr w:type="spellEnd"/>
            <w:r w:rsidR="00BA54CA" w:rsidRPr="00642AEE">
              <w:rPr>
                <w:rStyle w:val="FootnoteReference"/>
                <w:rFonts w:asciiTheme="majorBidi" w:hAnsiTheme="majorBidi" w:cstheme="majorBidi"/>
                <w:sz w:val="20"/>
                <w:szCs w:val="20"/>
                <w:lang w:eastAsia="en-CA"/>
              </w:rPr>
              <w:footnoteReference w:id="20"/>
            </w:r>
          </w:p>
        </w:tc>
        <w:tc>
          <w:tcPr>
            <w:tcW w:w="1530" w:type="dxa"/>
            <w:tcBorders>
              <w:top w:val="nil"/>
              <w:left w:val="nil"/>
              <w:bottom w:val="single" w:sz="4" w:space="0" w:color="auto"/>
              <w:right w:val="single" w:sz="4" w:space="0" w:color="auto"/>
            </w:tcBorders>
            <w:shd w:val="clear" w:color="auto" w:fill="auto"/>
            <w:noWrap/>
            <w:vAlign w:val="bottom"/>
            <w:hideMark/>
          </w:tcPr>
          <w:p w14:paraId="34858BAB"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549</w:t>
            </w:r>
            <w:r w:rsidR="00DF211A">
              <w:rPr>
                <w:rFonts w:asciiTheme="majorBidi" w:hAnsiTheme="majorBidi" w:cstheme="majorBidi"/>
                <w:sz w:val="20"/>
                <w:szCs w:val="20"/>
                <w:lang w:eastAsia="en-CA"/>
              </w:rPr>
              <w:t>0</w:t>
            </w:r>
          </w:p>
        </w:tc>
        <w:tc>
          <w:tcPr>
            <w:tcW w:w="2067" w:type="dxa"/>
            <w:tcBorders>
              <w:top w:val="nil"/>
              <w:left w:val="nil"/>
              <w:bottom w:val="single" w:sz="4" w:space="0" w:color="auto"/>
              <w:right w:val="single" w:sz="4" w:space="0" w:color="auto"/>
            </w:tcBorders>
            <w:shd w:val="clear" w:color="auto" w:fill="auto"/>
            <w:noWrap/>
            <w:vAlign w:val="bottom"/>
            <w:hideMark/>
          </w:tcPr>
          <w:p w14:paraId="024BE63B" w14:textId="77777777" w:rsidR="00BA54CA" w:rsidRPr="00AE688D" w:rsidRDefault="00942D30" w:rsidP="004035EC">
            <w:pPr>
              <w:jc w:val="right"/>
              <w:rPr>
                <w:rFonts w:asciiTheme="majorBidi" w:hAnsiTheme="majorBidi" w:cstheme="majorBidi"/>
                <w:sz w:val="20"/>
                <w:szCs w:val="20"/>
                <w:lang w:eastAsia="en-CA"/>
              </w:rPr>
            </w:pPr>
            <w:r w:rsidRPr="00AE688D">
              <w:rPr>
                <w:rFonts w:asciiTheme="majorBidi" w:hAnsiTheme="majorBidi" w:cstheme="majorBidi"/>
                <w:sz w:val="20"/>
                <w:szCs w:val="20"/>
                <w:lang w:eastAsia="en-CA"/>
              </w:rPr>
              <w:t>290</w:t>
            </w:r>
          </w:p>
        </w:tc>
        <w:tc>
          <w:tcPr>
            <w:tcW w:w="2160" w:type="dxa"/>
            <w:tcBorders>
              <w:top w:val="nil"/>
              <w:left w:val="nil"/>
              <w:bottom w:val="single" w:sz="4" w:space="0" w:color="auto"/>
              <w:right w:val="single" w:sz="4" w:space="0" w:color="auto"/>
            </w:tcBorders>
            <w:shd w:val="clear" w:color="auto" w:fill="auto"/>
            <w:noWrap/>
            <w:vAlign w:val="bottom"/>
            <w:hideMark/>
          </w:tcPr>
          <w:p w14:paraId="34CC275F"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520</w:t>
            </w:r>
            <w:r w:rsidR="00DF211A">
              <w:rPr>
                <w:rFonts w:asciiTheme="majorBidi" w:hAnsiTheme="majorBidi" w:cstheme="majorBidi"/>
                <w:sz w:val="20"/>
                <w:szCs w:val="20"/>
                <w:lang w:eastAsia="en-CA"/>
              </w:rPr>
              <w:t>0</w:t>
            </w:r>
          </w:p>
        </w:tc>
      </w:tr>
      <w:tr w:rsidR="00642AEE" w:rsidRPr="00642AEE" w14:paraId="0292EB19" w14:textId="77777777" w:rsidTr="001A3DB2">
        <w:trPr>
          <w:trHeight w:val="238"/>
        </w:trPr>
        <w:tc>
          <w:tcPr>
            <w:tcW w:w="3806" w:type="dxa"/>
            <w:tcBorders>
              <w:top w:val="nil"/>
              <w:left w:val="single" w:sz="4" w:space="0" w:color="auto"/>
              <w:bottom w:val="single" w:sz="4" w:space="0" w:color="auto"/>
              <w:right w:val="single" w:sz="4" w:space="0" w:color="auto"/>
            </w:tcBorders>
            <w:shd w:val="clear" w:color="auto" w:fill="auto"/>
            <w:noWrap/>
            <w:vAlign w:val="bottom"/>
            <w:hideMark/>
          </w:tcPr>
          <w:p w14:paraId="3E650CB7" w14:textId="77777777" w:rsidR="00BA54CA" w:rsidRPr="00642AEE" w:rsidRDefault="00DF211A" w:rsidP="004035EC">
            <w:pPr>
              <w:jc w:val="left"/>
              <w:rPr>
                <w:rFonts w:asciiTheme="majorBidi" w:hAnsiTheme="majorBidi" w:cstheme="majorBidi"/>
                <w:sz w:val="20"/>
                <w:szCs w:val="20"/>
                <w:lang w:eastAsia="en-CA"/>
              </w:rPr>
            </w:pPr>
            <w:r>
              <w:rPr>
                <w:rFonts w:asciiTheme="majorBidi" w:hAnsiTheme="majorBidi" w:cstheme="majorBidi"/>
                <w:sz w:val="20"/>
                <w:szCs w:val="20"/>
                <w:lang w:eastAsia="en-CA"/>
              </w:rPr>
              <w:t>Reducción de la carga</w:t>
            </w:r>
            <w:r w:rsidR="00BA54CA" w:rsidRPr="00642AEE">
              <w:rPr>
                <w:rStyle w:val="FootnoteReference"/>
                <w:rFonts w:asciiTheme="majorBidi" w:hAnsiTheme="majorBidi" w:cstheme="majorBidi"/>
                <w:sz w:val="20"/>
                <w:szCs w:val="20"/>
                <w:lang w:eastAsia="en-CA"/>
              </w:rPr>
              <w:footnoteReference w:id="21"/>
            </w:r>
          </w:p>
        </w:tc>
        <w:tc>
          <w:tcPr>
            <w:tcW w:w="1530" w:type="dxa"/>
            <w:tcBorders>
              <w:top w:val="nil"/>
              <w:left w:val="nil"/>
              <w:bottom w:val="single" w:sz="4" w:space="0" w:color="auto"/>
              <w:right w:val="single" w:sz="4" w:space="0" w:color="auto"/>
            </w:tcBorders>
            <w:shd w:val="clear" w:color="auto" w:fill="auto"/>
            <w:noWrap/>
            <w:vAlign w:val="bottom"/>
            <w:hideMark/>
          </w:tcPr>
          <w:p w14:paraId="45A5AF95"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432</w:t>
            </w:r>
            <w:r w:rsidR="00DF211A">
              <w:rPr>
                <w:rFonts w:asciiTheme="majorBidi" w:hAnsiTheme="majorBidi" w:cstheme="majorBidi"/>
                <w:sz w:val="20"/>
                <w:szCs w:val="20"/>
                <w:lang w:eastAsia="en-CA"/>
              </w:rPr>
              <w:t>0</w:t>
            </w:r>
          </w:p>
        </w:tc>
        <w:tc>
          <w:tcPr>
            <w:tcW w:w="2067" w:type="dxa"/>
            <w:tcBorders>
              <w:top w:val="nil"/>
              <w:left w:val="nil"/>
              <w:bottom w:val="single" w:sz="4" w:space="0" w:color="auto"/>
              <w:right w:val="single" w:sz="4" w:space="0" w:color="auto"/>
            </w:tcBorders>
            <w:shd w:val="clear" w:color="auto" w:fill="auto"/>
            <w:noWrap/>
            <w:vAlign w:val="bottom"/>
            <w:hideMark/>
          </w:tcPr>
          <w:p w14:paraId="004DBE93" w14:textId="77777777" w:rsidR="00BA54CA" w:rsidRPr="00AE688D" w:rsidRDefault="00942D30" w:rsidP="00942D30">
            <w:pPr>
              <w:jc w:val="right"/>
              <w:rPr>
                <w:rFonts w:asciiTheme="majorBidi" w:hAnsiTheme="majorBidi" w:cstheme="majorBidi"/>
                <w:sz w:val="20"/>
                <w:szCs w:val="20"/>
                <w:lang w:eastAsia="en-CA"/>
              </w:rPr>
            </w:pPr>
            <w:r w:rsidRPr="00AE688D">
              <w:rPr>
                <w:rFonts w:asciiTheme="majorBidi" w:hAnsiTheme="majorBidi" w:cstheme="majorBidi"/>
                <w:sz w:val="20"/>
                <w:szCs w:val="20"/>
                <w:lang w:eastAsia="en-CA"/>
              </w:rPr>
              <w:t>240</w:t>
            </w:r>
          </w:p>
        </w:tc>
        <w:tc>
          <w:tcPr>
            <w:tcW w:w="2160" w:type="dxa"/>
            <w:tcBorders>
              <w:top w:val="nil"/>
              <w:left w:val="nil"/>
              <w:bottom w:val="single" w:sz="4" w:space="0" w:color="auto"/>
              <w:right w:val="single" w:sz="4" w:space="0" w:color="auto"/>
            </w:tcBorders>
            <w:shd w:val="clear" w:color="auto" w:fill="auto"/>
            <w:noWrap/>
            <w:vAlign w:val="bottom"/>
            <w:hideMark/>
          </w:tcPr>
          <w:p w14:paraId="4194BFE7"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408</w:t>
            </w:r>
            <w:r w:rsidR="00DF211A">
              <w:rPr>
                <w:rFonts w:asciiTheme="majorBidi" w:hAnsiTheme="majorBidi" w:cstheme="majorBidi"/>
                <w:sz w:val="20"/>
                <w:szCs w:val="20"/>
                <w:lang w:eastAsia="en-CA"/>
              </w:rPr>
              <w:t>0</w:t>
            </w:r>
          </w:p>
        </w:tc>
      </w:tr>
      <w:tr w:rsidR="00642AEE" w:rsidRPr="00642AEE" w14:paraId="67FA6F7D" w14:textId="77777777" w:rsidTr="001A3DB2">
        <w:trPr>
          <w:trHeight w:val="238"/>
        </w:trPr>
        <w:tc>
          <w:tcPr>
            <w:tcW w:w="3806" w:type="dxa"/>
            <w:tcBorders>
              <w:top w:val="nil"/>
              <w:left w:val="single" w:sz="4" w:space="0" w:color="auto"/>
              <w:bottom w:val="single" w:sz="4" w:space="0" w:color="auto"/>
              <w:right w:val="single" w:sz="4" w:space="0" w:color="auto"/>
            </w:tcBorders>
            <w:shd w:val="clear" w:color="auto" w:fill="auto"/>
            <w:noWrap/>
            <w:vAlign w:val="bottom"/>
            <w:hideMark/>
          </w:tcPr>
          <w:p w14:paraId="5951C857" w14:textId="77777777" w:rsidR="00BA54CA" w:rsidRPr="00642AEE" w:rsidRDefault="00DF211A" w:rsidP="00B879AF">
            <w:pPr>
              <w:jc w:val="left"/>
              <w:rPr>
                <w:rFonts w:asciiTheme="majorBidi" w:hAnsiTheme="majorBidi" w:cstheme="majorBidi"/>
                <w:sz w:val="20"/>
                <w:szCs w:val="20"/>
                <w:lang w:eastAsia="en-CA"/>
              </w:rPr>
            </w:pPr>
            <w:r w:rsidRPr="00DF211A">
              <w:rPr>
                <w:rFonts w:asciiTheme="majorBidi" w:hAnsiTheme="majorBidi" w:cstheme="majorBidi"/>
                <w:sz w:val="20"/>
                <w:szCs w:val="20"/>
                <w:lang w:eastAsia="en-CA"/>
              </w:rPr>
              <w:t>Mejor</w:t>
            </w:r>
            <w:r w:rsidR="005062B1">
              <w:rPr>
                <w:rFonts w:asciiTheme="majorBidi" w:hAnsiTheme="majorBidi" w:cstheme="majorBidi"/>
                <w:sz w:val="20"/>
                <w:szCs w:val="20"/>
                <w:lang w:eastAsia="en-CA"/>
              </w:rPr>
              <w:t xml:space="preserve"> aumento de la eficiencia energétic</w:t>
            </w:r>
            <w:r w:rsidRPr="00DF211A">
              <w:rPr>
                <w:rFonts w:asciiTheme="majorBidi" w:hAnsiTheme="majorBidi" w:cstheme="majorBidi"/>
                <w:sz w:val="20"/>
                <w:szCs w:val="20"/>
                <w:lang w:eastAsia="en-CA"/>
              </w:rPr>
              <w:t>a</w:t>
            </w:r>
            <w:r w:rsidR="00BA54CA" w:rsidRPr="00642AEE">
              <w:rPr>
                <w:rStyle w:val="FootnoteReference"/>
                <w:rFonts w:asciiTheme="majorBidi" w:hAnsiTheme="majorBidi" w:cstheme="majorBidi"/>
                <w:sz w:val="20"/>
                <w:szCs w:val="20"/>
                <w:lang w:eastAsia="en-CA"/>
              </w:rPr>
              <w:footnoteReference w:id="22"/>
            </w:r>
          </w:p>
        </w:tc>
        <w:tc>
          <w:tcPr>
            <w:tcW w:w="1530" w:type="dxa"/>
            <w:tcBorders>
              <w:top w:val="nil"/>
              <w:left w:val="nil"/>
              <w:bottom w:val="single" w:sz="4" w:space="0" w:color="auto"/>
              <w:right w:val="single" w:sz="4" w:space="0" w:color="auto"/>
            </w:tcBorders>
            <w:shd w:val="clear" w:color="auto" w:fill="auto"/>
            <w:noWrap/>
            <w:vAlign w:val="bottom"/>
            <w:hideMark/>
          </w:tcPr>
          <w:p w14:paraId="317F9C88"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225</w:t>
            </w:r>
            <w:r w:rsidR="00DF211A">
              <w:rPr>
                <w:rFonts w:asciiTheme="majorBidi" w:hAnsiTheme="majorBidi" w:cstheme="majorBidi"/>
                <w:sz w:val="20"/>
                <w:szCs w:val="20"/>
                <w:lang w:eastAsia="en-CA"/>
              </w:rPr>
              <w:t>0</w:t>
            </w:r>
          </w:p>
        </w:tc>
        <w:tc>
          <w:tcPr>
            <w:tcW w:w="2067" w:type="dxa"/>
            <w:tcBorders>
              <w:top w:val="nil"/>
              <w:left w:val="nil"/>
              <w:bottom w:val="single" w:sz="4" w:space="0" w:color="auto"/>
              <w:right w:val="single" w:sz="4" w:space="0" w:color="auto"/>
            </w:tcBorders>
            <w:shd w:val="clear" w:color="auto" w:fill="auto"/>
            <w:noWrap/>
            <w:vAlign w:val="bottom"/>
            <w:hideMark/>
          </w:tcPr>
          <w:p w14:paraId="07A4DF9B" w14:textId="77777777" w:rsidR="00BA54CA" w:rsidRPr="00AE688D" w:rsidRDefault="00942D30" w:rsidP="004035EC">
            <w:pPr>
              <w:jc w:val="right"/>
              <w:rPr>
                <w:rFonts w:asciiTheme="majorBidi" w:hAnsiTheme="majorBidi" w:cstheme="majorBidi"/>
                <w:sz w:val="20"/>
                <w:szCs w:val="20"/>
                <w:lang w:eastAsia="en-CA"/>
              </w:rPr>
            </w:pPr>
            <w:r w:rsidRPr="00AE688D">
              <w:rPr>
                <w:rFonts w:asciiTheme="majorBidi" w:hAnsiTheme="majorBidi" w:cstheme="majorBidi"/>
                <w:sz w:val="20"/>
                <w:szCs w:val="20"/>
                <w:lang w:eastAsia="en-CA"/>
              </w:rPr>
              <w:t>240</w:t>
            </w:r>
          </w:p>
        </w:tc>
        <w:tc>
          <w:tcPr>
            <w:tcW w:w="2160" w:type="dxa"/>
            <w:tcBorders>
              <w:top w:val="nil"/>
              <w:left w:val="nil"/>
              <w:bottom w:val="single" w:sz="4" w:space="0" w:color="auto"/>
              <w:right w:val="single" w:sz="4" w:space="0" w:color="auto"/>
            </w:tcBorders>
            <w:shd w:val="clear" w:color="auto" w:fill="auto"/>
            <w:noWrap/>
            <w:vAlign w:val="bottom"/>
            <w:hideMark/>
          </w:tcPr>
          <w:p w14:paraId="5B22FAC0"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201</w:t>
            </w:r>
            <w:r w:rsidR="00DF211A">
              <w:rPr>
                <w:rFonts w:asciiTheme="majorBidi" w:hAnsiTheme="majorBidi" w:cstheme="majorBidi"/>
                <w:sz w:val="20"/>
                <w:szCs w:val="20"/>
                <w:lang w:eastAsia="en-CA"/>
              </w:rPr>
              <w:t>0</w:t>
            </w:r>
          </w:p>
        </w:tc>
      </w:tr>
      <w:tr w:rsidR="00642AEE" w:rsidRPr="00642AEE" w14:paraId="2C14C76C" w14:textId="77777777" w:rsidTr="001A3DB2">
        <w:trPr>
          <w:trHeight w:val="238"/>
        </w:trPr>
        <w:tc>
          <w:tcPr>
            <w:tcW w:w="3806" w:type="dxa"/>
            <w:tcBorders>
              <w:top w:val="nil"/>
              <w:left w:val="single" w:sz="4" w:space="0" w:color="auto"/>
              <w:bottom w:val="single" w:sz="4" w:space="0" w:color="auto"/>
              <w:right w:val="single" w:sz="4" w:space="0" w:color="auto"/>
            </w:tcBorders>
            <w:shd w:val="clear" w:color="auto" w:fill="auto"/>
            <w:noWrap/>
            <w:vAlign w:val="bottom"/>
            <w:hideMark/>
          </w:tcPr>
          <w:p w14:paraId="0D940327" w14:textId="77777777" w:rsidR="00BA54CA" w:rsidRPr="00642AEE" w:rsidRDefault="00942D30" w:rsidP="00942D30">
            <w:pPr>
              <w:jc w:val="left"/>
              <w:rPr>
                <w:rFonts w:asciiTheme="majorBidi" w:hAnsiTheme="majorBidi" w:cstheme="majorBidi"/>
                <w:sz w:val="20"/>
                <w:szCs w:val="20"/>
                <w:lang w:eastAsia="en-CA"/>
              </w:rPr>
            </w:pPr>
            <w:r>
              <w:rPr>
                <w:rFonts w:asciiTheme="majorBidi" w:hAnsiTheme="majorBidi" w:cstheme="majorBidi"/>
                <w:sz w:val="20"/>
                <w:szCs w:val="20"/>
                <w:lang w:eastAsia="en-CA"/>
              </w:rPr>
              <w:t>Rápida reducción de los</w:t>
            </w:r>
            <w:r w:rsidR="00BA54CA" w:rsidRPr="00642AEE">
              <w:rPr>
                <w:rFonts w:asciiTheme="majorBidi" w:hAnsiTheme="majorBidi" w:cstheme="majorBidi"/>
                <w:sz w:val="20"/>
                <w:szCs w:val="20"/>
                <w:lang w:eastAsia="en-CA"/>
              </w:rPr>
              <w:t xml:space="preserve"> HFC</w:t>
            </w:r>
            <w:r w:rsidR="00BA54CA" w:rsidRPr="00642AEE">
              <w:rPr>
                <w:rStyle w:val="FootnoteReference"/>
                <w:rFonts w:asciiTheme="majorBidi" w:hAnsiTheme="majorBidi" w:cstheme="majorBidi"/>
                <w:sz w:val="20"/>
                <w:szCs w:val="20"/>
                <w:lang w:eastAsia="en-CA"/>
              </w:rPr>
              <w:footnoteReference w:id="23"/>
            </w:r>
          </w:p>
        </w:tc>
        <w:tc>
          <w:tcPr>
            <w:tcW w:w="1530" w:type="dxa"/>
            <w:tcBorders>
              <w:top w:val="nil"/>
              <w:left w:val="nil"/>
              <w:bottom w:val="single" w:sz="4" w:space="0" w:color="auto"/>
              <w:right w:val="single" w:sz="4" w:space="0" w:color="auto"/>
            </w:tcBorders>
            <w:shd w:val="clear" w:color="auto" w:fill="auto"/>
            <w:noWrap/>
            <w:vAlign w:val="bottom"/>
            <w:hideMark/>
          </w:tcPr>
          <w:p w14:paraId="0249A27F"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211</w:t>
            </w:r>
            <w:r w:rsidR="00DF211A">
              <w:rPr>
                <w:rFonts w:asciiTheme="majorBidi" w:hAnsiTheme="majorBidi" w:cstheme="majorBidi"/>
                <w:sz w:val="20"/>
                <w:szCs w:val="20"/>
                <w:lang w:eastAsia="en-CA"/>
              </w:rPr>
              <w:t>0</w:t>
            </w:r>
          </w:p>
        </w:tc>
        <w:tc>
          <w:tcPr>
            <w:tcW w:w="2067" w:type="dxa"/>
            <w:tcBorders>
              <w:top w:val="nil"/>
              <w:left w:val="nil"/>
              <w:bottom w:val="single" w:sz="4" w:space="0" w:color="auto"/>
              <w:right w:val="single" w:sz="4" w:space="0" w:color="auto"/>
            </w:tcBorders>
            <w:shd w:val="clear" w:color="auto" w:fill="auto"/>
            <w:noWrap/>
            <w:vAlign w:val="bottom"/>
            <w:hideMark/>
          </w:tcPr>
          <w:p w14:paraId="5DEBA5DF" w14:textId="77777777" w:rsidR="00BA54CA" w:rsidRPr="00AE688D" w:rsidRDefault="00942D30" w:rsidP="004035EC">
            <w:pPr>
              <w:jc w:val="right"/>
              <w:rPr>
                <w:rFonts w:asciiTheme="majorBidi" w:hAnsiTheme="majorBidi" w:cstheme="majorBidi"/>
                <w:sz w:val="20"/>
                <w:szCs w:val="20"/>
                <w:lang w:eastAsia="en-CA"/>
              </w:rPr>
            </w:pPr>
            <w:r w:rsidRPr="00AE688D">
              <w:rPr>
                <w:rFonts w:asciiTheme="majorBidi" w:hAnsiTheme="majorBidi" w:cstheme="majorBidi"/>
                <w:sz w:val="20"/>
                <w:szCs w:val="20"/>
                <w:lang w:eastAsia="en-CA"/>
              </w:rPr>
              <w:t xml:space="preserve">100 </w:t>
            </w:r>
          </w:p>
        </w:tc>
        <w:tc>
          <w:tcPr>
            <w:tcW w:w="2160" w:type="dxa"/>
            <w:tcBorders>
              <w:top w:val="nil"/>
              <w:left w:val="nil"/>
              <w:bottom w:val="single" w:sz="4" w:space="0" w:color="auto"/>
              <w:right w:val="single" w:sz="4" w:space="0" w:color="auto"/>
            </w:tcBorders>
            <w:shd w:val="clear" w:color="auto" w:fill="auto"/>
            <w:noWrap/>
            <w:vAlign w:val="bottom"/>
            <w:hideMark/>
          </w:tcPr>
          <w:p w14:paraId="34473DA6" w14:textId="77777777" w:rsidR="00BA54CA" w:rsidRPr="00642AEE" w:rsidRDefault="00BA54CA" w:rsidP="00DF211A">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201</w:t>
            </w:r>
            <w:r w:rsidR="00DF211A">
              <w:rPr>
                <w:rFonts w:asciiTheme="majorBidi" w:hAnsiTheme="majorBidi" w:cstheme="majorBidi"/>
                <w:sz w:val="20"/>
                <w:szCs w:val="20"/>
                <w:lang w:eastAsia="en-CA"/>
              </w:rPr>
              <w:t>0</w:t>
            </w:r>
          </w:p>
        </w:tc>
      </w:tr>
      <w:bookmarkEnd w:id="0"/>
    </w:tbl>
    <w:p w14:paraId="343343F7"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p>
    <w:p w14:paraId="2DC32A61"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r w:rsidRPr="00642AEE">
        <w:rPr>
          <w:rFonts w:asciiTheme="majorBidi" w:hAnsiTheme="majorBidi" w:cstheme="majorBidi"/>
          <w:bCs/>
          <w:sz w:val="22"/>
          <w:u w:val="single"/>
        </w:rPr>
        <w:t>Reduc</w:t>
      </w:r>
      <w:r w:rsidR="00942D30">
        <w:rPr>
          <w:rFonts w:asciiTheme="majorBidi" w:hAnsiTheme="majorBidi" w:cstheme="majorBidi"/>
          <w:bCs/>
          <w:sz w:val="22"/>
          <w:u w:val="single"/>
        </w:rPr>
        <w:t xml:space="preserve">ción </w:t>
      </w:r>
      <w:r w:rsidR="00942D30" w:rsidRPr="00942D30">
        <w:rPr>
          <w:rFonts w:asciiTheme="majorBidi" w:hAnsiTheme="majorBidi" w:cstheme="majorBidi"/>
          <w:bCs/>
          <w:sz w:val="22"/>
          <w:u w:val="single"/>
        </w:rPr>
        <w:t>de las emisiones directas en diferentes aplicacion</w:t>
      </w:r>
      <w:r w:rsidR="00942D30">
        <w:rPr>
          <w:rFonts w:asciiTheme="majorBidi" w:hAnsiTheme="majorBidi" w:cstheme="majorBidi"/>
          <w:bCs/>
          <w:sz w:val="22"/>
          <w:u w:val="single"/>
        </w:rPr>
        <w:t>e</w:t>
      </w:r>
      <w:r w:rsidRPr="00642AEE">
        <w:rPr>
          <w:rFonts w:asciiTheme="majorBidi" w:hAnsiTheme="majorBidi" w:cstheme="majorBidi"/>
          <w:bCs/>
          <w:sz w:val="22"/>
          <w:u w:val="single"/>
        </w:rPr>
        <w:t>s</w:t>
      </w:r>
    </w:p>
    <w:p w14:paraId="333DA84D"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p>
    <w:p w14:paraId="5F6E5C60" w14:textId="77777777" w:rsidR="00BA54CA" w:rsidRPr="00642AEE" w:rsidRDefault="0057751C" w:rsidP="004035EC">
      <w:pPr>
        <w:pStyle w:val="Heading1"/>
      </w:pPr>
      <w:r>
        <w:t xml:space="preserve">En el cuadro </w:t>
      </w:r>
      <w:r w:rsidR="00BA54CA" w:rsidRPr="00642AEE">
        <w:t xml:space="preserve">2 </w:t>
      </w:r>
      <w:r>
        <w:t>se presenta una</w:t>
      </w:r>
      <w:r w:rsidRPr="0057751C">
        <w:t xml:space="preserve"> evaluación de las emisiones directas acumuladas de la refrigeración (es decir, las emisiones de los refrigerantes utilizados en diferentes aplicaciones) en el «escenario de cumplimiento de Kigali» en seis grupos de aplicaciones, a saber, refrigeración de espacios residenciales, cadena de frío residencial, refrigeración de espacios no residenciales, cadena de frío no residencial, refrigeración de espacios de transporte y cadena de frío de transporte. También muestra la reducción de emisiones indirectas resultante de un menor consumo de energía, así como la correspondiente disminución de emisiones de toneladas de </w:t>
      </w:r>
      <w:r w:rsidR="005062B1" w:rsidRPr="00642AEE">
        <w:t>CO</w:t>
      </w:r>
      <w:r w:rsidR="005062B1" w:rsidRPr="00642AEE">
        <w:rPr>
          <w:vertAlign w:val="subscript"/>
        </w:rPr>
        <w:t>2</w:t>
      </w:r>
      <w:r w:rsidR="005062B1" w:rsidRPr="00642AEE">
        <w:noBreakHyphen/>
        <w:t>eq</w:t>
      </w:r>
      <w:r w:rsidR="005062B1" w:rsidRPr="0057751C">
        <w:t xml:space="preserve"> </w:t>
      </w:r>
      <w:r w:rsidRPr="0057751C">
        <w:t>en l</w:t>
      </w:r>
      <w:r w:rsidR="005062B1">
        <w:t xml:space="preserve">as hipótesis </w:t>
      </w:r>
      <w:r w:rsidRPr="0057751C">
        <w:t>«</w:t>
      </w:r>
      <w:proofErr w:type="spellStart"/>
      <w:r w:rsidRPr="0057751C">
        <w:t>B</w:t>
      </w:r>
      <w:r w:rsidR="00453942">
        <w:t>a</w:t>
      </w:r>
      <w:r w:rsidRPr="0057751C">
        <w:t>U</w:t>
      </w:r>
      <w:proofErr w:type="spellEnd"/>
      <w:r w:rsidRPr="0057751C">
        <w:t xml:space="preserve"> de </w:t>
      </w:r>
      <w:r w:rsidR="005062B1">
        <w:t>mejoras de la eficiencia en el consumo energético</w:t>
      </w:r>
      <w:r w:rsidRPr="0057751C">
        <w:t xml:space="preserve">» y «Mejor aumento de la eficiencia energética». La refrigeración de espacios residenciales, la refrigeración de espacios no residenciales, la cadena de frío no residencial y la refrigeración de espacios de transporte contribuyen a las </w:t>
      </w:r>
      <w:r w:rsidR="00B879AF">
        <w:t>mayor</w:t>
      </w:r>
      <w:r w:rsidR="00453942">
        <w:t>e</w:t>
      </w:r>
      <w:r w:rsidR="00B879AF">
        <w:t xml:space="preserve">s </w:t>
      </w:r>
      <w:r w:rsidRPr="0057751C">
        <w:t xml:space="preserve">emisiones directas acumuladas de HFC </w:t>
      </w:r>
      <w:r w:rsidR="00B879AF">
        <w:t>estimadas</w:t>
      </w:r>
      <w:r w:rsidRPr="0057751C">
        <w:t>. Los tres sectores de refrigeración espacial representan una proporción significativa de la capacidad de refrigeración instalada</w:t>
      </w:r>
      <w:r w:rsidR="00BA54CA" w:rsidRPr="00642AEE">
        <w:t>.</w:t>
      </w:r>
    </w:p>
    <w:p w14:paraId="27DAB6E1" w14:textId="77777777" w:rsidR="00BA54CA" w:rsidRPr="00C0407D" w:rsidRDefault="00B24DB6" w:rsidP="004035EC">
      <w:pPr>
        <w:keepNext/>
        <w:rPr>
          <w:rFonts w:asciiTheme="majorBidi" w:eastAsiaTheme="minorHAnsi" w:hAnsiTheme="majorBidi" w:cstheme="majorBidi"/>
          <w:b/>
          <w:bCs/>
          <w:lang w:val="fr-FR"/>
        </w:rPr>
      </w:pPr>
      <w:r w:rsidRPr="00C0407D">
        <w:rPr>
          <w:rFonts w:asciiTheme="majorBidi" w:eastAsiaTheme="minorHAnsi" w:hAnsiTheme="majorBidi" w:cstheme="majorBidi"/>
          <w:b/>
          <w:bCs/>
          <w:lang w:val="fr-FR"/>
        </w:rPr>
        <w:lastRenderedPageBreak/>
        <w:t>Cuadro</w:t>
      </w:r>
      <w:r w:rsidR="00BA54CA" w:rsidRPr="00C0407D">
        <w:rPr>
          <w:rFonts w:asciiTheme="majorBidi" w:eastAsiaTheme="minorHAnsi" w:hAnsiTheme="majorBidi" w:cstheme="majorBidi"/>
          <w:b/>
          <w:bCs/>
          <w:lang w:val="fr-FR"/>
        </w:rPr>
        <w:t xml:space="preserve"> 2. </w:t>
      </w:r>
      <w:proofErr w:type="spellStart"/>
      <w:r w:rsidR="00043FCC" w:rsidRPr="00C0407D">
        <w:rPr>
          <w:rFonts w:asciiTheme="majorBidi" w:eastAsiaTheme="minorHAnsi" w:hAnsiTheme="majorBidi" w:cstheme="majorBidi"/>
          <w:b/>
          <w:bCs/>
          <w:lang w:val="fr-FR"/>
        </w:rPr>
        <w:t>Emisiones</w:t>
      </w:r>
      <w:proofErr w:type="spellEnd"/>
      <w:r w:rsidR="00043FCC" w:rsidRPr="00C0407D">
        <w:rPr>
          <w:rFonts w:asciiTheme="majorBidi" w:eastAsiaTheme="minorHAnsi" w:hAnsiTheme="majorBidi" w:cstheme="majorBidi"/>
          <w:b/>
          <w:bCs/>
          <w:lang w:val="fr-FR"/>
        </w:rPr>
        <w:t xml:space="preserve"> </w:t>
      </w:r>
      <w:proofErr w:type="spellStart"/>
      <w:r w:rsidR="00043FCC" w:rsidRPr="00C0407D">
        <w:rPr>
          <w:rFonts w:asciiTheme="majorBidi" w:eastAsiaTheme="minorHAnsi" w:hAnsiTheme="majorBidi" w:cstheme="majorBidi"/>
          <w:b/>
          <w:bCs/>
          <w:lang w:val="fr-FR"/>
        </w:rPr>
        <w:t>directas</w:t>
      </w:r>
      <w:proofErr w:type="spellEnd"/>
      <w:r w:rsidR="00043FCC" w:rsidRPr="00C0407D">
        <w:rPr>
          <w:rFonts w:asciiTheme="majorBidi" w:eastAsiaTheme="minorHAnsi" w:hAnsiTheme="majorBidi" w:cstheme="majorBidi"/>
          <w:b/>
          <w:bCs/>
          <w:lang w:val="fr-FR"/>
        </w:rPr>
        <w:t xml:space="preserve"> </w:t>
      </w:r>
      <w:proofErr w:type="spellStart"/>
      <w:r w:rsidR="00043FCC" w:rsidRPr="00C0407D">
        <w:rPr>
          <w:rFonts w:asciiTheme="majorBidi" w:eastAsiaTheme="minorHAnsi" w:hAnsiTheme="majorBidi" w:cstheme="majorBidi"/>
          <w:b/>
          <w:bCs/>
          <w:lang w:val="fr-FR"/>
        </w:rPr>
        <w:t>acumuladas</w:t>
      </w:r>
      <w:proofErr w:type="spellEnd"/>
      <w:r w:rsidR="00043FCC" w:rsidRPr="00C0407D">
        <w:rPr>
          <w:rFonts w:asciiTheme="majorBidi" w:eastAsiaTheme="minorHAnsi" w:hAnsiTheme="majorBidi" w:cstheme="majorBidi"/>
          <w:b/>
          <w:bCs/>
          <w:lang w:val="fr-FR"/>
        </w:rPr>
        <w:t xml:space="preserve"> </w:t>
      </w:r>
      <w:proofErr w:type="spellStart"/>
      <w:r w:rsidR="00043FCC" w:rsidRPr="00C0407D">
        <w:rPr>
          <w:rFonts w:asciiTheme="majorBidi" w:eastAsiaTheme="minorHAnsi" w:hAnsiTheme="majorBidi" w:cstheme="majorBidi"/>
          <w:b/>
          <w:bCs/>
          <w:lang w:val="fr-FR"/>
        </w:rPr>
        <w:t>por</w:t>
      </w:r>
      <w:proofErr w:type="spellEnd"/>
      <w:r w:rsidR="00043FCC" w:rsidRPr="00C0407D">
        <w:rPr>
          <w:rFonts w:asciiTheme="majorBidi" w:eastAsiaTheme="minorHAnsi" w:hAnsiTheme="majorBidi" w:cstheme="majorBidi"/>
          <w:b/>
          <w:bCs/>
          <w:lang w:val="fr-FR"/>
        </w:rPr>
        <w:t xml:space="preserve"> </w:t>
      </w:r>
      <w:proofErr w:type="spellStart"/>
      <w:r w:rsidR="00043FCC" w:rsidRPr="00C0407D">
        <w:rPr>
          <w:rFonts w:asciiTheme="majorBidi" w:eastAsiaTheme="minorHAnsi" w:hAnsiTheme="majorBidi" w:cstheme="majorBidi"/>
          <w:b/>
          <w:bCs/>
          <w:lang w:val="fr-FR"/>
        </w:rPr>
        <w:t>refrigeración</w:t>
      </w:r>
      <w:proofErr w:type="spellEnd"/>
      <w:r w:rsidR="00043FCC" w:rsidRPr="00C0407D">
        <w:rPr>
          <w:rFonts w:asciiTheme="majorBidi" w:eastAsiaTheme="minorHAnsi" w:hAnsiTheme="majorBidi" w:cstheme="majorBidi"/>
          <w:b/>
          <w:bCs/>
          <w:lang w:val="fr-FR"/>
        </w:rPr>
        <w:t xml:space="preserve"> de 2024 </w:t>
      </w:r>
      <w:proofErr w:type="spellStart"/>
      <w:proofErr w:type="gramStart"/>
      <w:r w:rsidR="00043FCC" w:rsidRPr="00C0407D">
        <w:rPr>
          <w:rFonts w:asciiTheme="majorBidi" w:eastAsiaTheme="minorHAnsi" w:hAnsiTheme="majorBidi" w:cstheme="majorBidi"/>
          <w:b/>
          <w:bCs/>
          <w:lang w:val="fr-FR"/>
        </w:rPr>
        <w:t>a</w:t>
      </w:r>
      <w:proofErr w:type="spellEnd"/>
      <w:proofErr w:type="gramEnd"/>
      <w:r w:rsidR="00BA54CA" w:rsidRPr="00C0407D">
        <w:rPr>
          <w:rFonts w:asciiTheme="majorBidi" w:eastAsiaTheme="minorHAnsi" w:hAnsiTheme="majorBidi" w:cstheme="majorBidi"/>
          <w:b/>
          <w:bCs/>
          <w:lang w:val="fr-FR"/>
        </w:rPr>
        <w:t xml:space="preserve"> 2050</w:t>
      </w:r>
    </w:p>
    <w:tbl>
      <w:tblPr>
        <w:tblW w:w="5303"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1028"/>
        <w:gridCol w:w="1138"/>
        <w:gridCol w:w="1094"/>
        <w:gridCol w:w="1094"/>
        <w:gridCol w:w="1094"/>
        <w:gridCol w:w="1094"/>
      </w:tblGrid>
      <w:tr w:rsidR="00CE00F5" w:rsidRPr="00642AEE" w14:paraId="6D94CF9C" w14:textId="77777777" w:rsidTr="00EA601C">
        <w:trPr>
          <w:trHeight w:val="300"/>
        </w:trPr>
        <w:tc>
          <w:tcPr>
            <w:tcW w:w="1780" w:type="pct"/>
            <w:shd w:val="clear" w:color="auto" w:fill="auto"/>
            <w:noWrap/>
          </w:tcPr>
          <w:p w14:paraId="0CA68DB7" w14:textId="77777777" w:rsidR="00BA54CA" w:rsidRPr="00642AEE" w:rsidRDefault="00BA54CA" w:rsidP="004035EC">
            <w:pPr>
              <w:keepNext/>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Particular</w:t>
            </w:r>
            <w:r w:rsidR="00043FCC">
              <w:rPr>
                <w:rFonts w:asciiTheme="majorBidi" w:hAnsiTheme="majorBidi" w:cstheme="majorBidi"/>
                <w:b/>
                <w:bCs/>
                <w:sz w:val="20"/>
                <w:szCs w:val="20"/>
                <w:lang w:eastAsia="en-CA"/>
              </w:rPr>
              <w:t>e</w:t>
            </w:r>
            <w:r w:rsidRPr="00642AEE">
              <w:rPr>
                <w:rFonts w:asciiTheme="majorBidi" w:hAnsiTheme="majorBidi" w:cstheme="majorBidi"/>
                <w:b/>
                <w:bCs/>
                <w:sz w:val="20"/>
                <w:szCs w:val="20"/>
                <w:lang w:eastAsia="en-CA"/>
              </w:rPr>
              <w:t>s</w:t>
            </w:r>
            <w:r w:rsidRPr="00642AEE">
              <w:rPr>
                <w:rStyle w:val="FootnoteReference"/>
                <w:rFonts w:asciiTheme="majorBidi" w:hAnsiTheme="majorBidi" w:cstheme="majorBidi"/>
                <w:b/>
                <w:bCs/>
                <w:sz w:val="20"/>
                <w:szCs w:val="20"/>
                <w:lang w:eastAsia="en-CA"/>
              </w:rPr>
              <w:footnoteReference w:id="24"/>
            </w:r>
          </w:p>
        </w:tc>
        <w:tc>
          <w:tcPr>
            <w:tcW w:w="1066" w:type="pct"/>
            <w:gridSpan w:val="2"/>
            <w:shd w:val="clear" w:color="auto" w:fill="auto"/>
          </w:tcPr>
          <w:p w14:paraId="6C974CE4" w14:textId="77777777" w:rsidR="00BA54CA" w:rsidRPr="00642AEE" w:rsidRDefault="00043FCC" w:rsidP="00043FCC">
            <w:pPr>
              <w:keepNext/>
              <w:jc w:val="center"/>
              <w:rPr>
                <w:rFonts w:asciiTheme="majorBidi" w:eastAsiaTheme="minorHAnsi" w:hAnsiTheme="majorBidi" w:cstheme="majorBidi"/>
                <w:b/>
                <w:bCs/>
                <w:sz w:val="20"/>
                <w:szCs w:val="20"/>
              </w:rPr>
            </w:pPr>
            <w:r>
              <w:rPr>
                <w:rFonts w:asciiTheme="majorBidi" w:eastAsiaTheme="minorHAnsi" w:hAnsiTheme="majorBidi" w:cstheme="majorBidi"/>
                <w:b/>
                <w:bCs/>
                <w:sz w:val="20"/>
                <w:szCs w:val="20"/>
              </w:rPr>
              <w:t xml:space="preserve">Conformidad con </w:t>
            </w:r>
            <w:r w:rsidR="00BA54CA" w:rsidRPr="00642AEE">
              <w:rPr>
                <w:rFonts w:asciiTheme="majorBidi" w:eastAsiaTheme="minorHAnsi" w:hAnsiTheme="majorBidi" w:cstheme="majorBidi"/>
                <w:b/>
                <w:bCs/>
                <w:sz w:val="20"/>
                <w:szCs w:val="20"/>
              </w:rPr>
              <w:t>Kigali</w:t>
            </w:r>
          </w:p>
        </w:tc>
        <w:tc>
          <w:tcPr>
            <w:tcW w:w="1077" w:type="pct"/>
            <w:gridSpan w:val="2"/>
            <w:shd w:val="clear" w:color="auto" w:fill="auto"/>
          </w:tcPr>
          <w:p w14:paraId="036DB580" w14:textId="77777777" w:rsidR="00BA54CA" w:rsidRPr="00642AEE" w:rsidRDefault="00BA54CA" w:rsidP="00935097">
            <w:pPr>
              <w:keepNext/>
              <w:jc w:val="center"/>
              <w:rPr>
                <w:rFonts w:asciiTheme="majorBidi" w:eastAsiaTheme="minorHAnsi" w:hAnsiTheme="majorBidi" w:cstheme="majorBidi"/>
                <w:b/>
                <w:bCs/>
                <w:sz w:val="20"/>
                <w:szCs w:val="20"/>
              </w:rPr>
            </w:pPr>
            <w:r w:rsidRPr="00642AEE">
              <w:rPr>
                <w:rFonts w:asciiTheme="majorBidi" w:hAnsiTheme="majorBidi" w:cstheme="majorBidi"/>
                <w:b/>
                <w:bCs/>
                <w:sz w:val="20"/>
                <w:szCs w:val="20"/>
                <w:lang w:eastAsia="en-CA"/>
              </w:rPr>
              <w:t>C</w:t>
            </w:r>
            <w:r w:rsidR="00043FCC">
              <w:rPr>
                <w:rFonts w:asciiTheme="majorBidi" w:hAnsiTheme="majorBidi" w:cstheme="majorBidi"/>
                <w:b/>
                <w:bCs/>
                <w:sz w:val="20"/>
                <w:szCs w:val="20"/>
                <w:lang w:eastAsia="en-CA"/>
              </w:rPr>
              <w:t>onsumo de energía acumulado</w:t>
            </w:r>
            <w:r w:rsidRPr="00642AEE">
              <w:rPr>
                <w:rFonts w:asciiTheme="majorBidi" w:hAnsiTheme="majorBidi" w:cstheme="majorBidi"/>
                <w:b/>
                <w:bCs/>
                <w:sz w:val="20"/>
                <w:szCs w:val="20"/>
                <w:lang w:eastAsia="en-CA"/>
              </w:rPr>
              <w:t xml:space="preserve">, 2024 </w:t>
            </w:r>
            <w:r w:rsidR="00043FCC">
              <w:rPr>
                <w:rFonts w:asciiTheme="majorBidi" w:hAnsiTheme="majorBidi" w:cstheme="majorBidi"/>
                <w:b/>
                <w:bCs/>
                <w:sz w:val="20"/>
                <w:szCs w:val="20"/>
                <w:lang w:eastAsia="en-CA"/>
              </w:rPr>
              <w:t>a</w:t>
            </w:r>
            <w:r w:rsidRPr="00642AEE">
              <w:rPr>
                <w:rFonts w:asciiTheme="majorBidi" w:hAnsiTheme="majorBidi" w:cstheme="majorBidi"/>
                <w:b/>
                <w:bCs/>
                <w:sz w:val="20"/>
                <w:szCs w:val="20"/>
                <w:lang w:eastAsia="en-CA"/>
              </w:rPr>
              <w:t xml:space="preserve"> 2050 (</w:t>
            </w:r>
            <w:r w:rsidR="00935097">
              <w:rPr>
                <w:rFonts w:asciiTheme="majorBidi" w:hAnsiTheme="majorBidi" w:cstheme="majorBidi"/>
                <w:b/>
                <w:bCs/>
                <w:sz w:val="20"/>
                <w:szCs w:val="20"/>
                <w:lang w:eastAsia="en-CA"/>
              </w:rPr>
              <w:t>en miles de</w:t>
            </w:r>
            <w:r w:rsidRPr="00642AEE">
              <w:rPr>
                <w:rFonts w:asciiTheme="majorBidi" w:hAnsiTheme="majorBidi" w:cstheme="majorBidi"/>
                <w:b/>
                <w:bCs/>
                <w:sz w:val="20"/>
                <w:szCs w:val="20"/>
                <w:lang w:eastAsia="en-CA"/>
              </w:rPr>
              <w:t xml:space="preserve"> TWh)</w:t>
            </w:r>
          </w:p>
        </w:tc>
        <w:tc>
          <w:tcPr>
            <w:tcW w:w="1077" w:type="pct"/>
            <w:gridSpan w:val="2"/>
            <w:tcBorders>
              <w:bottom w:val="single" w:sz="4" w:space="0" w:color="auto"/>
            </w:tcBorders>
          </w:tcPr>
          <w:p w14:paraId="22D8ADEB" w14:textId="77777777" w:rsidR="00BA54CA" w:rsidRPr="00642AEE" w:rsidRDefault="00935097" w:rsidP="00935097">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Emisiones indirectas acumuladas</w:t>
            </w:r>
            <w:r w:rsidR="00BA54CA" w:rsidRPr="00642AEE">
              <w:rPr>
                <w:rFonts w:asciiTheme="majorBidi" w:hAnsiTheme="majorBidi" w:cstheme="majorBidi"/>
                <w:b/>
                <w:bCs/>
                <w:sz w:val="20"/>
                <w:szCs w:val="20"/>
                <w:lang w:eastAsia="en-CA"/>
              </w:rPr>
              <w:t xml:space="preserve">, 2024 </w:t>
            </w:r>
            <w:r>
              <w:rPr>
                <w:rFonts w:asciiTheme="majorBidi" w:hAnsiTheme="majorBidi" w:cstheme="majorBidi"/>
                <w:b/>
                <w:bCs/>
                <w:sz w:val="20"/>
                <w:szCs w:val="20"/>
                <w:lang w:eastAsia="en-CA"/>
              </w:rPr>
              <w:t>a</w:t>
            </w:r>
            <w:r w:rsidR="00BA54CA" w:rsidRPr="00642AEE">
              <w:rPr>
                <w:rFonts w:asciiTheme="majorBidi" w:hAnsiTheme="majorBidi" w:cstheme="majorBidi"/>
                <w:b/>
                <w:bCs/>
                <w:sz w:val="20"/>
                <w:szCs w:val="20"/>
                <w:lang w:eastAsia="en-CA"/>
              </w:rPr>
              <w:t xml:space="preserve"> 2050 (mil</w:t>
            </w:r>
            <w:r>
              <w:rPr>
                <w:rFonts w:asciiTheme="majorBidi" w:hAnsiTheme="majorBidi" w:cstheme="majorBidi"/>
                <w:b/>
                <w:bCs/>
                <w:sz w:val="20"/>
                <w:szCs w:val="20"/>
                <w:lang w:eastAsia="en-CA"/>
              </w:rPr>
              <w:t>lones de toneladas</w:t>
            </w:r>
            <w:r w:rsidR="00BA54CA" w:rsidRPr="00642AEE">
              <w:rPr>
                <w:rFonts w:asciiTheme="majorBidi" w:hAnsiTheme="majorBidi" w:cstheme="majorBidi"/>
                <w:b/>
                <w:bCs/>
                <w:sz w:val="20"/>
                <w:szCs w:val="20"/>
                <w:lang w:eastAsia="en-CA"/>
              </w:rPr>
              <w:t xml:space="preserve"> CO</w:t>
            </w:r>
            <w:r w:rsidR="00BA54CA" w:rsidRPr="00642AEE">
              <w:rPr>
                <w:rFonts w:asciiTheme="majorBidi" w:hAnsiTheme="majorBidi" w:cstheme="majorBidi"/>
                <w:b/>
                <w:bCs/>
                <w:sz w:val="20"/>
                <w:szCs w:val="20"/>
                <w:vertAlign w:val="subscript"/>
                <w:lang w:eastAsia="en-CA"/>
              </w:rPr>
              <w:t>2</w:t>
            </w:r>
            <w:r>
              <w:rPr>
                <w:rFonts w:asciiTheme="majorBidi" w:hAnsiTheme="majorBidi" w:cstheme="majorBidi"/>
                <w:b/>
                <w:bCs/>
                <w:sz w:val="20"/>
                <w:szCs w:val="20"/>
                <w:lang w:eastAsia="en-CA"/>
              </w:rPr>
              <w:t>-eq</w:t>
            </w:r>
            <w:r w:rsidR="00BA54CA" w:rsidRPr="00642AEE">
              <w:rPr>
                <w:rFonts w:asciiTheme="majorBidi" w:hAnsiTheme="majorBidi" w:cstheme="majorBidi"/>
                <w:b/>
                <w:bCs/>
                <w:sz w:val="20"/>
                <w:szCs w:val="20"/>
                <w:lang w:eastAsia="en-CA"/>
              </w:rPr>
              <w:t>)</w:t>
            </w:r>
          </w:p>
        </w:tc>
      </w:tr>
      <w:tr w:rsidR="00CE00F5" w:rsidRPr="00642AEE" w14:paraId="579B6B04" w14:textId="77777777" w:rsidTr="00EA601C">
        <w:trPr>
          <w:trHeight w:val="300"/>
        </w:trPr>
        <w:tc>
          <w:tcPr>
            <w:tcW w:w="1780" w:type="pct"/>
            <w:shd w:val="clear" w:color="auto" w:fill="auto"/>
            <w:noWrap/>
          </w:tcPr>
          <w:p w14:paraId="00ED7934" w14:textId="77777777" w:rsidR="00BA54CA" w:rsidRPr="00642AEE" w:rsidRDefault="00BA54CA" w:rsidP="004035EC">
            <w:pPr>
              <w:rPr>
                <w:rFonts w:asciiTheme="majorBidi" w:hAnsiTheme="majorBidi" w:cstheme="majorBidi"/>
                <w:b/>
                <w:bCs/>
                <w:sz w:val="20"/>
                <w:szCs w:val="20"/>
                <w:lang w:eastAsia="en-CA"/>
              </w:rPr>
            </w:pPr>
          </w:p>
        </w:tc>
        <w:tc>
          <w:tcPr>
            <w:tcW w:w="506" w:type="pct"/>
            <w:shd w:val="clear" w:color="auto" w:fill="auto"/>
          </w:tcPr>
          <w:p w14:paraId="314F782A" w14:textId="77777777" w:rsidR="00BA54CA" w:rsidRPr="00642AEE" w:rsidRDefault="00935097" w:rsidP="004035EC">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 xml:space="preserve">Miles de </w:t>
            </w:r>
            <w:proofErr w:type="spellStart"/>
            <w:r>
              <w:rPr>
                <w:rFonts w:asciiTheme="majorBidi" w:hAnsiTheme="majorBidi" w:cstheme="majorBidi"/>
                <w:b/>
                <w:bCs/>
                <w:sz w:val="20"/>
                <w:szCs w:val="20"/>
                <w:lang w:val="fr-FR" w:eastAsia="en-CA"/>
              </w:rPr>
              <w:t>millones</w:t>
            </w:r>
            <w:proofErr w:type="spellEnd"/>
            <w:r>
              <w:rPr>
                <w:rFonts w:asciiTheme="majorBidi" w:hAnsiTheme="majorBidi" w:cstheme="majorBidi"/>
                <w:b/>
                <w:bCs/>
                <w:sz w:val="20"/>
                <w:szCs w:val="20"/>
                <w:lang w:val="fr-FR" w:eastAsia="en-CA"/>
              </w:rPr>
              <w:t xml:space="preserve"> de </w:t>
            </w:r>
            <w:proofErr w:type="spellStart"/>
            <w:r>
              <w:rPr>
                <w:rFonts w:asciiTheme="majorBidi" w:hAnsiTheme="majorBidi" w:cstheme="majorBidi"/>
                <w:b/>
                <w:bCs/>
                <w:sz w:val="20"/>
                <w:szCs w:val="20"/>
                <w:lang w:val="fr-FR" w:eastAsia="en-CA"/>
              </w:rPr>
              <w:t>toneladas</w:t>
            </w:r>
            <w:proofErr w:type="spellEnd"/>
            <w:r w:rsidR="00BA54CA" w:rsidRPr="00642AEE">
              <w:rPr>
                <w:rFonts w:asciiTheme="majorBidi" w:hAnsiTheme="majorBidi" w:cstheme="majorBidi"/>
                <w:b/>
                <w:bCs/>
                <w:sz w:val="20"/>
                <w:szCs w:val="20"/>
                <w:lang w:val="fr-FR" w:eastAsia="en-CA"/>
              </w:rPr>
              <w:t xml:space="preserve"> </w:t>
            </w:r>
          </w:p>
          <w:p w14:paraId="50C1A68B" w14:textId="77777777" w:rsidR="00BA54CA" w:rsidRPr="00642AEE" w:rsidRDefault="00BA54CA" w:rsidP="004035EC">
            <w:pPr>
              <w:jc w:val="center"/>
              <w:rPr>
                <w:rFonts w:asciiTheme="majorBidi" w:eastAsiaTheme="minorHAnsi" w:hAnsiTheme="majorBidi" w:cstheme="majorBidi"/>
                <w:b/>
                <w:bCs/>
                <w:sz w:val="20"/>
                <w:szCs w:val="20"/>
                <w:lang w:val="fr-FR"/>
              </w:rPr>
            </w:pPr>
            <w:r w:rsidRPr="00642AEE">
              <w:rPr>
                <w:rFonts w:asciiTheme="majorBidi" w:hAnsiTheme="majorBidi" w:cstheme="majorBidi"/>
                <w:b/>
                <w:bCs/>
                <w:sz w:val="20"/>
                <w:szCs w:val="20"/>
                <w:lang w:val="fr-FR" w:eastAsia="en-CA"/>
              </w:rPr>
              <w:t>CO</w:t>
            </w:r>
            <w:r w:rsidRPr="00642AEE">
              <w:rPr>
                <w:rFonts w:asciiTheme="majorBidi" w:hAnsiTheme="majorBidi" w:cstheme="majorBidi"/>
                <w:b/>
                <w:bCs/>
                <w:sz w:val="20"/>
                <w:szCs w:val="20"/>
                <w:vertAlign w:val="subscript"/>
                <w:lang w:val="fr-FR" w:eastAsia="en-CA"/>
              </w:rPr>
              <w:t>2</w:t>
            </w:r>
            <w:r w:rsidRPr="00642AEE">
              <w:rPr>
                <w:rFonts w:asciiTheme="majorBidi" w:hAnsiTheme="majorBidi" w:cstheme="majorBidi"/>
                <w:b/>
                <w:bCs/>
                <w:sz w:val="20"/>
                <w:szCs w:val="20"/>
                <w:lang w:val="fr-FR" w:eastAsia="en-CA"/>
              </w:rPr>
              <w:t xml:space="preserve">-eq </w:t>
            </w:r>
          </w:p>
        </w:tc>
        <w:tc>
          <w:tcPr>
            <w:tcW w:w="560" w:type="pct"/>
          </w:tcPr>
          <w:p w14:paraId="301F0C2F" w14:textId="77777777" w:rsidR="00BA54CA" w:rsidRPr="00642AEE" w:rsidRDefault="00935097" w:rsidP="004035EC">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Porcentaje del total</w:t>
            </w:r>
            <w:r w:rsidR="00BA54CA" w:rsidRPr="00642AEE">
              <w:rPr>
                <w:rFonts w:asciiTheme="majorBidi" w:hAnsiTheme="majorBidi" w:cstheme="majorBidi"/>
                <w:b/>
                <w:bCs/>
                <w:sz w:val="20"/>
                <w:szCs w:val="20"/>
                <w:lang w:eastAsia="en-CA"/>
              </w:rPr>
              <w:t xml:space="preserve"> (%)</w:t>
            </w:r>
          </w:p>
        </w:tc>
        <w:tc>
          <w:tcPr>
            <w:tcW w:w="539" w:type="pct"/>
            <w:shd w:val="clear" w:color="auto" w:fill="auto"/>
          </w:tcPr>
          <w:p w14:paraId="3223359A" w14:textId="77777777" w:rsidR="00BA54CA" w:rsidRPr="00642AEE" w:rsidRDefault="00935097" w:rsidP="00AE688D">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 xml:space="preserve">Escenario de aumento de la eficiencia </w:t>
            </w:r>
            <w:r w:rsidR="002F5742">
              <w:rPr>
                <w:rFonts w:asciiTheme="majorBidi" w:hAnsiTheme="majorBidi" w:cstheme="majorBidi"/>
                <w:b/>
                <w:bCs/>
                <w:sz w:val="20"/>
                <w:szCs w:val="20"/>
                <w:lang w:eastAsia="en-CA"/>
              </w:rPr>
              <w:t>energ</w:t>
            </w:r>
            <w:r w:rsidR="00AE688D">
              <w:rPr>
                <w:rFonts w:asciiTheme="majorBidi" w:hAnsiTheme="majorBidi" w:cstheme="majorBidi"/>
                <w:b/>
                <w:bCs/>
                <w:sz w:val="20"/>
                <w:szCs w:val="20"/>
                <w:lang w:eastAsia="en-CA"/>
              </w:rPr>
              <w:t>é</w:t>
            </w:r>
            <w:r w:rsidR="002F5742">
              <w:rPr>
                <w:rFonts w:asciiTheme="majorBidi" w:hAnsiTheme="majorBidi" w:cstheme="majorBidi"/>
                <w:b/>
                <w:bCs/>
                <w:sz w:val="20"/>
                <w:szCs w:val="20"/>
                <w:lang w:eastAsia="en-CA"/>
              </w:rPr>
              <w:t>tic</w:t>
            </w:r>
            <w:r w:rsidR="00AE688D">
              <w:rPr>
                <w:rFonts w:asciiTheme="majorBidi" w:hAnsiTheme="majorBidi" w:cstheme="majorBidi"/>
                <w:b/>
                <w:bCs/>
                <w:sz w:val="20"/>
                <w:szCs w:val="20"/>
                <w:lang w:eastAsia="en-CA"/>
              </w:rPr>
              <w:t>a</w:t>
            </w:r>
            <w:r w:rsidR="002F5742">
              <w:rPr>
                <w:rFonts w:asciiTheme="majorBidi" w:hAnsiTheme="majorBidi" w:cstheme="majorBidi"/>
                <w:b/>
                <w:bCs/>
                <w:sz w:val="20"/>
                <w:szCs w:val="20"/>
                <w:lang w:eastAsia="en-CA"/>
              </w:rPr>
              <w:t xml:space="preserve"> </w:t>
            </w:r>
            <w:proofErr w:type="spellStart"/>
            <w:r w:rsidR="002F5742">
              <w:rPr>
                <w:rFonts w:asciiTheme="majorBidi" w:hAnsiTheme="majorBidi" w:cstheme="majorBidi"/>
                <w:b/>
                <w:bCs/>
                <w:sz w:val="20"/>
                <w:szCs w:val="20"/>
                <w:lang w:eastAsia="en-CA"/>
              </w:rPr>
              <w:t>BaU</w:t>
            </w:r>
            <w:proofErr w:type="spellEnd"/>
          </w:p>
        </w:tc>
        <w:tc>
          <w:tcPr>
            <w:tcW w:w="539" w:type="pct"/>
            <w:tcBorders>
              <w:right w:val="single" w:sz="4" w:space="0" w:color="auto"/>
            </w:tcBorders>
            <w:shd w:val="clear" w:color="auto" w:fill="auto"/>
          </w:tcPr>
          <w:p w14:paraId="0BCC1636" w14:textId="77777777" w:rsidR="00BA54CA" w:rsidRPr="00642AEE" w:rsidRDefault="00935097" w:rsidP="00935097">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Mejor escenario de aumento de la eficiencia energética</w:t>
            </w:r>
          </w:p>
        </w:tc>
        <w:tc>
          <w:tcPr>
            <w:tcW w:w="539" w:type="pct"/>
            <w:tcBorders>
              <w:bottom w:val="single" w:sz="4" w:space="0" w:color="auto"/>
            </w:tcBorders>
            <w:shd w:val="clear" w:color="auto" w:fill="auto"/>
          </w:tcPr>
          <w:p w14:paraId="2F7CD11D" w14:textId="77777777" w:rsidR="00BA54CA" w:rsidRPr="00642AEE" w:rsidRDefault="00935097" w:rsidP="00AE688D">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 xml:space="preserve">Escenario de aumento de la eficiencia </w:t>
            </w:r>
            <w:r w:rsidR="002F5742">
              <w:rPr>
                <w:rFonts w:asciiTheme="majorBidi" w:hAnsiTheme="majorBidi" w:cstheme="majorBidi"/>
                <w:b/>
                <w:bCs/>
                <w:sz w:val="20"/>
                <w:szCs w:val="20"/>
                <w:lang w:eastAsia="en-CA"/>
              </w:rPr>
              <w:t>energ</w:t>
            </w:r>
            <w:r w:rsidR="00AE688D">
              <w:rPr>
                <w:rFonts w:asciiTheme="majorBidi" w:hAnsiTheme="majorBidi" w:cstheme="majorBidi"/>
                <w:b/>
                <w:bCs/>
                <w:sz w:val="20"/>
                <w:szCs w:val="20"/>
                <w:lang w:eastAsia="en-CA"/>
              </w:rPr>
              <w:t>é</w:t>
            </w:r>
            <w:r w:rsidR="002F5742">
              <w:rPr>
                <w:rFonts w:asciiTheme="majorBidi" w:hAnsiTheme="majorBidi" w:cstheme="majorBidi"/>
                <w:b/>
                <w:bCs/>
                <w:sz w:val="20"/>
                <w:szCs w:val="20"/>
                <w:lang w:eastAsia="en-CA"/>
              </w:rPr>
              <w:t>tic</w:t>
            </w:r>
            <w:r w:rsidR="00AE688D">
              <w:rPr>
                <w:rFonts w:asciiTheme="majorBidi" w:hAnsiTheme="majorBidi" w:cstheme="majorBidi"/>
                <w:b/>
                <w:bCs/>
                <w:sz w:val="20"/>
                <w:szCs w:val="20"/>
                <w:lang w:eastAsia="en-CA"/>
              </w:rPr>
              <w:t>a</w:t>
            </w:r>
            <w:r w:rsidR="002F5742">
              <w:rPr>
                <w:rFonts w:asciiTheme="majorBidi" w:hAnsiTheme="majorBidi" w:cstheme="majorBidi"/>
                <w:b/>
                <w:bCs/>
                <w:sz w:val="20"/>
                <w:szCs w:val="20"/>
                <w:lang w:eastAsia="en-CA"/>
              </w:rPr>
              <w:t xml:space="preserve"> </w:t>
            </w:r>
            <w:proofErr w:type="spellStart"/>
            <w:r w:rsidR="002F5742" w:rsidRPr="00642AEE">
              <w:rPr>
                <w:rFonts w:asciiTheme="majorBidi" w:hAnsiTheme="majorBidi" w:cstheme="majorBidi"/>
                <w:b/>
                <w:bCs/>
                <w:sz w:val="20"/>
                <w:szCs w:val="20"/>
                <w:lang w:eastAsia="en-CA"/>
              </w:rPr>
              <w:t>B</w:t>
            </w:r>
            <w:r w:rsidR="002F5742">
              <w:rPr>
                <w:rFonts w:asciiTheme="majorBidi" w:hAnsiTheme="majorBidi" w:cstheme="majorBidi"/>
                <w:b/>
                <w:bCs/>
                <w:sz w:val="20"/>
                <w:szCs w:val="20"/>
                <w:lang w:eastAsia="en-CA"/>
              </w:rPr>
              <w:t>a</w:t>
            </w:r>
            <w:r w:rsidR="002F5742" w:rsidRPr="00642AEE">
              <w:rPr>
                <w:rFonts w:asciiTheme="majorBidi" w:hAnsiTheme="majorBidi" w:cstheme="majorBidi"/>
                <w:b/>
                <w:bCs/>
                <w:sz w:val="20"/>
                <w:szCs w:val="20"/>
                <w:lang w:eastAsia="en-CA"/>
              </w:rPr>
              <w:t>U</w:t>
            </w:r>
            <w:proofErr w:type="spellEnd"/>
          </w:p>
        </w:tc>
        <w:tc>
          <w:tcPr>
            <w:tcW w:w="539" w:type="pct"/>
            <w:tcBorders>
              <w:bottom w:val="single" w:sz="4" w:space="0" w:color="auto"/>
            </w:tcBorders>
            <w:shd w:val="clear" w:color="auto" w:fill="auto"/>
          </w:tcPr>
          <w:p w14:paraId="626F018D" w14:textId="77777777" w:rsidR="00BA54CA" w:rsidRPr="00642AEE" w:rsidRDefault="00935097" w:rsidP="004035EC">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Mejor escenario de aumento de la eficiencia energética</w:t>
            </w:r>
          </w:p>
        </w:tc>
      </w:tr>
      <w:tr w:rsidR="00CE00F5" w:rsidRPr="00642AEE" w14:paraId="1B209175" w14:textId="77777777" w:rsidTr="00EA601C">
        <w:trPr>
          <w:trHeight w:val="235"/>
        </w:trPr>
        <w:tc>
          <w:tcPr>
            <w:tcW w:w="1780" w:type="pct"/>
            <w:shd w:val="clear" w:color="auto" w:fill="D9D9D9" w:themeFill="background1" w:themeFillShade="D9"/>
            <w:noWrap/>
            <w:hideMark/>
          </w:tcPr>
          <w:p w14:paraId="00656EC5" w14:textId="77777777" w:rsidR="00BA54CA" w:rsidRPr="00642AEE" w:rsidRDefault="00BA54CA" w:rsidP="00935097">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Re</w:t>
            </w:r>
            <w:r w:rsidR="00935097">
              <w:rPr>
                <w:rFonts w:asciiTheme="majorBidi" w:hAnsiTheme="majorBidi" w:cstheme="majorBidi"/>
                <w:sz w:val="20"/>
                <w:szCs w:val="20"/>
                <w:lang w:eastAsia="en-CA"/>
              </w:rPr>
              <w:t>frigeración de espacios re</w:t>
            </w:r>
            <w:r w:rsidRPr="00642AEE">
              <w:rPr>
                <w:rFonts w:asciiTheme="majorBidi" w:hAnsiTheme="majorBidi" w:cstheme="majorBidi"/>
                <w:sz w:val="20"/>
                <w:szCs w:val="20"/>
                <w:lang w:eastAsia="en-CA"/>
              </w:rPr>
              <w:t>siden</w:t>
            </w:r>
            <w:r w:rsidR="00935097">
              <w:rPr>
                <w:rFonts w:asciiTheme="majorBidi" w:hAnsiTheme="majorBidi" w:cstheme="majorBidi"/>
                <w:sz w:val="20"/>
                <w:szCs w:val="20"/>
                <w:lang w:eastAsia="en-CA"/>
              </w:rPr>
              <w:t>ciales</w:t>
            </w:r>
          </w:p>
        </w:tc>
        <w:tc>
          <w:tcPr>
            <w:tcW w:w="506" w:type="pct"/>
            <w:shd w:val="clear" w:color="auto" w:fill="auto"/>
            <w:vAlign w:val="bottom"/>
          </w:tcPr>
          <w:p w14:paraId="4E5727C6" w14:textId="77777777" w:rsidR="00BA54CA" w:rsidRPr="00642AEE" w:rsidRDefault="00BA54CA" w:rsidP="00935097">
            <w:pPr>
              <w:jc w:val="right"/>
              <w:rPr>
                <w:rFonts w:asciiTheme="majorBidi" w:hAnsiTheme="majorBidi" w:cstheme="majorBidi"/>
                <w:sz w:val="20"/>
                <w:szCs w:val="20"/>
                <w:lang w:eastAsia="en-CA"/>
              </w:rPr>
            </w:pPr>
            <w:r w:rsidRPr="00642AEE">
              <w:rPr>
                <w:rFonts w:asciiTheme="majorBidi" w:hAnsiTheme="majorBidi" w:cstheme="majorBidi"/>
                <w:sz w:val="20"/>
                <w:szCs w:val="20"/>
              </w:rPr>
              <w:t>831</w:t>
            </w:r>
            <w:r w:rsidR="00935097">
              <w:rPr>
                <w:rFonts w:asciiTheme="majorBidi" w:hAnsiTheme="majorBidi" w:cstheme="majorBidi"/>
                <w:sz w:val="20"/>
                <w:szCs w:val="20"/>
              </w:rPr>
              <w:t>0</w:t>
            </w:r>
          </w:p>
        </w:tc>
        <w:tc>
          <w:tcPr>
            <w:tcW w:w="560" w:type="pct"/>
            <w:shd w:val="clear" w:color="auto" w:fill="D9D9D9" w:themeFill="background1" w:themeFillShade="D9"/>
            <w:vAlign w:val="bottom"/>
          </w:tcPr>
          <w:p w14:paraId="009DB738" w14:textId="77777777" w:rsidR="00BA54CA" w:rsidRPr="00642AEE" w:rsidRDefault="00BA54CA" w:rsidP="00CE00F5">
            <w:pPr>
              <w:jc w:val="right"/>
              <w:rPr>
                <w:rFonts w:asciiTheme="majorBidi" w:hAnsiTheme="majorBidi" w:cstheme="majorBidi"/>
                <w:sz w:val="20"/>
                <w:szCs w:val="20"/>
                <w:lang w:eastAsia="en-CA"/>
              </w:rPr>
            </w:pPr>
            <w:r w:rsidRPr="00642AEE">
              <w:rPr>
                <w:rFonts w:asciiTheme="majorBidi" w:hAnsiTheme="majorBidi" w:cstheme="majorBidi"/>
                <w:sz w:val="20"/>
                <w:szCs w:val="20"/>
              </w:rPr>
              <w:t>32</w:t>
            </w:r>
            <w:r w:rsidR="00CE00F5">
              <w:rPr>
                <w:rFonts w:asciiTheme="majorBidi" w:hAnsiTheme="majorBidi" w:cstheme="majorBidi"/>
                <w:sz w:val="20"/>
                <w:szCs w:val="20"/>
              </w:rPr>
              <w:t>,</w:t>
            </w:r>
            <w:r w:rsidRPr="00642AEE">
              <w:rPr>
                <w:rFonts w:asciiTheme="majorBidi" w:hAnsiTheme="majorBidi" w:cstheme="majorBidi"/>
                <w:sz w:val="20"/>
                <w:szCs w:val="20"/>
              </w:rPr>
              <w:t>1</w:t>
            </w:r>
          </w:p>
        </w:tc>
        <w:tc>
          <w:tcPr>
            <w:tcW w:w="539" w:type="pct"/>
            <w:shd w:val="clear" w:color="auto" w:fill="auto"/>
            <w:vAlign w:val="bottom"/>
          </w:tcPr>
          <w:p w14:paraId="3D8A8A81"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68</w:t>
            </w:r>
            <w:r w:rsidR="00CE00F5">
              <w:rPr>
                <w:rFonts w:asciiTheme="majorBidi" w:hAnsiTheme="majorBidi" w:cstheme="majorBidi"/>
                <w:sz w:val="20"/>
                <w:szCs w:val="20"/>
              </w:rPr>
              <w:t xml:space="preserve"> </w:t>
            </w:r>
            <w:r w:rsidRPr="00642AEE">
              <w:rPr>
                <w:rFonts w:asciiTheme="majorBidi" w:hAnsiTheme="majorBidi" w:cstheme="majorBidi"/>
                <w:sz w:val="20"/>
                <w:szCs w:val="20"/>
              </w:rPr>
              <w:t>635</w:t>
            </w:r>
          </w:p>
        </w:tc>
        <w:tc>
          <w:tcPr>
            <w:tcW w:w="539" w:type="pct"/>
            <w:tcBorders>
              <w:right w:val="single" w:sz="4" w:space="0" w:color="auto"/>
            </w:tcBorders>
            <w:shd w:val="clear" w:color="auto" w:fill="auto"/>
            <w:vAlign w:val="bottom"/>
          </w:tcPr>
          <w:p w14:paraId="06F04252"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39</w:t>
            </w:r>
            <w:r w:rsidR="00CE00F5">
              <w:rPr>
                <w:rFonts w:asciiTheme="majorBidi" w:hAnsiTheme="majorBidi" w:cstheme="majorBidi"/>
                <w:sz w:val="20"/>
                <w:szCs w:val="20"/>
              </w:rPr>
              <w:t xml:space="preserve"> </w:t>
            </w:r>
            <w:r w:rsidRPr="00642AEE">
              <w:rPr>
                <w:rFonts w:asciiTheme="majorBidi" w:hAnsiTheme="majorBidi" w:cstheme="majorBidi"/>
                <w:sz w:val="20"/>
                <w:szCs w:val="20"/>
              </w:rPr>
              <w:t>345</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4A2CFF5B"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41</w:t>
            </w:r>
            <w:r w:rsidR="00CE00F5">
              <w:rPr>
                <w:rFonts w:asciiTheme="majorBidi" w:hAnsiTheme="majorBidi" w:cstheme="majorBidi"/>
                <w:sz w:val="20"/>
                <w:szCs w:val="20"/>
              </w:rPr>
              <w:t xml:space="preserve"> </w:t>
            </w:r>
            <w:r w:rsidRPr="00642AEE">
              <w:rPr>
                <w:rFonts w:asciiTheme="majorBidi" w:hAnsiTheme="majorBidi" w:cstheme="majorBidi"/>
                <w:sz w:val="20"/>
                <w:szCs w:val="20"/>
              </w:rPr>
              <w:t>54</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3B4D2F69"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20</w:t>
            </w:r>
            <w:r w:rsidR="00CE00F5">
              <w:rPr>
                <w:rFonts w:asciiTheme="majorBidi" w:hAnsiTheme="majorBidi" w:cstheme="majorBidi"/>
                <w:sz w:val="20"/>
                <w:szCs w:val="20"/>
              </w:rPr>
              <w:t xml:space="preserve"> </w:t>
            </w:r>
            <w:r w:rsidRPr="00642AEE">
              <w:rPr>
                <w:rFonts w:asciiTheme="majorBidi" w:hAnsiTheme="majorBidi" w:cstheme="majorBidi"/>
                <w:sz w:val="20"/>
                <w:szCs w:val="20"/>
              </w:rPr>
              <w:t>62</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r>
      <w:tr w:rsidR="00CE00F5" w:rsidRPr="00642AEE" w14:paraId="7E61D8CB" w14:textId="77777777" w:rsidTr="00EA601C">
        <w:trPr>
          <w:trHeight w:val="235"/>
        </w:trPr>
        <w:tc>
          <w:tcPr>
            <w:tcW w:w="1780" w:type="pct"/>
            <w:shd w:val="clear" w:color="auto" w:fill="auto"/>
            <w:noWrap/>
            <w:hideMark/>
          </w:tcPr>
          <w:p w14:paraId="4B7905D4" w14:textId="77777777" w:rsidR="00BA54CA" w:rsidRPr="00642AEE" w:rsidRDefault="00CE00F5" w:rsidP="004035EC">
            <w:pPr>
              <w:jc w:val="left"/>
              <w:rPr>
                <w:rFonts w:asciiTheme="majorBidi" w:hAnsiTheme="majorBidi" w:cstheme="majorBidi"/>
                <w:sz w:val="20"/>
                <w:szCs w:val="20"/>
                <w:lang w:eastAsia="en-CA"/>
              </w:rPr>
            </w:pPr>
            <w:r>
              <w:rPr>
                <w:rFonts w:asciiTheme="majorBidi" w:hAnsiTheme="majorBidi" w:cstheme="majorBidi"/>
                <w:sz w:val="20"/>
                <w:szCs w:val="20"/>
                <w:lang w:eastAsia="en-CA"/>
              </w:rPr>
              <w:t>Cadena de frío residencial</w:t>
            </w:r>
          </w:p>
        </w:tc>
        <w:tc>
          <w:tcPr>
            <w:tcW w:w="506" w:type="pct"/>
            <w:shd w:val="clear" w:color="auto" w:fill="auto"/>
            <w:vAlign w:val="bottom"/>
          </w:tcPr>
          <w:p w14:paraId="7CE16510" w14:textId="77777777" w:rsidR="00BA54CA" w:rsidRPr="00642AEE" w:rsidRDefault="00935097" w:rsidP="00935097">
            <w:pPr>
              <w:jc w:val="right"/>
              <w:rPr>
                <w:rFonts w:asciiTheme="majorBidi" w:hAnsiTheme="majorBidi" w:cstheme="majorBidi"/>
                <w:sz w:val="20"/>
                <w:szCs w:val="20"/>
                <w:lang w:eastAsia="en-CA"/>
              </w:rPr>
            </w:pPr>
            <w:r>
              <w:rPr>
                <w:rFonts w:asciiTheme="majorBidi" w:hAnsiTheme="majorBidi" w:cstheme="majorBidi"/>
                <w:sz w:val="20"/>
                <w:szCs w:val="20"/>
              </w:rPr>
              <w:t>150</w:t>
            </w:r>
          </w:p>
        </w:tc>
        <w:tc>
          <w:tcPr>
            <w:tcW w:w="560" w:type="pct"/>
            <w:shd w:val="clear" w:color="auto" w:fill="auto"/>
            <w:vAlign w:val="bottom"/>
          </w:tcPr>
          <w:p w14:paraId="6DEF08DA" w14:textId="77777777" w:rsidR="00BA54CA" w:rsidRPr="00642AEE" w:rsidRDefault="00BA54CA" w:rsidP="00CE00F5">
            <w:pPr>
              <w:jc w:val="right"/>
              <w:rPr>
                <w:rFonts w:asciiTheme="majorBidi" w:hAnsiTheme="majorBidi" w:cstheme="majorBidi"/>
                <w:sz w:val="20"/>
                <w:szCs w:val="20"/>
                <w:lang w:eastAsia="en-CA"/>
              </w:rPr>
            </w:pPr>
            <w:r w:rsidRPr="00642AEE">
              <w:rPr>
                <w:rFonts w:asciiTheme="majorBidi" w:hAnsiTheme="majorBidi" w:cstheme="majorBidi"/>
                <w:sz w:val="20"/>
                <w:szCs w:val="20"/>
              </w:rPr>
              <w:t>0</w:t>
            </w:r>
            <w:r w:rsidR="00CE00F5">
              <w:rPr>
                <w:rFonts w:asciiTheme="majorBidi" w:hAnsiTheme="majorBidi" w:cstheme="majorBidi"/>
                <w:sz w:val="20"/>
                <w:szCs w:val="20"/>
              </w:rPr>
              <w:t>,</w:t>
            </w:r>
            <w:r w:rsidRPr="00642AEE">
              <w:rPr>
                <w:rFonts w:asciiTheme="majorBidi" w:hAnsiTheme="majorBidi" w:cstheme="majorBidi"/>
                <w:sz w:val="20"/>
                <w:szCs w:val="20"/>
              </w:rPr>
              <w:t>6</w:t>
            </w:r>
          </w:p>
        </w:tc>
        <w:tc>
          <w:tcPr>
            <w:tcW w:w="539" w:type="pct"/>
            <w:shd w:val="clear" w:color="auto" w:fill="auto"/>
            <w:vAlign w:val="bottom"/>
          </w:tcPr>
          <w:p w14:paraId="06337EB9"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14</w:t>
            </w:r>
            <w:r w:rsidR="00CE00F5">
              <w:rPr>
                <w:rFonts w:asciiTheme="majorBidi" w:hAnsiTheme="majorBidi" w:cstheme="majorBidi"/>
                <w:sz w:val="20"/>
                <w:szCs w:val="20"/>
              </w:rPr>
              <w:t xml:space="preserve"> </w:t>
            </w:r>
            <w:r w:rsidRPr="00642AEE">
              <w:rPr>
                <w:rFonts w:asciiTheme="majorBidi" w:hAnsiTheme="majorBidi" w:cstheme="majorBidi"/>
                <w:sz w:val="20"/>
                <w:szCs w:val="20"/>
              </w:rPr>
              <w:t>816</w:t>
            </w:r>
          </w:p>
        </w:tc>
        <w:tc>
          <w:tcPr>
            <w:tcW w:w="539" w:type="pct"/>
            <w:tcBorders>
              <w:right w:val="single" w:sz="4" w:space="0" w:color="auto"/>
            </w:tcBorders>
            <w:shd w:val="clear" w:color="auto" w:fill="auto"/>
            <w:vAlign w:val="bottom"/>
          </w:tcPr>
          <w:p w14:paraId="00912580"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8992</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5B584C02"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753</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6568BE85"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446</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r>
      <w:tr w:rsidR="00CE00F5" w:rsidRPr="00642AEE" w14:paraId="76EEA2DF" w14:textId="77777777" w:rsidTr="00EA601C">
        <w:trPr>
          <w:trHeight w:val="235"/>
        </w:trPr>
        <w:tc>
          <w:tcPr>
            <w:tcW w:w="1780" w:type="pct"/>
            <w:shd w:val="clear" w:color="auto" w:fill="D9D9D9" w:themeFill="background1" w:themeFillShade="D9"/>
            <w:noWrap/>
            <w:hideMark/>
          </w:tcPr>
          <w:p w14:paraId="0AC6D3D8" w14:textId="77777777" w:rsidR="00BA54CA" w:rsidRPr="00642AEE" w:rsidRDefault="00CE00F5" w:rsidP="00CE00F5">
            <w:pPr>
              <w:jc w:val="left"/>
              <w:rPr>
                <w:rFonts w:asciiTheme="majorBidi" w:hAnsiTheme="majorBidi" w:cstheme="majorBidi"/>
                <w:sz w:val="20"/>
                <w:szCs w:val="20"/>
                <w:lang w:eastAsia="en-CA"/>
              </w:rPr>
            </w:pPr>
            <w:r>
              <w:rPr>
                <w:rFonts w:asciiTheme="majorBidi" w:hAnsiTheme="majorBidi" w:cstheme="majorBidi"/>
                <w:sz w:val="20"/>
                <w:szCs w:val="20"/>
                <w:lang w:eastAsia="en-CA"/>
              </w:rPr>
              <w:t>Refrigeración de espacios no r</w:t>
            </w:r>
            <w:r w:rsidR="00BA54CA" w:rsidRPr="00642AEE">
              <w:rPr>
                <w:rFonts w:asciiTheme="majorBidi" w:hAnsiTheme="majorBidi" w:cstheme="majorBidi"/>
                <w:sz w:val="20"/>
                <w:szCs w:val="20"/>
                <w:lang w:eastAsia="en-CA"/>
              </w:rPr>
              <w:t>esiden</w:t>
            </w:r>
            <w:r>
              <w:rPr>
                <w:rFonts w:asciiTheme="majorBidi" w:hAnsiTheme="majorBidi" w:cstheme="majorBidi"/>
                <w:sz w:val="20"/>
                <w:szCs w:val="20"/>
                <w:lang w:eastAsia="en-CA"/>
              </w:rPr>
              <w:t>ciales</w:t>
            </w:r>
          </w:p>
        </w:tc>
        <w:tc>
          <w:tcPr>
            <w:tcW w:w="506" w:type="pct"/>
            <w:shd w:val="clear" w:color="auto" w:fill="auto"/>
            <w:vAlign w:val="bottom"/>
          </w:tcPr>
          <w:p w14:paraId="08B9AEC2" w14:textId="77777777" w:rsidR="00BA54CA" w:rsidRPr="00642AEE" w:rsidRDefault="00BA54CA" w:rsidP="00935097">
            <w:pPr>
              <w:jc w:val="right"/>
              <w:rPr>
                <w:rFonts w:asciiTheme="majorBidi" w:hAnsiTheme="majorBidi" w:cstheme="majorBidi"/>
                <w:sz w:val="20"/>
                <w:szCs w:val="20"/>
                <w:lang w:eastAsia="en-CA"/>
              </w:rPr>
            </w:pPr>
            <w:r w:rsidRPr="00642AEE">
              <w:rPr>
                <w:rFonts w:asciiTheme="majorBidi" w:hAnsiTheme="majorBidi" w:cstheme="majorBidi"/>
                <w:sz w:val="20"/>
                <w:szCs w:val="20"/>
              </w:rPr>
              <w:t>498</w:t>
            </w:r>
            <w:r w:rsidR="00935097">
              <w:rPr>
                <w:rFonts w:asciiTheme="majorBidi" w:hAnsiTheme="majorBidi" w:cstheme="majorBidi"/>
                <w:sz w:val="20"/>
                <w:szCs w:val="20"/>
              </w:rPr>
              <w:t>0</w:t>
            </w:r>
          </w:p>
        </w:tc>
        <w:tc>
          <w:tcPr>
            <w:tcW w:w="560" w:type="pct"/>
            <w:shd w:val="clear" w:color="auto" w:fill="D9D9D9" w:themeFill="background1" w:themeFillShade="D9"/>
            <w:vAlign w:val="bottom"/>
          </w:tcPr>
          <w:p w14:paraId="5671FF2C" w14:textId="77777777" w:rsidR="00BA54CA" w:rsidRPr="00642AEE" w:rsidRDefault="00BA54CA" w:rsidP="00CE00F5">
            <w:pPr>
              <w:jc w:val="right"/>
              <w:rPr>
                <w:rFonts w:asciiTheme="majorBidi" w:hAnsiTheme="majorBidi" w:cstheme="majorBidi"/>
                <w:sz w:val="20"/>
                <w:szCs w:val="20"/>
                <w:lang w:eastAsia="en-CA"/>
              </w:rPr>
            </w:pPr>
            <w:r w:rsidRPr="00642AEE">
              <w:rPr>
                <w:rFonts w:asciiTheme="majorBidi" w:hAnsiTheme="majorBidi" w:cstheme="majorBidi"/>
                <w:sz w:val="20"/>
                <w:szCs w:val="20"/>
              </w:rPr>
              <w:t>19</w:t>
            </w:r>
            <w:r w:rsidR="00CE00F5">
              <w:rPr>
                <w:rFonts w:asciiTheme="majorBidi" w:hAnsiTheme="majorBidi" w:cstheme="majorBidi"/>
                <w:sz w:val="20"/>
                <w:szCs w:val="20"/>
              </w:rPr>
              <w:t>,</w:t>
            </w:r>
            <w:r w:rsidRPr="00642AEE">
              <w:rPr>
                <w:rFonts w:asciiTheme="majorBidi" w:hAnsiTheme="majorBidi" w:cstheme="majorBidi"/>
                <w:sz w:val="20"/>
                <w:szCs w:val="20"/>
              </w:rPr>
              <w:t>2</w:t>
            </w:r>
          </w:p>
        </w:tc>
        <w:tc>
          <w:tcPr>
            <w:tcW w:w="539" w:type="pct"/>
            <w:shd w:val="clear" w:color="auto" w:fill="auto"/>
            <w:vAlign w:val="bottom"/>
          </w:tcPr>
          <w:p w14:paraId="6E572BC0"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24</w:t>
            </w:r>
            <w:r w:rsidR="00CE00F5">
              <w:rPr>
                <w:rFonts w:asciiTheme="majorBidi" w:hAnsiTheme="majorBidi" w:cstheme="majorBidi"/>
                <w:sz w:val="20"/>
                <w:szCs w:val="20"/>
              </w:rPr>
              <w:t xml:space="preserve"> </w:t>
            </w:r>
            <w:r w:rsidRPr="00642AEE">
              <w:rPr>
                <w:rFonts w:asciiTheme="majorBidi" w:hAnsiTheme="majorBidi" w:cstheme="majorBidi"/>
                <w:sz w:val="20"/>
                <w:szCs w:val="20"/>
              </w:rPr>
              <w:t>411</w:t>
            </w:r>
          </w:p>
        </w:tc>
        <w:tc>
          <w:tcPr>
            <w:tcW w:w="539" w:type="pct"/>
            <w:tcBorders>
              <w:right w:val="single" w:sz="4" w:space="0" w:color="auto"/>
            </w:tcBorders>
            <w:shd w:val="clear" w:color="auto" w:fill="auto"/>
            <w:vAlign w:val="bottom"/>
          </w:tcPr>
          <w:p w14:paraId="21364CC1"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15</w:t>
            </w:r>
            <w:r w:rsidR="00CE00F5">
              <w:rPr>
                <w:rFonts w:asciiTheme="majorBidi" w:hAnsiTheme="majorBidi" w:cstheme="majorBidi"/>
                <w:sz w:val="20"/>
                <w:szCs w:val="20"/>
              </w:rPr>
              <w:t xml:space="preserve"> </w:t>
            </w:r>
            <w:r w:rsidRPr="00642AEE">
              <w:rPr>
                <w:rFonts w:asciiTheme="majorBidi" w:hAnsiTheme="majorBidi" w:cstheme="majorBidi"/>
                <w:sz w:val="20"/>
                <w:szCs w:val="20"/>
              </w:rPr>
              <w:t>306</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3B2B4016"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14</w:t>
            </w:r>
            <w:r w:rsidR="00CE00F5">
              <w:rPr>
                <w:rFonts w:asciiTheme="majorBidi" w:hAnsiTheme="majorBidi" w:cstheme="majorBidi"/>
                <w:sz w:val="20"/>
                <w:szCs w:val="20"/>
              </w:rPr>
              <w:t xml:space="preserve"> </w:t>
            </w:r>
            <w:r w:rsidRPr="00642AEE">
              <w:rPr>
                <w:rFonts w:asciiTheme="majorBidi" w:hAnsiTheme="majorBidi" w:cstheme="majorBidi"/>
                <w:sz w:val="20"/>
                <w:szCs w:val="20"/>
              </w:rPr>
              <w:t>83</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054659C6"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781</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r>
      <w:tr w:rsidR="00CE00F5" w:rsidRPr="00642AEE" w14:paraId="2D9FED24" w14:textId="77777777" w:rsidTr="00EA601C">
        <w:trPr>
          <w:trHeight w:val="235"/>
        </w:trPr>
        <w:tc>
          <w:tcPr>
            <w:tcW w:w="1780" w:type="pct"/>
            <w:shd w:val="clear" w:color="auto" w:fill="D9D9D9" w:themeFill="background1" w:themeFillShade="D9"/>
            <w:noWrap/>
            <w:hideMark/>
          </w:tcPr>
          <w:p w14:paraId="3BEB29B7" w14:textId="77777777" w:rsidR="00BA54CA" w:rsidRPr="00642AEE" w:rsidRDefault="00717772" w:rsidP="00717772">
            <w:pPr>
              <w:jc w:val="left"/>
              <w:rPr>
                <w:rFonts w:asciiTheme="majorBidi" w:hAnsiTheme="majorBidi" w:cstheme="majorBidi"/>
                <w:sz w:val="20"/>
                <w:szCs w:val="20"/>
                <w:lang w:eastAsia="en-CA"/>
              </w:rPr>
            </w:pPr>
            <w:r>
              <w:rPr>
                <w:rFonts w:asciiTheme="majorBidi" w:hAnsiTheme="majorBidi" w:cstheme="majorBidi"/>
                <w:sz w:val="20"/>
                <w:szCs w:val="20"/>
                <w:lang w:eastAsia="en-CA"/>
              </w:rPr>
              <w:t>Cadena de frío no r</w:t>
            </w:r>
            <w:r w:rsidR="00BA54CA" w:rsidRPr="00642AEE">
              <w:rPr>
                <w:rFonts w:asciiTheme="majorBidi" w:hAnsiTheme="majorBidi" w:cstheme="majorBidi"/>
                <w:sz w:val="20"/>
                <w:szCs w:val="20"/>
                <w:lang w:eastAsia="en-CA"/>
              </w:rPr>
              <w:t>esiden</w:t>
            </w:r>
            <w:r>
              <w:rPr>
                <w:rFonts w:asciiTheme="majorBidi" w:hAnsiTheme="majorBidi" w:cstheme="majorBidi"/>
                <w:sz w:val="20"/>
                <w:szCs w:val="20"/>
                <w:lang w:eastAsia="en-CA"/>
              </w:rPr>
              <w:t>c</w:t>
            </w:r>
            <w:r w:rsidR="00BA54CA" w:rsidRPr="00642AEE">
              <w:rPr>
                <w:rFonts w:asciiTheme="majorBidi" w:hAnsiTheme="majorBidi" w:cstheme="majorBidi"/>
                <w:sz w:val="20"/>
                <w:szCs w:val="20"/>
                <w:lang w:eastAsia="en-CA"/>
              </w:rPr>
              <w:t>ial</w:t>
            </w:r>
          </w:p>
        </w:tc>
        <w:tc>
          <w:tcPr>
            <w:tcW w:w="506" w:type="pct"/>
            <w:shd w:val="clear" w:color="auto" w:fill="auto"/>
            <w:vAlign w:val="bottom"/>
          </w:tcPr>
          <w:p w14:paraId="47AC301D" w14:textId="77777777" w:rsidR="00BA54CA" w:rsidRPr="00642AEE" w:rsidRDefault="00BA54CA" w:rsidP="00935097">
            <w:pPr>
              <w:jc w:val="right"/>
              <w:rPr>
                <w:rFonts w:asciiTheme="majorBidi" w:hAnsiTheme="majorBidi" w:cstheme="majorBidi"/>
                <w:sz w:val="20"/>
                <w:szCs w:val="20"/>
                <w:lang w:eastAsia="en-CA"/>
              </w:rPr>
            </w:pPr>
            <w:r w:rsidRPr="00642AEE">
              <w:rPr>
                <w:rFonts w:asciiTheme="majorBidi" w:hAnsiTheme="majorBidi" w:cstheme="majorBidi"/>
                <w:sz w:val="20"/>
                <w:szCs w:val="20"/>
              </w:rPr>
              <w:t>885</w:t>
            </w:r>
            <w:r w:rsidR="00935097">
              <w:rPr>
                <w:rFonts w:asciiTheme="majorBidi" w:hAnsiTheme="majorBidi" w:cstheme="majorBidi"/>
                <w:sz w:val="20"/>
                <w:szCs w:val="20"/>
              </w:rPr>
              <w:t>0</w:t>
            </w:r>
          </w:p>
        </w:tc>
        <w:tc>
          <w:tcPr>
            <w:tcW w:w="560" w:type="pct"/>
            <w:shd w:val="clear" w:color="auto" w:fill="D9D9D9" w:themeFill="background1" w:themeFillShade="D9"/>
            <w:vAlign w:val="bottom"/>
          </w:tcPr>
          <w:p w14:paraId="33BEB22F" w14:textId="77777777" w:rsidR="00BA54CA" w:rsidRPr="00642AEE" w:rsidRDefault="00BA54CA" w:rsidP="00CE00F5">
            <w:pPr>
              <w:jc w:val="right"/>
              <w:rPr>
                <w:rFonts w:asciiTheme="majorBidi" w:hAnsiTheme="majorBidi" w:cstheme="majorBidi"/>
                <w:sz w:val="20"/>
                <w:szCs w:val="20"/>
                <w:lang w:eastAsia="en-CA"/>
              </w:rPr>
            </w:pPr>
            <w:r w:rsidRPr="00642AEE">
              <w:rPr>
                <w:rFonts w:asciiTheme="majorBidi" w:hAnsiTheme="majorBidi" w:cstheme="majorBidi"/>
                <w:sz w:val="20"/>
                <w:szCs w:val="20"/>
              </w:rPr>
              <w:t>34</w:t>
            </w:r>
            <w:r w:rsidR="00CE00F5">
              <w:rPr>
                <w:rFonts w:asciiTheme="majorBidi" w:hAnsiTheme="majorBidi" w:cstheme="majorBidi"/>
                <w:sz w:val="20"/>
                <w:szCs w:val="20"/>
              </w:rPr>
              <w:t>,</w:t>
            </w:r>
            <w:r w:rsidRPr="00642AEE">
              <w:rPr>
                <w:rFonts w:asciiTheme="majorBidi" w:hAnsiTheme="majorBidi" w:cstheme="majorBidi"/>
                <w:sz w:val="20"/>
                <w:szCs w:val="20"/>
              </w:rPr>
              <w:t>2</w:t>
            </w:r>
          </w:p>
        </w:tc>
        <w:tc>
          <w:tcPr>
            <w:tcW w:w="539" w:type="pct"/>
            <w:shd w:val="clear" w:color="auto" w:fill="auto"/>
            <w:vAlign w:val="bottom"/>
          </w:tcPr>
          <w:p w14:paraId="35C69343"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32</w:t>
            </w:r>
            <w:r w:rsidR="00CE00F5">
              <w:rPr>
                <w:rFonts w:asciiTheme="majorBidi" w:hAnsiTheme="majorBidi" w:cstheme="majorBidi"/>
                <w:sz w:val="20"/>
                <w:szCs w:val="20"/>
              </w:rPr>
              <w:t xml:space="preserve"> </w:t>
            </w:r>
            <w:r w:rsidRPr="00642AEE">
              <w:rPr>
                <w:rFonts w:asciiTheme="majorBidi" w:hAnsiTheme="majorBidi" w:cstheme="majorBidi"/>
                <w:sz w:val="20"/>
                <w:szCs w:val="20"/>
              </w:rPr>
              <w:t>002</w:t>
            </w:r>
          </w:p>
        </w:tc>
        <w:tc>
          <w:tcPr>
            <w:tcW w:w="539" w:type="pct"/>
            <w:tcBorders>
              <w:right w:val="single" w:sz="4" w:space="0" w:color="auto"/>
            </w:tcBorders>
            <w:shd w:val="clear" w:color="auto" w:fill="auto"/>
            <w:vAlign w:val="bottom"/>
          </w:tcPr>
          <w:p w14:paraId="1E0C312E"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20</w:t>
            </w:r>
            <w:r w:rsidR="00CE00F5">
              <w:rPr>
                <w:rFonts w:asciiTheme="majorBidi" w:hAnsiTheme="majorBidi" w:cstheme="majorBidi"/>
                <w:sz w:val="20"/>
                <w:szCs w:val="20"/>
              </w:rPr>
              <w:t xml:space="preserve"> </w:t>
            </w:r>
            <w:r w:rsidRPr="00642AEE">
              <w:rPr>
                <w:rFonts w:asciiTheme="majorBidi" w:hAnsiTheme="majorBidi" w:cstheme="majorBidi"/>
                <w:sz w:val="20"/>
                <w:szCs w:val="20"/>
              </w:rPr>
              <w:t>683</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54C78242"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18</w:t>
            </w:r>
            <w:r w:rsidR="00CE00F5">
              <w:rPr>
                <w:rFonts w:asciiTheme="majorBidi" w:hAnsiTheme="majorBidi" w:cstheme="majorBidi"/>
                <w:sz w:val="20"/>
                <w:szCs w:val="20"/>
              </w:rPr>
              <w:t xml:space="preserve"> </w:t>
            </w:r>
            <w:r w:rsidRPr="00642AEE">
              <w:rPr>
                <w:rFonts w:asciiTheme="majorBidi" w:hAnsiTheme="majorBidi" w:cstheme="majorBidi"/>
                <w:sz w:val="20"/>
                <w:szCs w:val="20"/>
              </w:rPr>
              <w:t>03</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04DD01EF"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1032</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r>
      <w:tr w:rsidR="00CE00F5" w:rsidRPr="00642AEE" w14:paraId="04CA2539" w14:textId="77777777" w:rsidTr="00EA601C">
        <w:trPr>
          <w:trHeight w:val="235"/>
        </w:trPr>
        <w:tc>
          <w:tcPr>
            <w:tcW w:w="1780" w:type="pct"/>
            <w:shd w:val="clear" w:color="auto" w:fill="D9D9D9" w:themeFill="background1" w:themeFillShade="D9"/>
            <w:noWrap/>
            <w:hideMark/>
          </w:tcPr>
          <w:p w14:paraId="6B594435" w14:textId="77777777" w:rsidR="00BA54CA" w:rsidRPr="00642AEE" w:rsidRDefault="00717772" w:rsidP="004035EC">
            <w:pPr>
              <w:jc w:val="left"/>
              <w:rPr>
                <w:rFonts w:asciiTheme="majorBidi" w:hAnsiTheme="majorBidi" w:cstheme="majorBidi"/>
                <w:sz w:val="20"/>
                <w:szCs w:val="20"/>
                <w:lang w:eastAsia="en-CA"/>
              </w:rPr>
            </w:pPr>
            <w:r>
              <w:rPr>
                <w:rFonts w:asciiTheme="majorBidi" w:hAnsiTheme="majorBidi" w:cstheme="majorBidi"/>
                <w:sz w:val="20"/>
                <w:szCs w:val="20"/>
                <w:lang w:eastAsia="en-CA"/>
              </w:rPr>
              <w:t>Refrigeración del espacio de transporte</w:t>
            </w:r>
          </w:p>
        </w:tc>
        <w:tc>
          <w:tcPr>
            <w:tcW w:w="506" w:type="pct"/>
            <w:shd w:val="clear" w:color="auto" w:fill="auto"/>
            <w:vAlign w:val="bottom"/>
          </w:tcPr>
          <w:p w14:paraId="5A9AA60E" w14:textId="77777777" w:rsidR="00BA54CA" w:rsidRPr="00642AEE" w:rsidRDefault="00BA54CA" w:rsidP="00935097">
            <w:pPr>
              <w:jc w:val="right"/>
              <w:rPr>
                <w:rFonts w:asciiTheme="majorBidi" w:hAnsiTheme="majorBidi" w:cstheme="majorBidi"/>
                <w:sz w:val="20"/>
                <w:szCs w:val="20"/>
                <w:lang w:eastAsia="en-CA"/>
              </w:rPr>
            </w:pPr>
            <w:r w:rsidRPr="00642AEE">
              <w:rPr>
                <w:rFonts w:asciiTheme="majorBidi" w:hAnsiTheme="majorBidi" w:cstheme="majorBidi"/>
                <w:sz w:val="20"/>
                <w:szCs w:val="20"/>
              </w:rPr>
              <w:t>336</w:t>
            </w:r>
            <w:r w:rsidR="00935097">
              <w:rPr>
                <w:rFonts w:asciiTheme="majorBidi" w:hAnsiTheme="majorBidi" w:cstheme="majorBidi"/>
                <w:sz w:val="20"/>
                <w:szCs w:val="20"/>
              </w:rPr>
              <w:t>0</w:t>
            </w:r>
          </w:p>
        </w:tc>
        <w:tc>
          <w:tcPr>
            <w:tcW w:w="560" w:type="pct"/>
            <w:shd w:val="clear" w:color="auto" w:fill="D9D9D9" w:themeFill="background1" w:themeFillShade="D9"/>
            <w:vAlign w:val="bottom"/>
          </w:tcPr>
          <w:p w14:paraId="79E14A36" w14:textId="77777777" w:rsidR="00BA54CA" w:rsidRPr="00642AEE" w:rsidRDefault="00BA54CA" w:rsidP="00CE00F5">
            <w:pPr>
              <w:jc w:val="right"/>
              <w:rPr>
                <w:rFonts w:asciiTheme="majorBidi" w:hAnsiTheme="majorBidi" w:cstheme="majorBidi"/>
                <w:sz w:val="20"/>
                <w:szCs w:val="20"/>
                <w:lang w:eastAsia="en-CA"/>
              </w:rPr>
            </w:pPr>
            <w:r w:rsidRPr="00642AEE">
              <w:rPr>
                <w:rFonts w:asciiTheme="majorBidi" w:hAnsiTheme="majorBidi" w:cstheme="majorBidi"/>
                <w:sz w:val="20"/>
                <w:szCs w:val="20"/>
              </w:rPr>
              <w:t>13</w:t>
            </w:r>
            <w:r w:rsidR="00CE00F5">
              <w:rPr>
                <w:rFonts w:asciiTheme="majorBidi" w:hAnsiTheme="majorBidi" w:cstheme="majorBidi"/>
                <w:sz w:val="20"/>
                <w:szCs w:val="20"/>
              </w:rPr>
              <w:t>,</w:t>
            </w:r>
            <w:r w:rsidRPr="00642AEE">
              <w:rPr>
                <w:rFonts w:asciiTheme="majorBidi" w:hAnsiTheme="majorBidi" w:cstheme="majorBidi"/>
                <w:sz w:val="20"/>
                <w:szCs w:val="20"/>
              </w:rPr>
              <w:t>0</w:t>
            </w:r>
          </w:p>
        </w:tc>
        <w:tc>
          <w:tcPr>
            <w:tcW w:w="539" w:type="pct"/>
            <w:shd w:val="clear" w:color="auto" w:fill="auto"/>
            <w:vAlign w:val="bottom"/>
          </w:tcPr>
          <w:p w14:paraId="52E905BB"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24</w:t>
            </w:r>
            <w:r w:rsidR="00CE00F5">
              <w:rPr>
                <w:rFonts w:asciiTheme="majorBidi" w:hAnsiTheme="majorBidi" w:cstheme="majorBidi"/>
                <w:sz w:val="20"/>
                <w:szCs w:val="20"/>
              </w:rPr>
              <w:t xml:space="preserve"> </w:t>
            </w:r>
            <w:r w:rsidRPr="00642AEE">
              <w:rPr>
                <w:rFonts w:asciiTheme="majorBidi" w:hAnsiTheme="majorBidi" w:cstheme="majorBidi"/>
                <w:sz w:val="20"/>
                <w:szCs w:val="20"/>
              </w:rPr>
              <w:t>616</w:t>
            </w:r>
          </w:p>
        </w:tc>
        <w:tc>
          <w:tcPr>
            <w:tcW w:w="539" w:type="pct"/>
            <w:tcBorders>
              <w:right w:val="single" w:sz="4" w:space="0" w:color="auto"/>
            </w:tcBorders>
            <w:shd w:val="clear" w:color="auto" w:fill="auto"/>
            <w:vAlign w:val="bottom"/>
          </w:tcPr>
          <w:p w14:paraId="508DCA8C"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17</w:t>
            </w:r>
            <w:r w:rsidR="00CE00F5">
              <w:rPr>
                <w:rFonts w:asciiTheme="majorBidi" w:hAnsiTheme="majorBidi" w:cstheme="majorBidi"/>
                <w:sz w:val="20"/>
                <w:szCs w:val="20"/>
              </w:rPr>
              <w:t xml:space="preserve"> </w:t>
            </w:r>
            <w:r w:rsidRPr="00642AEE">
              <w:rPr>
                <w:rFonts w:asciiTheme="majorBidi" w:hAnsiTheme="majorBidi" w:cstheme="majorBidi"/>
                <w:sz w:val="20"/>
                <w:szCs w:val="20"/>
              </w:rPr>
              <w:t>768</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6AA0411C"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827</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20EED0BA"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492</w:t>
            </w:r>
            <w:r w:rsidR="00CE00F5">
              <w:rPr>
                <w:rFonts w:asciiTheme="majorBidi" w:hAnsiTheme="majorBidi" w:cstheme="majorBidi"/>
                <w:sz w:val="20"/>
                <w:szCs w:val="20"/>
              </w:rPr>
              <w:t>0</w:t>
            </w:r>
            <w:r w:rsidRPr="00642AEE">
              <w:rPr>
                <w:rFonts w:asciiTheme="majorBidi" w:hAnsiTheme="majorBidi" w:cstheme="majorBidi"/>
                <w:sz w:val="20"/>
                <w:szCs w:val="20"/>
              </w:rPr>
              <w:t xml:space="preserve"> </w:t>
            </w:r>
          </w:p>
        </w:tc>
      </w:tr>
      <w:tr w:rsidR="00CE00F5" w:rsidRPr="00642AEE" w14:paraId="646EF71B" w14:textId="77777777" w:rsidTr="00EA601C">
        <w:trPr>
          <w:trHeight w:val="235"/>
        </w:trPr>
        <w:tc>
          <w:tcPr>
            <w:tcW w:w="1780" w:type="pct"/>
            <w:shd w:val="clear" w:color="auto" w:fill="auto"/>
            <w:noWrap/>
            <w:hideMark/>
          </w:tcPr>
          <w:p w14:paraId="5A02B148" w14:textId="77777777" w:rsidR="00BA54CA" w:rsidRPr="00642AEE" w:rsidRDefault="00717772" w:rsidP="002F5742">
            <w:pPr>
              <w:jc w:val="left"/>
              <w:rPr>
                <w:rFonts w:asciiTheme="majorBidi" w:hAnsiTheme="majorBidi" w:cstheme="majorBidi"/>
                <w:sz w:val="20"/>
                <w:szCs w:val="20"/>
                <w:lang w:eastAsia="en-CA"/>
              </w:rPr>
            </w:pPr>
            <w:r>
              <w:rPr>
                <w:rFonts w:asciiTheme="majorBidi" w:hAnsiTheme="majorBidi" w:cstheme="majorBidi"/>
                <w:sz w:val="20"/>
                <w:szCs w:val="20"/>
                <w:lang w:eastAsia="en-CA"/>
              </w:rPr>
              <w:t xml:space="preserve">Cadena de frío </w:t>
            </w:r>
            <w:r w:rsidR="002F5742">
              <w:rPr>
                <w:rFonts w:asciiTheme="majorBidi" w:hAnsiTheme="majorBidi" w:cstheme="majorBidi"/>
                <w:sz w:val="20"/>
                <w:szCs w:val="20"/>
                <w:lang w:eastAsia="en-CA"/>
              </w:rPr>
              <w:t>de</w:t>
            </w:r>
            <w:r>
              <w:rPr>
                <w:rFonts w:asciiTheme="majorBidi" w:hAnsiTheme="majorBidi" w:cstheme="majorBidi"/>
                <w:sz w:val="20"/>
                <w:szCs w:val="20"/>
                <w:lang w:eastAsia="en-CA"/>
              </w:rPr>
              <w:t xml:space="preserve"> transporte</w:t>
            </w:r>
          </w:p>
        </w:tc>
        <w:tc>
          <w:tcPr>
            <w:tcW w:w="506" w:type="pct"/>
            <w:shd w:val="clear" w:color="auto" w:fill="auto"/>
            <w:vAlign w:val="bottom"/>
          </w:tcPr>
          <w:p w14:paraId="3457EC20" w14:textId="77777777" w:rsidR="00BA54CA" w:rsidRPr="00642AEE" w:rsidRDefault="00935097" w:rsidP="00935097">
            <w:pPr>
              <w:jc w:val="right"/>
              <w:rPr>
                <w:rFonts w:asciiTheme="majorBidi" w:hAnsiTheme="majorBidi" w:cstheme="majorBidi"/>
                <w:sz w:val="20"/>
                <w:szCs w:val="20"/>
                <w:lang w:eastAsia="en-CA"/>
              </w:rPr>
            </w:pPr>
            <w:r>
              <w:rPr>
                <w:rFonts w:asciiTheme="majorBidi" w:hAnsiTheme="majorBidi" w:cstheme="majorBidi"/>
                <w:sz w:val="20"/>
                <w:szCs w:val="20"/>
              </w:rPr>
              <w:t>250</w:t>
            </w:r>
          </w:p>
        </w:tc>
        <w:tc>
          <w:tcPr>
            <w:tcW w:w="560" w:type="pct"/>
            <w:shd w:val="clear" w:color="auto" w:fill="auto"/>
            <w:vAlign w:val="bottom"/>
          </w:tcPr>
          <w:p w14:paraId="2C0A60B7" w14:textId="77777777" w:rsidR="00BA54CA" w:rsidRPr="00642AEE" w:rsidRDefault="00BA54CA" w:rsidP="00CE00F5">
            <w:pPr>
              <w:jc w:val="right"/>
              <w:rPr>
                <w:rFonts w:asciiTheme="majorBidi" w:hAnsiTheme="majorBidi" w:cstheme="majorBidi"/>
                <w:sz w:val="20"/>
                <w:szCs w:val="20"/>
                <w:lang w:eastAsia="en-CA"/>
              </w:rPr>
            </w:pPr>
            <w:r w:rsidRPr="00642AEE">
              <w:rPr>
                <w:rFonts w:asciiTheme="majorBidi" w:hAnsiTheme="majorBidi" w:cstheme="majorBidi"/>
                <w:sz w:val="20"/>
                <w:szCs w:val="20"/>
              </w:rPr>
              <w:t>1</w:t>
            </w:r>
            <w:r w:rsidR="00CE00F5">
              <w:rPr>
                <w:rFonts w:asciiTheme="majorBidi" w:hAnsiTheme="majorBidi" w:cstheme="majorBidi"/>
                <w:sz w:val="20"/>
                <w:szCs w:val="20"/>
              </w:rPr>
              <w:t>,</w:t>
            </w:r>
            <w:r w:rsidRPr="00642AEE">
              <w:rPr>
                <w:rFonts w:asciiTheme="majorBidi" w:hAnsiTheme="majorBidi" w:cstheme="majorBidi"/>
                <w:sz w:val="20"/>
                <w:szCs w:val="20"/>
              </w:rPr>
              <w:t>0</w:t>
            </w:r>
          </w:p>
        </w:tc>
        <w:tc>
          <w:tcPr>
            <w:tcW w:w="539" w:type="pct"/>
            <w:shd w:val="clear" w:color="auto" w:fill="auto"/>
            <w:vAlign w:val="bottom"/>
          </w:tcPr>
          <w:p w14:paraId="252D2533"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3349</w:t>
            </w:r>
          </w:p>
        </w:tc>
        <w:tc>
          <w:tcPr>
            <w:tcW w:w="539" w:type="pct"/>
            <w:tcBorders>
              <w:right w:val="single" w:sz="4" w:space="0" w:color="auto"/>
            </w:tcBorders>
            <w:shd w:val="clear" w:color="auto" w:fill="auto"/>
            <w:vAlign w:val="bottom"/>
          </w:tcPr>
          <w:p w14:paraId="4FF8CB66"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2108</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169FF8E6"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w:t>
            </w:r>
            <w:r w:rsidR="00CE00F5">
              <w:rPr>
                <w:rFonts w:asciiTheme="majorBidi" w:hAnsiTheme="majorBidi" w:cstheme="majorBidi"/>
                <w:sz w:val="20"/>
                <w:szCs w:val="20"/>
              </w:rPr>
              <w:t>990</w:t>
            </w:r>
            <w:r w:rsidRPr="00642AEE">
              <w:rPr>
                <w:rFonts w:asciiTheme="majorBidi" w:hAnsiTheme="majorBidi" w:cstheme="majorBidi"/>
                <w:sz w:val="20"/>
                <w:szCs w:val="20"/>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tcPr>
          <w:p w14:paraId="121C582A" w14:textId="77777777" w:rsidR="00BA54CA" w:rsidRPr="00642AEE" w:rsidRDefault="00BA54CA" w:rsidP="00CE00F5">
            <w:pPr>
              <w:jc w:val="right"/>
              <w:rPr>
                <w:rFonts w:asciiTheme="majorBidi" w:hAnsiTheme="majorBidi" w:cstheme="majorBidi"/>
                <w:sz w:val="20"/>
                <w:szCs w:val="20"/>
              </w:rPr>
            </w:pPr>
            <w:r w:rsidRPr="00642AEE">
              <w:rPr>
                <w:rFonts w:asciiTheme="majorBidi" w:hAnsiTheme="majorBidi" w:cstheme="majorBidi"/>
                <w:sz w:val="20"/>
                <w:szCs w:val="20"/>
              </w:rPr>
              <w:t xml:space="preserve">       </w:t>
            </w:r>
            <w:r w:rsidR="00CE00F5">
              <w:rPr>
                <w:rFonts w:asciiTheme="majorBidi" w:hAnsiTheme="majorBidi" w:cstheme="majorBidi"/>
                <w:sz w:val="20"/>
                <w:szCs w:val="20"/>
              </w:rPr>
              <w:t>530</w:t>
            </w:r>
            <w:r w:rsidRPr="00642AEE">
              <w:rPr>
                <w:rFonts w:asciiTheme="majorBidi" w:hAnsiTheme="majorBidi" w:cstheme="majorBidi"/>
                <w:sz w:val="20"/>
                <w:szCs w:val="20"/>
              </w:rPr>
              <w:t xml:space="preserve"> </w:t>
            </w:r>
          </w:p>
        </w:tc>
      </w:tr>
      <w:tr w:rsidR="00CE00F5" w:rsidRPr="00642AEE" w14:paraId="3D2F0DA6" w14:textId="77777777" w:rsidTr="00EA601C">
        <w:trPr>
          <w:trHeight w:val="235"/>
        </w:trPr>
        <w:tc>
          <w:tcPr>
            <w:tcW w:w="1780" w:type="pct"/>
            <w:shd w:val="clear" w:color="auto" w:fill="auto"/>
            <w:noWrap/>
            <w:vAlign w:val="center"/>
          </w:tcPr>
          <w:p w14:paraId="100ABB53" w14:textId="77777777" w:rsidR="00BA54CA" w:rsidRPr="00642AEE" w:rsidRDefault="00BA54CA" w:rsidP="004035EC">
            <w:pPr>
              <w:jc w:val="left"/>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Total</w:t>
            </w:r>
          </w:p>
        </w:tc>
        <w:tc>
          <w:tcPr>
            <w:tcW w:w="506" w:type="pct"/>
            <w:shd w:val="clear" w:color="auto" w:fill="auto"/>
            <w:vAlign w:val="center"/>
          </w:tcPr>
          <w:p w14:paraId="06C123F1" w14:textId="7DBFA2E5" w:rsidR="00BA54CA" w:rsidRPr="00642AEE" w:rsidRDefault="00BA54CA" w:rsidP="00935097">
            <w:pPr>
              <w:jc w:val="right"/>
              <w:rPr>
                <w:rFonts w:asciiTheme="majorBidi" w:eastAsiaTheme="minorHAnsi" w:hAnsiTheme="majorBidi" w:cstheme="majorBidi"/>
                <w:b/>
                <w:bCs/>
                <w:sz w:val="20"/>
                <w:szCs w:val="20"/>
              </w:rPr>
            </w:pPr>
            <w:r w:rsidRPr="00642AEE">
              <w:rPr>
                <w:rFonts w:asciiTheme="majorBidi" w:hAnsiTheme="majorBidi" w:cstheme="majorBidi"/>
                <w:b/>
                <w:bCs/>
                <w:sz w:val="20"/>
                <w:szCs w:val="20"/>
              </w:rPr>
              <w:t>25</w:t>
            </w:r>
            <w:r w:rsidR="007801AA">
              <w:rPr>
                <w:rFonts w:asciiTheme="majorBidi" w:hAnsiTheme="majorBidi" w:cstheme="majorBidi"/>
                <w:b/>
                <w:bCs/>
                <w:sz w:val="20"/>
                <w:szCs w:val="20"/>
              </w:rPr>
              <w:t xml:space="preserve"> </w:t>
            </w:r>
            <w:r w:rsidRPr="00642AEE">
              <w:rPr>
                <w:rFonts w:asciiTheme="majorBidi" w:hAnsiTheme="majorBidi" w:cstheme="majorBidi"/>
                <w:b/>
                <w:bCs/>
                <w:sz w:val="20"/>
                <w:szCs w:val="20"/>
              </w:rPr>
              <w:t>90</w:t>
            </w:r>
            <w:r w:rsidR="00935097">
              <w:rPr>
                <w:rFonts w:asciiTheme="majorBidi" w:hAnsiTheme="majorBidi" w:cstheme="majorBidi"/>
                <w:b/>
                <w:bCs/>
                <w:sz w:val="20"/>
                <w:szCs w:val="20"/>
              </w:rPr>
              <w:t>0</w:t>
            </w:r>
          </w:p>
        </w:tc>
        <w:tc>
          <w:tcPr>
            <w:tcW w:w="560" w:type="pct"/>
            <w:shd w:val="clear" w:color="auto" w:fill="auto"/>
            <w:vAlign w:val="center"/>
          </w:tcPr>
          <w:p w14:paraId="3A8C7E49" w14:textId="77777777" w:rsidR="00BA54CA" w:rsidRPr="00642AEE" w:rsidRDefault="00BA54CA" w:rsidP="00CE00F5">
            <w:pPr>
              <w:jc w:val="right"/>
              <w:rPr>
                <w:rFonts w:asciiTheme="majorBidi" w:hAnsiTheme="majorBidi" w:cstheme="majorBidi"/>
                <w:b/>
                <w:bCs/>
                <w:sz w:val="20"/>
                <w:szCs w:val="20"/>
                <w:lang w:eastAsia="en-CA"/>
              </w:rPr>
            </w:pPr>
            <w:r w:rsidRPr="00642AEE">
              <w:rPr>
                <w:rFonts w:asciiTheme="majorBidi" w:hAnsiTheme="majorBidi" w:cstheme="majorBidi"/>
                <w:b/>
                <w:bCs/>
                <w:sz w:val="20"/>
                <w:szCs w:val="20"/>
              </w:rPr>
              <w:t>100</w:t>
            </w:r>
            <w:r w:rsidR="00CE00F5">
              <w:rPr>
                <w:rFonts w:asciiTheme="majorBidi" w:hAnsiTheme="majorBidi" w:cstheme="majorBidi"/>
                <w:b/>
                <w:bCs/>
                <w:sz w:val="20"/>
                <w:szCs w:val="20"/>
              </w:rPr>
              <w:t>,</w:t>
            </w:r>
            <w:r w:rsidRPr="00642AEE">
              <w:rPr>
                <w:rFonts w:asciiTheme="majorBidi" w:hAnsiTheme="majorBidi" w:cstheme="majorBidi"/>
                <w:b/>
                <w:bCs/>
                <w:sz w:val="20"/>
                <w:szCs w:val="20"/>
              </w:rPr>
              <w:t>0</w:t>
            </w:r>
          </w:p>
        </w:tc>
        <w:tc>
          <w:tcPr>
            <w:tcW w:w="539" w:type="pct"/>
            <w:shd w:val="clear" w:color="auto" w:fill="auto"/>
            <w:vAlign w:val="center"/>
          </w:tcPr>
          <w:p w14:paraId="3AD59707" w14:textId="77777777" w:rsidR="00BA54CA" w:rsidRPr="00642AEE" w:rsidRDefault="00BA54CA" w:rsidP="00CE00F5">
            <w:pPr>
              <w:jc w:val="right"/>
              <w:rPr>
                <w:rFonts w:asciiTheme="majorBidi" w:hAnsiTheme="majorBidi" w:cstheme="majorBidi"/>
                <w:b/>
                <w:bCs/>
                <w:sz w:val="20"/>
                <w:szCs w:val="20"/>
              </w:rPr>
            </w:pPr>
            <w:r w:rsidRPr="00642AEE">
              <w:rPr>
                <w:rFonts w:asciiTheme="majorBidi" w:hAnsiTheme="majorBidi" w:cstheme="majorBidi"/>
                <w:b/>
                <w:bCs/>
                <w:sz w:val="20"/>
                <w:szCs w:val="20"/>
              </w:rPr>
              <w:t>167</w:t>
            </w:r>
            <w:r w:rsidR="00CE00F5">
              <w:rPr>
                <w:rFonts w:asciiTheme="majorBidi" w:hAnsiTheme="majorBidi" w:cstheme="majorBidi"/>
                <w:b/>
                <w:bCs/>
                <w:sz w:val="20"/>
                <w:szCs w:val="20"/>
              </w:rPr>
              <w:t xml:space="preserve"> </w:t>
            </w:r>
            <w:r w:rsidRPr="00642AEE">
              <w:rPr>
                <w:rFonts w:asciiTheme="majorBidi" w:hAnsiTheme="majorBidi" w:cstheme="majorBidi"/>
                <w:b/>
                <w:bCs/>
                <w:sz w:val="20"/>
                <w:szCs w:val="20"/>
              </w:rPr>
              <w:t>829</w:t>
            </w:r>
          </w:p>
        </w:tc>
        <w:tc>
          <w:tcPr>
            <w:tcW w:w="539" w:type="pct"/>
            <w:tcBorders>
              <w:right w:val="single" w:sz="4" w:space="0" w:color="auto"/>
            </w:tcBorders>
            <w:shd w:val="clear" w:color="auto" w:fill="auto"/>
            <w:vAlign w:val="center"/>
          </w:tcPr>
          <w:p w14:paraId="2F0FBF96" w14:textId="77777777" w:rsidR="00BA54CA" w:rsidRPr="00642AEE" w:rsidRDefault="00BA54CA" w:rsidP="00CE00F5">
            <w:pPr>
              <w:jc w:val="right"/>
              <w:rPr>
                <w:rFonts w:asciiTheme="majorBidi" w:hAnsiTheme="majorBidi" w:cstheme="majorBidi"/>
                <w:b/>
                <w:bCs/>
                <w:sz w:val="20"/>
                <w:szCs w:val="20"/>
              </w:rPr>
            </w:pPr>
            <w:r w:rsidRPr="00642AEE">
              <w:rPr>
                <w:rFonts w:asciiTheme="majorBidi" w:hAnsiTheme="majorBidi" w:cstheme="majorBidi"/>
                <w:b/>
                <w:bCs/>
                <w:sz w:val="20"/>
                <w:szCs w:val="20"/>
              </w:rPr>
              <w:t>104</w:t>
            </w:r>
            <w:r w:rsidR="00CE00F5">
              <w:rPr>
                <w:rFonts w:asciiTheme="majorBidi" w:hAnsiTheme="majorBidi" w:cstheme="majorBidi"/>
                <w:b/>
                <w:bCs/>
                <w:sz w:val="20"/>
                <w:szCs w:val="20"/>
              </w:rPr>
              <w:t xml:space="preserve"> </w:t>
            </w:r>
            <w:r w:rsidRPr="00642AEE">
              <w:rPr>
                <w:rFonts w:asciiTheme="majorBidi" w:hAnsiTheme="majorBidi" w:cstheme="majorBidi"/>
                <w:b/>
                <w:bCs/>
                <w:sz w:val="20"/>
                <w:szCs w:val="20"/>
              </w:rPr>
              <w:t>202</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0A35A161" w14:textId="77777777" w:rsidR="00BA54CA" w:rsidRPr="00642AEE" w:rsidRDefault="00BA54CA" w:rsidP="00CE00F5">
            <w:pPr>
              <w:jc w:val="right"/>
              <w:rPr>
                <w:rFonts w:asciiTheme="majorBidi" w:hAnsiTheme="majorBidi" w:cstheme="majorBidi"/>
                <w:b/>
                <w:bCs/>
                <w:sz w:val="20"/>
                <w:szCs w:val="20"/>
              </w:rPr>
            </w:pPr>
            <w:r w:rsidRPr="00642AEE">
              <w:rPr>
                <w:rFonts w:asciiTheme="majorBidi" w:hAnsiTheme="majorBidi" w:cstheme="majorBidi"/>
                <w:b/>
                <w:bCs/>
                <w:sz w:val="20"/>
                <w:szCs w:val="20"/>
              </w:rPr>
              <w:t>91</w:t>
            </w:r>
            <w:r w:rsidR="00CE00F5">
              <w:rPr>
                <w:rFonts w:asciiTheme="majorBidi" w:hAnsiTheme="majorBidi" w:cstheme="majorBidi"/>
                <w:b/>
                <w:bCs/>
                <w:sz w:val="20"/>
                <w:szCs w:val="20"/>
              </w:rPr>
              <w:t xml:space="preserve"> </w:t>
            </w:r>
            <w:r w:rsidRPr="00642AEE">
              <w:rPr>
                <w:rFonts w:asciiTheme="majorBidi" w:hAnsiTheme="majorBidi" w:cstheme="majorBidi"/>
                <w:b/>
                <w:bCs/>
                <w:sz w:val="20"/>
                <w:szCs w:val="20"/>
              </w:rPr>
              <w:t>20</w:t>
            </w:r>
            <w:r w:rsidR="00CE00F5">
              <w:rPr>
                <w:rFonts w:asciiTheme="majorBidi" w:hAnsiTheme="majorBidi" w:cstheme="majorBidi"/>
                <w:b/>
                <w:bCs/>
                <w:sz w:val="20"/>
                <w:szCs w:val="20"/>
              </w:rPr>
              <w:t>0</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467CCF71" w14:textId="3BD91F7B" w:rsidR="00BA54CA" w:rsidRPr="00642AEE" w:rsidRDefault="00BA54CA" w:rsidP="00CE00F5">
            <w:pPr>
              <w:jc w:val="right"/>
              <w:rPr>
                <w:rFonts w:asciiTheme="majorBidi" w:hAnsiTheme="majorBidi" w:cstheme="majorBidi"/>
                <w:b/>
                <w:bCs/>
                <w:sz w:val="20"/>
                <w:szCs w:val="20"/>
              </w:rPr>
            </w:pPr>
            <w:r w:rsidRPr="00642AEE">
              <w:rPr>
                <w:rFonts w:asciiTheme="majorBidi" w:hAnsiTheme="majorBidi" w:cstheme="majorBidi"/>
                <w:b/>
                <w:bCs/>
                <w:sz w:val="20"/>
                <w:szCs w:val="20"/>
              </w:rPr>
              <w:t>48</w:t>
            </w:r>
            <w:r w:rsidR="007801AA">
              <w:rPr>
                <w:rFonts w:asciiTheme="majorBidi" w:hAnsiTheme="majorBidi" w:cstheme="majorBidi"/>
                <w:b/>
                <w:bCs/>
                <w:sz w:val="20"/>
                <w:szCs w:val="20"/>
              </w:rPr>
              <w:t xml:space="preserve"> </w:t>
            </w:r>
            <w:r w:rsidRPr="00642AEE">
              <w:rPr>
                <w:rFonts w:asciiTheme="majorBidi" w:hAnsiTheme="majorBidi" w:cstheme="majorBidi"/>
                <w:b/>
                <w:bCs/>
                <w:sz w:val="20"/>
                <w:szCs w:val="20"/>
              </w:rPr>
              <w:t>66</w:t>
            </w:r>
            <w:r w:rsidR="00CE00F5">
              <w:rPr>
                <w:rFonts w:asciiTheme="majorBidi" w:hAnsiTheme="majorBidi" w:cstheme="majorBidi"/>
                <w:b/>
                <w:bCs/>
                <w:sz w:val="20"/>
                <w:szCs w:val="20"/>
              </w:rPr>
              <w:t>0</w:t>
            </w:r>
          </w:p>
        </w:tc>
      </w:tr>
    </w:tbl>
    <w:p w14:paraId="512B6CD9" w14:textId="77777777" w:rsidR="00BA54CA" w:rsidRPr="00642AEE" w:rsidRDefault="00BA54CA" w:rsidP="004035EC">
      <w:pPr>
        <w:rPr>
          <w:rFonts w:asciiTheme="majorBidi" w:eastAsiaTheme="minorHAnsi" w:hAnsiTheme="majorBidi" w:cstheme="majorBidi"/>
          <w:lang w:val="en-US"/>
        </w:rPr>
      </w:pPr>
    </w:p>
    <w:p w14:paraId="09FBAEFB" w14:textId="77777777" w:rsidR="00BA54CA" w:rsidRPr="00C0407D" w:rsidRDefault="00BA54CA" w:rsidP="004035EC">
      <w:pPr>
        <w:rPr>
          <w:rFonts w:asciiTheme="majorBidi" w:eastAsiaTheme="minorHAnsi" w:hAnsiTheme="majorBidi" w:cstheme="majorBidi"/>
          <w:u w:val="single"/>
          <w:lang w:val="fr-FR"/>
        </w:rPr>
      </w:pPr>
      <w:proofErr w:type="spellStart"/>
      <w:r w:rsidRPr="00C0407D">
        <w:rPr>
          <w:rFonts w:asciiTheme="majorBidi" w:eastAsiaTheme="minorHAnsi" w:hAnsiTheme="majorBidi" w:cstheme="majorBidi"/>
          <w:u w:val="single"/>
          <w:lang w:val="fr-FR"/>
        </w:rPr>
        <w:t>Reduc</w:t>
      </w:r>
      <w:r w:rsidR="00717772" w:rsidRPr="00C0407D">
        <w:rPr>
          <w:rFonts w:asciiTheme="majorBidi" w:eastAsiaTheme="minorHAnsi" w:hAnsiTheme="majorBidi" w:cstheme="majorBidi"/>
          <w:u w:val="single"/>
          <w:lang w:val="fr-FR"/>
        </w:rPr>
        <w:t>ción</w:t>
      </w:r>
      <w:proofErr w:type="spellEnd"/>
      <w:r w:rsidR="00717772" w:rsidRPr="00C0407D">
        <w:rPr>
          <w:rFonts w:asciiTheme="majorBidi" w:eastAsiaTheme="minorHAnsi" w:hAnsiTheme="majorBidi" w:cstheme="majorBidi"/>
          <w:u w:val="single"/>
          <w:lang w:val="fr-FR"/>
        </w:rPr>
        <w:t xml:space="preserve"> de la demanda </w:t>
      </w:r>
      <w:proofErr w:type="spellStart"/>
      <w:r w:rsidR="00717772" w:rsidRPr="00C0407D">
        <w:rPr>
          <w:rFonts w:asciiTheme="majorBidi" w:eastAsiaTheme="minorHAnsi" w:hAnsiTheme="majorBidi" w:cstheme="majorBidi"/>
          <w:u w:val="single"/>
          <w:lang w:val="fr-FR"/>
        </w:rPr>
        <w:t>máxima</w:t>
      </w:r>
      <w:proofErr w:type="spellEnd"/>
      <w:r w:rsidR="00717772" w:rsidRPr="00C0407D">
        <w:rPr>
          <w:rFonts w:asciiTheme="majorBidi" w:eastAsiaTheme="minorHAnsi" w:hAnsiTheme="majorBidi" w:cstheme="majorBidi"/>
          <w:u w:val="single"/>
          <w:lang w:val="fr-FR"/>
        </w:rPr>
        <w:t xml:space="preserve"> de </w:t>
      </w:r>
      <w:proofErr w:type="spellStart"/>
      <w:r w:rsidR="00717772" w:rsidRPr="00C0407D">
        <w:rPr>
          <w:rFonts w:asciiTheme="majorBidi" w:eastAsiaTheme="minorHAnsi" w:hAnsiTheme="majorBidi" w:cstheme="majorBidi"/>
          <w:u w:val="single"/>
          <w:lang w:val="fr-FR"/>
        </w:rPr>
        <w:t>energía</w:t>
      </w:r>
      <w:proofErr w:type="spellEnd"/>
      <w:r w:rsidRPr="00C0407D">
        <w:rPr>
          <w:rFonts w:asciiTheme="majorBidi" w:eastAsiaTheme="minorHAnsi" w:hAnsiTheme="majorBidi" w:cstheme="majorBidi"/>
          <w:u w:val="single"/>
          <w:lang w:val="fr-FR"/>
        </w:rPr>
        <w:t xml:space="preserve"> </w:t>
      </w:r>
    </w:p>
    <w:p w14:paraId="1774871D" w14:textId="77777777" w:rsidR="00BA54CA" w:rsidRPr="00C0407D" w:rsidRDefault="00BA54CA" w:rsidP="004035EC">
      <w:pPr>
        <w:rPr>
          <w:rFonts w:asciiTheme="majorBidi" w:eastAsiaTheme="minorHAnsi" w:hAnsiTheme="majorBidi" w:cstheme="majorBidi"/>
          <w:lang w:val="fr-FR"/>
        </w:rPr>
      </w:pPr>
    </w:p>
    <w:p w14:paraId="6C70124A" w14:textId="77777777" w:rsidR="00BA54CA" w:rsidRPr="00642AEE" w:rsidRDefault="008A4B3E" w:rsidP="004035EC">
      <w:pPr>
        <w:pStyle w:val="Heading1"/>
      </w:pPr>
      <w:r>
        <w:t>El Modelo mundial de emisiones de refrigeración de las perspectivas de los HFC</w:t>
      </w:r>
      <w:r w:rsidRPr="008A4B3E">
        <w:t xml:space="preserve"> proporciona estimaciones del consumo de electricidad en </w:t>
      </w:r>
      <w:proofErr w:type="spellStart"/>
      <w:r w:rsidRPr="008A4B3E">
        <w:t>teravatios</w:t>
      </w:r>
      <w:proofErr w:type="spellEnd"/>
      <w:r>
        <w:t>-</w:t>
      </w:r>
      <w:r w:rsidRPr="008A4B3E">
        <w:t xml:space="preserve">hora (TWh) al año. La demanda media anual de </w:t>
      </w:r>
      <w:proofErr w:type="spellStart"/>
      <w:r w:rsidRPr="008A4B3E">
        <w:t>teravatios</w:t>
      </w:r>
      <w:proofErr w:type="spellEnd"/>
      <w:r w:rsidRPr="008A4B3E">
        <w:t xml:space="preserve"> (TW) puede calcularse dividiendo la cifra de TWh por 8760 (el número de horas del año). Sin embargo, esta media está muy por debajo de la demanda </w:t>
      </w:r>
      <w:r>
        <w:t>máxima</w:t>
      </w:r>
      <w:r w:rsidRPr="008A4B3E">
        <w:t xml:space="preserve">, que sería mayor debido a la carga coincidente de los equipos de aire acondicionado o, por ejemplo, de los coches eléctricos que se están </w:t>
      </w:r>
      <w:r w:rsidRPr="00AE688D">
        <w:t>cargando. En vista de lo anterior</w:t>
      </w:r>
      <w:r w:rsidRPr="008A4B3E">
        <w:t>, e</w:t>
      </w:r>
      <w:r>
        <w:t>n e</w:t>
      </w:r>
      <w:r w:rsidRPr="008A4B3E">
        <w:t>l cuadro 3</w:t>
      </w:r>
      <w:r>
        <w:t xml:space="preserve"> se</w:t>
      </w:r>
      <w:r w:rsidRPr="008A4B3E">
        <w:t xml:space="preserve"> presenta</w:t>
      </w:r>
      <w:r>
        <w:t>n</w:t>
      </w:r>
      <w:r w:rsidRPr="008A4B3E">
        <w:t xml:space="preserve"> las estimaciones de la demanda </w:t>
      </w:r>
      <w:r>
        <w:t>máxima</w:t>
      </w:r>
      <w:r w:rsidRPr="008A4B3E">
        <w:t xml:space="preserve"> en </w:t>
      </w:r>
      <w:proofErr w:type="spellStart"/>
      <w:r w:rsidRPr="008A4B3E">
        <w:t>teravatios</w:t>
      </w:r>
      <w:proofErr w:type="spellEnd"/>
      <w:r w:rsidRPr="008A4B3E">
        <w:t xml:space="preserve"> utilizando un «factor de demanda </w:t>
      </w:r>
      <w:r>
        <w:t>máxima</w:t>
      </w:r>
      <w:r w:rsidRPr="008A4B3E">
        <w:t>»</w:t>
      </w:r>
      <w:r w:rsidR="00BA54CA" w:rsidRPr="00642AEE">
        <w:rPr>
          <w:rStyle w:val="FootnoteReference"/>
          <w:rFonts w:asciiTheme="majorBidi" w:hAnsiTheme="majorBidi" w:cstheme="majorBidi"/>
        </w:rPr>
        <w:footnoteReference w:id="25"/>
      </w:r>
      <w:r w:rsidR="00BA54CA" w:rsidRPr="00642AEE">
        <w:t xml:space="preserve"> </w:t>
      </w:r>
      <w:r w:rsidRPr="008A4B3E">
        <w:t>de 2,3</w:t>
      </w:r>
      <w:r w:rsidR="00BA54CA" w:rsidRPr="00642AEE">
        <w:t>.</w:t>
      </w:r>
    </w:p>
    <w:p w14:paraId="227A87E9" w14:textId="77777777" w:rsidR="00BA54CA" w:rsidRPr="00642AEE" w:rsidRDefault="008A4B3E" w:rsidP="004035EC">
      <w:pPr>
        <w:pStyle w:val="StyleHeader4Para4Left0Firstline0"/>
        <w:numPr>
          <w:ilvl w:val="0"/>
          <w:numId w:val="0"/>
        </w:numPr>
        <w:spacing w:after="0"/>
        <w:rPr>
          <w:rFonts w:asciiTheme="majorBidi" w:hAnsiTheme="majorBidi" w:cstheme="majorBidi"/>
          <w:b/>
          <w:bCs/>
          <w:sz w:val="22"/>
        </w:rPr>
      </w:pPr>
      <w:r>
        <w:rPr>
          <w:rFonts w:asciiTheme="majorBidi" w:hAnsiTheme="majorBidi" w:cstheme="majorBidi"/>
          <w:b/>
          <w:bCs/>
          <w:sz w:val="22"/>
        </w:rPr>
        <w:t>Cuadro 3. Consumo de e</w:t>
      </w:r>
      <w:r w:rsidR="00BA54CA" w:rsidRPr="00642AEE">
        <w:rPr>
          <w:rFonts w:asciiTheme="majorBidi" w:hAnsiTheme="majorBidi" w:cstheme="majorBidi"/>
          <w:b/>
          <w:bCs/>
          <w:sz w:val="22"/>
        </w:rPr>
        <w:t>lectrici</w:t>
      </w:r>
      <w:r>
        <w:rPr>
          <w:rFonts w:asciiTheme="majorBidi" w:hAnsiTheme="majorBidi" w:cstheme="majorBidi"/>
          <w:b/>
          <w:bCs/>
          <w:sz w:val="22"/>
        </w:rPr>
        <w:t>dad y demanda máxima en</w:t>
      </w:r>
      <w:r w:rsidR="00BA54CA" w:rsidRPr="00642AEE">
        <w:rPr>
          <w:rFonts w:asciiTheme="majorBidi" w:hAnsiTheme="majorBidi" w:cstheme="majorBidi"/>
          <w:b/>
          <w:bCs/>
          <w:sz w:val="22"/>
        </w:rPr>
        <w:t xml:space="preserve"> </w:t>
      </w:r>
      <w:r>
        <w:rPr>
          <w:rFonts w:asciiTheme="majorBidi" w:hAnsiTheme="majorBidi" w:cstheme="majorBidi"/>
          <w:b/>
          <w:bCs/>
          <w:sz w:val="22"/>
        </w:rPr>
        <w:t xml:space="preserve">escenarios </w:t>
      </w:r>
      <w:r w:rsidR="00BA54CA" w:rsidRPr="00642AEE">
        <w:rPr>
          <w:rFonts w:asciiTheme="majorBidi" w:hAnsiTheme="majorBidi" w:cstheme="majorBidi"/>
          <w:b/>
          <w:bCs/>
          <w:sz w:val="22"/>
        </w:rPr>
        <w:t>“</w:t>
      </w:r>
      <w:proofErr w:type="spellStart"/>
      <w:r w:rsidR="00BA54CA" w:rsidRPr="00642AEE">
        <w:rPr>
          <w:rFonts w:asciiTheme="majorBidi" w:hAnsiTheme="majorBidi" w:cstheme="majorBidi"/>
          <w:b/>
          <w:bCs/>
          <w:sz w:val="22"/>
        </w:rPr>
        <w:t>B</w:t>
      </w:r>
      <w:r>
        <w:rPr>
          <w:rFonts w:asciiTheme="majorBidi" w:hAnsiTheme="majorBidi" w:cstheme="majorBidi"/>
          <w:b/>
          <w:bCs/>
          <w:sz w:val="22"/>
        </w:rPr>
        <w:t>a</w:t>
      </w:r>
      <w:r w:rsidR="00BA54CA" w:rsidRPr="00642AEE">
        <w:rPr>
          <w:rFonts w:asciiTheme="majorBidi" w:hAnsiTheme="majorBidi" w:cstheme="majorBidi"/>
          <w:b/>
          <w:bCs/>
          <w:sz w:val="22"/>
        </w:rPr>
        <w:t>U</w:t>
      </w:r>
      <w:proofErr w:type="spellEnd"/>
      <w:r w:rsidR="00BA54CA" w:rsidRPr="00642AEE">
        <w:rPr>
          <w:rFonts w:asciiTheme="majorBidi" w:hAnsiTheme="majorBidi" w:cstheme="majorBidi"/>
          <w:b/>
          <w:bCs/>
          <w:sz w:val="22"/>
        </w:rPr>
        <w:t xml:space="preserve"> </w:t>
      </w:r>
      <w:r>
        <w:rPr>
          <w:rFonts w:asciiTheme="majorBidi" w:hAnsiTheme="majorBidi" w:cstheme="majorBidi"/>
          <w:b/>
          <w:bCs/>
          <w:sz w:val="22"/>
        </w:rPr>
        <w:t>de aumento de la eficiencia energética</w:t>
      </w:r>
      <w:r w:rsidR="00BA54CA" w:rsidRPr="00642AEE">
        <w:rPr>
          <w:rFonts w:asciiTheme="majorBidi" w:hAnsiTheme="majorBidi" w:cstheme="majorBidi"/>
          <w:b/>
          <w:bCs/>
          <w:sz w:val="22"/>
        </w:rPr>
        <w:t xml:space="preserve">” </w:t>
      </w:r>
      <w:r>
        <w:rPr>
          <w:rFonts w:asciiTheme="majorBidi" w:hAnsiTheme="majorBidi" w:cstheme="majorBidi"/>
          <w:b/>
          <w:bCs/>
          <w:sz w:val="22"/>
        </w:rPr>
        <w:t>y</w:t>
      </w:r>
      <w:r w:rsidR="00BA54CA" w:rsidRPr="00642AEE">
        <w:rPr>
          <w:rFonts w:asciiTheme="majorBidi" w:hAnsiTheme="majorBidi" w:cstheme="majorBidi"/>
          <w:b/>
          <w:bCs/>
          <w:sz w:val="22"/>
        </w:rPr>
        <w:t xml:space="preserve"> “</w:t>
      </w:r>
      <w:r>
        <w:rPr>
          <w:rFonts w:asciiTheme="majorBidi" w:hAnsiTheme="majorBidi" w:cstheme="majorBidi"/>
          <w:b/>
          <w:bCs/>
          <w:sz w:val="22"/>
        </w:rPr>
        <w:t>Mejor aumento de la eficiencia energética</w:t>
      </w:r>
      <w:r w:rsidR="00BA54CA" w:rsidRPr="00642AEE">
        <w:rPr>
          <w:rFonts w:asciiTheme="majorBidi" w:hAnsiTheme="majorBidi" w:cstheme="majorBidi"/>
          <w:b/>
          <w:bCs/>
          <w:sz w:val="22"/>
        </w:rPr>
        <w:t>”</w:t>
      </w:r>
    </w:p>
    <w:tbl>
      <w:tblPr>
        <w:tblW w:w="95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13"/>
        <w:gridCol w:w="1890"/>
        <w:gridCol w:w="1800"/>
        <w:gridCol w:w="1620"/>
        <w:gridCol w:w="1440"/>
      </w:tblGrid>
      <w:tr w:rsidR="00642AEE" w:rsidRPr="00642AEE" w14:paraId="2246B268" w14:textId="77777777" w:rsidTr="004F4AFC">
        <w:trPr>
          <w:trHeight w:val="232"/>
          <w:tblHeader/>
        </w:trPr>
        <w:tc>
          <w:tcPr>
            <w:tcW w:w="2813" w:type="dxa"/>
            <w:shd w:val="clear" w:color="auto" w:fill="auto"/>
            <w:noWrap/>
            <w:hideMark/>
          </w:tcPr>
          <w:p w14:paraId="51BCC631"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Particular</w:t>
            </w:r>
            <w:r w:rsidR="008A4B3E">
              <w:rPr>
                <w:rFonts w:asciiTheme="majorBidi" w:hAnsiTheme="majorBidi" w:cstheme="majorBidi"/>
                <w:b/>
                <w:bCs/>
                <w:sz w:val="20"/>
                <w:szCs w:val="20"/>
                <w:lang w:eastAsia="en-CA"/>
              </w:rPr>
              <w:t>e</w:t>
            </w:r>
            <w:r w:rsidRPr="00642AEE">
              <w:rPr>
                <w:rFonts w:asciiTheme="majorBidi" w:hAnsiTheme="majorBidi" w:cstheme="majorBidi"/>
                <w:b/>
                <w:bCs/>
                <w:sz w:val="20"/>
                <w:szCs w:val="20"/>
                <w:lang w:eastAsia="en-CA"/>
              </w:rPr>
              <w:t>s</w:t>
            </w:r>
          </w:p>
        </w:tc>
        <w:tc>
          <w:tcPr>
            <w:tcW w:w="1890" w:type="dxa"/>
            <w:shd w:val="clear" w:color="auto" w:fill="auto"/>
            <w:noWrap/>
            <w:hideMark/>
          </w:tcPr>
          <w:p w14:paraId="520C29C1"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2022</w:t>
            </w:r>
          </w:p>
        </w:tc>
        <w:tc>
          <w:tcPr>
            <w:tcW w:w="1800" w:type="dxa"/>
            <w:shd w:val="clear" w:color="auto" w:fill="auto"/>
            <w:noWrap/>
            <w:hideMark/>
          </w:tcPr>
          <w:p w14:paraId="37AAB6CB"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2030</w:t>
            </w:r>
          </w:p>
        </w:tc>
        <w:tc>
          <w:tcPr>
            <w:tcW w:w="1620" w:type="dxa"/>
            <w:shd w:val="clear" w:color="auto" w:fill="auto"/>
            <w:noWrap/>
            <w:hideMark/>
          </w:tcPr>
          <w:p w14:paraId="2B334FE1"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2040</w:t>
            </w:r>
          </w:p>
        </w:tc>
        <w:tc>
          <w:tcPr>
            <w:tcW w:w="1440" w:type="dxa"/>
            <w:shd w:val="clear" w:color="auto" w:fill="auto"/>
            <w:noWrap/>
            <w:hideMark/>
          </w:tcPr>
          <w:p w14:paraId="6A8C452D"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2050</w:t>
            </w:r>
          </w:p>
        </w:tc>
      </w:tr>
      <w:tr w:rsidR="00642AEE" w:rsidRPr="00642AEE" w14:paraId="7DF69279" w14:textId="77777777" w:rsidTr="004F4AFC">
        <w:trPr>
          <w:trHeight w:val="232"/>
        </w:trPr>
        <w:tc>
          <w:tcPr>
            <w:tcW w:w="2813" w:type="dxa"/>
            <w:shd w:val="clear" w:color="auto" w:fill="auto"/>
            <w:noWrap/>
            <w:hideMark/>
          </w:tcPr>
          <w:p w14:paraId="0D36F835" w14:textId="77777777" w:rsidR="00BA54CA" w:rsidRPr="00642AEE" w:rsidRDefault="00BA54CA" w:rsidP="004035EC">
            <w:pPr>
              <w:jc w:val="center"/>
              <w:rPr>
                <w:rFonts w:asciiTheme="majorBidi" w:hAnsiTheme="majorBidi" w:cstheme="majorBidi"/>
                <w:sz w:val="20"/>
                <w:szCs w:val="20"/>
                <w:lang w:eastAsia="en-CA"/>
              </w:rPr>
            </w:pPr>
          </w:p>
        </w:tc>
        <w:tc>
          <w:tcPr>
            <w:tcW w:w="6750" w:type="dxa"/>
            <w:gridSpan w:val="4"/>
            <w:shd w:val="clear" w:color="auto" w:fill="auto"/>
            <w:noWrap/>
            <w:hideMark/>
          </w:tcPr>
          <w:p w14:paraId="10DCB41E" w14:textId="77777777" w:rsidR="00BA54CA" w:rsidRPr="00642AEE" w:rsidRDefault="00BA54CA" w:rsidP="002F5742">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 xml:space="preserve">TWh </w:t>
            </w:r>
            <w:r w:rsidR="002F5742">
              <w:rPr>
                <w:rFonts w:asciiTheme="majorBidi" w:hAnsiTheme="majorBidi" w:cstheme="majorBidi"/>
                <w:b/>
                <w:bCs/>
                <w:sz w:val="20"/>
                <w:szCs w:val="20"/>
                <w:lang w:eastAsia="en-CA"/>
              </w:rPr>
              <w:t>al año</w:t>
            </w:r>
          </w:p>
        </w:tc>
      </w:tr>
      <w:tr w:rsidR="00642AEE" w:rsidRPr="00642AEE" w14:paraId="7193186B" w14:textId="77777777" w:rsidTr="004F4AFC">
        <w:trPr>
          <w:trHeight w:val="232"/>
        </w:trPr>
        <w:tc>
          <w:tcPr>
            <w:tcW w:w="2813" w:type="dxa"/>
            <w:shd w:val="clear" w:color="auto" w:fill="auto"/>
            <w:noWrap/>
            <w:hideMark/>
          </w:tcPr>
          <w:p w14:paraId="775E3945" w14:textId="77777777" w:rsidR="00BA54CA" w:rsidRPr="00642AEE" w:rsidRDefault="002F5742" w:rsidP="004035EC">
            <w:pPr>
              <w:rPr>
                <w:rFonts w:asciiTheme="majorBidi" w:hAnsiTheme="majorBidi" w:cstheme="majorBidi"/>
                <w:sz w:val="20"/>
                <w:szCs w:val="20"/>
                <w:lang w:eastAsia="en-CA"/>
              </w:rPr>
            </w:pPr>
            <w:r>
              <w:rPr>
                <w:rFonts w:asciiTheme="majorBidi" w:hAnsiTheme="majorBidi" w:cstheme="majorBidi"/>
                <w:sz w:val="20"/>
                <w:szCs w:val="20"/>
                <w:lang w:eastAsia="en-CA"/>
              </w:rPr>
              <w:t xml:space="preserve">Aumento de la eficiencia </w:t>
            </w:r>
            <w:proofErr w:type="spellStart"/>
            <w:r>
              <w:rPr>
                <w:rFonts w:asciiTheme="majorBidi" w:hAnsiTheme="majorBidi" w:cstheme="majorBidi"/>
                <w:sz w:val="20"/>
                <w:szCs w:val="20"/>
                <w:lang w:eastAsia="en-CA"/>
              </w:rPr>
              <w:t>BaU</w:t>
            </w:r>
            <w:proofErr w:type="spellEnd"/>
          </w:p>
        </w:tc>
        <w:tc>
          <w:tcPr>
            <w:tcW w:w="1890" w:type="dxa"/>
            <w:shd w:val="clear" w:color="auto" w:fill="auto"/>
            <w:noWrap/>
            <w:hideMark/>
          </w:tcPr>
          <w:p w14:paraId="74C7FC15"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3024</w:t>
            </w:r>
          </w:p>
        </w:tc>
        <w:tc>
          <w:tcPr>
            <w:tcW w:w="1800" w:type="dxa"/>
            <w:shd w:val="clear" w:color="auto" w:fill="auto"/>
            <w:noWrap/>
            <w:hideMark/>
          </w:tcPr>
          <w:p w14:paraId="371EA0C0"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4290</w:t>
            </w:r>
          </w:p>
        </w:tc>
        <w:tc>
          <w:tcPr>
            <w:tcW w:w="1620" w:type="dxa"/>
            <w:shd w:val="clear" w:color="auto" w:fill="auto"/>
            <w:noWrap/>
            <w:hideMark/>
          </w:tcPr>
          <w:p w14:paraId="2D09A79D"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6477</w:t>
            </w:r>
          </w:p>
        </w:tc>
        <w:tc>
          <w:tcPr>
            <w:tcW w:w="1440" w:type="dxa"/>
            <w:shd w:val="clear" w:color="auto" w:fill="auto"/>
            <w:noWrap/>
            <w:hideMark/>
          </w:tcPr>
          <w:p w14:paraId="666FFEE9"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10</w:t>
            </w:r>
            <w:r w:rsidR="002F5742">
              <w:rPr>
                <w:rFonts w:asciiTheme="majorBidi" w:hAnsiTheme="majorBidi" w:cstheme="majorBidi"/>
                <w:sz w:val="20"/>
                <w:szCs w:val="20"/>
                <w:lang w:eastAsia="en-CA"/>
              </w:rPr>
              <w:t xml:space="preserve"> </w:t>
            </w:r>
            <w:r w:rsidRPr="00642AEE">
              <w:rPr>
                <w:rFonts w:asciiTheme="majorBidi" w:hAnsiTheme="majorBidi" w:cstheme="majorBidi"/>
                <w:sz w:val="20"/>
                <w:szCs w:val="20"/>
                <w:lang w:eastAsia="en-CA"/>
              </w:rPr>
              <w:t>042</w:t>
            </w:r>
          </w:p>
        </w:tc>
      </w:tr>
      <w:tr w:rsidR="00642AEE" w:rsidRPr="00642AEE" w14:paraId="47C03EDE" w14:textId="77777777" w:rsidTr="004F4AFC">
        <w:trPr>
          <w:trHeight w:val="232"/>
        </w:trPr>
        <w:tc>
          <w:tcPr>
            <w:tcW w:w="2813" w:type="dxa"/>
            <w:shd w:val="clear" w:color="auto" w:fill="auto"/>
            <w:noWrap/>
            <w:hideMark/>
          </w:tcPr>
          <w:p w14:paraId="331CB0AA" w14:textId="77777777" w:rsidR="00BA54CA" w:rsidRPr="00642AEE" w:rsidRDefault="002F5742" w:rsidP="002F5742">
            <w:pPr>
              <w:rPr>
                <w:rFonts w:asciiTheme="majorBidi" w:hAnsiTheme="majorBidi" w:cstheme="majorBidi"/>
                <w:sz w:val="20"/>
                <w:szCs w:val="20"/>
                <w:lang w:eastAsia="en-CA"/>
              </w:rPr>
            </w:pPr>
            <w:r>
              <w:rPr>
                <w:rFonts w:asciiTheme="majorBidi" w:hAnsiTheme="majorBidi" w:cstheme="majorBidi"/>
                <w:sz w:val="20"/>
                <w:szCs w:val="20"/>
                <w:lang w:eastAsia="en-CA"/>
              </w:rPr>
              <w:t>Gran aumento de la eficiencia</w:t>
            </w:r>
          </w:p>
        </w:tc>
        <w:tc>
          <w:tcPr>
            <w:tcW w:w="1890" w:type="dxa"/>
            <w:shd w:val="clear" w:color="auto" w:fill="auto"/>
            <w:noWrap/>
            <w:hideMark/>
          </w:tcPr>
          <w:p w14:paraId="6EB243E5"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2930</w:t>
            </w:r>
          </w:p>
        </w:tc>
        <w:tc>
          <w:tcPr>
            <w:tcW w:w="1800" w:type="dxa"/>
            <w:shd w:val="clear" w:color="auto" w:fill="auto"/>
            <w:noWrap/>
            <w:hideMark/>
          </w:tcPr>
          <w:p w14:paraId="47E395BD" w14:textId="77777777" w:rsidR="00BA54CA" w:rsidRPr="00642AEE" w:rsidRDefault="002F5742" w:rsidP="004035EC">
            <w:pPr>
              <w:jc w:val="center"/>
              <w:rPr>
                <w:rFonts w:asciiTheme="majorBidi" w:hAnsiTheme="majorBidi" w:cstheme="majorBidi"/>
                <w:sz w:val="20"/>
                <w:szCs w:val="20"/>
                <w:lang w:eastAsia="en-CA"/>
              </w:rPr>
            </w:pPr>
            <w:r>
              <w:rPr>
                <w:rFonts w:asciiTheme="majorBidi" w:hAnsiTheme="majorBidi" w:cstheme="majorBidi"/>
                <w:sz w:val="20"/>
                <w:szCs w:val="20"/>
                <w:lang w:eastAsia="en-CA"/>
              </w:rPr>
              <w:t>2</w:t>
            </w:r>
            <w:r w:rsidR="00BA54CA" w:rsidRPr="00642AEE">
              <w:rPr>
                <w:rFonts w:asciiTheme="majorBidi" w:hAnsiTheme="majorBidi" w:cstheme="majorBidi"/>
                <w:sz w:val="20"/>
                <w:szCs w:val="20"/>
                <w:lang w:eastAsia="en-CA"/>
              </w:rPr>
              <w:t>979</w:t>
            </w:r>
          </w:p>
        </w:tc>
        <w:tc>
          <w:tcPr>
            <w:tcW w:w="1620" w:type="dxa"/>
            <w:shd w:val="clear" w:color="auto" w:fill="auto"/>
            <w:noWrap/>
            <w:hideMark/>
          </w:tcPr>
          <w:p w14:paraId="00F43CB8"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3168</w:t>
            </w:r>
          </w:p>
        </w:tc>
        <w:tc>
          <w:tcPr>
            <w:tcW w:w="1440" w:type="dxa"/>
            <w:shd w:val="clear" w:color="auto" w:fill="auto"/>
            <w:noWrap/>
            <w:hideMark/>
          </w:tcPr>
          <w:p w14:paraId="34CA1624"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3864</w:t>
            </w:r>
          </w:p>
        </w:tc>
      </w:tr>
      <w:tr w:rsidR="00642AEE" w:rsidRPr="00642AEE" w14:paraId="1B2E37BF" w14:textId="77777777" w:rsidTr="004F4AFC">
        <w:trPr>
          <w:trHeight w:val="232"/>
        </w:trPr>
        <w:tc>
          <w:tcPr>
            <w:tcW w:w="2813" w:type="dxa"/>
            <w:shd w:val="clear" w:color="auto" w:fill="auto"/>
            <w:noWrap/>
            <w:hideMark/>
          </w:tcPr>
          <w:p w14:paraId="35389D2F" w14:textId="77777777" w:rsidR="00BA54CA" w:rsidRPr="00642AEE" w:rsidRDefault="00BA54CA" w:rsidP="004035EC">
            <w:pPr>
              <w:rPr>
                <w:rFonts w:asciiTheme="majorBidi" w:hAnsiTheme="majorBidi" w:cstheme="majorBidi"/>
                <w:sz w:val="20"/>
                <w:szCs w:val="20"/>
                <w:lang w:eastAsia="en-CA"/>
              </w:rPr>
            </w:pPr>
          </w:p>
        </w:tc>
        <w:tc>
          <w:tcPr>
            <w:tcW w:w="6750" w:type="dxa"/>
            <w:gridSpan w:val="4"/>
            <w:shd w:val="clear" w:color="auto" w:fill="auto"/>
            <w:noWrap/>
            <w:hideMark/>
          </w:tcPr>
          <w:p w14:paraId="57F2DDA7" w14:textId="77777777" w:rsidR="00BA54CA" w:rsidRPr="00642AEE" w:rsidRDefault="002F5742" w:rsidP="00AE688D">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Demanda media anual de</w:t>
            </w:r>
            <w:r w:rsidR="00BA54CA" w:rsidRPr="00642AEE">
              <w:rPr>
                <w:rFonts w:asciiTheme="majorBidi" w:hAnsiTheme="majorBidi" w:cstheme="majorBidi"/>
                <w:b/>
                <w:bCs/>
                <w:sz w:val="20"/>
                <w:szCs w:val="20"/>
                <w:lang w:eastAsia="en-CA"/>
              </w:rPr>
              <w:t xml:space="preserve"> TW (us</w:t>
            </w:r>
            <w:r>
              <w:rPr>
                <w:rFonts w:asciiTheme="majorBidi" w:hAnsiTheme="majorBidi" w:cstheme="majorBidi"/>
                <w:b/>
                <w:bCs/>
                <w:sz w:val="20"/>
                <w:szCs w:val="20"/>
                <w:lang w:eastAsia="en-CA"/>
              </w:rPr>
              <w:t>ando</w:t>
            </w:r>
            <w:r w:rsidR="00BA54CA" w:rsidRPr="00642AEE">
              <w:rPr>
                <w:rFonts w:asciiTheme="majorBidi" w:hAnsiTheme="majorBidi" w:cstheme="majorBidi"/>
                <w:b/>
                <w:bCs/>
                <w:sz w:val="20"/>
                <w:szCs w:val="20"/>
                <w:lang w:eastAsia="en-CA"/>
              </w:rPr>
              <w:t xml:space="preserve"> 8760 ho</w:t>
            </w:r>
            <w:r>
              <w:rPr>
                <w:rFonts w:asciiTheme="majorBidi" w:hAnsiTheme="majorBidi" w:cstheme="majorBidi"/>
                <w:b/>
                <w:bCs/>
                <w:sz w:val="20"/>
                <w:szCs w:val="20"/>
                <w:lang w:eastAsia="en-CA"/>
              </w:rPr>
              <w:t>ras</w:t>
            </w:r>
            <w:r w:rsidR="00BA54CA" w:rsidRPr="00642AEE">
              <w:rPr>
                <w:rFonts w:asciiTheme="majorBidi" w:hAnsiTheme="majorBidi" w:cstheme="majorBidi"/>
                <w:b/>
                <w:bCs/>
                <w:sz w:val="20"/>
                <w:szCs w:val="20"/>
                <w:lang w:eastAsia="en-CA"/>
              </w:rPr>
              <w:t>)</w:t>
            </w:r>
          </w:p>
        </w:tc>
      </w:tr>
      <w:tr w:rsidR="00642AEE" w:rsidRPr="00642AEE" w14:paraId="56FF5349" w14:textId="77777777" w:rsidTr="004F4AFC">
        <w:trPr>
          <w:trHeight w:val="232"/>
        </w:trPr>
        <w:tc>
          <w:tcPr>
            <w:tcW w:w="2813" w:type="dxa"/>
            <w:shd w:val="clear" w:color="auto" w:fill="auto"/>
            <w:noWrap/>
            <w:hideMark/>
          </w:tcPr>
          <w:p w14:paraId="571D5953" w14:textId="77777777" w:rsidR="00BA54CA" w:rsidRPr="00642AEE" w:rsidRDefault="002F5742" w:rsidP="004035EC">
            <w:pPr>
              <w:rPr>
                <w:rFonts w:asciiTheme="majorBidi" w:hAnsiTheme="majorBidi" w:cstheme="majorBidi"/>
                <w:sz w:val="20"/>
                <w:szCs w:val="20"/>
                <w:lang w:eastAsia="en-CA"/>
              </w:rPr>
            </w:pPr>
            <w:r>
              <w:rPr>
                <w:rFonts w:asciiTheme="majorBidi" w:hAnsiTheme="majorBidi" w:cstheme="majorBidi"/>
                <w:sz w:val="20"/>
                <w:szCs w:val="20"/>
                <w:lang w:eastAsia="en-CA"/>
              </w:rPr>
              <w:t xml:space="preserve">Aumento de la eficiencia </w:t>
            </w:r>
            <w:proofErr w:type="spellStart"/>
            <w:r>
              <w:rPr>
                <w:rFonts w:asciiTheme="majorBidi" w:hAnsiTheme="majorBidi" w:cstheme="majorBidi"/>
                <w:sz w:val="20"/>
                <w:szCs w:val="20"/>
                <w:lang w:eastAsia="en-CA"/>
              </w:rPr>
              <w:t>BaU</w:t>
            </w:r>
            <w:proofErr w:type="spellEnd"/>
          </w:p>
        </w:tc>
        <w:tc>
          <w:tcPr>
            <w:tcW w:w="1890" w:type="dxa"/>
            <w:shd w:val="clear" w:color="auto" w:fill="auto"/>
            <w:noWrap/>
            <w:hideMark/>
          </w:tcPr>
          <w:p w14:paraId="1BF8B52C"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w:t>
            </w:r>
            <w:r w:rsidR="002F5742">
              <w:rPr>
                <w:rFonts w:asciiTheme="majorBidi" w:hAnsiTheme="majorBidi" w:cstheme="majorBidi"/>
                <w:sz w:val="20"/>
                <w:szCs w:val="20"/>
                <w:lang w:eastAsia="en-CA"/>
              </w:rPr>
              <w:t>,</w:t>
            </w:r>
            <w:r w:rsidRPr="00642AEE">
              <w:rPr>
                <w:rFonts w:asciiTheme="majorBidi" w:hAnsiTheme="majorBidi" w:cstheme="majorBidi"/>
                <w:sz w:val="20"/>
                <w:szCs w:val="20"/>
                <w:lang w:eastAsia="en-CA"/>
              </w:rPr>
              <w:t>35</w:t>
            </w:r>
          </w:p>
        </w:tc>
        <w:tc>
          <w:tcPr>
            <w:tcW w:w="1800" w:type="dxa"/>
            <w:shd w:val="clear" w:color="auto" w:fill="auto"/>
            <w:noWrap/>
            <w:hideMark/>
          </w:tcPr>
          <w:p w14:paraId="2F4B21AB" w14:textId="77777777" w:rsidR="00BA54CA" w:rsidRPr="00642AEE" w:rsidRDefault="002F5742" w:rsidP="004035EC">
            <w:pPr>
              <w:jc w:val="center"/>
              <w:rPr>
                <w:rFonts w:asciiTheme="majorBidi" w:hAnsiTheme="majorBidi" w:cstheme="majorBidi"/>
                <w:sz w:val="20"/>
                <w:szCs w:val="20"/>
                <w:lang w:eastAsia="en-CA"/>
              </w:rPr>
            </w:pPr>
            <w:r>
              <w:rPr>
                <w:rFonts w:asciiTheme="majorBidi" w:hAnsiTheme="majorBidi" w:cstheme="majorBidi"/>
                <w:sz w:val="20"/>
                <w:szCs w:val="20"/>
                <w:lang w:eastAsia="en-CA"/>
              </w:rPr>
              <w:t>0,</w:t>
            </w:r>
            <w:r w:rsidR="00BA54CA" w:rsidRPr="00642AEE">
              <w:rPr>
                <w:rFonts w:asciiTheme="majorBidi" w:hAnsiTheme="majorBidi" w:cstheme="majorBidi"/>
                <w:sz w:val="20"/>
                <w:szCs w:val="20"/>
                <w:lang w:eastAsia="en-CA"/>
              </w:rPr>
              <w:t>49</w:t>
            </w:r>
          </w:p>
        </w:tc>
        <w:tc>
          <w:tcPr>
            <w:tcW w:w="1620" w:type="dxa"/>
            <w:shd w:val="clear" w:color="auto" w:fill="auto"/>
            <w:noWrap/>
            <w:hideMark/>
          </w:tcPr>
          <w:p w14:paraId="705757F0"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w:t>
            </w:r>
            <w:r w:rsidR="002F5742">
              <w:rPr>
                <w:rFonts w:asciiTheme="majorBidi" w:hAnsiTheme="majorBidi" w:cstheme="majorBidi"/>
                <w:sz w:val="20"/>
                <w:szCs w:val="20"/>
                <w:lang w:eastAsia="en-CA"/>
              </w:rPr>
              <w:t>,</w:t>
            </w:r>
            <w:r w:rsidRPr="00642AEE">
              <w:rPr>
                <w:rFonts w:asciiTheme="majorBidi" w:hAnsiTheme="majorBidi" w:cstheme="majorBidi"/>
                <w:sz w:val="20"/>
                <w:szCs w:val="20"/>
                <w:lang w:eastAsia="en-CA"/>
              </w:rPr>
              <w:t>74</w:t>
            </w:r>
          </w:p>
        </w:tc>
        <w:tc>
          <w:tcPr>
            <w:tcW w:w="1440" w:type="dxa"/>
            <w:shd w:val="clear" w:color="auto" w:fill="auto"/>
            <w:noWrap/>
            <w:hideMark/>
          </w:tcPr>
          <w:p w14:paraId="61D58294" w14:textId="77777777" w:rsidR="00BA54CA" w:rsidRPr="00642AEE" w:rsidRDefault="002F5742" w:rsidP="004035EC">
            <w:pPr>
              <w:jc w:val="center"/>
              <w:rPr>
                <w:rFonts w:asciiTheme="majorBidi" w:hAnsiTheme="majorBidi" w:cstheme="majorBidi"/>
                <w:sz w:val="20"/>
                <w:szCs w:val="20"/>
                <w:lang w:eastAsia="en-CA"/>
              </w:rPr>
            </w:pPr>
            <w:r>
              <w:rPr>
                <w:rFonts w:asciiTheme="majorBidi" w:hAnsiTheme="majorBidi" w:cstheme="majorBidi"/>
                <w:sz w:val="20"/>
                <w:szCs w:val="20"/>
                <w:lang w:eastAsia="en-CA"/>
              </w:rPr>
              <w:t>1,</w:t>
            </w:r>
            <w:r w:rsidR="00BA54CA" w:rsidRPr="00642AEE">
              <w:rPr>
                <w:rFonts w:asciiTheme="majorBidi" w:hAnsiTheme="majorBidi" w:cstheme="majorBidi"/>
                <w:sz w:val="20"/>
                <w:szCs w:val="20"/>
                <w:lang w:eastAsia="en-CA"/>
              </w:rPr>
              <w:t>15</w:t>
            </w:r>
          </w:p>
        </w:tc>
      </w:tr>
      <w:tr w:rsidR="00642AEE" w:rsidRPr="00642AEE" w14:paraId="20B684FC" w14:textId="77777777" w:rsidTr="004F4AFC">
        <w:trPr>
          <w:trHeight w:val="232"/>
        </w:trPr>
        <w:tc>
          <w:tcPr>
            <w:tcW w:w="2813" w:type="dxa"/>
            <w:shd w:val="clear" w:color="auto" w:fill="auto"/>
            <w:noWrap/>
            <w:hideMark/>
          </w:tcPr>
          <w:p w14:paraId="1C2B0A76" w14:textId="77777777" w:rsidR="00BA54CA" w:rsidRPr="00642AEE" w:rsidRDefault="002F5742" w:rsidP="002F5742">
            <w:pPr>
              <w:rPr>
                <w:rFonts w:asciiTheme="majorBidi" w:hAnsiTheme="majorBidi" w:cstheme="majorBidi"/>
                <w:sz w:val="20"/>
                <w:szCs w:val="20"/>
                <w:lang w:eastAsia="en-CA"/>
              </w:rPr>
            </w:pPr>
            <w:r>
              <w:rPr>
                <w:rFonts w:asciiTheme="majorBidi" w:hAnsiTheme="majorBidi" w:cstheme="majorBidi"/>
                <w:sz w:val="20"/>
                <w:szCs w:val="20"/>
                <w:lang w:eastAsia="en-CA"/>
              </w:rPr>
              <w:t>Gran aumento de la eficiencia</w:t>
            </w:r>
          </w:p>
        </w:tc>
        <w:tc>
          <w:tcPr>
            <w:tcW w:w="1890" w:type="dxa"/>
            <w:shd w:val="clear" w:color="auto" w:fill="auto"/>
            <w:noWrap/>
            <w:hideMark/>
          </w:tcPr>
          <w:p w14:paraId="3A3D1CC5"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w:t>
            </w:r>
            <w:r w:rsidR="002F5742">
              <w:rPr>
                <w:rFonts w:asciiTheme="majorBidi" w:hAnsiTheme="majorBidi" w:cstheme="majorBidi"/>
                <w:sz w:val="20"/>
                <w:szCs w:val="20"/>
                <w:lang w:eastAsia="en-CA"/>
              </w:rPr>
              <w:t>,</w:t>
            </w:r>
            <w:r w:rsidRPr="00642AEE">
              <w:rPr>
                <w:rFonts w:asciiTheme="majorBidi" w:hAnsiTheme="majorBidi" w:cstheme="majorBidi"/>
                <w:sz w:val="20"/>
                <w:szCs w:val="20"/>
                <w:lang w:eastAsia="en-CA"/>
              </w:rPr>
              <w:t>33</w:t>
            </w:r>
          </w:p>
        </w:tc>
        <w:tc>
          <w:tcPr>
            <w:tcW w:w="1800" w:type="dxa"/>
            <w:shd w:val="clear" w:color="auto" w:fill="auto"/>
            <w:noWrap/>
            <w:hideMark/>
          </w:tcPr>
          <w:p w14:paraId="55858B7B" w14:textId="77777777" w:rsidR="00BA54CA" w:rsidRPr="00642AEE" w:rsidRDefault="002F5742" w:rsidP="004035EC">
            <w:pPr>
              <w:jc w:val="center"/>
              <w:rPr>
                <w:rFonts w:asciiTheme="majorBidi" w:hAnsiTheme="majorBidi" w:cstheme="majorBidi"/>
                <w:sz w:val="20"/>
                <w:szCs w:val="20"/>
                <w:lang w:eastAsia="en-CA"/>
              </w:rPr>
            </w:pPr>
            <w:r>
              <w:rPr>
                <w:rFonts w:asciiTheme="majorBidi" w:hAnsiTheme="majorBidi" w:cstheme="majorBidi"/>
                <w:sz w:val="20"/>
                <w:szCs w:val="20"/>
                <w:lang w:eastAsia="en-CA"/>
              </w:rPr>
              <w:t>0,</w:t>
            </w:r>
            <w:r w:rsidR="00BA54CA" w:rsidRPr="00642AEE">
              <w:rPr>
                <w:rFonts w:asciiTheme="majorBidi" w:hAnsiTheme="majorBidi" w:cstheme="majorBidi"/>
                <w:sz w:val="20"/>
                <w:szCs w:val="20"/>
                <w:lang w:eastAsia="en-CA"/>
              </w:rPr>
              <w:t>34</w:t>
            </w:r>
          </w:p>
        </w:tc>
        <w:tc>
          <w:tcPr>
            <w:tcW w:w="1620" w:type="dxa"/>
            <w:shd w:val="clear" w:color="auto" w:fill="auto"/>
            <w:noWrap/>
            <w:hideMark/>
          </w:tcPr>
          <w:p w14:paraId="7F44C652"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w:t>
            </w:r>
            <w:r w:rsidR="002F5742">
              <w:rPr>
                <w:rFonts w:asciiTheme="majorBidi" w:hAnsiTheme="majorBidi" w:cstheme="majorBidi"/>
                <w:sz w:val="20"/>
                <w:szCs w:val="20"/>
                <w:lang w:eastAsia="en-CA"/>
              </w:rPr>
              <w:t>,</w:t>
            </w:r>
            <w:r w:rsidRPr="00642AEE">
              <w:rPr>
                <w:rFonts w:asciiTheme="majorBidi" w:hAnsiTheme="majorBidi" w:cstheme="majorBidi"/>
                <w:sz w:val="20"/>
                <w:szCs w:val="20"/>
                <w:lang w:eastAsia="en-CA"/>
              </w:rPr>
              <w:t>36</w:t>
            </w:r>
          </w:p>
        </w:tc>
        <w:tc>
          <w:tcPr>
            <w:tcW w:w="1440" w:type="dxa"/>
            <w:shd w:val="clear" w:color="auto" w:fill="auto"/>
            <w:noWrap/>
            <w:hideMark/>
          </w:tcPr>
          <w:p w14:paraId="0C79336D" w14:textId="77777777" w:rsidR="00BA54CA" w:rsidRPr="00642AEE" w:rsidRDefault="00BA54CA" w:rsidP="002F5742">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w:t>
            </w:r>
            <w:r w:rsidR="002F5742">
              <w:rPr>
                <w:rFonts w:asciiTheme="majorBidi" w:hAnsiTheme="majorBidi" w:cstheme="majorBidi"/>
                <w:sz w:val="20"/>
                <w:szCs w:val="20"/>
                <w:lang w:eastAsia="en-CA"/>
              </w:rPr>
              <w:t>,</w:t>
            </w:r>
            <w:r w:rsidRPr="00642AEE">
              <w:rPr>
                <w:rFonts w:asciiTheme="majorBidi" w:hAnsiTheme="majorBidi" w:cstheme="majorBidi"/>
                <w:sz w:val="20"/>
                <w:szCs w:val="20"/>
                <w:lang w:eastAsia="en-CA"/>
              </w:rPr>
              <w:t>44</w:t>
            </w:r>
          </w:p>
        </w:tc>
      </w:tr>
      <w:tr w:rsidR="00642AEE" w:rsidRPr="00642AEE" w14:paraId="55D785F6" w14:textId="77777777" w:rsidTr="004F4AFC">
        <w:trPr>
          <w:trHeight w:val="232"/>
        </w:trPr>
        <w:tc>
          <w:tcPr>
            <w:tcW w:w="2813" w:type="dxa"/>
            <w:shd w:val="clear" w:color="auto" w:fill="auto"/>
            <w:noWrap/>
            <w:hideMark/>
          </w:tcPr>
          <w:p w14:paraId="15188DB8" w14:textId="77777777" w:rsidR="00BA54CA" w:rsidRPr="00642AEE" w:rsidRDefault="00BA54CA" w:rsidP="004035EC">
            <w:pPr>
              <w:rPr>
                <w:rFonts w:asciiTheme="majorBidi" w:hAnsiTheme="majorBidi" w:cstheme="majorBidi"/>
                <w:sz w:val="20"/>
                <w:szCs w:val="20"/>
                <w:lang w:eastAsia="en-CA"/>
              </w:rPr>
            </w:pPr>
          </w:p>
        </w:tc>
        <w:tc>
          <w:tcPr>
            <w:tcW w:w="6750" w:type="dxa"/>
            <w:gridSpan w:val="4"/>
            <w:shd w:val="clear" w:color="auto" w:fill="auto"/>
            <w:noWrap/>
            <w:hideMark/>
          </w:tcPr>
          <w:p w14:paraId="6A017AF9" w14:textId="77777777" w:rsidR="00BA54CA" w:rsidRPr="00642AEE" w:rsidRDefault="002F5742" w:rsidP="00A60048">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Demanda máxima</w:t>
            </w:r>
            <w:r w:rsidR="00BA54CA" w:rsidRPr="00642AEE">
              <w:rPr>
                <w:rFonts w:asciiTheme="majorBidi" w:hAnsiTheme="majorBidi" w:cstheme="majorBidi"/>
                <w:b/>
                <w:bCs/>
                <w:sz w:val="20"/>
                <w:szCs w:val="20"/>
                <w:lang w:eastAsia="en-CA"/>
              </w:rPr>
              <w:t xml:space="preserve"> TW, </w:t>
            </w:r>
            <w:r>
              <w:rPr>
                <w:rFonts w:asciiTheme="majorBidi" w:hAnsiTheme="majorBidi" w:cstheme="majorBidi"/>
                <w:b/>
                <w:bCs/>
                <w:sz w:val="20"/>
                <w:szCs w:val="20"/>
                <w:lang w:eastAsia="en-CA"/>
              </w:rPr>
              <w:t xml:space="preserve">Factor </w:t>
            </w:r>
            <w:r w:rsidR="00A60048">
              <w:rPr>
                <w:rFonts w:asciiTheme="majorBidi" w:hAnsiTheme="majorBidi" w:cstheme="majorBidi"/>
                <w:b/>
                <w:bCs/>
                <w:sz w:val="20"/>
                <w:szCs w:val="20"/>
                <w:lang w:eastAsia="en-CA"/>
              </w:rPr>
              <w:t>demanda máxima</w:t>
            </w:r>
            <w:r w:rsidR="00BA54CA" w:rsidRPr="00642AEE">
              <w:rPr>
                <w:rFonts w:asciiTheme="majorBidi" w:hAnsiTheme="majorBidi" w:cstheme="majorBidi"/>
                <w:b/>
                <w:bCs/>
                <w:sz w:val="20"/>
                <w:szCs w:val="20"/>
                <w:lang w:eastAsia="en-CA"/>
              </w:rPr>
              <w:t xml:space="preserve"> 2</w:t>
            </w:r>
            <w:r w:rsidR="00A60048">
              <w:rPr>
                <w:rFonts w:asciiTheme="majorBidi" w:hAnsiTheme="majorBidi" w:cstheme="majorBidi"/>
                <w:b/>
                <w:bCs/>
                <w:sz w:val="20"/>
                <w:szCs w:val="20"/>
                <w:lang w:eastAsia="en-CA"/>
              </w:rPr>
              <w:t>,</w:t>
            </w:r>
            <w:r w:rsidR="00BA54CA" w:rsidRPr="00642AEE">
              <w:rPr>
                <w:rFonts w:asciiTheme="majorBidi" w:hAnsiTheme="majorBidi" w:cstheme="majorBidi"/>
                <w:b/>
                <w:bCs/>
                <w:sz w:val="20"/>
                <w:szCs w:val="20"/>
                <w:lang w:eastAsia="en-CA"/>
              </w:rPr>
              <w:t>3</w:t>
            </w:r>
          </w:p>
        </w:tc>
      </w:tr>
      <w:tr w:rsidR="00642AEE" w:rsidRPr="00642AEE" w14:paraId="4BCCBF98" w14:textId="77777777" w:rsidTr="004F4AFC">
        <w:trPr>
          <w:trHeight w:val="232"/>
        </w:trPr>
        <w:tc>
          <w:tcPr>
            <w:tcW w:w="2813" w:type="dxa"/>
            <w:shd w:val="clear" w:color="auto" w:fill="auto"/>
            <w:noWrap/>
            <w:hideMark/>
          </w:tcPr>
          <w:p w14:paraId="483B1099" w14:textId="77777777" w:rsidR="00BA54CA" w:rsidRPr="00642AEE" w:rsidRDefault="00A60048" w:rsidP="00A60048">
            <w:pPr>
              <w:rPr>
                <w:rFonts w:asciiTheme="majorBidi" w:hAnsiTheme="majorBidi" w:cstheme="majorBidi"/>
                <w:sz w:val="20"/>
                <w:szCs w:val="20"/>
                <w:lang w:eastAsia="en-CA"/>
              </w:rPr>
            </w:pPr>
            <w:r>
              <w:rPr>
                <w:rFonts w:asciiTheme="majorBidi" w:hAnsiTheme="majorBidi" w:cstheme="majorBidi"/>
                <w:sz w:val="20"/>
                <w:szCs w:val="20"/>
                <w:lang w:eastAsia="en-CA"/>
              </w:rPr>
              <w:t xml:space="preserve">Aumento de la eficiencia </w:t>
            </w:r>
            <w:proofErr w:type="spellStart"/>
            <w:r w:rsidR="00BA54CA" w:rsidRPr="00642AEE">
              <w:rPr>
                <w:rFonts w:asciiTheme="majorBidi" w:hAnsiTheme="majorBidi" w:cstheme="majorBidi"/>
                <w:sz w:val="20"/>
                <w:szCs w:val="20"/>
                <w:lang w:eastAsia="en-CA"/>
              </w:rPr>
              <w:t>B</w:t>
            </w:r>
            <w:r>
              <w:rPr>
                <w:rFonts w:asciiTheme="majorBidi" w:hAnsiTheme="majorBidi" w:cstheme="majorBidi"/>
                <w:sz w:val="20"/>
                <w:szCs w:val="20"/>
                <w:lang w:eastAsia="en-CA"/>
              </w:rPr>
              <w:t>a</w:t>
            </w:r>
            <w:r w:rsidR="00BA54CA" w:rsidRPr="00642AEE">
              <w:rPr>
                <w:rFonts w:asciiTheme="majorBidi" w:hAnsiTheme="majorBidi" w:cstheme="majorBidi"/>
                <w:sz w:val="20"/>
                <w:szCs w:val="20"/>
                <w:lang w:eastAsia="en-CA"/>
              </w:rPr>
              <w:t>U</w:t>
            </w:r>
            <w:proofErr w:type="spellEnd"/>
          </w:p>
        </w:tc>
        <w:tc>
          <w:tcPr>
            <w:tcW w:w="1890" w:type="dxa"/>
            <w:shd w:val="clear" w:color="auto" w:fill="auto"/>
            <w:noWrap/>
            <w:hideMark/>
          </w:tcPr>
          <w:p w14:paraId="1CF89C72" w14:textId="77777777" w:rsidR="00BA54CA" w:rsidRPr="00642AEE" w:rsidRDefault="00BA54CA" w:rsidP="00A60048">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w:t>
            </w:r>
            <w:r w:rsidR="00A60048">
              <w:rPr>
                <w:rFonts w:asciiTheme="majorBidi" w:hAnsiTheme="majorBidi" w:cstheme="majorBidi"/>
                <w:sz w:val="20"/>
                <w:szCs w:val="20"/>
                <w:lang w:eastAsia="en-CA"/>
              </w:rPr>
              <w:t>,</w:t>
            </w:r>
            <w:r w:rsidRPr="00642AEE">
              <w:rPr>
                <w:rFonts w:asciiTheme="majorBidi" w:hAnsiTheme="majorBidi" w:cstheme="majorBidi"/>
                <w:sz w:val="20"/>
                <w:szCs w:val="20"/>
                <w:lang w:eastAsia="en-CA"/>
              </w:rPr>
              <w:t>79</w:t>
            </w:r>
          </w:p>
        </w:tc>
        <w:tc>
          <w:tcPr>
            <w:tcW w:w="1800" w:type="dxa"/>
            <w:shd w:val="clear" w:color="auto" w:fill="auto"/>
            <w:noWrap/>
            <w:hideMark/>
          </w:tcPr>
          <w:p w14:paraId="0896733F" w14:textId="77777777" w:rsidR="00BA54CA" w:rsidRPr="00642AEE" w:rsidRDefault="00BA54CA" w:rsidP="00A60048">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w:t>
            </w:r>
            <w:r w:rsidR="00A60048">
              <w:rPr>
                <w:rFonts w:asciiTheme="majorBidi" w:hAnsiTheme="majorBidi" w:cstheme="majorBidi"/>
                <w:sz w:val="20"/>
                <w:szCs w:val="20"/>
                <w:lang w:eastAsia="en-CA"/>
              </w:rPr>
              <w:t>,</w:t>
            </w:r>
            <w:r w:rsidRPr="00642AEE">
              <w:rPr>
                <w:rFonts w:asciiTheme="majorBidi" w:hAnsiTheme="majorBidi" w:cstheme="majorBidi"/>
                <w:sz w:val="20"/>
                <w:szCs w:val="20"/>
                <w:lang w:eastAsia="en-CA"/>
              </w:rPr>
              <w:t>13</w:t>
            </w:r>
          </w:p>
        </w:tc>
        <w:tc>
          <w:tcPr>
            <w:tcW w:w="1620" w:type="dxa"/>
            <w:shd w:val="clear" w:color="auto" w:fill="auto"/>
            <w:noWrap/>
            <w:hideMark/>
          </w:tcPr>
          <w:p w14:paraId="0ECFE359" w14:textId="77777777" w:rsidR="00BA54CA" w:rsidRPr="00642AEE" w:rsidRDefault="00BA54CA" w:rsidP="00A60048">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w:t>
            </w:r>
            <w:r w:rsidR="00A60048">
              <w:rPr>
                <w:rFonts w:asciiTheme="majorBidi" w:hAnsiTheme="majorBidi" w:cstheme="majorBidi"/>
                <w:sz w:val="20"/>
                <w:szCs w:val="20"/>
                <w:lang w:eastAsia="en-CA"/>
              </w:rPr>
              <w:t>,</w:t>
            </w:r>
            <w:r w:rsidRPr="00642AEE">
              <w:rPr>
                <w:rFonts w:asciiTheme="majorBidi" w:hAnsiTheme="majorBidi" w:cstheme="majorBidi"/>
                <w:sz w:val="20"/>
                <w:szCs w:val="20"/>
                <w:lang w:eastAsia="en-CA"/>
              </w:rPr>
              <w:t>70</w:t>
            </w:r>
          </w:p>
        </w:tc>
        <w:tc>
          <w:tcPr>
            <w:tcW w:w="1440" w:type="dxa"/>
            <w:shd w:val="clear" w:color="auto" w:fill="auto"/>
            <w:noWrap/>
            <w:hideMark/>
          </w:tcPr>
          <w:p w14:paraId="58518E4B"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2</w:t>
            </w:r>
            <w:r w:rsidR="00A60048">
              <w:rPr>
                <w:rFonts w:asciiTheme="majorBidi" w:hAnsiTheme="majorBidi" w:cstheme="majorBidi"/>
                <w:sz w:val="20"/>
                <w:szCs w:val="20"/>
                <w:lang w:eastAsia="en-CA"/>
              </w:rPr>
              <w:t>,</w:t>
            </w:r>
            <w:r w:rsidRPr="00642AEE">
              <w:rPr>
                <w:rFonts w:asciiTheme="majorBidi" w:hAnsiTheme="majorBidi" w:cstheme="majorBidi"/>
                <w:sz w:val="20"/>
                <w:szCs w:val="20"/>
                <w:lang w:eastAsia="en-CA"/>
              </w:rPr>
              <w:t>64</w:t>
            </w:r>
          </w:p>
        </w:tc>
      </w:tr>
      <w:tr w:rsidR="00642AEE" w:rsidRPr="00642AEE" w14:paraId="032B9F97" w14:textId="77777777" w:rsidTr="004F4AFC">
        <w:trPr>
          <w:trHeight w:val="232"/>
        </w:trPr>
        <w:tc>
          <w:tcPr>
            <w:tcW w:w="2813" w:type="dxa"/>
            <w:shd w:val="clear" w:color="auto" w:fill="auto"/>
            <w:noWrap/>
            <w:hideMark/>
          </w:tcPr>
          <w:p w14:paraId="08DEF6B9" w14:textId="77777777" w:rsidR="00BA54CA" w:rsidRPr="00642AEE" w:rsidRDefault="00A60048" w:rsidP="00A60048">
            <w:pPr>
              <w:rPr>
                <w:rFonts w:asciiTheme="majorBidi" w:hAnsiTheme="majorBidi" w:cstheme="majorBidi"/>
                <w:sz w:val="20"/>
                <w:szCs w:val="20"/>
                <w:lang w:eastAsia="en-CA"/>
              </w:rPr>
            </w:pPr>
            <w:r>
              <w:rPr>
                <w:rFonts w:asciiTheme="majorBidi" w:hAnsiTheme="majorBidi" w:cstheme="majorBidi"/>
                <w:sz w:val="20"/>
                <w:szCs w:val="20"/>
                <w:lang w:eastAsia="en-CA"/>
              </w:rPr>
              <w:t>Gran aumento de la eficiencia</w:t>
            </w:r>
          </w:p>
        </w:tc>
        <w:tc>
          <w:tcPr>
            <w:tcW w:w="1890" w:type="dxa"/>
            <w:shd w:val="clear" w:color="auto" w:fill="auto"/>
            <w:noWrap/>
            <w:hideMark/>
          </w:tcPr>
          <w:p w14:paraId="6CABDC23" w14:textId="77777777" w:rsidR="00BA54CA" w:rsidRPr="00642AEE" w:rsidRDefault="00BA54CA" w:rsidP="00A60048">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w:t>
            </w:r>
            <w:r w:rsidR="00A60048">
              <w:rPr>
                <w:rFonts w:asciiTheme="majorBidi" w:hAnsiTheme="majorBidi" w:cstheme="majorBidi"/>
                <w:sz w:val="20"/>
                <w:szCs w:val="20"/>
                <w:lang w:eastAsia="en-CA"/>
              </w:rPr>
              <w:t>,</w:t>
            </w:r>
            <w:r w:rsidRPr="00642AEE">
              <w:rPr>
                <w:rFonts w:asciiTheme="majorBidi" w:hAnsiTheme="majorBidi" w:cstheme="majorBidi"/>
                <w:sz w:val="20"/>
                <w:szCs w:val="20"/>
                <w:lang w:eastAsia="en-CA"/>
              </w:rPr>
              <w:t>77</w:t>
            </w:r>
          </w:p>
        </w:tc>
        <w:tc>
          <w:tcPr>
            <w:tcW w:w="1800" w:type="dxa"/>
            <w:shd w:val="clear" w:color="auto" w:fill="auto"/>
            <w:noWrap/>
            <w:hideMark/>
          </w:tcPr>
          <w:p w14:paraId="18292F1E" w14:textId="77777777" w:rsidR="00BA54CA" w:rsidRPr="00642AEE" w:rsidRDefault="00BA54CA" w:rsidP="00A60048">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w:t>
            </w:r>
            <w:r w:rsidR="00A60048">
              <w:rPr>
                <w:rFonts w:asciiTheme="majorBidi" w:hAnsiTheme="majorBidi" w:cstheme="majorBidi"/>
                <w:sz w:val="20"/>
                <w:szCs w:val="20"/>
                <w:lang w:eastAsia="en-CA"/>
              </w:rPr>
              <w:t>,</w:t>
            </w:r>
            <w:r w:rsidRPr="00642AEE">
              <w:rPr>
                <w:rFonts w:asciiTheme="majorBidi" w:hAnsiTheme="majorBidi" w:cstheme="majorBidi"/>
                <w:sz w:val="20"/>
                <w:szCs w:val="20"/>
                <w:lang w:eastAsia="en-CA"/>
              </w:rPr>
              <w:t>78</w:t>
            </w:r>
          </w:p>
        </w:tc>
        <w:tc>
          <w:tcPr>
            <w:tcW w:w="1620" w:type="dxa"/>
            <w:shd w:val="clear" w:color="auto" w:fill="auto"/>
            <w:noWrap/>
            <w:hideMark/>
          </w:tcPr>
          <w:p w14:paraId="7F0143DF" w14:textId="77777777" w:rsidR="00BA54CA" w:rsidRPr="00642AEE" w:rsidRDefault="00BA54CA" w:rsidP="00A60048">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w:t>
            </w:r>
            <w:r w:rsidR="00A60048">
              <w:rPr>
                <w:rFonts w:asciiTheme="majorBidi" w:hAnsiTheme="majorBidi" w:cstheme="majorBidi"/>
                <w:sz w:val="20"/>
                <w:szCs w:val="20"/>
                <w:lang w:eastAsia="en-CA"/>
              </w:rPr>
              <w:t>,</w:t>
            </w:r>
            <w:r w:rsidRPr="00642AEE">
              <w:rPr>
                <w:rFonts w:asciiTheme="majorBidi" w:hAnsiTheme="majorBidi" w:cstheme="majorBidi"/>
                <w:sz w:val="20"/>
                <w:szCs w:val="20"/>
                <w:lang w:eastAsia="en-CA"/>
              </w:rPr>
              <w:t>83</w:t>
            </w:r>
          </w:p>
        </w:tc>
        <w:tc>
          <w:tcPr>
            <w:tcW w:w="1440" w:type="dxa"/>
            <w:shd w:val="clear" w:color="auto" w:fill="auto"/>
            <w:noWrap/>
            <w:hideMark/>
          </w:tcPr>
          <w:p w14:paraId="6E95C821" w14:textId="77777777" w:rsidR="00BA54CA" w:rsidRPr="00642AEE" w:rsidRDefault="00BA54CA" w:rsidP="00A60048">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w:t>
            </w:r>
            <w:r w:rsidR="00A60048">
              <w:rPr>
                <w:rFonts w:asciiTheme="majorBidi" w:hAnsiTheme="majorBidi" w:cstheme="majorBidi"/>
                <w:sz w:val="20"/>
                <w:szCs w:val="20"/>
                <w:lang w:eastAsia="en-CA"/>
              </w:rPr>
              <w:t>,</w:t>
            </w:r>
            <w:r w:rsidRPr="00642AEE">
              <w:rPr>
                <w:rFonts w:asciiTheme="majorBidi" w:hAnsiTheme="majorBidi" w:cstheme="majorBidi"/>
                <w:sz w:val="20"/>
                <w:szCs w:val="20"/>
                <w:lang w:eastAsia="en-CA"/>
              </w:rPr>
              <w:t>01</w:t>
            </w:r>
          </w:p>
        </w:tc>
      </w:tr>
    </w:tbl>
    <w:p w14:paraId="3B96123D" w14:textId="77777777" w:rsidR="00BA54CA" w:rsidRPr="00642AEE" w:rsidRDefault="00BA54CA" w:rsidP="004035EC">
      <w:pPr>
        <w:pStyle w:val="StyleHeader4Para4Left0Firstline0"/>
        <w:numPr>
          <w:ilvl w:val="0"/>
          <w:numId w:val="0"/>
        </w:numPr>
        <w:spacing w:after="0"/>
        <w:rPr>
          <w:rFonts w:asciiTheme="majorBidi" w:hAnsiTheme="majorBidi" w:cstheme="majorBidi"/>
          <w:sz w:val="19"/>
          <w:szCs w:val="19"/>
        </w:rPr>
      </w:pPr>
      <w:r w:rsidRPr="00642AEE">
        <w:rPr>
          <w:rFonts w:asciiTheme="majorBidi" w:hAnsiTheme="majorBidi" w:cstheme="majorBidi"/>
          <w:sz w:val="19"/>
          <w:szCs w:val="19"/>
        </w:rPr>
        <w:t>Not</w:t>
      </w:r>
      <w:r w:rsidR="00A60048">
        <w:rPr>
          <w:rFonts w:asciiTheme="majorBidi" w:hAnsiTheme="majorBidi" w:cstheme="majorBidi"/>
          <w:sz w:val="19"/>
          <w:szCs w:val="19"/>
        </w:rPr>
        <w:t>a</w:t>
      </w:r>
      <w:r w:rsidRPr="00642AEE">
        <w:rPr>
          <w:rFonts w:asciiTheme="majorBidi" w:hAnsiTheme="majorBidi" w:cstheme="majorBidi"/>
          <w:sz w:val="19"/>
          <w:szCs w:val="19"/>
        </w:rPr>
        <w:t xml:space="preserve">: 1 </w:t>
      </w:r>
      <w:r w:rsidR="00A60048" w:rsidRPr="00A60048">
        <w:rPr>
          <w:rFonts w:asciiTheme="majorBidi" w:hAnsiTheme="majorBidi" w:cstheme="majorBidi"/>
          <w:sz w:val="19"/>
          <w:szCs w:val="19"/>
        </w:rPr>
        <w:t>TW equivale a 1 millón de MW; con un coste de inversión estimado de 2 millones de dólares por MW para la generación de electricidad, el ahorro derivado de evitar inversiones en centrales eléctricas es significativo</w:t>
      </w:r>
      <w:r w:rsidRPr="00642AEE">
        <w:rPr>
          <w:rFonts w:asciiTheme="majorBidi" w:hAnsiTheme="majorBidi" w:cstheme="majorBidi"/>
          <w:sz w:val="19"/>
          <w:szCs w:val="19"/>
        </w:rPr>
        <w:t xml:space="preserve">.  </w:t>
      </w:r>
    </w:p>
    <w:p w14:paraId="0746725A" w14:textId="77777777" w:rsidR="00BA54CA" w:rsidRPr="00642AEE" w:rsidRDefault="00BA54CA" w:rsidP="004035EC">
      <w:pPr>
        <w:pStyle w:val="StyleHeader4Para4Left0Firstline0"/>
        <w:numPr>
          <w:ilvl w:val="0"/>
          <w:numId w:val="0"/>
        </w:numPr>
        <w:spacing w:after="0"/>
        <w:rPr>
          <w:rFonts w:asciiTheme="majorBidi" w:hAnsiTheme="majorBidi" w:cstheme="majorBidi"/>
          <w:sz w:val="22"/>
        </w:rPr>
      </w:pPr>
    </w:p>
    <w:p w14:paraId="349D960D" w14:textId="77777777" w:rsidR="00BA54CA" w:rsidRPr="00642AEE" w:rsidRDefault="00A60048" w:rsidP="004035EC">
      <w:pPr>
        <w:pStyle w:val="Heading1"/>
      </w:pPr>
      <w:r>
        <w:lastRenderedPageBreak/>
        <w:t xml:space="preserve">El </w:t>
      </w:r>
      <w:r w:rsidRPr="00A60048">
        <w:t>aumento de la eficiencia energética se traduce en un ahorro de las inversiones de capital en infraestructura</w:t>
      </w:r>
      <w:r>
        <w:t xml:space="preserve"> de equipo para la</w:t>
      </w:r>
      <w:r w:rsidRPr="00A60048">
        <w:t xml:space="preserve"> generación, transmisión y distribución de energía, y también puede contribuir a un ahorro directo del gasto público cuando se subvenciona el consumo de energía</w:t>
      </w:r>
      <w:r w:rsidR="00BA54CA" w:rsidRPr="00642AEE">
        <w:t>.</w:t>
      </w:r>
    </w:p>
    <w:p w14:paraId="1C9242C6" w14:textId="77777777" w:rsidR="00BA54CA" w:rsidRPr="00642AEE" w:rsidRDefault="005E6F6E" w:rsidP="004035EC">
      <w:pPr>
        <w:pStyle w:val="Heading1"/>
      </w:pPr>
      <w:r>
        <w:t xml:space="preserve">Se puede lograr </w:t>
      </w:r>
      <w:r w:rsidRPr="005E6F6E">
        <w:t>una reducción significativa del consumo de energía mediante la</w:t>
      </w:r>
      <w:r>
        <w:t xml:space="preserve"> </w:t>
      </w:r>
      <w:r w:rsidRPr="005E6F6E">
        <w:t xml:space="preserve">reducción de la carga, que puede conseguirse a través de medidas de refrigeración pasiva; una carga de refrigeración a los niveles actuales de 43,2 TW puede reducirse a unos 33 TW en 2050 a través de tales medidas. En el caso de los edificios, medidas como las superficies reflectantes, el sombreado y la mejora del aislamiento pueden reducir significativamente las cargas de refrigeración. En el caso de las aplicaciones de refrigeración, medidas como puertas en los </w:t>
      </w:r>
      <w:r>
        <w:t>escaparates</w:t>
      </w:r>
      <w:r w:rsidRPr="005E6F6E">
        <w:t xml:space="preserve">, iluminación de alta eficiencia en las cámaras </w:t>
      </w:r>
      <w:r w:rsidRPr="00AE688D">
        <w:t xml:space="preserve">frigoríficas y </w:t>
      </w:r>
      <w:r w:rsidR="009575A5" w:rsidRPr="00AE688D">
        <w:t>ventiladores de evaporadores de velocidad variable</w:t>
      </w:r>
      <w:r w:rsidRPr="005E6F6E">
        <w:t xml:space="preserve"> pueden contribuir a una reducción significativa de la carga de refrigeración. Estas técnicas de reducción de la carga de refrigeración son más rentables en los sistemas nuevos, pero muchas de ellas pueden aplicarse también a los sistemas </w:t>
      </w:r>
      <w:r>
        <w:t>existent</w:t>
      </w:r>
      <w:r w:rsidR="009575A5">
        <w:t>e</w:t>
      </w:r>
      <w:r>
        <w:t>s</w:t>
      </w:r>
      <w:r w:rsidR="00BA54CA" w:rsidRPr="00642AEE">
        <w:t xml:space="preserve">.  </w:t>
      </w:r>
    </w:p>
    <w:p w14:paraId="3218556F" w14:textId="77777777" w:rsidR="00BA54CA" w:rsidRPr="00642AEE" w:rsidRDefault="009575A5" w:rsidP="004035EC">
      <w:pPr>
        <w:rPr>
          <w:b/>
          <w:bCs/>
          <w:sz w:val="24"/>
          <w:szCs w:val="24"/>
        </w:rPr>
      </w:pPr>
      <w:r>
        <w:rPr>
          <w:b/>
          <w:bCs/>
          <w:sz w:val="24"/>
          <w:szCs w:val="24"/>
        </w:rPr>
        <w:t xml:space="preserve">Qué </w:t>
      </w:r>
      <w:r w:rsidRPr="009575A5">
        <w:rPr>
          <w:b/>
          <w:bCs/>
          <w:sz w:val="24"/>
          <w:szCs w:val="24"/>
        </w:rPr>
        <w:t>podría hacerse en relación con la refrigeración sostenible en el futuro en el marco de los planes de gestión de la eliminación de los HCFC y los planes de aplicación de l</w:t>
      </w:r>
      <w:r>
        <w:rPr>
          <w:b/>
          <w:bCs/>
          <w:sz w:val="24"/>
          <w:szCs w:val="24"/>
        </w:rPr>
        <w:t>a Enmienda de Kigali</w:t>
      </w:r>
      <w:r w:rsidRPr="00642AEE">
        <w:rPr>
          <w:b/>
          <w:bCs/>
          <w:sz w:val="24"/>
          <w:szCs w:val="24"/>
        </w:rPr>
        <w:t xml:space="preserve"> </w:t>
      </w:r>
      <w:r w:rsidR="00F32695">
        <w:rPr>
          <w:b/>
          <w:bCs/>
          <w:sz w:val="24"/>
          <w:szCs w:val="24"/>
        </w:rPr>
        <w:t>relativos a</w:t>
      </w:r>
      <w:r>
        <w:rPr>
          <w:b/>
          <w:bCs/>
          <w:sz w:val="24"/>
          <w:szCs w:val="24"/>
        </w:rPr>
        <w:t xml:space="preserve"> los </w:t>
      </w:r>
      <w:r w:rsidR="00BA54CA" w:rsidRPr="00642AEE">
        <w:rPr>
          <w:b/>
          <w:bCs/>
          <w:sz w:val="24"/>
          <w:szCs w:val="24"/>
        </w:rPr>
        <w:t>HFC</w:t>
      </w:r>
    </w:p>
    <w:p w14:paraId="6A92634E" w14:textId="77777777" w:rsidR="00BA54CA" w:rsidRPr="00642AEE" w:rsidRDefault="00BA54CA" w:rsidP="004035EC">
      <w:pPr>
        <w:pStyle w:val="Heading1"/>
        <w:numPr>
          <w:ilvl w:val="0"/>
          <w:numId w:val="0"/>
        </w:numPr>
        <w:spacing w:after="0"/>
        <w:rPr>
          <w:rFonts w:asciiTheme="majorBidi" w:hAnsiTheme="majorBidi" w:cstheme="majorBidi"/>
        </w:rPr>
      </w:pPr>
    </w:p>
    <w:p w14:paraId="0CF89B54" w14:textId="77777777" w:rsidR="00BA54CA" w:rsidRPr="00642AEE" w:rsidRDefault="009575A5" w:rsidP="004035EC">
      <w:pPr>
        <w:pStyle w:val="Heading1"/>
        <w:rPr>
          <w:rFonts w:asciiTheme="majorBidi" w:hAnsiTheme="majorBidi" w:cstheme="majorBidi"/>
        </w:rPr>
      </w:pPr>
      <w:r>
        <w:t xml:space="preserve">Las </w:t>
      </w:r>
      <w:r w:rsidRPr="009575A5">
        <w:rPr>
          <w:rFonts w:asciiTheme="majorBidi" w:hAnsiTheme="majorBidi" w:cstheme="majorBidi"/>
        </w:rPr>
        <w:t xml:space="preserve">actividades financiadas por el FML desempeñan un papel clave en la promoción de la adopción de tecnologías de refrigeración sostenibles en las aplicaciones de </w:t>
      </w:r>
      <w:r w:rsidR="00870C5E">
        <w:rPr>
          <w:rFonts w:asciiTheme="majorBidi" w:hAnsiTheme="majorBidi" w:cstheme="majorBidi"/>
        </w:rPr>
        <w:t>refrigeración y aire acondicionado</w:t>
      </w:r>
      <w:r w:rsidRPr="009575A5">
        <w:rPr>
          <w:rFonts w:asciiTheme="majorBidi" w:hAnsiTheme="majorBidi" w:cstheme="majorBidi"/>
        </w:rPr>
        <w:t xml:space="preserve">. El análisis anterior muestra el considerable impacto que pueden tener en la refrigeración sostenible las actividades de reducción de los HFC en </w:t>
      </w:r>
      <w:r w:rsidR="00870C5E">
        <w:rPr>
          <w:rFonts w:asciiTheme="majorBidi" w:hAnsiTheme="majorBidi" w:cstheme="majorBidi"/>
        </w:rPr>
        <w:t>virtud de</w:t>
      </w:r>
      <w:r w:rsidRPr="009575A5">
        <w:rPr>
          <w:rFonts w:asciiTheme="majorBidi" w:hAnsiTheme="majorBidi" w:cstheme="majorBidi"/>
        </w:rPr>
        <w:t xml:space="preserve"> la Enmienda de Kigali, la transición a equipos de alta eficiencia energética que utili</w:t>
      </w:r>
      <w:r w:rsidR="00870C5E">
        <w:rPr>
          <w:rFonts w:asciiTheme="majorBidi" w:hAnsiTheme="majorBidi" w:cstheme="majorBidi"/>
        </w:rPr>
        <w:t>za</w:t>
      </w:r>
      <w:r w:rsidRPr="009575A5">
        <w:rPr>
          <w:rFonts w:asciiTheme="majorBidi" w:hAnsiTheme="majorBidi" w:cstheme="majorBidi"/>
        </w:rPr>
        <w:t xml:space="preserve">n tecnología de refrigerantes de bajo PCA y el funcionamiento eficiente de los equipos de refrigeración. Los países se beneficiarán tanto en un escenario </w:t>
      </w:r>
      <w:proofErr w:type="spellStart"/>
      <w:r w:rsidRPr="009575A5">
        <w:rPr>
          <w:rFonts w:asciiTheme="majorBidi" w:hAnsiTheme="majorBidi" w:cstheme="majorBidi"/>
        </w:rPr>
        <w:t>B</w:t>
      </w:r>
      <w:r w:rsidR="00870C5E">
        <w:rPr>
          <w:rFonts w:asciiTheme="majorBidi" w:hAnsiTheme="majorBidi" w:cstheme="majorBidi"/>
        </w:rPr>
        <w:t>a</w:t>
      </w:r>
      <w:r w:rsidRPr="009575A5">
        <w:rPr>
          <w:rFonts w:asciiTheme="majorBidi" w:hAnsiTheme="majorBidi" w:cstheme="majorBidi"/>
        </w:rPr>
        <w:t>U</w:t>
      </w:r>
      <w:proofErr w:type="spellEnd"/>
      <w:r w:rsidRPr="009575A5">
        <w:rPr>
          <w:rFonts w:asciiTheme="majorBidi" w:hAnsiTheme="majorBidi" w:cstheme="majorBidi"/>
        </w:rPr>
        <w:t xml:space="preserve"> en términos de acceso de la población a la electricidad como en un escenario de mayor acceso a los equipos</w:t>
      </w:r>
      <w:r w:rsidR="00BA54CA" w:rsidRPr="00642AEE">
        <w:rPr>
          <w:rFonts w:asciiTheme="majorBidi" w:hAnsiTheme="majorBidi" w:cstheme="majorBidi"/>
        </w:rPr>
        <w:t xml:space="preserve">. </w:t>
      </w:r>
    </w:p>
    <w:p w14:paraId="386B9FE3" w14:textId="77777777" w:rsidR="00BA54CA" w:rsidRPr="00642AEE" w:rsidRDefault="00870C5E" w:rsidP="004035EC">
      <w:pPr>
        <w:pStyle w:val="Heading1"/>
      </w:pPr>
      <w:r w:rsidRPr="00870C5E">
        <w:t xml:space="preserve">Además, el FML se encuentra en una posición única para </w:t>
      </w:r>
      <w:r>
        <w:t>seguir</w:t>
      </w:r>
      <w:r w:rsidRPr="00870C5E">
        <w:t xml:space="preserve"> llevando a cabo actividades encaminadas a conseguir una refrigeración sostenible a través de: los compromisos nacionales vinculantes para el cumplimiento de los objetivos del Protocolo de </w:t>
      </w:r>
      <w:r w:rsidRPr="00AE688D">
        <w:t>Montreal; la creación de</w:t>
      </w:r>
      <w:r w:rsidRPr="00870C5E">
        <w:t xml:space="preserve"> redes de </w:t>
      </w:r>
      <w:r w:rsidR="004F0C60">
        <w:t>dependencias</w:t>
      </w:r>
      <w:r w:rsidRPr="00870C5E">
        <w:t xml:space="preserve"> nacionales de</w:t>
      </w:r>
      <w:r w:rsidR="004F0C60">
        <w:t>l</w:t>
      </w:r>
      <w:r w:rsidRPr="00870C5E">
        <w:t xml:space="preserve"> ozono (</w:t>
      </w:r>
      <w:r w:rsidR="004F0C60">
        <w:t>DNO</w:t>
      </w:r>
      <w:r w:rsidRPr="00870C5E">
        <w:t xml:space="preserve">) con la industria; un enfoque impulsado </w:t>
      </w:r>
      <w:r w:rsidR="004F0C60">
        <w:t xml:space="preserve">por los países </w:t>
      </w:r>
      <w:r w:rsidRPr="00870C5E">
        <w:t xml:space="preserve">para adoptar tecnologías sostenibles; un enfoque equilibrado que evite el desajuste entre la oferta y la demanda; y el </w:t>
      </w:r>
      <w:r w:rsidR="004F0C60" w:rsidRPr="00AE688D">
        <w:t>refuerzo</w:t>
      </w:r>
      <w:r w:rsidRPr="00AE688D">
        <w:t xml:space="preserve"> institucional</w:t>
      </w:r>
      <w:r w:rsidRPr="00870C5E">
        <w:t xml:space="preserve">. Además, el FML podría trabajar en enfoques y proyectos de </w:t>
      </w:r>
      <w:r w:rsidR="004F0C60" w:rsidRPr="00870C5E">
        <w:t xml:space="preserve">refrigeración sostenible </w:t>
      </w:r>
      <w:r w:rsidRPr="00870C5E">
        <w:t>en colaboración con otras instituciones</w:t>
      </w:r>
      <w:r w:rsidR="00BA54CA" w:rsidRPr="00642AEE">
        <w:t xml:space="preserve">.  </w:t>
      </w:r>
    </w:p>
    <w:p w14:paraId="13E18E0D" w14:textId="77777777" w:rsidR="00BA54CA" w:rsidRPr="00642AEE" w:rsidRDefault="004F0C60" w:rsidP="004035EC">
      <w:pPr>
        <w:pStyle w:val="Heading1"/>
        <w:numPr>
          <w:ilvl w:val="0"/>
          <w:numId w:val="0"/>
        </w:numPr>
        <w:rPr>
          <w:rFonts w:asciiTheme="majorBidi" w:hAnsiTheme="majorBidi" w:cstheme="majorBidi"/>
          <w:u w:val="single"/>
        </w:rPr>
      </w:pPr>
      <w:r>
        <w:rPr>
          <w:rFonts w:asciiTheme="majorBidi" w:hAnsiTheme="majorBidi" w:cstheme="majorBidi"/>
          <w:u w:val="single"/>
        </w:rPr>
        <w:t xml:space="preserve">Refuerzo </w:t>
      </w:r>
      <w:r w:rsidRPr="004F0C60">
        <w:rPr>
          <w:rFonts w:asciiTheme="majorBidi" w:hAnsiTheme="majorBidi" w:cstheme="majorBidi"/>
          <w:u w:val="single"/>
        </w:rPr>
        <w:t>de la re</w:t>
      </w:r>
      <w:r>
        <w:rPr>
          <w:rFonts w:asciiTheme="majorBidi" w:hAnsiTheme="majorBidi" w:cstheme="majorBidi"/>
          <w:u w:val="single"/>
        </w:rPr>
        <w:t>copilación</w:t>
      </w:r>
      <w:r w:rsidRPr="004F0C60">
        <w:rPr>
          <w:rFonts w:asciiTheme="majorBidi" w:hAnsiTheme="majorBidi" w:cstheme="majorBidi"/>
          <w:u w:val="single"/>
        </w:rPr>
        <w:t xml:space="preserve"> de datos sobre refrigeración sostenible</w:t>
      </w:r>
    </w:p>
    <w:p w14:paraId="4F13403E" w14:textId="77777777" w:rsidR="00BA54CA" w:rsidRPr="00642AEE" w:rsidRDefault="004F0C60" w:rsidP="004035EC">
      <w:pPr>
        <w:pStyle w:val="Heading1"/>
      </w:pPr>
      <w:r>
        <w:rPr>
          <w:i/>
          <w:iCs/>
        </w:rPr>
        <w:t xml:space="preserve">Es </w:t>
      </w:r>
      <w:r w:rsidRPr="004F0C60">
        <w:rPr>
          <w:i/>
          <w:iCs/>
        </w:rPr>
        <w:t xml:space="preserve">necesario reforzar la recopilación de datos sobre la infraestructura de refrigeración en relación con el consumo de HFC y la eficiencia energética, junto con los patrones y las tendencias, a fin de comprender los obstáculos y las intervenciones para lograr una refrigeración sostenible. </w:t>
      </w:r>
      <w:r w:rsidRPr="004F0C60">
        <w:rPr>
          <w:iCs/>
        </w:rPr>
        <w:t>Una evaluación de la estructura del sector/industria y de las tendencias tecnológicas relacionadas con la refrigeración de confort y las cadenas de frío es fundamental para definir planes de acción específicos que promueva</w:t>
      </w:r>
      <w:r w:rsidR="00FA564C">
        <w:rPr>
          <w:iCs/>
        </w:rPr>
        <w:t>n la refrigeración sostenible</w:t>
      </w:r>
      <w:r w:rsidR="00BA54CA" w:rsidRPr="00642AEE">
        <w:rPr>
          <w:rStyle w:val="FootnoteReference"/>
          <w:rFonts w:asciiTheme="majorBidi" w:hAnsiTheme="majorBidi" w:cstheme="majorBidi"/>
        </w:rPr>
        <w:footnoteReference w:id="26"/>
      </w:r>
      <w:r w:rsidR="00FA564C" w:rsidRPr="00642AEE">
        <w:t>.</w:t>
      </w:r>
      <w:r w:rsidR="00BA54CA" w:rsidRPr="00642AEE">
        <w:t xml:space="preserve"> </w:t>
      </w:r>
      <w:r w:rsidR="00FA564C" w:rsidRPr="00FA564C">
        <w:t xml:space="preserve">Esto requeriría enfoques específicos de cada país para la recopilación y el análisis de datos relativos a las aplicaciones de refrigeración.  La preparación y ejecución de las actividades de los </w:t>
      </w:r>
      <w:r w:rsidR="00FA564C">
        <w:t>planes de aplicación de la Enmienda de Kigali</w:t>
      </w:r>
      <w:r w:rsidR="00FA564C" w:rsidRPr="00FA564C">
        <w:t xml:space="preserve"> puede servir para </w:t>
      </w:r>
      <w:r w:rsidR="00FA564C" w:rsidRPr="00FA564C">
        <w:lastRenderedPageBreak/>
        <w:t>recopilar información e implicar a las partes interesadas que se ocupan de las aplicaciones de refrigeración o las utilizan cuando diseñan medidas e intervenciones políticas para reducir la dependencia de los equipos con HFC. Además, las actividades con apoyo de fuentes de financiación ajenas al MLF podrían utilizarse para recopilar información que podría incluir datos sectoriales</w:t>
      </w:r>
      <w:r w:rsidR="00BA54CA" w:rsidRPr="00642AEE">
        <w:t xml:space="preserve">.  </w:t>
      </w:r>
    </w:p>
    <w:p w14:paraId="30947B38" w14:textId="77777777" w:rsidR="00BA54CA" w:rsidRPr="00642AEE" w:rsidRDefault="00FA564C" w:rsidP="004035EC">
      <w:pPr>
        <w:pStyle w:val="Heading1"/>
      </w:pPr>
      <w:r>
        <w:rPr>
          <w:i/>
          <w:iCs/>
        </w:rPr>
        <w:t xml:space="preserve">La </w:t>
      </w:r>
      <w:r w:rsidRPr="00FA564C">
        <w:rPr>
          <w:i/>
          <w:iCs/>
        </w:rPr>
        <w:t xml:space="preserve">información sobre las tecnologías de agentes espumantes y otras soluciones de aislamiento desempeñan un papel importante en la reducción de la pérdida de refrigeración y, por lo tanto, deben ser objeto de un seguimiento continuo para reforzar la adopción de tecnologías de refrigeración sostenibles.  </w:t>
      </w:r>
      <w:r w:rsidRPr="00F32695">
        <w:t>La adopción de la refrigeración sostenible en diferentes aplicaciones (p</w:t>
      </w:r>
      <w:r w:rsidR="00F32695" w:rsidRPr="00F32695">
        <w:t>. e</w:t>
      </w:r>
      <w:r w:rsidRPr="00F32695">
        <w:t>j</w:t>
      </w:r>
      <w:r w:rsidR="00F32695" w:rsidRPr="00F32695">
        <w:t>.,</w:t>
      </w:r>
      <w:r w:rsidRPr="00F32695">
        <w:t xml:space="preserve"> el aislamiento de edificios, el aislamiento de la infraestructura de la cadena de frío para minimizar la pérdida de refrigeración) debe incluir la adopción de tecnologías de aislamiento sostenibles de bajo PCA, con especial atención a las pymes dedicadas a la fabricación de productos de espuma aislante. Los datos relativos a la espuma aislante utilizada en aplicaciones RACHP deben recopilarse y analizarse continuamente con </w:t>
      </w:r>
      <w:r w:rsidR="00F32695" w:rsidRPr="00F32695">
        <w:t>el fin de</w:t>
      </w:r>
      <w:r w:rsidRPr="00F32695">
        <w:t xml:space="preserve"> garantizar un funcionamiento energéticamente eficiente de los equipos</w:t>
      </w:r>
      <w:r w:rsidR="00BA54CA" w:rsidRPr="00642AEE">
        <w:t>.</w:t>
      </w:r>
    </w:p>
    <w:p w14:paraId="4B47CE03" w14:textId="77777777" w:rsidR="00BA54CA" w:rsidRPr="00642AEE" w:rsidRDefault="00F32695" w:rsidP="004035EC">
      <w:pPr>
        <w:pStyle w:val="Heading1"/>
        <w:numPr>
          <w:ilvl w:val="0"/>
          <w:numId w:val="0"/>
        </w:numPr>
        <w:rPr>
          <w:rFonts w:asciiTheme="majorBidi" w:hAnsiTheme="majorBidi" w:cstheme="majorBidi"/>
          <w:u w:val="single"/>
        </w:rPr>
      </w:pPr>
      <w:r>
        <w:rPr>
          <w:rFonts w:asciiTheme="majorBidi" w:hAnsiTheme="majorBidi" w:cstheme="majorBidi"/>
          <w:u w:val="single"/>
        </w:rPr>
        <w:t xml:space="preserve">Programas </w:t>
      </w:r>
      <w:r w:rsidRPr="00F32695">
        <w:rPr>
          <w:rFonts w:asciiTheme="majorBidi" w:hAnsiTheme="majorBidi" w:cstheme="majorBidi"/>
          <w:u w:val="single"/>
        </w:rPr>
        <w:t>específicos en el marco de los planes de gestión de la eliminación de los HCFC y los planes de aplicación</w:t>
      </w:r>
      <w:r>
        <w:rPr>
          <w:rFonts w:asciiTheme="majorBidi" w:hAnsiTheme="majorBidi" w:cstheme="majorBidi"/>
          <w:u w:val="single"/>
        </w:rPr>
        <w:t xml:space="preserve"> de la Enmienda de Kigali relativos a los </w:t>
      </w:r>
      <w:r w:rsidRPr="00F32695">
        <w:rPr>
          <w:rFonts w:asciiTheme="majorBidi" w:hAnsiTheme="majorBidi" w:cstheme="majorBidi"/>
          <w:u w:val="single"/>
        </w:rPr>
        <w:t>HFC para promover la refrigeración sostenible</w:t>
      </w:r>
    </w:p>
    <w:p w14:paraId="1CB72B8C" w14:textId="77777777" w:rsidR="00BA54CA" w:rsidRPr="00642AEE" w:rsidRDefault="00F32695" w:rsidP="004035EC">
      <w:pPr>
        <w:pStyle w:val="Heading1"/>
      </w:pPr>
      <w:r>
        <w:rPr>
          <w:i/>
          <w:iCs/>
        </w:rPr>
        <w:t xml:space="preserve">Podrían llevarse a cabo </w:t>
      </w:r>
      <w:r w:rsidRPr="00F32695">
        <w:rPr>
          <w:i/>
          <w:iCs/>
        </w:rPr>
        <w:t xml:space="preserve">actividades en el marco de los </w:t>
      </w:r>
      <w:r w:rsidR="00672534">
        <w:rPr>
          <w:i/>
          <w:iCs/>
        </w:rPr>
        <w:t xml:space="preserve">PGEH para la eliminación final de los </w:t>
      </w:r>
      <w:r w:rsidRPr="00F32695">
        <w:rPr>
          <w:i/>
          <w:iCs/>
        </w:rPr>
        <w:t xml:space="preserve">HCFC para evitar la adopción de tecnologías de sustitución basadas en HFC con alto </w:t>
      </w:r>
      <w:r>
        <w:rPr>
          <w:i/>
          <w:iCs/>
        </w:rPr>
        <w:t>PCA</w:t>
      </w:r>
      <w:r w:rsidRPr="00F32695">
        <w:rPr>
          <w:i/>
          <w:iCs/>
        </w:rPr>
        <w:t xml:space="preserve">. </w:t>
      </w:r>
      <w:r w:rsidRPr="00F32695">
        <w:rPr>
          <w:iCs/>
        </w:rPr>
        <w:t xml:space="preserve">La </w:t>
      </w:r>
      <w:r w:rsidRPr="00672534">
        <w:t xml:space="preserve">ejecución de las actividades restantes del </w:t>
      </w:r>
      <w:r w:rsidR="00672534" w:rsidRPr="00672534">
        <w:t>PGE</w:t>
      </w:r>
      <w:r w:rsidRPr="00672534">
        <w:t>H requeriría un enfoque holístico con las actividades de</w:t>
      </w:r>
      <w:r w:rsidR="00672534" w:rsidRPr="00672534">
        <w:t xml:space="preserve"> los</w:t>
      </w:r>
      <w:r w:rsidRPr="00672534">
        <w:t xml:space="preserve"> </w:t>
      </w:r>
      <w:r w:rsidR="00672534" w:rsidRPr="00672534">
        <w:t>planes de aplicación de la Enmienda de Kigali</w:t>
      </w:r>
      <w:r w:rsidRPr="00672534">
        <w:t xml:space="preserve"> existentes y previstas que se están iniciando, para evitar la adopción de tecnologías de sustitución basadas en HFC de alto PC</w:t>
      </w:r>
      <w:r w:rsidR="00672534" w:rsidRPr="00672534">
        <w:t>A</w:t>
      </w:r>
      <w:r w:rsidRPr="00672534">
        <w:t xml:space="preserve"> y promover la adopción de tecnologías de refrigerantes de bajo PC</w:t>
      </w:r>
      <w:r w:rsidR="00672534" w:rsidRPr="00672534">
        <w:t>A</w:t>
      </w:r>
      <w:r w:rsidR="00672534">
        <w:t xml:space="preserve"> energéticamente eficiente</w:t>
      </w:r>
      <w:r w:rsidR="00BA54CA" w:rsidRPr="00642AEE">
        <w:t>s.</w:t>
      </w:r>
    </w:p>
    <w:p w14:paraId="3A0E6743" w14:textId="77777777" w:rsidR="00BA54CA" w:rsidRPr="00642AEE" w:rsidRDefault="00672534" w:rsidP="004035EC">
      <w:pPr>
        <w:pStyle w:val="Heading1"/>
      </w:pPr>
      <w:r>
        <w:rPr>
          <w:i/>
          <w:iCs/>
        </w:rPr>
        <w:t xml:space="preserve">Como parte de los planes de aplicación de la Enmienda de Kigali, </w:t>
      </w:r>
      <w:r w:rsidRPr="00672534">
        <w:rPr>
          <w:i/>
          <w:iCs/>
        </w:rPr>
        <w:t xml:space="preserve">se podría considerar una estrategia a nivel sectorial o de aplicación para la eliminación completa de los HFC junto con la adopción de tecnologías </w:t>
      </w:r>
      <w:r w:rsidRPr="00AE688D">
        <w:rPr>
          <w:i/>
          <w:iCs/>
        </w:rPr>
        <w:t xml:space="preserve">sostenibles </w:t>
      </w:r>
      <w:r w:rsidR="00AE688D" w:rsidRPr="00AE688D">
        <w:rPr>
          <w:i/>
          <w:iCs/>
        </w:rPr>
        <w:t>energéticamente eficientes</w:t>
      </w:r>
      <w:r w:rsidRPr="00AE688D">
        <w:rPr>
          <w:i/>
          <w:iCs/>
        </w:rPr>
        <w:t xml:space="preserve">. </w:t>
      </w:r>
      <w:r w:rsidRPr="00AE688D">
        <w:rPr>
          <w:iCs/>
        </w:rPr>
        <w:t>Esto</w:t>
      </w:r>
      <w:r w:rsidRPr="00672534">
        <w:rPr>
          <w:iCs/>
        </w:rPr>
        <w:t xml:space="preserve"> puede incluir sectores individuales o múltiples sectores dependiendo de la estructura industrial nacional para lograr soluciones de refrigeración sostenibles. Durante la ejecución de los </w:t>
      </w:r>
      <w:r>
        <w:rPr>
          <w:iCs/>
        </w:rPr>
        <w:t>PGEH</w:t>
      </w:r>
      <w:r w:rsidRPr="00672534">
        <w:rPr>
          <w:iCs/>
        </w:rPr>
        <w:t xml:space="preserve">, algunos planes de ejecución incluyeron estrategias sectoriales que ayudaron a reducir el consumo de HCFC entre todos los usuarios de HCFC </w:t>
      </w:r>
      <w:r w:rsidRPr="007B24A1">
        <w:rPr>
          <w:iCs/>
        </w:rPr>
        <w:t>del sector y dieron lugar a un paquete integral</w:t>
      </w:r>
      <w:r w:rsidR="007B24A1" w:rsidRPr="007B24A1">
        <w:rPr>
          <w:iCs/>
        </w:rPr>
        <w:t xml:space="preserve"> </w:t>
      </w:r>
      <w:r w:rsidRPr="007B24A1">
        <w:t>de políticas y normativas para mantener la eliminación de lo</w:t>
      </w:r>
      <w:r w:rsidRPr="00F97D15">
        <w:t xml:space="preserve">s HCFC. Como parte de los </w:t>
      </w:r>
      <w:r w:rsidR="00F97D15" w:rsidRPr="00F97D15">
        <w:t>planes de aplicación de la Enmienda de Kigali</w:t>
      </w:r>
      <w:r w:rsidRPr="00F97D15">
        <w:t xml:space="preserve">, por ejemplo, una eliminación más rápida de los HFC-134a y R-404A en la fabricación de equipos autónomos de refrigeración comercial a nivel sectorial puede </w:t>
      </w:r>
      <w:r w:rsidR="00F97D15" w:rsidRPr="00F97D15">
        <w:t>dar lugar a</w:t>
      </w:r>
      <w:r w:rsidRPr="00F97D15">
        <w:t xml:space="preserve"> la reducción de la demanda a largo plazo de HFC en estas aplicaciones. Las estrategias sectoriales en la adopción de ciertos tipos de tecnologías (por ejemplo, el uso seguro de refrigerantes inflamables de bajo PCA) pueden tener efectos indirectos en otras aplicaciones/sectores </w:t>
      </w:r>
      <w:r w:rsidR="00F97D15" w:rsidRPr="00F97D15">
        <w:t>pertinentes</w:t>
      </w:r>
      <w:r w:rsidRPr="00F97D15">
        <w:t xml:space="preserve"> y, por tanto, maximizar los beneficios de este enfoque</w:t>
      </w:r>
      <w:r w:rsidR="00BA54CA" w:rsidRPr="00642AEE">
        <w:t xml:space="preserve">. </w:t>
      </w:r>
    </w:p>
    <w:p w14:paraId="559C412B" w14:textId="77777777" w:rsidR="00BA54CA" w:rsidRPr="00642AEE" w:rsidRDefault="00F97D15" w:rsidP="004035EC">
      <w:pPr>
        <w:pStyle w:val="Heading1"/>
      </w:pPr>
      <w:r>
        <w:t xml:space="preserve">Las </w:t>
      </w:r>
      <w:r w:rsidRPr="00F97D15">
        <w:t>siguientes intervenciones pueden considerarse durante la ejecución de</w:t>
      </w:r>
      <w:r>
        <w:t xml:space="preserve"> los planes de aplicación de la Enmienda de Kigali </w:t>
      </w:r>
      <w:r w:rsidRPr="00F97D15">
        <w:t>para lograr una refrigeración sostenible, teniendo en cuenta que no son mutuamente excluyentes</w:t>
      </w:r>
      <w:r w:rsidR="00BA54CA" w:rsidRPr="00642AEE">
        <w:t>.</w:t>
      </w:r>
    </w:p>
    <w:p w14:paraId="667CE191" w14:textId="19B53A21" w:rsidR="00BA54CA" w:rsidRPr="00642AEE" w:rsidRDefault="00C0407D" w:rsidP="004035EC">
      <w:pPr>
        <w:pStyle w:val="Heading2"/>
      </w:pPr>
      <w:r w:rsidRPr="00642AEE">
        <w:rPr>
          <w:i/>
          <w:iCs/>
        </w:rPr>
        <w:t>Implemen</w:t>
      </w:r>
      <w:r>
        <w:rPr>
          <w:i/>
          <w:iCs/>
        </w:rPr>
        <w:t xml:space="preserve">tar </w:t>
      </w:r>
      <w:r w:rsidRPr="00C03471">
        <w:rPr>
          <w:i/>
          <w:iCs/>
        </w:rPr>
        <w:t>intervenciones</w:t>
      </w:r>
      <w:r w:rsidR="00C03471" w:rsidRPr="00C03471">
        <w:rPr>
          <w:i/>
          <w:iCs/>
        </w:rPr>
        <w:t xml:space="preserve"> relacionadas con la eficiencia energética al tiempo que se convierte la fabricación de HFC a alternativas. </w:t>
      </w:r>
      <w:r w:rsidR="00C03471" w:rsidRPr="009C0F92">
        <w:t>Este enfoque integrado de la conversión de refrigerantes y la incorporación de la eficiencia energética en el diseño de los equipos sería una solución rentable para maximizar el impacto climático positiv</w:t>
      </w:r>
      <w:r w:rsidR="009C0F92" w:rsidRPr="009C0F92">
        <w:t>o</w:t>
      </w:r>
      <w:r w:rsidR="00BA54CA" w:rsidRPr="00642AEE">
        <w:t xml:space="preserve">.  </w:t>
      </w:r>
    </w:p>
    <w:p w14:paraId="5FE6546F" w14:textId="77777777" w:rsidR="00BA54CA" w:rsidRPr="00642AEE" w:rsidRDefault="00BA54CA" w:rsidP="004035EC">
      <w:pPr>
        <w:pStyle w:val="Heading2"/>
      </w:pPr>
      <w:r w:rsidRPr="00642AEE">
        <w:rPr>
          <w:i/>
          <w:iCs/>
        </w:rPr>
        <w:t>Program</w:t>
      </w:r>
      <w:r w:rsidR="009C0F92">
        <w:rPr>
          <w:i/>
          <w:iCs/>
        </w:rPr>
        <w:t xml:space="preserve">as </w:t>
      </w:r>
      <w:r w:rsidR="009C0F92" w:rsidRPr="009C0F92">
        <w:rPr>
          <w:i/>
          <w:iCs/>
        </w:rPr>
        <w:t xml:space="preserve">para la adopción acelerada de equipos RACHP basados en refrigerantes de bajo </w:t>
      </w:r>
      <w:r w:rsidR="009C0F92">
        <w:rPr>
          <w:i/>
          <w:iCs/>
        </w:rPr>
        <w:t>PCA</w:t>
      </w:r>
      <w:r w:rsidR="009C0F92" w:rsidRPr="009C0F92">
        <w:rPr>
          <w:i/>
          <w:iCs/>
        </w:rPr>
        <w:t xml:space="preserve">. </w:t>
      </w:r>
      <w:r w:rsidR="009C0F92" w:rsidRPr="009C0F92">
        <w:t xml:space="preserve">Esto se traduciría en un menor consumo de energía de los equipos RACHP tanto en los países que fabrican como en los que importan estos equipos y sería beneficioso para los consumidores y los gobiernos, ya que se produciría un ahorro en el consumo de energía y en las necesidades energéticas derivadas de los equipos RACHP. </w:t>
      </w:r>
      <w:r w:rsidR="009C0F92" w:rsidRPr="009C0F92">
        <w:lastRenderedPageBreak/>
        <w:t xml:space="preserve">Este enfoque debe incluir la minimización de la demanda de refrigeración en las diferentes aplicaciones de los usuarios finales; el dimensionamiento adecuado de los equipos RACHP en términos de diseño e instalación; la garantía de prácticas buenas y seguras para la instalación, el mantenimiento y la revisión de los equipos, incluyendo la recuperación y reutilización de refrigerantes; y la realización de una gestión responsable del final de su vida útil. Estas actividades deberían complementarse con programas específicos de concienciación y divulgación adecuados, el desarrollo de las capacidades de las instituciones nacionales pertinentes y la promoción de una financiación innovadora para la adopción de equipos RACHP </w:t>
      </w:r>
      <w:r w:rsidR="007B24A1">
        <w:t xml:space="preserve">energéticamente </w:t>
      </w:r>
      <w:r w:rsidR="009C0F92" w:rsidRPr="009C0F92">
        <w:t>eficientes y basados en refrigerantes de bajo PCA</w:t>
      </w:r>
      <w:r w:rsidRPr="00642AEE">
        <w:t xml:space="preserve">. </w:t>
      </w:r>
    </w:p>
    <w:p w14:paraId="22422195" w14:textId="77777777" w:rsidR="00BA54CA" w:rsidRPr="00642AEE" w:rsidRDefault="009C0F92" w:rsidP="004035EC">
      <w:pPr>
        <w:pStyle w:val="Heading2"/>
      </w:pPr>
      <w:r>
        <w:rPr>
          <w:i/>
          <w:iCs/>
        </w:rPr>
        <w:t xml:space="preserve">Programas </w:t>
      </w:r>
      <w:r w:rsidRPr="009C0F92">
        <w:rPr>
          <w:i/>
          <w:iCs/>
        </w:rPr>
        <w:t xml:space="preserve">de apoyo al usuario final para reducir la dependencia de los equipos </w:t>
      </w:r>
      <w:r w:rsidR="00736EB3">
        <w:rPr>
          <w:i/>
          <w:iCs/>
        </w:rPr>
        <w:t>con</w:t>
      </w:r>
      <w:r w:rsidRPr="009C0F92">
        <w:rPr>
          <w:i/>
          <w:iCs/>
        </w:rPr>
        <w:t xml:space="preserve"> HFC.  </w:t>
      </w:r>
      <w:r w:rsidRPr="00736EB3">
        <w:t xml:space="preserve">Una menor dependencia de los equipos </w:t>
      </w:r>
      <w:r w:rsidR="00736EB3" w:rsidRPr="00736EB3">
        <w:t>con</w:t>
      </w:r>
      <w:r w:rsidRPr="00736EB3">
        <w:t xml:space="preserve"> HFC reducirá la demanda de HFC para la carga inicial y la recarga y acelerará la adopción de alternativas a los equipos </w:t>
      </w:r>
      <w:r w:rsidR="00736EB3" w:rsidRPr="00736EB3">
        <w:t>con</w:t>
      </w:r>
      <w:r w:rsidRPr="00736EB3">
        <w:t xml:space="preserve"> HFC. Esto, a su vez, proporcionará a los proveedores de equipos las señales de mercado necesarias para promover esas tecnologías alternativas. Aunque se </w:t>
      </w:r>
      <w:r w:rsidR="00736EB3" w:rsidRPr="00736EB3">
        <w:t>presta apoyo a</w:t>
      </w:r>
      <w:r w:rsidRPr="00736EB3">
        <w:t xml:space="preserve"> proyectos </w:t>
      </w:r>
      <w:r w:rsidR="00736EB3" w:rsidRPr="00736EB3">
        <w:t>que entrañan la</w:t>
      </w:r>
      <w:r w:rsidRPr="00736EB3">
        <w:t xml:space="preserve"> demostración de tecnologías de bajo PCA y de incentivos a los usuarios finales, su tamaño es limitado y la escalabilidad de las tecnologías demostradas también es limitada</w:t>
      </w:r>
      <w:r w:rsidR="00BA54CA" w:rsidRPr="00642AEE">
        <w:t>.</w:t>
      </w:r>
    </w:p>
    <w:p w14:paraId="5E0F2340" w14:textId="77777777" w:rsidR="00BA54CA" w:rsidRPr="00642AEE" w:rsidRDefault="00736EB3" w:rsidP="004035EC">
      <w:pPr>
        <w:pStyle w:val="Heading2"/>
        <w:widowControl/>
      </w:pPr>
      <w:r>
        <w:rPr>
          <w:i/>
          <w:iCs/>
        </w:rPr>
        <w:t xml:space="preserve">Gestión </w:t>
      </w:r>
      <w:r w:rsidRPr="00736EB3">
        <w:rPr>
          <w:i/>
          <w:iCs/>
        </w:rPr>
        <w:t xml:space="preserve">eficiente del final de la vida útil de los equipos que utilizan HFC. </w:t>
      </w:r>
      <w:r w:rsidRPr="00030409">
        <w:t>Esto requeriría una combinación de concienciación y divulgación de información, formación sobre la recuperación de refrigerantes y la eliminación segura de los equipos al final de su vida útil, y la actualización de los códigos de prácticas/reglamentos</w:t>
      </w:r>
      <w:r w:rsidR="007B24A1">
        <w:t xml:space="preserve"> conexos </w:t>
      </w:r>
      <w:r w:rsidRPr="00030409">
        <w:t>sobre la gestión segura del final de su vida útil. Los refrigerantes recuperados que no puedan reutilizarse deben eliminarse de forma segura, y es necesario desarrollar enfoques innovadores para gestionar la logística y la financiación de la eliminación y destrucción. Esto puede implicar un enfoque holístico de la gestión de los residuos peligrosos, incluidos los residuos de refrigerantes. Además, dado el alto nivel de inversión y los procesos logísticos implicados, puede ser útil crear centros regionales que puedan</w:t>
      </w:r>
      <w:r w:rsidRPr="00736EB3">
        <w:rPr>
          <w:iCs/>
        </w:rPr>
        <w:t xml:space="preserve"> </w:t>
      </w:r>
      <w:r w:rsidRPr="00030409">
        <w:t>recuperar refrigerantes</w:t>
      </w:r>
      <w:r w:rsidRPr="00736EB3">
        <w:rPr>
          <w:iCs/>
        </w:rPr>
        <w:t xml:space="preserve"> </w:t>
      </w:r>
      <w:r w:rsidRPr="007B24A1">
        <w:rPr>
          <w:iCs/>
        </w:rPr>
        <w:t>y gestionar las instalaciones</w:t>
      </w:r>
      <w:r w:rsidRPr="00736EB3">
        <w:rPr>
          <w:iCs/>
        </w:rPr>
        <w:t xml:space="preserve"> de </w:t>
      </w:r>
      <w:r w:rsidR="00030409">
        <w:rPr>
          <w:iCs/>
        </w:rPr>
        <w:t>destrucción</w:t>
      </w:r>
      <w:r w:rsidR="00BA54CA" w:rsidRPr="00642AEE">
        <w:t>.</w:t>
      </w:r>
    </w:p>
    <w:p w14:paraId="05C82B17" w14:textId="77777777" w:rsidR="00BA54CA" w:rsidRPr="00642AEE" w:rsidRDefault="00BA54CA" w:rsidP="004035EC">
      <w:pPr>
        <w:pStyle w:val="Heading2"/>
      </w:pPr>
      <w:r w:rsidRPr="00642AEE">
        <w:rPr>
          <w:i/>
          <w:iCs/>
        </w:rPr>
        <w:t>Defi</w:t>
      </w:r>
      <w:r w:rsidR="00030409">
        <w:rPr>
          <w:i/>
          <w:iCs/>
        </w:rPr>
        <w:t xml:space="preserve">nir </w:t>
      </w:r>
      <w:r w:rsidR="00030409" w:rsidRPr="00030409">
        <w:rPr>
          <w:i/>
          <w:iCs/>
        </w:rPr>
        <w:t xml:space="preserve">mecanismos para lograr una evaluación holística del consumo de HFC en diferentes aplicaciones. </w:t>
      </w:r>
      <w:r w:rsidR="00030409" w:rsidRPr="00030409">
        <w:t xml:space="preserve">Esto es fundamental para aplicar políticas y normativas que reduzcan el uso de sustancias controladas (p. ej., enfoque sectorial para lograr resultados) que serán aplicables tanto a las </w:t>
      </w:r>
      <w:r w:rsidR="00030409" w:rsidRPr="007B24A1">
        <w:t>empresas</w:t>
      </w:r>
      <w:r w:rsidR="00030409" w:rsidRPr="007B24A1">
        <w:rPr>
          <w:iCs/>
        </w:rPr>
        <w:t xml:space="preserve"> </w:t>
      </w:r>
      <w:r w:rsidR="007B24A1" w:rsidRPr="007B24A1">
        <w:rPr>
          <w:iCs/>
        </w:rPr>
        <w:t>que reúnan los requisitos del</w:t>
      </w:r>
      <w:r w:rsidR="00030409" w:rsidRPr="007B24A1">
        <w:rPr>
          <w:iCs/>
        </w:rPr>
        <w:t xml:space="preserve"> FML como a las que no reúnan los requisitos para recibir financiació</w:t>
      </w:r>
      <w:r w:rsidRPr="007B24A1">
        <w:rPr>
          <w:iCs/>
        </w:rPr>
        <w:t>n</w:t>
      </w:r>
      <w:r w:rsidRPr="007B24A1">
        <w:t>.</w:t>
      </w:r>
      <w:r w:rsidRPr="00642AEE">
        <w:t xml:space="preserve"> </w:t>
      </w:r>
    </w:p>
    <w:p w14:paraId="6B29C6DA" w14:textId="77777777" w:rsidR="00BA54CA" w:rsidRPr="00642AEE" w:rsidRDefault="00030409" w:rsidP="004035EC">
      <w:pPr>
        <w:pStyle w:val="Heading2"/>
      </w:pPr>
      <w:r>
        <w:rPr>
          <w:i/>
          <w:iCs/>
        </w:rPr>
        <w:t xml:space="preserve">Enfoque integrado </w:t>
      </w:r>
      <w:r w:rsidRPr="00030409">
        <w:rPr>
          <w:i/>
          <w:iCs/>
        </w:rPr>
        <w:t xml:space="preserve">con una fuerte coordinación institucional </w:t>
      </w:r>
      <w:r w:rsidRPr="007B24A1">
        <w:rPr>
          <w:i/>
          <w:iCs/>
        </w:rPr>
        <w:t>para la</w:t>
      </w:r>
      <w:r w:rsidR="007B24A1" w:rsidRPr="007B24A1">
        <w:rPr>
          <w:i/>
          <w:iCs/>
        </w:rPr>
        <w:t xml:space="preserve"> </w:t>
      </w:r>
      <w:r w:rsidRPr="007B24A1">
        <w:rPr>
          <w:i/>
          <w:iCs/>
        </w:rPr>
        <w:t>ejecución</w:t>
      </w:r>
      <w:r w:rsidRPr="00030409">
        <w:rPr>
          <w:i/>
          <w:iCs/>
        </w:rPr>
        <w:t xml:space="preserve"> de actividades de refrigeración sostenible. </w:t>
      </w:r>
      <w:r w:rsidRPr="006D5E79">
        <w:t xml:space="preserve">La refrigeración sostenible requiere la adopción de tecnologías energéticamente eficientes basadas en refrigerantes de bajo PCA, lo que exige un enfoque integrado que incluya proyectos financiados por el FML con otras intervenciones pertinentes relacionadas con la energía. </w:t>
      </w:r>
      <w:r w:rsidR="001A1566" w:rsidRPr="006D5E79">
        <w:t>Si bien</w:t>
      </w:r>
      <w:r w:rsidRPr="006D5E79">
        <w:t xml:space="preserve"> la adopción de tecnología de refrigerantes de bajo </w:t>
      </w:r>
      <w:r w:rsidR="001A1566" w:rsidRPr="006D5E79">
        <w:t>PCA</w:t>
      </w:r>
      <w:r w:rsidRPr="006D5E79">
        <w:t xml:space="preserve"> se aborda principalmente a través de los </w:t>
      </w:r>
      <w:r w:rsidR="001A1566" w:rsidRPr="006D5E79">
        <w:t>planes de aplicación de la Enmienda de Kigali</w:t>
      </w:r>
      <w:r w:rsidRPr="006D5E79">
        <w:t xml:space="preserve"> y otros proyectos financiados por el FML, los aspectos relacionados con la eficiencia energética deben abordarse a través de sólidos mecanismos de coordinación institucional con las autoridades competentes en materia de eficiencia energética.  Dado que los p</w:t>
      </w:r>
      <w:r w:rsidR="001A1566" w:rsidRPr="006D5E79">
        <w:t>lanes</w:t>
      </w:r>
      <w:r w:rsidRPr="006D5E79">
        <w:t xml:space="preserve"> nacionales de acción en materia de refrigeración proporcionan un plan holístico para abordar las necesidades de refrigeración a nivel nacional y se preparan con la participación de múltiples partes interesadas, la integración de los </w:t>
      </w:r>
      <w:r w:rsidR="00913D71" w:rsidRPr="006D5E79">
        <w:t>planes de aplicación de la Enmienda de Kigali</w:t>
      </w:r>
      <w:r w:rsidRPr="006D5E79">
        <w:t xml:space="preserve"> con los componentes pertinentes de los programas nacionales de acción en materia de refrigeración que abordan las aplicaciones de la cadena de frío y la refrigeración de confort puede </w:t>
      </w:r>
      <w:r w:rsidRPr="006D5E79">
        <w:lastRenderedPageBreak/>
        <w:t>desempeñar un papel importante en el apoyo a la adopción de tecnologías de refrigeración sostenibles. Los países podrían considerar la posibilidad de reforzar la coordinación de las D</w:t>
      </w:r>
      <w:r w:rsidR="00913D71" w:rsidRPr="006D5E79">
        <w:t>NO</w:t>
      </w:r>
      <w:r w:rsidRPr="006D5E79">
        <w:t xml:space="preserve"> con las diferentes partes interesadas y mecanismos institucionales implicados en el desarrollo y la aplicación de los </w:t>
      </w:r>
      <w:r w:rsidR="00137085" w:rsidRPr="006D5E79">
        <w:t>planes n</w:t>
      </w:r>
      <w:r w:rsidRPr="006D5E79">
        <w:t xml:space="preserve">acionales de </w:t>
      </w:r>
      <w:r w:rsidR="00137085" w:rsidRPr="006D5E79">
        <w:t>a</w:t>
      </w:r>
      <w:r w:rsidRPr="006D5E79">
        <w:t xml:space="preserve">cción </w:t>
      </w:r>
      <w:r w:rsidR="00137085" w:rsidRPr="006D5E79">
        <w:t>en materia de r</w:t>
      </w:r>
      <w:r w:rsidRPr="006D5E79">
        <w:t xml:space="preserve">efrigeración (por ejemplo, participando en reuniones de coordinación, realizando aportaciones a la planificación de las actividades de los </w:t>
      </w:r>
      <w:r w:rsidR="00913D71" w:rsidRPr="006D5E79">
        <w:t>planes n</w:t>
      </w:r>
      <w:r w:rsidRPr="006D5E79">
        <w:t>aciona</w:t>
      </w:r>
      <w:r w:rsidR="00913D71" w:rsidRPr="006D5E79">
        <w:t>les de a</w:t>
      </w:r>
      <w:r w:rsidRPr="006D5E79">
        <w:t xml:space="preserve">cción para la </w:t>
      </w:r>
      <w:r w:rsidR="00913D71" w:rsidRPr="006D5E79">
        <w:t>r</w:t>
      </w:r>
      <w:r w:rsidRPr="006D5E79">
        <w:t>efrigeración con el fin de maximizar los enfoques complementarios en la adopción de tecnologías de refrigeración sostenibles y realizando aportaciones durante la revisión de los objetivos de la</w:t>
      </w:r>
      <w:r w:rsidR="00137085" w:rsidRPr="006D5E79">
        <w:t>s</w:t>
      </w:r>
      <w:r w:rsidR="00137085" w:rsidRPr="00137085">
        <w:t xml:space="preserve"> </w:t>
      </w:r>
      <w:r w:rsidR="00137085">
        <w:t>contribuciones determinadas a nivel nacional (NDC, por sus siglas en inglés)</w:t>
      </w:r>
      <w:r w:rsidRPr="006D5E79">
        <w:t xml:space="preserve"> del país). Con el tiempo, </w:t>
      </w:r>
      <w:r w:rsidR="00137085" w:rsidRPr="006D5E79">
        <w:t>dependiendo</w:t>
      </w:r>
      <w:r w:rsidRPr="006D5E79">
        <w:t xml:space="preserve"> de la evolución de los </w:t>
      </w:r>
      <w:r w:rsidR="00137085" w:rsidRPr="006D5E79">
        <w:t>planes nacionales de acción en materia de refrigeración</w:t>
      </w:r>
      <w:r w:rsidRPr="006D5E79">
        <w:t>, podría ajustarse el papel específico de la D</w:t>
      </w:r>
      <w:r w:rsidR="00137085" w:rsidRPr="006D5E79">
        <w:t>NO</w:t>
      </w:r>
      <w:r w:rsidRPr="006D5E79">
        <w:t xml:space="preserve"> en el proceso. Podrían adoptarse enfoques similares en relación con otros planes sectoriales que impliquen aplicaciones de RACHP a </w:t>
      </w:r>
      <w:r w:rsidR="00137085" w:rsidRPr="006D5E79">
        <w:t>nivel</w:t>
      </w:r>
      <w:r w:rsidRPr="006D5E79">
        <w:t xml:space="preserve"> nacional (p</w:t>
      </w:r>
      <w:r w:rsidR="00137085" w:rsidRPr="006D5E79">
        <w:t>.</w:t>
      </w:r>
      <w:r w:rsidRPr="006D5E79">
        <w:t xml:space="preserve"> </w:t>
      </w:r>
      <w:r w:rsidR="00137085" w:rsidRPr="006D5E79">
        <w:t>e</w:t>
      </w:r>
      <w:r w:rsidRPr="006D5E79">
        <w:t>j</w:t>
      </w:r>
      <w:r w:rsidR="00137085" w:rsidRPr="006D5E79">
        <w:t>.</w:t>
      </w:r>
      <w:r w:rsidRPr="006D5E79">
        <w:t xml:space="preserve"> planes de desarrollo del sector </w:t>
      </w:r>
      <w:r w:rsidRPr="007B24A1">
        <w:t>turístico</w:t>
      </w:r>
      <w:r w:rsidRPr="007B24A1">
        <w:rPr>
          <w:iCs/>
        </w:rPr>
        <w:t>, refuerzo de la infra</w:t>
      </w:r>
      <w:r w:rsidR="006D5E79" w:rsidRPr="007B24A1">
        <w:rPr>
          <w:iCs/>
        </w:rPr>
        <w:t>estructura de la cadena de frío</w:t>
      </w:r>
      <w:r w:rsidR="00BA54CA" w:rsidRPr="007B24A1">
        <w:t>).</w:t>
      </w:r>
    </w:p>
    <w:p w14:paraId="3CBE8D8F" w14:textId="77777777" w:rsidR="00BA54CA" w:rsidRPr="00642AEE" w:rsidRDefault="00BA54CA" w:rsidP="004035EC">
      <w:r w:rsidRPr="00642AEE">
        <w:rPr>
          <w:b/>
        </w:rPr>
        <w:t>RECOM</w:t>
      </w:r>
      <w:r w:rsidR="006D5E79">
        <w:rPr>
          <w:b/>
        </w:rPr>
        <w:t>ENDACIÓN</w:t>
      </w:r>
      <w:r w:rsidRPr="00642AEE">
        <w:rPr>
          <w:b/>
        </w:rPr>
        <w:t xml:space="preserve"> </w:t>
      </w:r>
    </w:p>
    <w:p w14:paraId="7549843B" w14:textId="77777777" w:rsidR="00BA54CA" w:rsidRPr="00642AEE" w:rsidRDefault="00BA54CA" w:rsidP="004035EC">
      <w:pPr>
        <w:pStyle w:val="StyleHeader4Para4Left0Firstline0"/>
        <w:numPr>
          <w:ilvl w:val="0"/>
          <w:numId w:val="0"/>
        </w:numPr>
        <w:spacing w:after="0"/>
        <w:rPr>
          <w:rFonts w:asciiTheme="majorBidi" w:hAnsiTheme="majorBidi" w:cstheme="majorBidi"/>
          <w:sz w:val="22"/>
        </w:rPr>
      </w:pPr>
    </w:p>
    <w:p w14:paraId="2062D11C" w14:textId="77777777" w:rsidR="00BA54CA" w:rsidRPr="00C0407D" w:rsidRDefault="006D5E79" w:rsidP="004035EC">
      <w:pPr>
        <w:pStyle w:val="Heading1"/>
        <w:rPr>
          <w:lang w:val="fr-FR"/>
        </w:rPr>
      </w:pPr>
      <w:r>
        <w:t xml:space="preserve">El </w:t>
      </w:r>
      <w:r w:rsidRPr="006D5E79">
        <w:t>Comité Ejecutivo tal vez desee tomar nota de la información contenida en el documento UNEP/</w:t>
      </w:r>
      <w:proofErr w:type="spellStart"/>
      <w:r w:rsidRPr="006D5E79">
        <w:t>OzL.Pro</w:t>
      </w:r>
      <w:proofErr w:type="spellEnd"/>
      <w:r w:rsidRPr="006D5E79">
        <w:t>/</w:t>
      </w:r>
      <w:proofErr w:type="spellStart"/>
      <w:r w:rsidRPr="006D5E79">
        <w:t>ExCom</w:t>
      </w:r>
      <w:proofErr w:type="spellEnd"/>
      <w:r w:rsidRPr="006D5E79">
        <w:t xml:space="preserve">/94/63 sobre </w:t>
      </w:r>
      <w:r>
        <w:t xml:space="preserve">la forma </w:t>
      </w:r>
      <w:r w:rsidRPr="006D5E79">
        <w:t>en que las actividades de eliminación gradual de HCFC y HFC apoyadas por el Fondo Multilateral podrían contribuir a la refrigeración sostenible</w:t>
      </w:r>
      <w:r w:rsidR="00BA54CA" w:rsidRPr="00642AEE">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42AEE" w14:paraId="63872670" w14:textId="77777777" w:rsidTr="004835E3">
        <w:tc>
          <w:tcPr>
            <w:tcW w:w="1871" w:type="dxa"/>
          </w:tcPr>
          <w:p w14:paraId="09FCD473" w14:textId="77777777" w:rsidR="00E85409" w:rsidRPr="00642AEE" w:rsidRDefault="00E85409" w:rsidP="00E0564F"/>
        </w:tc>
        <w:tc>
          <w:tcPr>
            <w:tcW w:w="1872" w:type="dxa"/>
          </w:tcPr>
          <w:p w14:paraId="436EF8DF" w14:textId="77777777" w:rsidR="00E85409" w:rsidRPr="00642AEE" w:rsidRDefault="00E85409" w:rsidP="00E0564F"/>
        </w:tc>
        <w:tc>
          <w:tcPr>
            <w:tcW w:w="1872" w:type="dxa"/>
            <w:tcBorders>
              <w:bottom w:val="single" w:sz="4" w:space="0" w:color="auto"/>
            </w:tcBorders>
          </w:tcPr>
          <w:p w14:paraId="134E6C97" w14:textId="77777777" w:rsidR="00E85409" w:rsidRPr="00642AEE" w:rsidRDefault="00E85409" w:rsidP="00E0564F"/>
        </w:tc>
        <w:tc>
          <w:tcPr>
            <w:tcW w:w="1872" w:type="dxa"/>
          </w:tcPr>
          <w:p w14:paraId="42A88DB5" w14:textId="77777777" w:rsidR="00E85409" w:rsidRPr="00642AEE" w:rsidRDefault="00E85409" w:rsidP="00E0564F"/>
        </w:tc>
        <w:tc>
          <w:tcPr>
            <w:tcW w:w="1873" w:type="dxa"/>
          </w:tcPr>
          <w:p w14:paraId="57514313" w14:textId="77777777" w:rsidR="00E85409" w:rsidRPr="00642AEE" w:rsidRDefault="00E85409" w:rsidP="00E0564F"/>
        </w:tc>
      </w:tr>
    </w:tbl>
    <w:p w14:paraId="52DA7E2A" w14:textId="77777777" w:rsidR="00E85409" w:rsidRPr="00642AEE" w:rsidRDefault="00E85409" w:rsidP="004E7F9C"/>
    <w:sectPr w:rsidR="00E85409" w:rsidRPr="00642AEE" w:rsidSect="006829D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8A0B59" w14:textId="77777777" w:rsidR="006829D1" w:rsidRDefault="006829D1" w:rsidP="004A504B">
      <w:r>
        <w:separator/>
      </w:r>
    </w:p>
  </w:endnote>
  <w:endnote w:type="continuationSeparator" w:id="0">
    <w:p w14:paraId="3032E86D" w14:textId="77777777" w:rsidR="006829D1" w:rsidRDefault="006829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6C650" w14:textId="77777777" w:rsidR="00F32695" w:rsidRPr="0033525D" w:rsidRDefault="00000000">
    <w:pPr>
      <w:jc w:val="center"/>
    </w:pPr>
    <w:r>
      <w:fldChar w:fldCharType="begin"/>
    </w:r>
    <w:r>
      <w:instrText xml:space="preserve"> PAGE </w:instrText>
    </w:r>
    <w:r>
      <w:fldChar w:fldCharType="separate"/>
    </w:r>
    <w:r w:rsidR="001B121F">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9878B" w14:textId="77777777" w:rsidR="00F32695" w:rsidRPr="0033525D" w:rsidRDefault="00000000">
    <w:pPr>
      <w:jc w:val="center"/>
    </w:pPr>
    <w:r>
      <w:fldChar w:fldCharType="begin"/>
    </w:r>
    <w:r>
      <w:instrText xml:space="preserve"> PAGE </w:instrText>
    </w:r>
    <w:r>
      <w:fldChar w:fldCharType="separate"/>
    </w:r>
    <w:r w:rsidR="001B121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61FB6" w14:textId="74ABB7D4" w:rsidR="00F32695" w:rsidRDefault="00977119" w:rsidP="00C0407D">
    <w:pPr>
      <w:pBdr>
        <w:top w:val="single" w:sz="4" w:space="1" w:color="auto"/>
        <w:left w:val="single" w:sz="4" w:space="4" w:color="auto"/>
        <w:bottom w:val="single" w:sz="4" w:space="1" w:color="auto"/>
        <w:right w:val="single" w:sz="4" w:space="4" w:color="auto"/>
      </w:pBdr>
      <w:ind w:right="-180"/>
      <w:jc w:val="center"/>
      <w:rPr>
        <w:sz w:val="18"/>
        <w:szCs w:val="18"/>
      </w:rPr>
    </w:pPr>
    <w:r w:rsidRPr="00977119">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977119">
      <w:rPr>
        <w:sz w:val="18"/>
        <w:szCs w:val="18"/>
      </w:rPr>
      <w:t>los mismo</w:t>
    </w:r>
    <w:r>
      <w:rPr>
        <w:sz w:val="18"/>
        <w:szCs w:val="18"/>
      </w:rPr>
      <w:t>s</w:t>
    </w:r>
    <w:proofErr w:type="gramEnd"/>
    <w:r w:rsidR="00F32695" w:rsidRPr="006E7BE3">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C75BCF" w14:textId="77777777" w:rsidR="006829D1" w:rsidRDefault="006829D1" w:rsidP="004A504B">
      <w:r>
        <w:separator/>
      </w:r>
    </w:p>
  </w:footnote>
  <w:footnote w:type="continuationSeparator" w:id="0">
    <w:p w14:paraId="1F8DB0C1" w14:textId="77777777" w:rsidR="006829D1" w:rsidRDefault="006829D1" w:rsidP="004A504B">
      <w:r>
        <w:continuationSeparator/>
      </w:r>
    </w:p>
  </w:footnote>
  <w:footnote w:id="1">
    <w:p w14:paraId="27FE3EA0" w14:textId="77777777" w:rsidR="00F32695" w:rsidRPr="00C0407D" w:rsidRDefault="00F32695" w:rsidP="0079781A">
      <w:pPr>
        <w:pStyle w:val="FootnoteText"/>
        <w:rPr>
          <w:lang w:val="fr-FR"/>
        </w:rPr>
      </w:pPr>
      <w:r w:rsidRPr="001A24C6">
        <w:rPr>
          <w:rStyle w:val="FootnoteReference"/>
        </w:rPr>
        <w:footnoteRef/>
      </w:r>
      <w:r w:rsidRPr="00C0407D">
        <w:rPr>
          <w:lang w:val="fr-FR"/>
        </w:rPr>
        <w:t>UNEP/</w:t>
      </w:r>
      <w:proofErr w:type="spellStart"/>
      <w:r w:rsidRPr="00C0407D">
        <w:rPr>
          <w:lang w:val="fr-FR"/>
        </w:rPr>
        <w:t>OzL.Pro</w:t>
      </w:r>
      <w:proofErr w:type="spellEnd"/>
      <w:r w:rsidRPr="00C0407D">
        <w:rPr>
          <w:lang w:val="fr-FR"/>
        </w:rPr>
        <w:t>/</w:t>
      </w:r>
      <w:proofErr w:type="spellStart"/>
      <w:r w:rsidRPr="00C0407D">
        <w:rPr>
          <w:lang w:val="fr-FR"/>
        </w:rPr>
        <w:t>ExCom</w:t>
      </w:r>
      <w:proofErr w:type="spellEnd"/>
      <w:r w:rsidRPr="00C0407D">
        <w:rPr>
          <w:lang w:val="fr-FR"/>
        </w:rPr>
        <w:t>/94/1</w:t>
      </w:r>
    </w:p>
  </w:footnote>
  <w:footnote w:id="2">
    <w:p w14:paraId="5FB5461B" w14:textId="77777777" w:rsidR="00F32695" w:rsidRPr="003239B2" w:rsidRDefault="00F32695" w:rsidP="00BA54CA">
      <w:pPr>
        <w:pStyle w:val="FootnoteText"/>
      </w:pPr>
      <w:r w:rsidRPr="003239B2">
        <w:rPr>
          <w:rStyle w:val="FootnoteReference"/>
        </w:rPr>
        <w:footnoteRef/>
      </w:r>
      <w:r w:rsidRPr="003239B2">
        <w:t xml:space="preserve"> </w:t>
      </w:r>
      <w:r>
        <w:t xml:space="preserve">Las </w:t>
      </w:r>
      <w:r w:rsidRPr="00353BFC">
        <w:t xml:space="preserve">emisiones directas de </w:t>
      </w:r>
      <w:r>
        <w:t>GEI</w:t>
      </w:r>
      <w:r w:rsidRPr="00353BFC">
        <w:t xml:space="preserve"> se calculan en función del consumo de HFC, tal como se hace en el marco del Protocolo de Montreal; las emisiones indirectas se calculan en función de los niveles de consumo energético de los distintos equipos y de la intensidad de carbono de la fuente de energía que suministra energía a estos equipos</w:t>
      </w:r>
      <w:r w:rsidRPr="003239B2">
        <w:t>.</w:t>
      </w:r>
    </w:p>
  </w:footnote>
  <w:footnote w:id="3">
    <w:p w14:paraId="484F6CAC" w14:textId="77777777" w:rsidR="00F32695" w:rsidRPr="003239B2" w:rsidRDefault="00F32695" w:rsidP="00BA54CA">
      <w:pPr>
        <w:pStyle w:val="FootnoteText"/>
      </w:pPr>
      <w:r w:rsidRPr="003239B2">
        <w:rPr>
          <w:rStyle w:val="FootnoteReference"/>
        </w:rPr>
        <w:footnoteRef/>
      </w:r>
      <w:hyperlink r:id="rId1" w:history="1">
        <w:r w:rsidR="00977119">
          <w:rPr>
            <w:rStyle w:val="Hyperlink"/>
          </w:rPr>
          <w:t>Vigi</w:t>
        </w:r>
        <w:r w:rsidRPr="003239B2">
          <w:rPr>
            <w:rStyle w:val="Hyperlink"/>
          </w:rPr>
          <w:t>la</w:t>
        </w:r>
        <w:r w:rsidR="00977119">
          <w:rPr>
            <w:rStyle w:val="Hyperlink"/>
          </w:rPr>
          <w:t>ncia Mundial de la Refrigeración</w:t>
        </w:r>
        <w:r w:rsidRPr="003239B2">
          <w:rPr>
            <w:rStyle w:val="Hyperlink"/>
          </w:rPr>
          <w:t xml:space="preserve"> 2023 | </w:t>
        </w:r>
        <w:r w:rsidR="00977119">
          <w:rPr>
            <w:rStyle w:val="Hyperlink"/>
          </w:rPr>
          <w:t>PNUMA</w:t>
        </w:r>
        <w:r w:rsidRPr="003239B2">
          <w:rPr>
            <w:rStyle w:val="Hyperlink"/>
          </w:rPr>
          <w:t xml:space="preserve"> </w:t>
        </w:r>
        <w:r w:rsidR="00977119">
          <w:rPr>
            <w:rStyle w:val="Hyperlink"/>
          </w:rPr>
          <w:t>–</w:t>
        </w:r>
        <w:r w:rsidRPr="003239B2">
          <w:rPr>
            <w:rStyle w:val="Hyperlink"/>
          </w:rPr>
          <w:t xml:space="preserve"> </w:t>
        </w:r>
        <w:r w:rsidR="00977119">
          <w:rPr>
            <w:rStyle w:val="Hyperlink"/>
          </w:rPr>
          <w:t>Prog</w:t>
        </w:r>
        <w:r w:rsidR="00AA12ED">
          <w:rPr>
            <w:rStyle w:val="Hyperlink"/>
          </w:rPr>
          <w:t>r</w:t>
        </w:r>
        <w:r w:rsidR="00977119">
          <w:rPr>
            <w:rStyle w:val="Hyperlink"/>
          </w:rPr>
          <w:t xml:space="preserve">ama de las </w:t>
        </w:r>
        <w:r w:rsidRPr="003239B2">
          <w:rPr>
            <w:rStyle w:val="Hyperlink"/>
          </w:rPr>
          <w:t>N</w:t>
        </w:r>
        <w:r w:rsidR="00977119">
          <w:rPr>
            <w:rStyle w:val="Hyperlink"/>
          </w:rPr>
          <w:t>aciones Unidas para el Med</w:t>
        </w:r>
        <w:r w:rsidRPr="003239B2">
          <w:rPr>
            <w:rStyle w:val="Hyperlink"/>
          </w:rPr>
          <w:t>io</w:t>
        </w:r>
        <w:r w:rsidR="00977119">
          <w:rPr>
            <w:rStyle w:val="Hyperlink"/>
          </w:rPr>
          <w:t xml:space="preserve"> A</w:t>
        </w:r>
        <w:r w:rsidRPr="003239B2">
          <w:rPr>
            <w:rStyle w:val="Hyperlink"/>
          </w:rPr>
          <w:t>m</w:t>
        </w:r>
        <w:r w:rsidR="00977119">
          <w:rPr>
            <w:rStyle w:val="Hyperlink"/>
          </w:rPr>
          <w:t>biente</w:t>
        </w:r>
      </w:hyperlink>
      <w:r w:rsidRPr="003239B2">
        <w:rPr>
          <w:rStyle w:val="Hyperlink"/>
        </w:rPr>
        <w:t xml:space="preserve">, </w:t>
      </w:r>
      <w:r w:rsidRPr="003239B2">
        <w:rPr>
          <w:rFonts w:asciiTheme="majorBidi" w:hAnsiTheme="majorBidi" w:cstheme="majorBidi"/>
        </w:rPr>
        <w:t>(“</w:t>
      </w:r>
      <w:r w:rsidRPr="00A857F5">
        <w:rPr>
          <w:rFonts w:asciiTheme="majorBidi" w:hAnsiTheme="majorBidi" w:cstheme="majorBidi"/>
        </w:rPr>
        <w:t>Mantener la cabeza fría: vías para responder a las necesidades de refrigeración reduciendo las emisiones contaminantes</w:t>
      </w:r>
      <w:r w:rsidRPr="003239B2">
        <w:rPr>
          <w:rFonts w:asciiTheme="majorBidi" w:hAnsiTheme="majorBidi" w:cstheme="majorBidi"/>
        </w:rPr>
        <w:t>”)</w:t>
      </w:r>
    </w:p>
  </w:footnote>
  <w:footnote w:id="4">
    <w:p w14:paraId="2A08EDC9" w14:textId="77777777" w:rsidR="00F32695" w:rsidRPr="00C0407D" w:rsidRDefault="00F32695" w:rsidP="00BA54CA">
      <w:pPr>
        <w:pStyle w:val="FootnoteText"/>
        <w:rPr>
          <w:rFonts w:asciiTheme="majorBidi" w:hAnsiTheme="majorBidi" w:cstheme="majorBidi"/>
          <w:lang w:val="fr-FR"/>
        </w:rPr>
      </w:pPr>
      <w:r w:rsidRPr="003239B2">
        <w:rPr>
          <w:rStyle w:val="FootnoteReference"/>
          <w:rFonts w:asciiTheme="majorBidi" w:hAnsiTheme="majorBidi" w:cstheme="majorBidi"/>
        </w:rPr>
        <w:footnoteRef/>
      </w:r>
      <w:r w:rsidR="00AA12ED" w:rsidRPr="00C0407D">
        <w:rPr>
          <w:rFonts w:asciiTheme="majorBidi" w:hAnsiTheme="majorBidi" w:cstheme="majorBidi"/>
          <w:lang w:val="fr-FR"/>
        </w:rPr>
        <w:t xml:space="preserve">En el informe </w:t>
      </w:r>
      <w:proofErr w:type="spellStart"/>
      <w:r w:rsidR="00AA12ED" w:rsidRPr="00C0407D">
        <w:rPr>
          <w:rFonts w:asciiTheme="majorBidi" w:hAnsiTheme="majorBidi" w:cstheme="majorBidi"/>
          <w:lang w:val="fr-FR"/>
        </w:rPr>
        <w:t>Vigilancia</w:t>
      </w:r>
      <w:proofErr w:type="spellEnd"/>
      <w:r w:rsidR="00AA12ED" w:rsidRPr="00C0407D">
        <w:rPr>
          <w:rFonts w:asciiTheme="majorBidi" w:hAnsiTheme="majorBidi" w:cstheme="majorBidi"/>
          <w:lang w:val="fr-FR"/>
        </w:rPr>
        <w:t xml:space="preserve"> </w:t>
      </w:r>
      <w:proofErr w:type="spellStart"/>
      <w:r w:rsidR="00AA12ED" w:rsidRPr="00C0407D">
        <w:rPr>
          <w:rFonts w:asciiTheme="majorBidi" w:hAnsiTheme="majorBidi" w:cstheme="majorBidi"/>
          <w:lang w:val="fr-FR"/>
        </w:rPr>
        <w:t>Mundial</w:t>
      </w:r>
      <w:proofErr w:type="spellEnd"/>
      <w:r w:rsidR="00AA12ED" w:rsidRPr="00C0407D">
        <w:rPr>
          <w:rFonts w:asciiTheme="majorBidi" w:hAnsiTheme="majorBidi" w:cstheme="majorBidi"/>
          <w:lang w:val="fr-FR"/>
        </w:rPr>
        <w:t xml:space="preserve"> de la </w:t>
      </w:r>
      <w:proofErr w:type="spellStart"/>
      <w:r w:rsidR="00AA12ED" w:rsidRPr="00C0407D">
        <w:rPr>
          <w:rFonts w:asciiTheme="majorBidi" w:hAnsiTheme="majorBidi" w:cstheme="majorBidi"/>
          <w:lang w:val="fr-FR"/>
        </w:rPr>
        <w:t>Refrigeración</w:t>
      </w:r>
      <w:proofErr w:type="spellEnd"/>
      <w:r w:rsidR="00AA12ED" w:rsidRPr="00C0407D">
        <w:rPr>
          <w:rFonts w:asciiTheme="majorBidi" w:hAnsiTheme="majorBidi" w:cstheme="majorBidi"/>
          <w:lang w:val="fr-FR"/>
        </w:rPr>
        <w:t xml:space="preserve"> 2023, la </w:t>
      </w:r>
      <w:proofErr w:type="spellStart"/>
      <w:r w:rsidR="00AA12ED" w:rsidRPr="00C0407D">
        <w:rPr>
          <w:rFonts w:asciiTheme="majorBidi" w:hAnsiTheme="majorBidi" w:cstheme="majorBidi"/>
          <w:lang w:val="fr-FR"/>
        </w:rPr>
        <w:t>refrigeración</w:t>
      </w:r>
      <w:proofErr w:type="spellEnd"/>
      <w:r w:rsidR="00AA12ED" w:rsidRPr="00C0407D">
        <w:rPr>
          <w:rFonts w:asciiTheme="majorBidi" w:hAnsiTheme="majorBidi" w:cstheme="majorBidi"/>
          <w:lang w:val="fr-FR"/>
        </w:rPr>
        <w:t xml:space="preserve"> </w:t>
      </w:r>
      <w:proofErr w:type="spellStart"/>
      <w:r w:rsidR="00AA12ED" w:rsidRPr="00C0407D">
        <w:rPr>
          <w:rFonts w:asciiTheme="majorBidi" w:hAnsiTheme="majorBidi" w:cstheme="majorBidi"/>
          <w:lang w:val="fr-FR"/>
        </w:rPr>
        <w:t>sostenible</w:t>
      </w:r>
      <w:proofErr w:type="spellEnd"/>
      <w:r w:rsidR="00AA12ED" w:rsidRPr="00C0407D">
        <w:rPr>
          <w:rFonts w:asciiTheme="majorBidi" w:hAnsiTheme="majorBidi" w:cstheme="majorBidi"/>
          <w:lang w:val="fr-FR"/>
        </w:rPr>
        <w:t xml:space="preserve"> se </w:t>
      </w:r>
      <w:proofErr w:type="spellStart"/>
      <w:r w:rsidR="00AA12ED" w:rsidRPr="00C0407D">
        <w:rPr>
          <w:rFonts w:asciiTheme="majorBidi" w:hAnsiTheme="majorBidi" w:cstheme="majorBidi"/>
          <w:lang w:val="fr-FR"/>
        </w:rPr>
        <w:t>define</w:t>
      </w:r>
      <w:proofErr w:type="spellEnd"/>
      <w:r w:rsidR="00AA12ED" w:rsidRPr="00C0407D">
        <w:rPr>
          <w:rFonts w:asciiTheme="majorBidi" w:hAnsiTheme="majorBidi" w:cstheme="majorBidi"/>
          <w:lang w:val="fr-FR"/>
        </w:rPr>
        <w:t xml:space="preserve"> </w:t>
      </w:r>
      <w:proofErr w:type="spellStart"/>
      <w:r w:rsidR="00AA12ED" w:rsidRPr="00C0407D">
        <w:rPr>
          <w:rFonts w:asciiTheme="majorBidi" w:hAnsiTheme="majorBidi" w:cstheme="majorBidi"/>
          <w:lang w:val="fr-FR"/>
        </w:rPr>
        <w:t>como</w:t>
      </w:r>
      <w:proofErr w:type="spellEnd"/>
      <w:r w:rsidR="00AA12ED" w:rsidRPr="00C0407D">
        <w:rPr>
          <w:rFonts w:asciiTheme="majorBidi" w:hAnsiTheme="majorBidi" w:cstheme="majorBidi"/>
          <w:lang w:val="fr-FR"/>
        </w:rPr>
        <w:t xml:space="preserve"> </w:t>
      </w:r>
      <w:proofErr w:type="spellStart"/>
      <w:r w:rsidR="00AA12ED" w:rsidRPr="00C0407D">
        <w:rPr>
          <w:rFonts w:asciiTheme="majorBidi" w:hAnsiTheme="majorBidi" w:cstheme="majorBidi"/>
          <w:lang w:val="fr-FR"/>
        </w:rPr>
        <w:t>tecnologías</w:t>
      </w:r>
      <w:proofErr w:type="spellEnd"/>
      <w:r w:rsidR="00AA12ED" w:rsidRPr="00C0407D">
        <w:rPr>
          <w:rFonts w:asciiTheme="majorBidi" w:hAnsiTheme="majorBidi" w:cstheme="majorBidi"/>
          <w:lang w:val="fr-FR"/>
        </w:rPr>
        <w:t xml:space="preserve"> y </w:t>
      </w:r>
      <w:proofErr w:type="spellStart"/>
      <w:r w:rsidR="00AA12ED" w:rsidRPr="00C0407D">
        <w:rPr>
          <w:rFonts w:asciiTheme="majorBidi" w:hAnsiTheme="majorBidi" w:cstheme="majorBidi"/>
          <w:lang w:val="fr-FR"/>
        </w:rPr>
        <w:t>enfoques</w:t>
      </w:r>
      <w:proofErr w:type="spellEnd"/>
      <w:r w:rsidR="00AA12ED" w:rsidRPr="00C0407D">
        <w:rPr>
          <w:rFonts w:asciiTheme="majorBidi" w:hAnsiTheme="majorBidi" w:cstheme="majorBidi"/>
          <w:lang w:val="fr-FR"/>
        </w:rPr>
        <w:t xml:space="preserve"> de </w:t>
      </w:r>
      <w:proofErr w:type="spellStart"/>
      <w:r w:rsidR="00AA12ED" w:rsidRPr="00C0407D">
        <w:rPr>
          <w:rFonts w:asciiTheme="majorBidi" w:hAnsiTheme="majorBidi" w:cstheme="majorBidi"/>
          <w:lang w:val="fr-FR"/>
        </w:rPr>
        <w:t>refrigeración</w:t>
      </w:r>
      <w:proofErr w:type="spellEnd"/>
      <w:r w:rsidR="00AA12ED" w:rsidRPr="00C0407D">
        <w:rPr>
          <w:rFonts w:asciiTheme="majorBidi" w:hAnsiTheme="majorBidi" w:cstheme="majorBidi"/>
          <w:lang w:val="fr-FR"/>
        </w:rPr>
        <w:t xml:space="preserve"> que son </w:t>
      </w:r>
      <w:proofErr w:type="spellStart"/>
      <w:r w:rsidR="00AA12ED" w:rsidRPr="00C0407D">
        <w:rPr>
          <w:rFonts w:asciiTheme="majorBidi" w:hAnsiTheme="majorBidi" w:cstheme="majorBidi"/>
          <w:lang w:val="fr-FR"/>
        </w:rPr>
        <w:t>accesibles</w:t>
      </w:r>
      <w:proofErr w:type="spellEnd"/>
      <w:r w:rsidR="00AA12ED" w:rsidRPr="00C0407D">
        <w:rPr>
          <w:rFonts w:asciiTheme="majorBidi" w:hAnsiTheme="majorBidi" w:cstheme="majorBidi"/>
          <w:lang w:val="fr-FR"/>
        </w:rPr>
        <w:t xml:space="preserve">, </w:t>
      </w:r>
      <w:proofErr w:type="spellStart"/>
      <w:r w:rsidR="00AA12ED" w:rsidRPr="00C0407D">
        <w:rPr>
          <w:rFonts w:asciiTheme="majorBidi" w:hAnsiTheme="majorBidi" w:cstheme="majorBidi"/>
          <w:lang w:val="fr-FR"/>
        </w:rPr>
        <w:t>asequibles</w:t>
      </w:r>
      <w:proofErr w:type="spellEnd"/>
      <w:r w:rsidR="00AA12ED" w:rsidRPr="00C0407D">
        <w:rPr>
          <w:rFonts w:asciiTheme="majorBidi" w:hAnsiTheme="majorBidi" w:cstheme="majorBidi"/>
          <w:lang w:val="fr-FR"/>
        </w:rPr>
        <w:t xml:space="preserve"> y </w:t>
      </w:r>
      <w:proofErr w:type="spellStart"/>
      <w:r w:rsidR="00AA12ED" w:rsidRPr="00C0407D">
        <w:rPr>
          <w:rFonts w:asciiTheme="majorBidi" w:hAnsiTheme="majorBidi" w:cstheme="majorBidi"/>
          <w:lang w:val="fr-FR"/>
        </w:rPr>
        <w:t>escalables</w:t>
      </w:r>
      <w:proofErr w:type="spellEnd"/>
      <w:r w:rsidR="00AA12ED" w:rsidRPr="00C0407D">
        <w:rPr>
          <w:rFonts w:asciiTheme="majorBidi" w:hAnsiTheme="majorBidi" w:cstheme="majorBidi"/>
          <w:lang w:val="fr-FR"/>
        </w:rPr>
        <w:t xml:space="preserve">, </w:t>
      </w:r>
      <w:proofErr w:type="spellStart"/>
      <w:r w:rsidR="00AA12ED" w:rsidRPr="00C0407D">
        <w:rPr>
          <w:rFonts w:asciiTheme="majorBidi" w:hAnsiTheme="majorBidi" w:cstheme="majorBidi"/>
          <w:lang w:val="fr-FR"/>
        </w:rPr>
        <w:t>pero</w:t>
      </w:r>
      <w:proofErr w:type="spellEnd"/>
      <w:r w:rsidR="00AA12ED" w:rsidRPr="00C0407D">
        <w:rPr>
          <w:rFonts w:asciiTheme="majorBidi" w:hAnsiTheme="majorBidi" w:cstheme="majorBidi"/>
          <w:lang w:val="fr-FR"/>
        </w:rPr>
        <w:t xml:space="preserve"> que </w:t>
      </w:r>
      <w:proofErr w:type="spellStart"/>
      <w:r w:rsidR="00AA12ED" w:rsidRPr="00C0407D">
        <w:rPr>
          <w:rFonts w:asciiTheme="majorBidi" w:hAnsiTheme="majorBidi" w:cstheme="majorBidi"/>
          <w:lang w:val="fr-FR"/>
        </w:rPr>
        <w:t>minimizan</w:t>
      </w:r>
      <w:proofErr w:type="spellEnd"/>
      <w:r w:rsidR="00AA12ED" w:rsidRPr="00C0407D">
        <w:rPr>
          <w:rFonts w:asciiTheme="majorBidi" w:hAnsiTheme="majorBidi" w:cstheme="majorBidi"/>
          <w:lang w:val="fr-FR"/>
        </w:rPr>
        <w:t xml:space="preserve"> los </w:t>
      </w:r>
      <w:proofErr w:type="spellStart"/>
      <w:r w:rsidR="00AA12ED" w:rsidRPr="00C0407D">
        <w:rPr>
          <w:rFonts w:asciiTheme="majorBidi" w:hAnsiTheme="majorBidi" w:cstheme="majorBidi"/>
          <w:lang w:val="fr-FR"/>
        </w:rPr>
        <w:t>impactos</w:t>
      </w:r>
      <w:proofErr w:type="spellEnd"/>
      <w:r w:rsidR="00AA12ED" w:rsidRPr="00C0407D">
        <w:rPr>
          <w:rFonts w:asciiTheme="majorBidi" w:hAnsiTheme="majorBidi" w:cstheme="majorBidi"/>
          <w:lang w:val="fr-FR"/>
        </w:rPr>
        <w:t xml:space="preserve"> en las </w:t>
      </w:r>
      <w:proofErr w:type="spellStart"/>
      <w:r w:rsidR="00AA12ED" w:rsidRPr="00C0407D">
        <w:rPr>
          <w:rFonts w:asciiTheme="majorBidi" w:hAnsiTheme="majorBidi" w:cstheme="majorBidi"/>
          <w:lang w:val="fr-FR"/>
        </w:rPr>
        <w:t>personas</w:t>
      </w:r>
      <w:proofErr w:type="spellEnd"/>
      <w:r w:rsidR="00AA12ED" w:rsidRPr="00C0407D">
        <w:rPr>
          <w:rFonts w:asciiTheme="majorBidi" w:hAnsiTheme="majorBidi" w:cstheme="majorBidi"/>
          <w:lang w:val="fr-FR"/>
        </w:rPr>
        <w:t xml:space="preserve"> y el </w:t>
      </w:r>
      <w:proofErr w:type="spellStart"/>
      <w:r w:rsidR="00AA12ED" w:rsidRPr="00C0407D">
        <w:rPr>
          <w:rFonts w:asciiTheme="majorBidi" w:hAnsiTheme="majorBidi" w:cstheme="majorBidi"/>
          <w:lang w:val="fr-FR"/>
        </w:rPr>
        <w:t>planeta</w:t>
      </w:r>
      <w:proofErr w:type="spellEnd"/>
      <w:r w:rsidR="00AA12ED" w:rsidRPr="00C0407D">
        <w:rPr>
          <w:rFonts w:asciiTheme="majorBidi" w:hAnsiTheme="majorBidi" w:cstheme="majorBidi"/>
          <w:lang w:val="fr-FR"/>
        </w:rPr>
        <w:t xml:space="preserve">, </w:t>
      </w:r>
      <w:proofErr w:type="spellStart"/>
      <w:r w:rsidR="00AA12ED" w:rsidRPr="00C0407D">
        <w:rPr>
          <w:rFonts w:asciiTheme="majorBidi" w:hAnsiTheme="majorBidi" w:cstheme="majorBidi"/>
          <w:lang w:val="fr-FR"/>
        </w:rPr>
        <w:t>incluso</w:t>
      </w:r>
      <w:proofErr w:type="spellEnd"/>
      <w:r w:rsidR="00AA12ED" w:rsidRPr="00C0407D">
        <w:rPr>
          <w:rFonts w:asciiTheme="majorBidi" w:hAnsiTheme="majorBidi" w:cstheme="majorBidi"/>
          <w:lang w:val="fr-FR"/>
        </w:rPr>
        <w:t xml:space="preserve"> </w:t>
      </w:r>
      <w:proofErr w:type="spellStart"/>
      <w:r w:rsidR="00AA12ED" w:rsidRPr="00C0407D">
        <w:rPr>
          <w:rFonts w:asciiTheme="majorBidi" w:hAnsiTheme="majorBidi" w:cstheme="majorBidi"/>
          <w:lang w:val="fr-FR"/>
        </w:rPr>
        <w:t>mediante</w:t>
      </w:r>
      <w:proofErr w:type="spellEnd"/>
      <w:r w:rsidR="00AA12ED" w:rsidRPr="00C0407D">
        <w:rPr>
          <w:rFonts w:asciiTheme="majorBidi" w:hAnsiTheme="majorBidi" w:cstheme="majorBidi"/>
          <w:lang w:val="fr-FR"/>
        </w:rPr>
        <w:t xml:space="preserve"> grandes </w:t>
      </w:r>
      <w:proofErr w:type="spellStart"/>
      <w:r w:rsidR="00AA12ED" w:rsidRPr="00C0407D">
        <w:rPr>
          <w:rFonts w:asciiTheme="majorBidi" w:hAnsiTheme="majorBidi" w:cstheme="majorBidi"/>
          <w:lang w:val="fr-FR"/>
        </w:rPr>
        <w:t>reducciones</w:t>
      </w:r>
      <w:proofErr w:type="spellEnd"/>
      <w:r w:rsidR="00AA12ED" w:rsidRPr="00C0407D">
        <w:rPr>
          <w:rFonts w:asciiTheme="majorBidi" w:hAnsiTheme="majorBidi" w:cstheme="majorBidi"/>
          <w:lang w:val="fr-FR"/>
        </w:rPr>
        <w:t xml:space="preserve"> de las </w:t>
      </w:r>
      <w:proofErr w:type="spellStart"/>
      <w:r w:rsidR="00AA12ED" w:rsidRPr="00C0407D">
        <w:rPr>
          <w:rFonts w:asciiTheme="majorBidi" w:hAnsiTheme="majorBidi" w:cstheme="majorBidi"/>
          <w:lang w:val="fr-FR"/>
        </w:rPr>
        <w:t>emisiones</w:t>
      </w:r>
      <w:proofErr w:type="spellEnd"/>
      <w:r w:rsidR="00AA12ED" w:rsidRPr="00C0407D">
        <w:rPr>
          <w:rFonts w:asciiTheme="majorBidi" w:hAnsiTheme="majorBidi" w:cstheme="majorBidi"/>
          <w:lang w:val="fr-FR"/>
        </w:rPr>
        <w:t xml:space="preserve"> de GEI. </w:t>
      </w:r>
      <w:r w:rsidRPr="00C0407D">
        <w:rPr>
          <w:rFonts w:asciiTheme="majorBidi" w:hAnsiTheme="majorBidi" w:cstheme="majorBidi"/>
          <w:lang w:val="fr-FR"/>
        </w:rPr>
        <w:t xml:space="preserve">La </w:t>
      </w:r>
      <w:proofErr w:type="spellStart"/>
      <w:r w:rsidRPr="00C0407D">
        <w:rPr>
          <w:rFonts w:asciiTheme="majorBidi" w:hAnsiTheme="majorBidi" w:cstheme="majorBidi"/>
          <w:lang w:val="fr-FR"/>
        </w:rPr>
        <w:t>refrigeración</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sostenible</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puede</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ir</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más</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allá</w:t>
      </w:r>
      <w:proofErr w:type="spellEnd"/>
      <w:r w:rsidRPr="00C0407D">
        <w:rPr>
          <w:rFonts w:asciiTheme="majorBidi" w:hAnsiTheme="majorBidi" w:cstheme="majorBidi"/>
          <w:lang w:val="fr-FR"/>
        </w:rPr>
        <w:t xml:space="preserve"> de las </w:t>
      </w:r>
      <w:proofErr w:type="spellStart"/>
      <w:r w:rsidRPr="00C0407D">
        <w:rPr>
          <w:rFonts w:asciiTheme="majorBidi" w:hAnsiTheme="majorBidi" w:cstheme="majorBidi"/>
          <w:lang w:val="fr-FR"/>
        </w:rPr>
        <w:t>emisiones</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directas</w:t>
      </w:r>
      <w:proofErr w:type="spellEnd"/>
      <w:r w:rsidRPr="00C0407D">
        <w:rPr>
          <w:rFonts w:asciiTheme="majorBidi" w:hAnsiTheme="majorBidi" w:cstheme="majorBidi"/>
          <w:lang w:val="fr-FR"/>
        </w:rPr>
        <w:t xml:space="preserve"> de </w:t>
      </w:r>
      <w:proofErr w:type="spellStart"/>
      <w:r w:rsidRPr="00C0407D">
        <w:rPr>
          <w:rFonts w:asciiTheme="majorBidi" w:hAnsiTheme="majorBidi" w:cstheme="majorBidi"/>
          <w:lang w:val="fr-FR"/>
        </w:rPr>
        <w:t>refrigerantes</w:t>
      </w:r>
      <w:proofErr w:type="spellEnd"/>
      <w:r w:rsidRPr="00C0407D">
        <w:rPr>
          <w:rFonts w:asciiTheme="majorBidi" w:hAnsiTheme="majorBidi" w:cstheme="majorBidi"/>
          <w:lang w:val="fr-FR"/>
        </w:rPr>
        <w:t xml:space="preserve"> y del </w:t>
      </w:r>
      <w:proofErr w:type="spellStart"/>
      <w:r w:rsidRPr="00C0407D">
        <w:rPr>
          <w:rFonts w:asciiTheme="majorBidi" w:hAnsiTheme="majorBidi" w:cstheme="majorBidi"/>
          <w:lang w:val="fr-FR"/>
        </w:rPr>
        <w:t>consumo</w:t>
      </w:r>
      <w:proofErr w:type="spellEnd"/>
      <w:r w:rsidRPr="00C0407D">
        <w:rPr>
          <w:rFonts w:asciiTheme="majorBidi" w:hAnsiTheme="majorBidi" w:cstheme="majorBidi"/>
          <w:lang w:val="fr-FR"/>
        </w:rPr>
        <w:t xml:space="preserve"> de </w:t>
      </w:r>
      <w:proofErr w:type="spellStart"/>
      <w:r w:rsidRPr="00C0407D">
        <w:rPr>
          <w:rFonts w:asciiTheme="majorBidi" w:hAnsiTheme="majorBidi" w:cstheme="majorBidi"/>
          <w:lang w:val="fr-FR"/>
        </w:rPr>
        <w:t>energía</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asociado</w:t>
      </w:r>
      <w:proofErr w:type="spellEnd"/>
      <w:r w:rsidRPr="00C0407D">
        <w:rPr>
          <w:rFonts w:asciiTheme="majorBidi" w:hAnsiTheme="majorBidi" w:cstheme="majorBidi"/>
          <w:lang w:val="fr-FR"/>
        </w:rPr>
        <w:t xml:space="preserve"> al </w:t>
      </w:r>
      <w:proofErr w:type="spellStart"/>
      <w:r w:rsidRPr="00C0407D">
        <w:rPr>
          <w:rFonts w:asciiTheme="majorBidi" w:hAnsiTheme="majorBidi" w:cstheme="majorBidi"/>
          <w:lang w:val="fr-FR"/>
        </w:rPr>
        <w:t>funcionamiento</w:t>
      </w:r>
      <w:proofErr w:type="spellEnd"/>
      <w:r w:rsidRPr="00C0407D">
        <w:rPr>
          <w:rFonts w:asciiTheme="majorBidi" w:hAnsiTheme="majorBidi" w:cstheme="majorBidi"/>
          <w:lang w:val="fr-FR"/>
        </w:rPr>
        <w:t xml:space="preserve"> de los </w:t>
      </w:r>
      <w:proofErr w:type="spellStart"/>
      <w:r w:rsidRPr="00C0407D">
        <w:rPr>
          <w:rFonts w:asciiTheme="majorBidi" w:hAnsiTheme="majorBidi" w:cstheme="majorBidi"/>
          <w:lang w:val="fr-FR"/>
        </w:rPr>
        <w:t>equipos</w:t>
      </w:r>
      <w:proofErr w:type="spellEnd"/>
      <w:r w:rsidRPr="00C0407D">
        <w:rPr>
          <w:rFonts w:asciiTheme="majorBidi" w:hAnsiTheme="majorBidi" w:cstheme="majorBidi"/>
          <w:lang w:val="fr-FR"/>
        </w:rPr>
        <w:t xml:space="preserve"> de </w:t>
      </w:r>
      <w:proofErr w:type="spellStart"/>
      <w:r w:rsidRPr="00C0407D">
        <w:rPr>
          <w:rFonts w:asciiTheme="majorBidi" w:hAnsiTheme="majorBidi" w:cstheme="majorBidi"/>
          <w:lang w:val="fr-FR"/>
        </w:rPr>
        <w:t>refrigeración</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Esto</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puede</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incluir</w:t>
      </w:r>
      <w:proofErr w:type="spellEnd"/>
      <w:r w:rsidRPr="00C0407D">
        <w:rPr>
          <w:rFonts w:asciiTheme="majorBidi" w:hAnsiTheme="majorBidi" w:cstheme="majorBidi"/>
          <w:lang w:val="fr-FR"/>
        </w:rPr>
        <w:t xml:space="preserve"> el </w:t>
      </w:r>
      <w:proofErr w:type="spellStart"/>
      <w:r w:rsidRPr="00C0407D">
        <w:rPr>
          <w:rFonts w:asciiTheme="majorBidi" w:hAnsiTheme="majorBidi" w:cstheme="majorBidi"/>
          <w:lang w:val="fr-FR"/>
        </w:rPr>
        <w:t>uso</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mínimo</w:t>
      </w:r>
      <w:proofErr w:type="spellEnd"/>
      <w:r w:rsidRPr="00C0407D">
        <w:rPr>
          <w:rFonts w:asciiTheme="majorBidi" w:hAnsiTheme="majorBidi" w:cstheme="majorBidi"/>
          <w:lang w:val="fr-FR"/>
        </w:rPr>
        <w:t xml:space="preserve"> de </w:t>
      </w:r>
      <w:proofErr w:type="spellStart"/>
      <w:r w:rsidRPr="00C0407D">
        <w:rPr>
          <w:rFonts w:asciiTheme="majorBidi" w:hAnsiTheme="majorBidi" w:cstheme="majorBidi"/>
          <w:lang w:val="fr-FR"/>
        </w:rPr>
        <w:t>recursos</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naturales</w:t>
      </w:r>
      <w:proofErr w:type="spellEnd"/>
      <w:r w:rsidRPr="00C0407D">
        <w:rPr>
          <w:rFonts w:asciiTheme="majorBidi" w:hAnsiTheme="majorBidi" w:cstheme="majorBidi"/>
          <w:lang w:val="fr-FR"/>
        </w:rPr>
        <w:t xml:space="preserve"> en la </w:t>
      </w:r>
      <w:proofErr w:type="spellStart"/>
      <w:r w:rsidRPr="00C0407D">
        <w:rPr>
          <w:rFonts w:asciiTheme="majorBidi" w:hAnsiTheme="majorBidi" w:cstheme="majorBidi"/>
          <w:lang w:val="fr-FR"/>
        </w:rPr>
        <w:t>construcción</w:t>
      </w:r>
      <w:proofErr w:type="spellEnd"/>
      <w:r w:rsidRPr="00C0407D">
        <w:rPr>
          <w:rFonts w:asciiTheme="majorBidi" w:hAnsiTheme="majorBidi" w:cstheme="majorBidi"/>
          <w:lang w:val="fr-FR"/>
        </w:rPr>
        <w:t xml:space="preserve"> de </w:t>
      </w:r>
      <w:proofErr w:type="spellStart"/>
      <w:r w:rsidRPr="00C0407D">
        <w:rPr>
          <w:rFonts w:asciiTheme="majorBidi" w:hAnsiTheme="majorBidi" w:cstheme="majorBidi"/>
          <w:lang w:val="fr-FR"/>
        </w:rPr>
        <w:t>edificios</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materiales</w:t>
      </w:r>
      <w:proofErr w:type="spellEnd"/>
      <w:r w:rsidRPr="00C0407D">
        <w:rPr>
          <w:rFonts w:asciiTheme="majorBidi" w:hAnsiTheme="majorBidi" w:cstheme="majorBidi"/>
          <w:lang w:val="fr-FR"/>
        </w:rPr>
        <w:t xml:space="preserve"> de </w:t>
      </w:r>
      <w:proofErr w:type="spellStart"/>
      <w:r w:rsidRPr="00C0407D">
        <w:rPr>
          <w:rFonts w:asciiTheme="majorBidi" w:hAnsiTheme="majorBidi" w:cstheme="majorBidi"/>
          <w:lang w:val="fr-FR"/>
        </w:rPr>
        <w:t>construcción</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sostenibles</w:t>
      </w:r>
      <w:proofErr w:type="spellEnd"/>
      <w:r w:rsidRPr="00C0407D">
        <w:rPr>
          <w:rFonts w:asciiTheme="majorBidi" w:hAnsiTheme="majorBidi" w:cstheme="majorBidi"/>
          <w:lang w:val="fr-FR"/>
        </w:rPr>
        <w:t xml:space="preserve"> y </w:t>
      </w:r>
      <w:proofErr w:type="spellStart"/>
      <w:r w:rsidRPr="00C0407D">
        <w:rPr>
          <w:rFonts w:asciiTheme="majorBidi" w:hAnsiTheme="majorBidi" w:cstheme="majorBidi"/>
          <w:lang w:val="fr-FR"/>
        </w:rPr>
        <w:t>otras</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intervenciones</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similares</w:t>
      </w:r>
      <w:proofErr w:type="spellEnd"/>
      <w:r w:rsidRPr="00C0407D">
        <w:rPr>
          <w:rFonts w:asciiTheme="majorBidi" w:hAnsiTheme="majorBidi" w:cstheme="majorBidi"/>
          <w:lang w:val="fr-FR"/>
        </w:rPr>
        <w:t xml:space="preserve">. A </w:t>
      </w:r>
      <w:proofErr w:type="spellStart"/>
      <w:r w:rsidRPr="00C0407D">
        <w:rPr>
          <w:rFonts w:asciiTheme="majorBidi" w:hAnsiTheme="majorBidi" w:cstheme="majorBidi"/>
          <w:lang w:val="fr-FR"/>
        </w:rPr>
        <w:t>efectos</w:t>
      </w:r>
      <w:proofErr w:type="spellEnd"/>
      <w:r w:rsidRPr="00C0407D">
        <w:rPr>
          <w:rFonts w:asciiTheme="majorBidi" w:hAnsiTheme="majorBidi" w:cstheme="majorBidi"/>
          <w:lang w:val="fr-FR"/>
        </w:rPr>
        <w:t xml:space="preserve"> del </w:t>
      </w:r>
      <w:proofErr w:type="spellStart"/>
      <w:r w:rsidRPr="00C0407D">
        <w:rPr>
          <w:rFonts w:asciiTheme="majorBidi" w:hAnsiTheme="majorBidi" w:cstheme="majorBidi"/>
          <w:lang w:val="fr-FR"/>
        </w:rPr>
        <w:t>presente</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documento</w:t>
      </w:r>
      <w:proofErr w:type="spellEnd"/>
      <w:r w:rsidRPr="00C0407D">
        <w:rPr>
          <w:rFonts w:asciiTheme="majorBidi" w:hAnsiTheme="majorBidi" w:cstheme="majorBidi"/>
          <w:lang w:val="fr-FR"/>
        </w:rPr>
        <w:t xml:space="preserve">, tales </w:t>
      </w:r>
      <w:proofErr w:type="spellStart"/>
      <w:r w:rsidRPr="00C0407D">
        <w:rPr>
          <w:rFonts w:asciiTheme="majorBidi" w:hAnsiTheme="majorBidi" w:cstheme="majorBidi"/>
          <w:lang w:val="fr-FR"/>
        </w:rPr>
        <w:t>intervenciones</w:t>
      </w:r>
      <w:proofErr w:type="spellEnd"/>
      <w:r w:rsidRPr="00C0407D">
        <w:rPr>
          <w:rFonts w:asciiTheme="majorBidi" w:hAnsiTheme="majorBidi" w:cstheme="majorBidi"/>
          <w:lang w:val="fr-FR"/>
        </w:rPr>
        <w:t xml:space="preserve"> no se </w:t>
      </w:r>
      <w:proofErr w:type="spellStart"/>
      <w:r w:rsidRPr="00C0407D">
        <w:rPr>
          <w:rFonts w:asciiTheme="majorBidi" w:hAnsiTheme="majorBidi" w:cstheme="majorBidi"/>
          <w:lang w:val="fr-FR"/>
        </w:rPr>
        <w:t>tienen</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más</w:t>
      </w:r>
      <w:proofErr w:type="spellEnd"/>
      <w:r w:rsidRPr="00C0407D">
        <w:rPr>
          <w:rFonts w:asciiTheme="majorBidi" w:hAnsiTheme="majorBidi" w:cstheme="majorBidi"/>
          <w:lang w:val="fr-FR"/>
        </w:rPr>
        <w:t xml:space="preserve"> en </w:t>
      </w:r>
      <w:proofErr w:type="spellStart"/>
      <w:r w:rsidRPr="00C0407D">
        <w:rPr>
          <w:rFonts w:asciiTheme="majorBidi" w:hAnsiTheme="majorBidi" w:cstheme="majorBidi"/>
          <w:lang w:val="fr-FR"/>
        </w:rPr>
        <w:t>cuenta</w:t>
      </w:r>
      <w:proofErr w:type="spellEnd"/>
      <w:r w:rsidRPr="00C0407D">
        <w:rPr>
          <w:rFonts w:asciiTheme="majorBidi" w:hAnsiTheme="majorBidi" w:cstheme="majorBidi"/>
          <w:lang w:val="fr-FR"/>
        </w:rPr>
        <w:t xml:space="preserve"> </w:t>
      </w:r>
      <w:proofErr w:type="spellStart"/>
      <w:r w:rsidRPr="00C0407D">
        <w:rPr>
          <w:rFonts w:asciiTheme="majorBidi" w:hAnsiTheme="majorBidi" w:cstheme="majorBidi"/>
          <w:lang w:val="fr-FR"/>
        </w:rPr>
        <w:t>debido</w:t>
      </w:r>
      <w:proofErr w:type="spellEnd"/>
      <w:r w:rsidRPr="00C0407D">
        <w:rPr>
          <w:rFonts w:asciiTheme="majorBidi" w:hAnsiTheme="majorBidi" w:cstheme="majorBidi"/>
          <w:lang w:val="fr-FR"/>
        </w:rPr>
        <w:t xml:space="preserve"> a la </w:t>
      </w:r>
      <w:proofErr w:type="spellStart"/>
      <w:r w:rsidRPr="00C0407D">
        <w:rPr>
          <w:rFonts w:asciiTheme="majorBidi" w:hAnsiTheme="majorBidi" w:cstheme="majorBidi"/>
          <w:lang w:val="fr-FR"/>
        </w:rPr>
        <w:t>falta</w:t>
      </w:r>
      <w:proofErr w:type="spellEnd"/>
      <w:r w:rsidRPr="00C0407D">
        <w:rPr>
          <w:rFonts w:asciiTheme="majorBidi" w:hAnsiTheme="majorBidi" w:cstheme="majorBidi"/>
          <w:lang w:val="fr-FR"/>
        </w:rPr>
        <w:t xml:space="preserve"> de </w:t>
      </w:r>
      <w:proofErr w:type="spellStart"/>
      <w:r w:rsidRPr="00C0407D">
        <w:rPr>
          <w:rFonts w:asciiTheme="majorBidi" w:hAnsiTheme="majorBidi" w:cstheme="majorBidi"/>
          <w:lang w:val="fr-FR"/>
        </w:rPr>
        <w:t>nexo</w:t>
      </w:r>
      <w:proofErr w:type="spellEnd"/>
      <w:r w:rsidRPr="00C0407D">
        <w:rPr>
          <w:rFonts w:asciiTheme="majorBidi" w:hAnsiTheme="majorBidi" w:cstheme="majorBidi"/>
          <w:lang w:val="fr-FR"/>
        </w:rPr>
        <w:t xml:space="preserve"> con la </w:t>
      </w:r>
      <w:proofErr w:type="spellStart"/>
      <w:r w:rsidRPr="00C0407D">
        <w:rPr>
          <w:rFonts w:asciiTheme="majorBidi" w:hAnsiTheme="majorBidi" w:cstheme="majorBidi"/>
          <w:lang w:val="fr-FR"/>
        </w:rPr>
        <w:t>aplicación</w:t>
      </w:r>
      <w:proofErr w:type="spellEnd"/>
      <w:r w:rsidRPr="00C0407D">
        <w:rPr>
          <w:rFonts w:asciiTheme="majorBidi" w:hAnsiTheme="majorBidi" w:cstheme="majorBidi"/>
          <w:lang w:val="fr-FR"/>
        </w:rPr>
        <w:t xml:space="preserve"> del </w:t>
      </w:r>
      <w:proofErr w:type="spellStart"/>
      <w:r w:rsidRPr="00C0407D">
        <w:rPr>
          <w:rFonts w:asciiTheme="majorBidi" w:hAnsiTheme="majorBidi" w:cstheme="majorBidi"/>
          <w:lang w:val="fr-FR"/>
        </w:rPr>
        <w:t>Protocolo</w:t>
      </w:r>
      <w:proofErr w:type="spellEnd"/>
      <w:r w:rsidRPr="00C0407D">
        <w:rPr>
          <w:rFonts w:asciiTheme="majorBidi" w:hAnsiTheme="majorBidi" w:cstheme="majorBidi"/>
          <w:lang w:val="fr-FR"/>
        </w:rPr>
        <w:t xml:space="preserve"> de </w:t>
      </w:r>
      <w:proofErr w:type="spellStart"/>
      <w:r w:rsidRPr="00C0407D">
        <w:rPr>
          <w:rFonts w:asciiTheme="majorBidi" w:hAnsiTheme="majorBidi" w:cstheme="majorBidi"/>
          <w:lang w:val="fr-FR"/>
        </w:rPr>
        <w:t>Montreal</w:t>
      </w:r>
      <w:proofErr w:type="spellEnd"/>
      <w:r w:rsidRPr="00C0407D">
        <w:rPr>
          <w:rFonts w:asciiTheme="majorBidi" w:hAnsiTheme="majorBidi" w:cstheme="majorBidi"/>
          <w:lang w:val="fr-FR"/>
        </w:rPr>
        <w:t xml:space="preserve">.  </w:t>
      </w:r>
    </w:p>
  </w:footnote>
  <w:footnote w:id="5">
    <w:p w14:paraId="3396EFB1" w14:textId="101A34BE" w:rsidR="00F32695" w:rsidRPr="003239B2" w:rsidRDefault="00F32695" w:rsidP="00BA54CA">
      <w:pPr>
        <w:pStyle w:val="FootnoteText"/>
      </w:pPr>
      <w:r w:rsidRPr="003239B2">
        <w:rPr>
          <w:rStyle w:val="FootnoteReference"/>
        </w:rPr>
        <w:footnoteRef/>
      </w:r>
      <w:r>
        <w:rPr>
          <w:b/>
          <w:bCs/>
        </w:rPr>
        <w:t xml:space="preserve">ODS </w:t>
      </w:r>
      <w:r w:rsidRPr="003239B2">
        <w:rPr>
          <w:b/>
          <w:bCs/>
        </w:rPr>
        <w:t>2</w:t>
      </w:r>
      <w:r>
        <w:t>: Poner fin al hambre</w:t>
      </w:r>
      <w:r w:rsidRPr="003239B2">
        <w:t xml:space="preserve">, </w:t>
      </w:r>
      <w:r>
        <w:t>lograr la seguridad alimentaria y la mejora de la nutrición y promover la agricultura sostenible</w:t>
      </w:r>
      <w:r w:rsidRPr="003239B2">
        <w:t xml:space="preserve">; </w:t>
      </w:r>
      <w:r>
        <w:rPr>
          <w:b/>
          <w:bCs/>
        </w:rPr>
        <w:t xml:space="preserve">ODS </w:t>
      </w:r>
      <w:r w:rsidRPr="003239B2">
        <w:rPr>
          <w:b/>
          <w:bCs/>
        </w:rPr>
        <w:t>3</w:t>
      </w:r>
      <w:r w:rsidRPr="003239B2">
        <w:t>:</w:t>
      </w:r>
      <w:r>
        <w:t> Garantizar una vida sana y promover el bienestar de todos a todas las edades</w:t>
      </w:r>
      <w:r w:rsidRPr="003239B2">
        <w:t xml:space="preserve">; </w:t>
      </w:r>
      <w:r>
        <w:rPr>
          <w:b/>
          <w:bCs/>
        </w:rPr>
        <w:t>O</w:t>
      </w:r>
      <w:r w:rsidRPr="003239B2">
        <w:rPr>
          <w:b/>
          <w:bCs/>
        </w:rPr>
        <w:t>D</w:t>
      </w:r>
      <w:r>
        <w:rPr>
          <w:b/>
          <w:bCs/>
        </w:rPr>
        <w:t xml:space="preserve">S </w:t>
      </w:r>
      <w:r w:rsidRPr="003239B2">
        <w:rPr>
          <w:b/>
          <w:bCs/>
        </w:rPr>
        <w:t>4</w:t>
      </w:r>
      <w:r>
        <w:t>: Garantizar una educación inclusiva y equitativa de calidad y promover oportunidades de aprendizaje permanente para todos</w:t>
      </w:r>
      <w:r w:rsidRPr="003239B2">
        <w:t xml:space="preserve">; </w:t>
      </w:r>
      <w:r>
        <w:rPr>
          <w:b/>
          <w:bCs/>
        </w:rPr>
        <w:t>O</w:t>
      </w:r>
      <w:r w:rsidRPr="003239B2">
        <w:rPr>
          <w:b/>
          <w:bCs/>
        </w:rPr>
        <w:t>D</w:t>
      </w:r>
      <w:r>
        <w:rPr>
          <w:b/>
          <w:bCs/>
        </w:rPr>
        <w:t xml:space="preserve">S </w:t>
      </w:r>
      <w:r w:rsidRPr="003239B2">
        <w:rPr>
          <w:b/>
          <w:bCs/>
        </w:rPr>
        <w:t>8</w:t>
      </w:r>
      <w:r w:rsidRPr="003239B2">
        <w:t>: Promo</w:t>
      </w:r>
      <w:r>
        <w:t>ver el crecimiento económico sostenido</w:t>
      </w:r>
      <w:r w:rsidRPr="003239B2">
        <w:t xml:space="preserve">, </w:t>
      </w:r>
      <w:r>
        <w:t>inclusivo y sostenible, el empleo pleno y productivo y el trabajo decente para todos</w:t>
      </w:r>
      <w:r w:rsidRPr="003239B2">
        <w:t xml:space="preserve">; </w:t>
      </w:r>
      <w:r>
        <w:rPr>
          <w:b/>
          <w:bCs/>
        </w:rPr>
        <w:t xml:space="preserve">ODS </w:t>
      </w:r>
      <w:r w:rsidRPr="003239B2">
        <w:rPr>
          <w:b/>
          <w:bCs/>
        </w:rPr>
        <w:t>9</w:t>
      </w:r>
      <w:r>
        <w:t>: Construir infraestructuras resilientes, promover la industrialización inclusiva y sostenible y fomentar la innovación</w:t>
      </w:r>
      <w:r w:rsidRPr="003239B2">
        <w:t xml:space="preserve">; </w:t>
      </w:r>
      <w:r>
        <w:rPr>
          <w:b/>
          <w:bCs/>
        </w:rPr>
        <w:t xml:space="preserve">ODS </w:t>
      </w:r>
      <w:r w:rsidRPr="003239B2">
        <w:rPr>
          <w:b/>
          <w:bCs/>
        </w:rPr>
        <w:t>10</w:t>
      </w:r>
      <w:r w:rsidRPr="003239B2">
        <w:t>: Reduc</w:t>
      </w:r>
      <w:r>
        <w:t>ir la desigualdad en los países y entre ellos</w:t>
      </w:r>
      <w:r w:rsidRPr="003239B2">
        <w:t xml:space="preserve">; </w:t>
      </w:r>
      <w:r>
        <w:rPr>
          <w:b/>
          <w:bCs/>
        </w:rPr>
        <w:t xml:space="preserve">ODS </w:t>
      </w:r>
      <w:r w:rsidRPr="003239B2">
        <w:rPr>
          <w:b/>
          <w:bCs/>
        </w:rPr>
        <w:t>11</w:t>
      </w:r>
      <w:r>
        <w:t>: Lograr que las ciudades y los asentamientos humanos sean inclusivos, seguros, resilientes y sostenibles</w:t>
      </w:r>
      <w:r w:rsidRPr="003239B2">
        <w:t xml:space="preserve">; </w:t>
      </w:r>
      <w:r>
        <w:rPr>
          <w:b/>
          <w:bCs/>
        </w:rPr>
        <w:t>ODS</w:t>
      </w:r>
      <w:r w:rsidR="00C0407D">
        <w:rPr>
          <w:b/>
          <w:bCs/>
        </w:rPr>
        <w:t> </w:t>
      </w:r>
      <w:r w:rsidRPr="003239B2">
        <w:rPr>
          <w:b/>
          <w:bCs/>
        </w:rPr>
        <w:t>12</w:t>
      </w:r>
      <w:r w:rsidRPr="003239B2">
        <w:t>:</w:t>
      </w:r>
      <w:r>
        <w:t> Garantizar modalida</w:t>
      </w:r>
      <w:r w:rsidR="00AA12ED">
        <w:t>d</w:t>
      </w:r>
      <w:r>
        <w:t>es de consumo y producción sostenibles</w:t>
      </w:r>
      <w:r w:rsidRPr="003239B2">
        <w:t>.</w:t>
      </w:r>
    </w:p>
  </w:footnote>
  <w:footnote w:id="6">
    <w:p w14:paraId="40763191" w14:textId="77777777" w:rsidR="00F32695" w:rsidRDefault="00F32695" w:rsidP="00BA54CA">
      <w:pPr>
        <w:pStyle w:val="FootnoteText"/>
      </w:pPr>
      <w:r>
        <w:rPr>
          <w:rStyle w:val="FootnoteReference"/>
        </w:rPr>
        <w:footnoteRef/>
      </w:r>
      <w:r>
        <w:t xml:space="preserve"> El </w:t>
      </w:r>
      <w:r w:rsidRPr="00AA04FD">
        <w:t>crecimiento del consumo de HFC está sujeto a factores técnicos, de mercado y normativos; por lo tanto, el alcance del crecimiento no puede determinarse claramente en esta fase, aunque parece que el consumo</w:t>
      </w:r>
      <w:r>
        <w:t xml:space="preserve"> en estas aplicaciones crecería.</w:t>
      </w:r>
    </w:p>
  </w:footnote>
  <w:footnote w:id="7">
    <w:p w14:paraId="11586078" w14:textId="77777777" w:rsidR="00F32695" w:rsidRPr="003239B2" w:rsidRDefault="00F32695" w:rsidP="00BA54CA">
      <w:pPr>
        <w:pStyle w:val="FootnoteText"/>
      </w:pPr>
      <w:r w:rsidRPr="003239B2">
        <w:rPr>
          <w:rStyle w:val="FootnoteReference"/>
        </w:rPr>
        <w:footnoteRef/>
      </w:r>
      <w:r w:rsidRPr="003239B2">
        <w:t xml:space="preserve"> </w:t>
      </w:r>
      <w:r>
        <w:t>E</w:t>
      </w:r>
      <w:r w:rsidRPr="003239B2">
        <w:t>n</w:t>
      </w:r>
      <w:r>
        <w:t xml:space="preserve"> </w:t>
      </w:r>
      <w:r w:rsidRPr="00AA04FD">
        <w:t>algunos casos, dependiendo de la estrategia nacional, el Comité Ejecutivo estudió y aprobó el apoyo a actividades que iban más allá de los objetivos de cumplimiento</w:t>
      </w:r>
      <w:r w:rsidRPr="003239B2">
        <w:t>.</w:t>
      </w:r>
    </w:p>
  </w:footnote>
  <w:footnote w:id="8">
    <w:p w14:paraId="06799870" w14:textId="77777777" w:rsidR="00F32695" w:rsidRPr="00C0407D" w:rsidRDefault="00F32695" w:rsidP="00BA54CA">
      <w:pPr>
        <w:pStyle w:val="FootnoteText"/>
        <w:rPr>
          <w:lang w:val="fr-FR"/>
        </w:rPr>
      </w:pPr>
      <w:r w:rsidRPr="003239B2">
        <w:rPr>
          <w:rStyle w:val="FootnoteReference"/>
        </w:rPr>
        <w:footnoteRef/>
      </w:r>
      <w:r w:rsidRPr="003239B2">
        <w:t xml:space="preserve"> </w:t>
      </w:r>
      <w:r>
        <w:t xml:space="preserve">Las empresas </w:t>
      </w:r>
      <w:r w:rsidRPr="00223603">
        <w:t xml:space="preserve">fabricantes de equipos de refrigeración comercial que no estaban cubiertas por el </w:t>
      </w:r>
      <w:r>
        <w:t>PGEH</w:t>
      </w:r>
      <w:r w:rsidRPr="00223603">
        <w:t xml:space="preserve"> debido a su inelegibilidad y otras razones siguieron operando y creciendo con refrigerantes a base de HFC; además, aunque de forma limitada, se utilizaron refrigerantes de bajo potencial de calentamiento atmosférico co</w:t>
      </w:r>
      <w:r>
        <w:t xml:space="preserve">mo el R-290, el R-600a y el </w:t>
      </w:r>
      <w:r w:rsidRPr="003239B2">
        <w:t>CO</w:t>
      </w:r>
      <w:r w:rsidRPr="000949CF">
        <w:t>2</w:t>
      </w:r>
      <w:r w:rsidRPr="003239B2">
        <w:t xml:space="preserve"> </w:t>
      </w:r>
      <w:r w:rsidRPr="00223603">
        <w:t>en un número limitado de empresas fabricante</w:t>
      </w:r>
      <w:r>
        <w:t>s</w:t>
      </w:r>
      <w:r w:rsidRPr="003239B2">
        <w:t>.</w:t>
      </w:r>
    </w:p>
  </w:footnote>
  <w:footnote w:id="9">
    <w:p w14:paraId="01D9C70D" w14:textId="77777777" w:rsidR="00F32695" w:rsidRPr="008A410A" w:rsidRDefault="00F32695" w:rsidP="00BA54CA">
      <w:pPr>
        <w:pStyle w:val="FootnoteText"/>
      </w:pPr>
      <w:r w:rsidRPr="003239B2">
        <w:rPr>
          <w:rStyle w:val="FootnoteReference"/>
        </w:rPr>
        <w:footnoteRef/>
      </w:r>
      <w:r w:rsidRPr="003239B2">
        <w:t xml:space="preserve"> </w:t>
      </w:r>
      <w:r>
        <w:t xml:space="preserve">En virtud </w:t>
      </w:r>
      <w:r w:rsidRPr="000949CF">
        <w:t>de estas decisiones, se proporcionó hasta un 25</w:t>
      </w:r>
      <w:r>
        <w:t xml:space="preserve"> </w:t>
      </w:r>
      <w:r w:rsidRPr="000949CF">
        <w:t>% de financiación adicional para la conversión a alternativas de bajo PC</w:t>
      </w:r>
      <w:r>
        <w:t>A</w:t>
      </w:r>
      <w:r w:rsidRPr="000949CF">
        <w:t xml:space="preserve"> y, en el caso de las </w:t>
      </w:r>
      <w:r>
        <w:t>pymes</w:t>
      </w:r>
      <w:r w:rsidRPr="000949CF">
        <w:t xml:space="preserve"> que consumen menos de 20 </w:t>
      </w:r>
      <w:proofErr w:type="spellStart"/>
      <w:r w:rsidRPr="000949CF">
        <w:t>t</w:t>
      </w:r>
      <w:r>
        <w:t>m</w:t>
      </w:r>
      <w:proofErr w:type="spellEnd"/>
      <w:r>
        <w:t xml:space="preserve"> </w:t>
      </w:r>
      <w:r w:rsidRPr="000949CF">
        <w:t>anuales, hasta un 40</w:t>
      </w:r>
      <w:r>
        <w:t xml:space="preserve"> </w:t>
      </w:r>
      <w:r w:rsidRPr="000949CF">
        <w:t>% de financiación adiciona</w:t>
      </w:r>
      <w:r>
        <w:t>l</w:t>
      </w:r>
      <w:r w:rsidRPr="008A410A">
        <w:t xml:space="preserve">. </w:t>
      </w:r>
    </w:p>
  </w:footnote>
  <w:footnote w:id="10">
    <w:p w14:paraId="1AB5E058" w14:textId="77777777" w:rsidR="00F32695" w:rsidRPr="008A410A" w:rsidRDefault="00F32695" w:rsidP="00BA54CA">
      <w:pPr>
        <w:pStyle w:val="FootnoteText"/>
      </w:pPr>
      <w:r w:rsidRPr="008A410A">
        <w:rPr>
          <w:rStyle w:val="FootnoteReference"/>
        </w:rPr>
        <w:footnoteRef/>
      </w:r>
      <w:r w:rsidRPr="008A410A">
        <w:t xml:space="preserve"> </w:t>
      </w:r>
      <w:r>
        <w:t xml:space="preserve">Esto incluye </w:t>
      </w:r>
      <w:r w:rsidRPr="000703C8">
        <w:t>la contención de sustancias controladas a través del mantenimiento preventivo, la mejora de la calidad de la instalación, el mantenimiento/</w:t>
      </w:r>
      <w:r>
        <w:t xml:space="preserve">la </w:t>
      </w:r>
      <w:r w:rsidRPr="000703C8">
        <w:t xml:space="preserve">mejora de la eficiencia energética de los equipos a través de los ajustes de control adecuados, la limpieza adecuada de los equipos, incluidos los intercambiadores de calor, la formación sobre la manipulación segura de refrigerantes inflamables y la formación especializada de destinatarios específicos, como por ejemplo sobre el uso de equipos basados en </w:t>
      </w:r>
      <w:r w:rsidRPr="008A410A">
        <w:t>CO</w:t>
      </w:r>
      <w:r w:rsidRPr="008A410A">
        <w:rPr>
          <w:vertAlign w:val="subscript"/>
        </w:rPr>
        <w:t>2</w:t>
      </w:r>
      <w:r>
        <w:rPr>
          <w:vertAlign w:val="subscript"/>
        </w:rPr>
        <w:t xml:space="preserve"> </w:t>
      </w:r>
      <w:r>
        <w:t>en los supermercados</w:t>
      </w:r>
      <w:r w:rsidRPr="008A410A">
        <w:t>.</w:t>
      </w:r>
    </w:p>
  </w:footnote>
  <w:footnote w:id="11">
    <w:p w14:paraId="4E6C404D" w14:textId="77777777" w:rsidR="00F32695" w:rsidRPr="003239B2" w:rsidRDefault="00F32695" w:rsidP="00BA54CA">
      <w:pPr>
        <w:pStyle w:val="FootnoteText"/>
      </w:pPr>
      <w:r w:rsidRPr="008A410A">
        <w:rPr>
          <w:rStyle w:val="FootnoteReference"/>
        </w:rPr>
        <w:footnoteRef/>
      </w:r>
      <w:r w:rsidRPr="008A410A">
        <w:t xml:space="preserve"> </w:t>
      </w:r>
      <w:r>
        <w:t xml:space="preserve">En virtud </w:t>
      </w:r>
      <w:r w:rsidRPr="000E73F5">
        <w:t xml:space="preserve">de las decisiones 89/6 y 91/65, los países del artículo 5 disponen actualmente de apoyo adicional para </w:t>
      </w:r>
      <w:r>
        <w:t xml:space="preserve">la inclusión de </w:t>
      </w:r>
      <w:r w:rsidRPr="000E73F5">
        <w:t xml:space="preserve">actividades relacionadas con la eficiencia energética en los </w:t>
      </w:r>
      <w:r>
        <w:t>PGEH</w:t>
      </w:r>
      <w:r w:rsidRPr="000E73F5">
        <w:t xml:space="preserve"> existentes y futuros para los países </w:t>
      </w:r>
      <w:r w:rsidR="00AA12ED">
        <w:t>consumidores</w:t>
      </w:r>
      <w:r>
        <w:t xml:space="preserve"> de bajo volumen y en el contexto de la reducción de HFC;</w:t>
      </w:r>
      <w:r w:rsidRPr="000E73F5">
        <w:t xml:space="preserve"> el impacto de estas actividades se conocerá en los próximos años</w:t>
      </w:r>
      <w:r w:rsidRPr="00AF311A">
        <w:t>.</w:t>
      </w:r>
    </w:p>
  </w:footnote>
  <w:footnote w:id="12">
    <w:p w14:paraId="29EB9A86" w14:textId="77777777" w:rsidR="00F32695" w:rsidRPr="00C0407D" w:rsidRDefault="00F32695" w:rsidP="00BA54CA">
      <w:pPr>
        <w:pStyle w:val="FootnoteText"/>
        <w:rPr>
          <w:lang w:val="fr-FR"/>
        </w:rPr>
      </w:pPr>
      <w:r w:rsidRPr="003239B2">
        <w:rPr>
          <w:rStyle w:val="FootnoteReference"/>
        </w:rPr>
        <w:footnoteRef/>
      </w:r>
      <w:r w:rsidRPr="00C0407D">
        <w:rPr>
          <w:lang w:val="fr-FR"/>
        </w:rPr>
        <w:t xml:space="preserve"> UNEP/</w:t>
      </w:r>
      <w:proofErr w:type="spellStart"/>
      <w:r w:rsidRPr="00C0407D">
        <w:rPr>
          <w:lang w:val="fr-FR"/>
        </w:rPr>
        <w:t>OzL.Pro</w:t>
      </w:r>
      <w:proofErr w:type="spellEnd"/>
      <w:r w:rsidRPr="00C0407D">
        <w:rPr>
          <w:lang w:val="fr-FR"/>
        </w:rPr>
        <w:t>/</w:t>
      </w:r>
      <w:proofErr w:type="spellStart"/>
      <w:r w:rsidRPr="00C0407D">
        <w:rPr>
          <w:lang w:val="fr-FR"/>
        </w:rPr>
        <w:t>ExCom</w:t>
      </w:r>
      <w:proofErr w:type="spellEnd"/>
      <w:r w:rsidRPr="00C0407D">
        <w:rPr>
          <w:lang w:val="fr-FR"/>
        </w:rPr>
        <w:t>/82/64</w:t>
      </w:r>
    </w:p>
  </w:footnote>
  <w:footnote w:id="13">
    <w:p w14:paraId="4E93C445" w14:textId="77777777" w:rsidR="00F32695" w:rsidRPr="00C0407D" w:rsidRDefault="00F32695" w:rsidP="00BA54CA">
      <w:pPr>
        <w:pStyle w:val="FootnoteText"/>
        <w:rPr>
          <w:lang w:val="fr-FR"/>
        </w:rPr>
      </w:pPr>
      <w:r w:rsidRPr="003239B2">
        <w:rPr>
          <w:rStyle w:val="FootnoteReference"/>
        </w:rPr>
        <w:footnoteRef/>
      </w:r>
      <w:r w:rsidRPr="003239B2">
        <w:t xml:space="preserve"> </w:t>
      </w:r>
      <w:r>
        <w:t xml:space="preserve">La Secretaría es </w:t>
      </w:r>
      <w:r w:rsidRPr="00732550">
        <w:t xml:space="preserve">consciente de que los HC se utilizaron en aplicaciones de refrigeración doméstica durante más de dos décadas y que los refrigeradores domésticos </w:t>
      </w:r>
      <w:r>
        <w:t>con</w:t>
      </w:r>
      <w:r w:rsidRPr="00732550">
        <w:t xml:space="preserve"> HFC pueden haber sido adaptados con HC; aunque no es una práctica segura, la pequeña carga de refrigerante probablemente limita el riesgo asociado con tales adaptaciones</w:t>
      </w:r>
      <w:r w:rsidRPr="003239B2">
        <w:t xml:space="preserve">. </w:t>
      </w:r>
    </w:p>
  </w:footnote>
  <w:footnote w:id="14">
    <w:p w14:paraId="15DD70BF" w14:textId="77777777" w:rsidR="00F32695" w:rsidRDefault="00F32695" w:rsidP="00BA54CA">
      <w:pPr>
        <w:pStyle w:val="FootnoteText"/>
      </w:pPr>
      <w:r>
        <w:rPr>
          <w:rStyle w:val="FootnoteReference"/>
        </w:rPr>
        <w:footnoteRef/>
      </w:r>
      <w:r w:rsidRPr="00AC0DE8">
        <w:t>UNEP/</w:t>
      </w:r>
      <w:proofErr w:type="spellStart"/>
      <w:r w:rsidRPr="00AC0DE8">
        <w:t>OzL.Pro</w:t>
      </w:r>
      <w:proofErr w:type="spellEnd"/>
      <w:r w:rsidRPr="00AC0DE8">
        <w:t>/</w:t>
      </w:r>
      <w:proofErr w:type="spellStart"/>
      <w:r w:rsidRPr="00AC0DE8">
        <w:t>ExCom</w:t>
      </w:r>
      <w:proofErr w:type="spellEnd"/>
      <w:r w:rsidRPr="00AC0DE8">
        <w:t>/92/43</w:t>
      </w:r>
    </w:p>
  </w:footnote>
  <w:footnote w:id="15">
    <w:p w14:paraId="6B3B1584" w14:textId="77777777" w:rsidR="00F32695" w:rsidRPr="00C0407D" w:rsidRDefault="00F32695" w:rsidP="00BA54CA">
      <w:pPr>
        <w:pStyle w:val="FootnoteText"/>
        <w:rPr>
          <w:lang w:val="fr-FR"/>
        </w:rPr>
      </w:pPr>
      <w:r w:rsidRPr="003239B2">
        <w:rPr>
          <w:rStyle w:val="FootnoteReference"/>
        </w:rPr>
        <w:footnoteRef/>
      </w:r>
      <w:r w:rsidRPr="003239B2">
        <w:t xml:space="preserve"> Ap</w:t>
      </w:r>
      <w:r>
        <w:t xml:space="preserve">licaciones </w:t>
      </w:r>
      <w:r w:rsidRPr="00B6795E">
        <w:t xml:space="preserve">en las que </w:t>
      </w:r>
      <w:r>
        <w:t>operaban</w:t>
      </w:r>
      <w:r w:rsidRPr="00B6795E">
        <w:t xml:space="preserve"> empresas locales de instalación y montaje utilizaban principalmente HFC, tanto en refrigeración como en aire acondicionado</w:t>
      </w:r>
      <w:r w:rsidRPr="003239B2">
        <w:t>.</w:t>
      </w:r>
    </w:p>
  </w:footnote>
  <w:footnote w:id="16">
    <w:p w14:paraId="552AF2EC" w14:textId="526851EC" w:rsidR="00DC6BCB" w:rsidRPr="00DC6BCB" w:rsidRDefault="00DC6BCB">
      <w:pPr>
        <w:pStyle w:val="FootnoteText"/>
        <w:rPr>
          <w:lang w:val="fr-FR"/>
        </w:rPr>
      </w:pPr>
      <w:r>
        <w:rPr>
          <w:rStyle w:val="FootnoteReference"/>
        </w:rPr>
        <w:footnoteRef/>
      </w:r>
      <w:r>
        <w:t xml:space="preserve"> </w:t>
      </w:r>
      <w:r w:rsidRPr="00DC6BCB">
        <w:t>SSP2 es un escenario con desafíos medianos para la mitigación y la adaptación.</w:t>
      </w:r>
    </w:p>
  </w:footnote>
  <w:footnote w:id="17">
    <w:p w14:paraId="54B569C1" w14:textId="77777777" w:rsidR="00F32695" w:rsidRPr="00C0407D" w:rsidRDefault="00F32695" w:rsidP="00BA54CA">
      <w:pPr>
        <w:pStyle w:val="FootnoteText"/>
        <w:rPr>
          <w:b/>
          <w:color w:val="FF0000"/>
          <w:lang w:val="fr-FR"/>
        </w:rPr>
      </w:pPr>
      <w:r w:rsidRPr="003239B2">
        <w:rPr>
          <w:rStyle w:val="FootnoteReference"/>
        </w:rPr>
        <w:footnoteRef/>
      </w:r>
      <w:r>
        <w:t xml:space="preserve"> Este </w:t>
      </w:r>
      <w:r w:rsidRPr="00773D53">
        <w:t xml:space="preserve">acceso de 1000 millones de hogares no está incluido en </w:t>
      </w:r>
      <w:r>
        <w:t xml:space="preserve">el escenario </w:t>
      </w:r>
      <w:proofErr w:type="spellStart"/>
      <w:r w:rsidRPr="00773D53">
        <w:t>B</w:t>
      </w:r>
      <w:r>
        <w:t>a</w:t>
      </w:r>
      <w:r w:rsidRPr="00773D53">
        <w:t>U</w:t>
      </w:r>
      <w:proofErr w:type="spellEnd"/>
      <w:r w:rsidRPr="00773D53">
        <w:t xml:space="preserve"> explicad</w:t>
      </w:r>
      <w:r>
        <w:t>o</w:t>
      </w:r>
      <w:r w:rsidR="00AE688D">
        <w:t xml:space="preserve"> anteriormente.</w:t>
      </w:r>
    </w:p>
  </w:footnote>
  <w:footnote w:id="18">
    <w:p w14:paraId="4EA6F43E" w14:textId="77777777" w:rsidR="00F32695" w:rsidRPr="003239B2" w:rsidRDefault="00F32695" w:rsidP="00BA54CA">
      <w:pPr>
        <w:pStyle w:val="FootnoteText"/>
      </w:pPr>
      <w:r w:rsidRPr="003239B2">
        <w:rPr>
          <w:rStyle w:val="FootnoteReference"/>
        </w:rPr>
        <w:footnoteRef/>
      </w:r>
      <w:r>
        <w:t>El cuadro 1</w:t>
      </w:r>
      <w:r w:rsidRPr="003239B2">
        <w:t xml:space="preserve"> </w:t>
      </w:r>
      <w:r w:rsidRPr="00B879AF">
        <w:t>no incluye ninguna reducción de emisiones vinculada a la descarbonización de la red eléctrica. La descarbonización de la electricidad proporcionará más reducciones de emisiones, pero en general no se verá influida por las partes interesadas del sector de la refrigeración</w:t>
      </w:r>
      <w:r w:rsidRPr="003239B2">
        <w:t>.</w:t>
      </w:r>
    </w:p>
  </w:footnote>
  <w:footnote w:id="19">
    <w:p w14:paraId="75F4D446" w14:textId="77777777" w:rsidR="00F32695" w:rsidRPr="003239B2" w:rsidRDefault="00F32695" w:rsidP="00BA54CA">
      <w:pPr>
        <w:pStyle w:val="FootnoteText"/>
      </w:pPr>
      <w:r w:rsidRPr="003239B2">
        <w:rPr>
          <w:rStyle w:val="FootnoteReference"/>
        </w:rPr>
        <w:footnoteRef/>
      </w:r>
      <w:r>
        <w:t>En el cuadro 1</w:t>
      </w:r>
      <w:r w:rsidRPr="003239B2">
        <w:t xml:space="preserve"> </w:t>
      </w:r>
      <w:r w:rsidRPr="00B879AF">
        <w:t>cuadro 1 se presentan las estimaciones de las emisiones de GEI en 2050 y no el impacto acumulado a partir de 2024</w:t>
      </w:r>
      <w:r>
        <w:t>.</w:t>
      </w:r>
    </w:p>
  </w:footnote>
  <w:footnote w:id="20">
    <w:p w14:paraId="4C8074E5" w14:textId="77777777" w:rsidR="00F32695" w:rsidRPr="00C0407D" w:rsidRDefault="00F32695" w:rsidP="00BA54CA">
      <w:pPr>
        <w:pStyle w:val="FootnoteText"/>
        <w:rPr>
          <w:lang w:val="fr-FR"/>
        </w:rPr>
      </w:pPr>
      <w:r w:rsidRPr="003239B2">
        <w:rPr>
          <w:rStyle w:val="FootnoteReference"/>
        </w:rPr>
        <w:footnoteRef/>
      </w:r>
      <w:r w:rsidRPr="003239B2">
        <w:t xml:space="preserve"> </w:t>
      </w:r>
      <w:r>
        <w:t xml:space="preserve">Se estima </w:t>
      </w:r>
      <w:r w:rsidRPr="00B879AF">
        <w:t xml:space="preserve">un escenario </w:t>
      </w:r>
      <w:r>
        <w:t xml:space="preserve">tendencial o </w:t>
      </w:r>
      <w:proofErr w:type="spellStart"/>
      <w:r>
        <w:t>BaU</w:t>
      </w:r>
      <w:proofErr w:type="spellEnd"/>
      <w:r>
        <w:t xml:space="preserve"> </w:t>
      </w:r>
      <w:r w:rsidRPr="00B879AF">
        <w:t xml:space="preserve">de </w:t>
      </w:r>
      <w:r>
        <w:t>aumento de la</w:t>
      </w:r>
      <w:r w:rsidRPr="00B879AF">
        <w:t xml:space="preserve"> eficiencia energética basado en l</w:t>
      </w:r>
      <w:r>
        <w:t>os aumentos</w:t>
      </w:r>
      <w:r w:rsidRPr="00B879AF">
        <w:t xml:space="preserve"> de eficiencia energética esperad</w:t>
      </w:r>
      <w:r>
        <w:t>o</w:t>
      </w:r>
      <w:r w:rsidRPr="00B879AF">
        <w:t xml:space="preserve">s que se lograrían en el escenario </w:t>
      </w:r>
      <w:proofErr w:type="spellStart"/>
      <w:r w:rsidRPr="00B879AF">
        <w:t>B</w:t>
      </w:r>
      <w:r>
        <w:t>a</w:t>
      </w:r>
      <w:r w:rsidRPr="00B879AF">
        <w:t>U</w:t>
      </w:r>
      <w:proofErr w:type="spellEnd"/>
      <w:r w:rsidRPr="00B879AF">
        <w:t xml:space="preserve"> para diferentes aplicaciones durante el periodo 2024-2040 </w:t>
      </w:r>
      <w:r w:rsidRPr="00AE688D">
        <w:t xml:space="preserve">con la suposición de que los fabricantes de equipos introducirán lentamente mejoras de eficiencia energética incluso sin medidas políticas adicionales, pero que este </w:t>
      </w:r>
      <w:r w:rsidR="00AE688D" w:rsidRPr="00AE688D">
        <w:t>í</w:t>
      </w:r>
      <w:r w:rsidRPr="00AE688D">
        <w:t>ndice de mejora de la eficiencia es mucho más lento de lo que es técnicamente factible/viable con medidas políticas más fuertes.</w:t>
      </w:r>
    </w:p>
  </w:footnote>
  <w:footnote w:id="21">
    <w:p w14:paraId="77114B95" w14:textId="77777777" w:rsidR="00F32695" w:rsidRPr="00AE688D" w:rsidRDefault="00F32695" w:rsidP="00BA54CA">
      <w:pPr>
        <w:pStyle w:val="FootnoteText"/>
      </w:pPr>
      <w:r w:rsidRPr="00AE688D">
        <w:rPr>
          <w:rStyle w:val="FootnoteReference"/>
        </w:rPr>
        <w:footnoteRef/>
      </w:r>
      <w:r w:rsidRPr="00AE688D">
        <w:t xml:space="preserve"> Medidas de </w:t>
      </w:r>
      <w:proofErr w:type="spellStart"/>
      <w:r w:rsidRPr="00AE688D">
        <w:t>de</w:t>
      </w:r>
      <w:proofErr w:type="spellEnd"/>
      <w:r w:rsidRPr="00AE688D">
        <w:t xml:space="preserve"> refrigeración pasiva que darían lugar a una reducción de la carga de alrededor del 25 % en 2050.</w:t>
      </w:r>
    </w:p>
  </w:footnote>
  <w:footnote w:id="22">
    <w:p w14:paraId="6D8D7D86" w14:textId="77777777" w:rsidR="00F32695" w:rsidRPr="00AE688D" w:rsidRDefault="00F32695" w:rsidP="00BA54CA">
      <w:pPr>
        <w:pStyle w:val="FootnoteText"/>
      </w:pPr>
      <w:r w:rsidRPr="00AE688D">
        <w:rPr>
          <w:rStyle w:val="FootnoteReference"/>
        </w:rPr>
        <w:footnoteRef/>
      </w:r>
      <w:r w:rsidRPr="00AE688D">
        <w:t xml:space="preserve"> Un mejor escenario de aumento de la eficiencia energética se refiere a la rápida introducción de tecnologías eficientes desde el punto de vista energético, con la hipótesis de una rápida adopción de los equipos de alta eficiencia disponibles en la actualidad y mejoras continuas de la eficiencia basadas en nuevos avances técnicos.</w:t>
      </w:r>
    </w:p>
  </w:footnote>
  <w:footnote w:id="23">
    <w:p w14:paraId="68157B2F" w14:textId="77777777" w:rsidR="00F32695" w:rsidRPr="003239B2" w:rsidRDefault="00F32695" w:rsidP="00BA54CA">
      <w:pPr>
        <w:pStyle w:val="FootnoteText"/>
      </w:pPr>
      <w:r w:rsidRPr="00AE688D">
        <w:rPr>
          <w:rStyle w:val="FootnoteReference"/>
        </w:rPr>
        <w:footnoteRef/>
      </w:r>
      <w:r w:rsidRPr="00AE688D">
        <w:t xml:space="preserve"> En el escenario de reducción rápida de los HFC, se evita el uso de los HFC de muy alto PCA tan pronto como sea posible (</w:t>
      </w:r>
      <w:proofErr w:type="spellStart"/>
      <w:r w:rsidRPr="00AA12ED">
        <w:rPr>
          <w:i/>
        </w:rPr>
        <w:t>leapfrogging</w:t>
      </w:r>
      <w:proofErr w:type="spellEnd"/>
      <w:r w:rsidRPr="00AE688D">
        <w:t>). Cuando ya se dispone ampliamente de una opción de muy bajo PCA (como los HC para equipos pequeños y sellados y el HFO-1234yf para el aire acondicionado de los coches), estas opciones se crean como modelo. Cuando la</w:t>
      </w:r>
      <w:r w:rsidRPr="00453942">
        <w:t xml:space="preserve"> elección tecnológica a largo plazo es menos clara (como el aire acondicionado dividido), se introducen opciones de «PCA</w:t>
      </w:r>
      <w:r>
        <w:t xml:space="preserve"> más bajo</w:t>
      </w:r>
      <w:r w:rsidRPr="00453942">
        <w:t>», con una transición a alternativas de bajo PCA durante la década de 2030</w:t>
      </w:r>
      <w:r w:rsidRPr="003239B2">
        <w:t xml:space="preserve">.  </w:t>
      </w:r>
    </w:p>
  </w:footnote>
  <w:footnote w:id="24">
    <w:p w14:paraId="1B239D82" w14:textId="77777777" w:rsidR="00F32695" w:rsidRPr="003239B2" w:rsidRDefault="00F32695" w:rsidP="00BA54CA">
      <w:pPr>
        <w:pStyle w:val="FootnoteText"/>
      </w:pPr>
      <w:r w:rsidRPr="003239B2">
        <w:rPr>
          <w:rStyle w:val="FootnoteReference"/>
        </w:rPr>
        <w:footnoteRef/>
      </w:r>
      <w:r w:rsidRPr="003239B2">
        <w:t xml:space="preserve"> </w:t>
      </w:r>
      <w:r>
        <w:t xml:space="preserve">La </w:t>
      </w:r>
      <w:r w:rsidRPr="002F5742">
        <w:t>refrigeración de espacios residenciales se refiere a los acondicionadores de aire residenciales; la cadena de frío residencial se refiere a la refrigeración doméstica; la refrigeración de espacios no residenciales se refiere al aire acondicionado comercial e industrial; la cadena de frío no residencial se refiere a la refrigeración comercial e industrial; la refrigeración de espacios de transporte se refiere al aire acondicionado de transporte, incluido el aire acondicionado móvil; y la cadena de frío de transporte se refiere a la refrigeración de transporte</w:t>
      </w:r>
      <w:r w:rsidRPr="003239B2">
        <w:t>.</w:t>
      </w:r>
    </w:p>
  </w:footnote>
  <w:footnote w:id="25">
    <w:p w14:paraId="405E3920" w14:textId="77777777" w:rsidR="00F32695" w:rsidRPr="00C0407D" w:rsidRDefault="00F32695" w:rsidP="00BA54CA">
      <w:pPr>
        <w:pStyle w:val="FootnoteText"/>
        <w:rPr>
          <w:lang w:val="fr-FR"/>
        </w:rPr>
      </w:pPr>
      <w:r w:rsidRPr="003239B2">
        <w:rPr>
          <w:rStyle w:val="FootnoteReference"/>
        </w:rPr>
        <w:footnoteRef/>
      </w:r>
      <w:r w:rsidRPr="003239B2">
        <w:t xml:space="preserve"> D</w:t>
      </w:r>
      <w:r>
        <w:t xml:space="preserve">ebido </w:t>
      </w:r>
      <w:r w:rsidRPr="002F5742">
        <w:t>a la naturaleza compleja de la evaluación de la demanda máxima de energía, se utiliza un «factor de demanda máxima» para realizar estimaciones de la demanda máxima de energía; el factor podría variar en función de las condiciones locales</w:t>
      </w:r>
      <w:r w:rsidRPr="003239B2">
        <w:t>.</w:t>
      </w:r>
    </w:p>
  </w:footnote>
  <w:footnote w:id="26">
    <w:p w14:paraId="79C2639A" w14:textId="77777777" w:rsidR="00F32695" w:rsidRPr="00C0407D" w:rsidRDefault="00F32695" w:rsidP="00BA54CA">
      <w:pPr>
        <w:pStyle w:val="FootnoteText"/>
        <w:rPr>
          <w:lang w:val="fr-FR"/>
        </w:rPr>
      </w:pPr>
      <w:r w:rsidRPr="003239B2">
        <w:rPr>
          <w:rStyle w:val="FootnoteReference"/>
        </w:rPr>
        <w:footnoteRef/>
      </w:r>
      <w:r w:rsidRPr="003239B2">
        <w:t xml:space="preserve"> </w:t>
      </w:r>
      <w:r w:rsidR="005A4B26">
        <w:t xml:space="preserve">Los </w:t>
      </w:r>
      <w:r w:rsidR="005A4B26" w:rsidRPr="005A4B26">
        <w:t xml:space="preserve">procesos de recopilación de datos </w:t>
      </w:r>
      <w:r w:rsidR="005A4B26">
        <w:t>estarían impulsados por lo</w:t>
      </w:r>
      <w:r w:rsidR="005A4B26" w:rsidRPr="005A4B26">
        <w:t>s principales objetivos de la recopilación</w:t>
      </w:r>
      <w:r w:rsidR="005A4B26">
        <w:t xml:space="preserve">. En el </w:t>
      </w:r>
      <w:r w:rsidR="005A4B26" w:rsidRPr="005A4B26">
        <w:t>caso de las interven</w:t>
      </w:r>
      <w:r w:rsidR="00C03471">
        <w:t>ciones que vayan más allá de la ejecuci</w:t>
      </w:r>
      <w:r w:rsidR="005A4B26" w:rsidRPr="005A4B26">
        <w:t>ón de</w:t>
      </w:r>
      <w:r w:rsidR="00C03471">
        <w:t xml:space="preserve"> los planes de aplicación de la Enmienda de Kigali</w:t>
      </w:r>
      <w:r w:rsidR="005A4B26" w:rsidRPr="005A4B26">
        <w:t>, es posible que la recopilación de datos (por ejemplo, cómo se utilizan las tecnologías de refrigeración en las explotaciones agrícolas y en las operaciones posteriores a la cosecha antes de la transformación, los problemas que se plantean en el contexto del acceso a la refrigeración, la necesidad de intervenciones para modificar el comportamiento de los consumidores) deba ser llevada a cabo por otras partes interesadas con aportaciones de la D</w:t>
      </w:r>
      <w:r w:rsidR="00C03471">
        <w:t>NO</w:t>
      </w:r>
      <w:r w:rsidRPr="003239B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D290F" w14:textId="4D78E78B" w:rsidR="00C0407D" w:rsidRPr="00642AEE" w:rsidRDefault="00C0407D" w:rsidP="00C0407D">
    <w:r>
      <w:fldChar w:fldCharType="begin"/>
    </w:r>
    <w:r>
      <w:instrText xml:space="preserve"> DOCPROPERTY "Document number"  \* MERGEFORMAT </w:instrText>
    </w:r>
    <w:r>
      <w:fldChar w:fldCharType="separate"/>
    </w:r>
    <w:r w:rsidR="00B444F7">
      <w:t>UNEP/</w:t>
    </w:r>
    <w:proofErr w:type="spellStart"/>
    <w:r w:rsidR="00B444F7">
      <w:t>OzL.Pro</w:t>
    </w:r>
    <w:proofErr w:type="spellEnd"/>
    <w:r w:rsidR="00B444F7">
      <w:t>/</w:t>
    </w:r>
    <w:proofErr w:type="spellStart"/>
    <w:r w:rsidR="00B444F7">
      <w:t>ExCom</w:t>
    </w:r>
    <w:proofErr w:type="spellEnd"/>
    <w:r w:rsidR="00B444F7">
      <w:t>/94/63</w:t>
    </w:r>
    <w:r>
      <w:fldChar w:fldCharType="end"/>
    </w:r>
  </w:p>
  <w:p w14:paraId="4DDE40E6" w14:textId="77777777" w:rsidR="00F32695" w:rsidRPr="0033525D" w:rsidRDefault="00F32695"/>
  <w:p w14:paraId="626C9E5B" w14:textId="77777777" w:rsidR="00F32695" w:rsidRPr="0033525D" w:rsidRDefault="00F326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1F6F4" w14:textId="63F8DD0D" w:rsidR="00C0407D" w:rsidRPr="00642AEE" w:rsidRDefault="00C0407D" w:rsidP="00C0407D">
    <w:pPr>
      <w:jc w:val="right"/>
    </w:pPr>
    <w:r>
      <w:fldChar w:fldCharType="begin"/>
    </w:r>
    <w:r>
      <w:instrText xml:space="preserve"> DOCPROPERTY "Document number"  \* MERGEFORMAT </w:instrText>
    </w:r>
    <w:r>
      <w:fldChar w:fldCharType="separate"/>
    </w:r>
    <w:r w:rsidR="00B444F7">
      <w:t>UNEP/</w:t>
    </w:r>
    <w:proofErr w:type="spellStart"/>
    <w:r w:rsidR="00B444F7">
      <w:t>OzL.Pro</w:t>
    </w:r>
    <w:proofErr w:type="spellEnd"/>
    <w:r w:rsidR="00B444F7">
      <w:t>/</w:t>
    </w:r>
    <w:proofErr w:type="spellStart"/>
    <w:r w:rsidR="00B444F7">
      <w:t>ExCom</w:t>
    </w:r>
    <w:proofErr w:type="spellEnd"/>
    <w:r w:rsidR="00B444F7">
      <w:t>/94/63</w:t>
    </w:r>
    <w:r>
      <w:fldChar w:fldCharType="end"/>
    </w:r>
  </w:p>
  <w:p w14:paraId="60B42DCD" w14:textId="77777777" w:rsidR="00F32695" w:rsidRPr="0033525D" w:rsidRDefault="00F32695"/>
  <w:p w14:paraId="7B4DEFBB" w14:textId="77777777" w:rsidR="00F32695" w:rsidRPr="0033525D" w:rsidRDefault="00F32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8C9534E"/>
    <w:multiLevelType w:val="hybridMultilevel"/>
    <w:tmpl w:val="792C12A0"/>
    <w:lvl w:ilvl="0" w:tplc="5F7C9170">
      <w:start w:val="1"/>
      <w:numFmt w:val="lowerLetter"/>
      <w:lvlText w:val="(%1)"/>
      <w:lvlJc w:val="left"/>
      <w:pPr>
        <w:ind w:left="1077" w:hanging="360"/>
      </w:pPr>
      <w:rPr>
        <w:rFonts w:hint="default"/>
      </w:rPr>
    </w:lvl>
    <w:lvl w:ilvl="1" w:tplc="FFFFFFFF">
      <w:start w:val="1"/>
      <w:numFmt w:val="bullet"/>
      <w:lvlText w:val="o"/>
      <w:lvlJc w:val="left"/>
      <w:pPr>
        <w:ind w:left="1797" w:hanging="360"/>
      </w:pPr>
      <w:rPr>
        <w:rFonts w:ascii="Courier New" w:hAnsi="Courier New" w:cs="Courier New" w:hint="default"/>
      </w:rPr>
    </w:lvl>
    <w:lvl w:ilvl="2" w:tplc="FFFFFFFF">
      <w:start w:val="1"/>
      <w:numFmt w:val="bullet"/>
      <w:lvlText w:val=""/>
      <w:lvlJc w:val="left"/>
      <w:pPr>
        <w:ind w:left="2517" w:hanging="360"/>
      </w:pPr>
      <w:rPr>
        <w:rFonts w:ascii="Wingdings" w:hAnsi="Wingdings" w:hint="default"/>
      </w:rPr>
    </w:lvl>
    <w:lvl w:ilvl="3" w:tplc="FFFFFFFF">
      <w:start w:val="1"/>
      <w:numFmt w:val="bullet"/>
      <w:lvlText w:val=""/>
      <w:lvlJc w:val="left"/>
      <w:pPr>
        <w:ind w:left="3237" w:hanging="360"/>
      </w:pPr>
      <w:rPr>
        <w:rFonts w:ascii="Symbol" w:hAnsi="Symbol" w:hint="default"/>
      </w:rPr>
    </w:lvl>
    <w:lvl w:ilvl="4" w:tplc="FFFFFFFF">
      <w:start w:val="1"/>
      <w:numFmt w:val="bullet"/>
      <w:lvlText w:val="o"/>
      <w:lvlJc w:val="left"/>
      <w:pPr>
        <w:ind w:left="3957" w:hanging="360"/>
      </w:pPr>
      <w:rPr>
        <w:rFonts w:ascii="Courier New" w:hAnsi="Courier New" w:cs="Courier New" w:hint="default"/>
      </w:rPr>
    </w:lvl>
    <w:lvl w:ilvl="5" w:tplc="FFFFFFFF">
      <w:start w:val="1"/>
      <w:numFmt w:val="bullet"/>
      <w:lvlText w:val=""/>
      <w:lvlJc w:val="left"/>
      <w:pPr>
        <w:ind w:left="4677" w:hanging="360"/>
      </w:pPr>
      <w:rPr>
        <w:rFonts w:ascii="Wingdings" w:hAnsi="Wingdings" w:hint="default"/>
      </w:rPr>
    </w:lvl>
    <w:lvl w:ilvl="6" w:tplc="FFFFFFFF">
      <w:start w:val="1"/>
      <w:numFmt w:val="bullet"/>
      <w:lvlText w:val=""/>
      <w:lvlJc w:val="left"/>
      <w:pPr>
        <w:ind w:left="5397" w:hanging="360"/>
      </w:pPr>
      <w:rPr>
        <w:rFonts w:ascii="Symbol" w:hAnsi="Symbol" w:hint="default"/>
      </w:rPr>
    </w:lvl>
    <w:lvl w:ilvl="7" w:tplc="FFFFFFFF">
      <w:start w:val="1"/>
      <w:numFmt w:val="bullet"/>
      <w:lvlText w:val="o"/>
      <w:lvlJc w:val="left"/>
      <w:pPr>
        <w:ind w:left="6117" w:hanging="360"/>
      </w:pPr>
      <w:rPr>
        <w:rFonts w:ascii="Courier New" w:hAnsi="Courier New" w:cs="Courier New" w:hint="default"/>
      </w:rPr>
    </w:lvl>
    <w:lvl w:ilvl="8" w:tplc="FFFFFFFF">
      <w:start w:val="1"/>
      <w:numFmt w:val="bullet"/>
      <w:lvlText w:val=""/>
      <w:lvlJc w:val="left"/>
      <w:pPr>
        <w:ind w:left="6837"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26751629">
    <w:abstractNumId w:val="10"/>
  </w:num>
  <w:num w:numId="2" w16cid:durableId="633365825">
    <w:abstractNumId w:val="10"/>
  </w:num>
  <w:num w:numId="3" w16cid:durableId="1019813686">
    <w:abstractNumId w:val="10"/>
  </w:num>
  <w:num w:numId="4" w16cid:durableId="489640479">
    <w:abstractNumId w:val="10"/>
  </w:num>
  <w:num w:numId="5" w16cid:durableId="1445807189">
    <w:abstractNumId w:val="10"/>
  </w:num>
  <w:num w:numId="6" w16cid:durableId="548610087">
    <w:abstractNumId w:val="9"/>
  </w:num>
  <w:num w:numId="7" w16cid:durableId="890188500">
    <w:abstractNumId w:val="7"/>
  </w:num>
  <w:num w:numId="8" w16cid:durableId="1152331156">
    <w:abstractNumId w:val="6"/>
  </w:num>
  <w:num w:numId="9" w16cid:durableId="2117947589">
    <w:abstractNumId w:val="5"/>
  </w:num>
  <w:num w:numId="10" w16cid:durableId="921179805">
    <w:abstractNumId w:val="4"/>
  </w:num>
  <w:num w:numId="11" w16cid:durableId="1718312947">
    <w:abstractNumId w:val="8"/>
  </w:num>
  <w:num w:numId="12" w16cid:durableId="565653196">
    <w:abstractNumId w:val="3"/>
  </w:num>
  <w:num w:numId="13" w16cid:durableId="978221050">
    <w:abstractNumId w:val="2"/>
  </w:num>
  <w:num w:numId="14" w16cid:durableId="697437712">
    <w:abstractNumId w:val="1"/>
  </w:num>
  <w:num w:numId="15" w16cid:durableId="1144737172">
    <w:abstractNumId w:val="0"/>
  </w:num>
  <w:num w:numId="16" w16cid:durableId="1207793387">
    <w:abstractNumId w:val="12"/>
  </w:num>
  <w:num w:numId="17" w16cid:durableId="1388185578">
    <w:abstractNumId w:val="14"/>
  </w:num>
  <w:num w:numId="18" w16cid:durableId="893352717">
    <w:abstractNumId w:val="15"/>
  </w:num>
  <w:num w:numId="19" w16cid:durableId="1716470232">
    <w:abstractNumId w:val="16"/>
  </w:num>
  <w:num w:numId="20" w16cid:durableId="1727561004">
    <w:abstractNumId w:val="13"/>
  </w:num>
  <w:num w:numId="21" w16cid:durableId="825970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767810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E0624"/>
    <w:rsid w:val="00000FED"/>
    <w:rsid w:val="0000434E"/>
    <w:rsid w:val="0001635A"/>
    <w:rsid w:val="000211A9"/>
    <w:rsid w:val="00021238"/>
    <w:rsid w:val="00022071"/>
    <w:rsid w:val="00030409"/>
    <w:rsid w:val="00031260"/>
    <w:rsid w:val="0003681A"/>
    <w:rsid w:val="000372B7"/>
    <w:rsid w:val="00042CFA"/>
    <w:rsid w:val="00043FCC"/>
    <w:rsid w:val="00050F6E"/>
    <w:rsid w:val="00061EC2"/>
    <w:rsid w:val="00066CE8"/>
    <w:rsid w:val="000703C8"/>
    <w:rsid w:val="00076128"/>
    <w:rsid w:val="00080ED0"/>
    <w:rsid w:val="00082C8A"/>
    <w:rsid w:val="000849AF"/>
    <w:rsid w:val="00085B8F"/>
    <w:rsid w:val="00090481"/>
    <w:rsid w:val="000949CF"/>
    <w:rsid w:val="000A3826"/>
    <w:rsid w:val="000A6C26"/>
    <w:rsid w:val="000A6D16"/>
    <w:rsid w:val="000B1904"/>
    <w:rsid w:val="000B36C8"/>
    <w:rsid w:val="000D3638"/>
    <w:rsid w:val="000D4AC6"/>
    <w:rsid w:val="000D52A4"/>
    <w:rsid w:val="000E07BC"/>
    <w:rsid w:val="000E2E21"/>
    <w:rsid w:val="000E73F5"/>
    <w:rsid w:val="000F1A1D"/>
    <w:rsid w:val="000F1CD4"/>
    <w:rsid w:val="000F4103"/>
    <w:rsid w:val="000F65DD"/>
    <w:rsid w:val="000F70A7"/>
    <w:rsid w:val="00113CCA"/>
    <w:rsid w:val="00122F25"/>
    <w:rsid w:val="00124237"/>
    <w:rsid w:val="00133F9A"/>
    <w:rsid w:val="00135980"/>
    <w:rsid w:val="00137085"/>
    <w:rsid w:val="0013786F"/>
    <w:rsid w:val="001535B4"/>
    <w:rsid w:val="00164719"/>
    <w:rsid w:val="00166FC4"/>
    <w:rsid w:val="001677AC"/>
    <w:rsid w:val="001804EA"/>
    <w:rsid w:val="00181528"/>
    <w:rsid w:val="0018228B"/>
    <w:rsid w:val="00190A61"/>
    <w:rsid w:val="00197179"/>
    <w:rsid w:val="001A1566"/>
    <w:rsid w:val="001A2215"/>
    <w:rsid w:val="001A3342"/>
    <w:rsid w:val="001A3DB2"/>
    <w:rsid w:val="001A3E3D"/>
    <w:rsid w:val="001A7049"/>
    <w:rsid w:val="001B121F"/>
    <w:rsid w:val="001B1E40"/>
    <w:rsid w:val="001B3EB5"/>
    <w:rsid w:val="001C6781"/>
    <w:rsid w:val="001C764E"/>
    <w:rsid w:val="001E1052"/>
    <w:rsid w:val="001E21B1"/>
    <w:rsid w:val="001E2F93"/>
    <w:rsid w:val="001E33D1"/>
    <w:rsid w:val="001E4554"/>
    <w:rsid w:val="001E61E5"/>
    <w:rsid w:val="001F2159"/>
    <w:rsid w:val="001F53FD"/>
    <w:rsid w:val="002034CD"/>
    <w:rsid w:val="00210B8B"/>
    <w:rsid w:val="00212B71"/>
    <w:rsid w:val="00214863"/>
    <w:rsid w:val="00214C5A"/>
    <w:rsid w:val="002156B4"/>
    <w:rsid w:val="00223603"/>
    <w:rsid w:val="002242C1"/>
    <w:rsid w:val="00224FCD"/>
    <w:rsid w:val="00225CC7"/>
    <w:rsid w:val="00242BA3"/>
    <w:rsid w:val="00253222"/>
    <w:rsid w:val="00261C13"/>
    <w:rsid w:val="00262847"/>
    <w:rsid w:val="002676AA"/>
    <w:rsid w:val="00281BB2"/>
    <w:rsid w:val="00290E3B"/>
    <w:rsid w:val="002A03C3"/>
    <w:rsid w:val="002B254E"/>
    <w:rsid w:val="002B4CE8"/>
    <w:rsid w:val="002B72E9"/>
    <w:rsid w:val="002C7998"/>
    <w:rsid w:val="002E0624"/>
    <w:rsid w:val="002F1E53"/>
    <w:rsid w:val="002F2CAA"/>
    <w:rsid w:val="002F5742"/>
    <w:rsid w:val="0030052C"/>
    <w:rsid w:val="00306C1E"/>
    <w:rsid w:val="003306E1"/>
    <w:rsid w:val="003320E4"/>
    <w:rsid w:val="0033525D"/>
    <w:rsid w:val="003414F3"/>
    <w:rsid w:val="00353BFC"/>
    <w:rsid w:val="0035613E"/>
    <w:rsid w:val="00363EE9"/>
    <w:rsid w:val="003657E4"/>
    <w:rsid w:val="00376128"/>
    <w:rsid w:val="0037742E"/>
    <w:rsid w:val="00377D56"/>
    <w:rsid w:val="00381D0F"/>
    <w:rsid w:val="0038245A"/>
    <w:rsid w:val="00383EFA"/>
    <w:rsid w:val="003840E6"/>
    <w:rsid w:val="00385CFC"/>
    <w:rsid w:val="00386A2A"/>
    <w:rsid w:val="0039337A"/>
    <w:rsid w:val="003A3189"/>
    <w:rsid w:val="003A3CA7"/>
    <w:rsid w:val="003B33BD"/>
    <w:rsid w:val="003B569D"/>
    <w:rsid w:val="003C3C0E"/>
    <w:rsid w:val="003C4E26"/>
    <w:rsid w:val="003D42A6"/>
    <w:rsid w:val="003D4F21"/>
    <w:rsid w:val="003D4FAC"/>
    <w:rsid w:val="003E1885"/>
    <w:rsid w:val="003E54D8"/>
    <w:rsid w:val="003E7906"/>
    <w:rsid w:val="003F000F"/>
    <w:rsid w:val="003F3C50"/>
    <w:rsid w:val="004035EC"/>
    <w:rsid w:val="00406202"/>
    <w:rsid w:val="00406A6A"/>
    <w:rsid w:val="00406B22"/>
    <w:rsid w:val="00407147"/>
    <w:rsid w:val="004073B3"/>
    <w:rsid w:val="004078FA"/>
    <w:rsid w:val="00431E08"/>
    <w:rsid w:val="004328A7"/>
    <w:rsid w:val="00434C74"/>
    <w:rsid w:val="00453942"/>
    <w:rsid w:val="00456EB4"/>
    <w:rsid w:val="00457827"/>
    <w:rsid w:val="00461D84"/>
    <w:rsid w:val="004718F3"/>
    <w:rsid w:val="00475040"/>
    <w:rsid w:val="004835E3"/>
    <w:rsid w:val="00490C06"/>
    <w:rsid w:val="00493D40"/>
    <w:rsid w:val="00493EE3"/>
    <w:rsid w:val="004967B6"/>
    <w:rsid w:val="004A242A"/>
    <w:rsid w:val="004A504B"/>
    <w:rsid w:val="004A6911"/>
    <w:rsid w:val="004B3652"/>
    <w:rsid w:val="004B54E0"/>
    <w:rsid w:val="004B7384"/>
    <w:rsid w:val="004C4269"/>
    <w:rsid w:val="004D2106"/>
    <w:rsid w:val="004D6236"/>
    <w:rsid w:val="004D7F90"/>
    <w:rsid w:val="004E4DBB"/>
    <w:rsid w:val="004E4E41"/>
    <w:rsid w:val="004E5E33"/>
    <w:rsid w:val="004E73DB"/>
    <w:rsid w:val="004E7F9C"/>
    <w:rsid w:val="004F0C60"/>
    <w:rsid w:val="004F3493"/>
    <w:rsid w:val="004F4AFC"/>
    <w:rsid w:val="004F5143"/>
    <w:rsid w:val="0050533D"/>
    <w:rsid w:val="005062B1"/>
    <w:rsid w:val="00512B09"/>
    <w:rsid w:val="005208EF"/>
    <w:rsid w:val="005220ED"/>
    <w:rsid w:val="00533796"/>
    <w:rsid w:val="00535EB1"/>
    <w:rsid w:val="00537343"/>
    <w:rsid w:val="005516F3"/>
    <w:rsid w:val="00555D75"/>
    <w:rsid w:val="00560DF0"/>
    <w:rsid w:val="00561B14"/>
    <w:rsid w:val="0056759C"/>
    <w:rsid w:val="0057751C"/>
    <w:rsid w:val="005924F8"/>
    <w:rsid w:val="0059513E"/>
    <w:rsid w:val="005A4B26"/>
    <w:rsid w:val="005A6AA4"/>
    <w:rsid w:val="005A6D9F"/>
    <w:rsid w:val="005A7F9B"/>
    <w:rsid w:val="005B48FF"/>
    <w:rsid w:val="005C1E32"/>
    <w:rsid w:val="005C31F0"/>
    <w:rsid w:val="005C670D"/>
    <w:rsid w:val="005D363F"/>
    <w:rsid w:val="005E57F9"/>
    <w:rsid w:val="005E6F6E"/>
    <w:rsid w:val="00604C15"/>
    <w:rsid w:val="00611B2F"/>
    <w:rsid w:val="006158D5"/>
    <w:rsid w:val="00625D83"/>
    <w:rsid w:val="00642AEE"/>
    <w:rsid w:val="00646DEF"/>
    <w:rsid w:val="00651984"/>
    <w:rsid w:val="006623E7"/>
    <w:rsid w:val="00662B80"/>
    <w:rsid w:val="0066768F"/>
    <w:rsid w:val="00670F6C"/>
    <w:rsid w:val="00671E82"/>
    <w:rsid w:val="00672534"/>
    <w:rsid w:val="00676D14"/>
    <w:rsid w:val="00676E07"/>
    <w:rsid w:val="00676E58"/>
    <w:rsid w:val="006829D1"/>
    <w:rsid w:val="006852C7"/>
    <w:rsid w:val="006852CE"/>
    <w:rsid w:val="00692D14"/>
    <w:rsid w:val="006A7A3B"/>
    <w:rsid w:val="006B21B2"/>
    <w:rsid w:val="006B2974"/>
    <w:rsid w:val="006B65C7"/>
    <w:rsid w:val="006C1727"/>
    <w:rsid w:val="006C32FD"/>
    <w:rsid w:val="006C39CE"/>
    <w:rsid w:val="006D0FCC"/>
    <w:rsid w:val="006D21F5"/>
    <w:rsid w:val="006D3089"/>
    <w:rsid w:val="006D5E79"/>
    <w:rsid w:val="006E126D"/>
    <w:rsid w:val="006E1FC3"/>
    <w:rsid w:val="006E5EB3"/>
    <w:rsid w:val="007011DD"/>
    <w:rsid w:val="00704CE9"/>
    <w:rsid w:val="0070616B"/>
    <w:rsid w:val="00706295"/>
    <w:rsid w:val="00706FDA"/>
    <w:rsid w:val="00711F9A"/>
    <w:rsid w:val="00713810"/>
    <w:rsid w:val="00717772"/>
    <w:rsid w:val="007303A5"/>
    <w:rsid w:val="00730B3E"/>
    <w:rsid w:val="00732550"/>
    <w:rsid w:val="0073420B"/>
    <w:rsid w:val="00736367"/>
    <w:rsid w:val="00736EB3"/>
    <w:rsid w:val="00746927"/>
    <w:rsid w:val="00747534"/>
    <w:rsid w:val="0074760E"/>
    <w:rsid w:val="00754ABA"/>
    <w:rsid w:val="00773D53"/>
    <w:rsid w:val="00775B22"/>
    <w:rsid w:val="007801AA"/>
    <w:rsid w:val="00782B0D"/>
    <w:rsid w:val="00793715"/>
    <w:rsid w:val="0079781A"/>
    <w:rsid w:val="007A1546"/>
    <w:rsid w:val="007A228C"/>
    <w:rsid w:val="007A368E"/>
    <w:rsid w:val="007A5868"/>
    <w:rsid w:val="007B04CE"/>
    <w:rsid w:val="007B24A1"/>
    <w:rsid w:val="007B3062"/>
    <w:rsid w:val="007B6871"/>
    <w:rsid w:val="007B7A2F"/>
    <w:rsid w:val="007C32EE"/>
    <w:rsid w:val="007C3D33"/>
    <w:rsid w:val="007C55FB"/>
    <w:rsid w:val="007D294A"/>
    <w:rsid w:val="007D47D2"/>
    <w:rsid w:val="007D6EC0"/>
    <w:rsid w:val="007D7E1D"/>
    <w:rsid w:val="007E503C"/>
    <w:rsid w:val="007E7F6F"/>
    <w:rsid w:val="0080345C"/>
    <w:rsid w:val="00812360"/>
    <w:rsid w:val="00813F24"/>
    <w:rsid w:val="00821C59"/>
    <w:rsid w:val="0082212A"/>
    <w:rsid w:val="0082522F"/>
    <w:rsid w:val="008275DE"/>
    <w:rsid w:val="00831979"/>
    <w:rsid w:val="00842E07"/>
    <w:rsid w:val="0084385B"/>
    <w:rsid w:val="00851352"/>
    <w:rsid w:val="00857077"/>
    <w:rsid w:val="00863230"/>
    <w:rsid w:val="0086454B"/>
    <w:rsid w:val="00865BD0"/>
    <w:rsid w:val="00870C5E"/>
    <w:rsid w:val="008717D8"/>
    <w:rsid w:val="0087215C"/>
    <w:rsid w:val="00875D25"/>
    <w:rsid w:val="0088058E"/>
    <w:rsid w:val="00880E35"/>
    <w:rsid w:val="00884A29"/>
    <w:rsid w:val="008875FE"/>
    <w:rsid w:val="00887F8E"/>
    <w:rsid w:val="00896234"/>
    <w:rsid w:val="00897E43"/>
    <w:rsid w:val="008A3FCC"/>
    <w:rsid w:val="008A4B3E"/>
    <w:rsid w:val="008B3ECA"/>
    <w:rsid w:val="008C222B"/>
    <w:rsid w:val="008C5738"/>
    <w:rsid w:val="008C7EAD"/>
    <w:rsid w:val="008D0CFE"/>
    <w:rsid w:val="008D3E3D"/>
    <w:rsid w:val="008D6152"/>
    <w:rsid w:val="008E7BA9"/>
    <w:rsid w:val="008F0F81"/>
    <w:rsid w:val="008F25F9"/>
    <w:rsid w:val="008F27BF"/>
    <w:rsid w:val="008F2E64"/>
    <w:rsid w:val="00911C0D"/>
    <w:rsid w:val="00913D71"/>
    <w:rsid w:val="009142EC"/>
    <w:rsid w:val="009145E4"/>
    <w:rsid w:val="009154C3"/>
    <w:rsid w:val="00916BB2"/>
    <w:rsid w:val="00916E0C"/>
    <w:rsid w:val="00923540"/>
    <w:rsid w:val="00926767"/>
    <w:rsid w:val="00935097"/>
    <w:rsid w:val="009361D5"/>
    <w:rsid w:val="009428A4"/>
    <w:rsid w:val="00942D30"/>
    <w:rsid w:val="00944106"/>
    <w:rsid w:val="009575A5"/>
    <w:rsid w:val="009659F4"/>
    <w:rsid w:val="00970D60"/>
    <w:rsid w:val="00973439"/>
    <w:rsid w:val="00977119"/>
    <w:rsid w:val="00981D4C"/>
    <w:rsid w:val="0099390E"/>
    <w:rsid w:val="00994FB9"/>
    <w:rsid w:val="009960E5"/>
    <w:rsid w:val="009A7ADC"/>
    <w:rsid w:val="009B0D30"/>
    <w:rsid w:val="009C0F92"/>
    <w:rsid w:val="009C19B7"/>
    <w:rsid w:val="009C5ABB"/>
    <w:rsid w:val="009D7C51"/>
    <w:rsid w:val="009E196C"/>
    <w:rsid w:val="009E6A0A"/>
    <w:rsid w:val="009F36BF"/>
    <w:rsid w:val="00A111B6"/>
    <w:rsid w:val="00A26D27"/>
    <w:rsid w:val="00A2739A"/>
    <w:rsid w:val="00A376EE"/>
    <w:rsid w:val="00A407E4"/>
    <w:rsid w:val="00A40AD7"/>
    <w:rsid w:val="00A42A99"/>
    <w:rsid w:val="00A5151A"/>
    <w:rsid w:val="00A57E0A"/>
    <w:rsid w:val="00A60048"/>
    <w:rsid w:val="00A63EDD"/>
    <w:rsid w:val="00A72D7E"/>
    <w:rsid w:val="00A77919"/>
    <w:rsid w:val="00A823F6"/>
    <w:rsid w:val="00A857F5"/>
    <w:rsid w:val="00A8719E"/>
    <w:rsid w:val="00AA04FD"/>
    <w:rsid w:val="00AA0A89"/>
    <w:rsid w:val="00AA12ED"/>
    <w:rsid w:val="00AA2D25"/>
    <w:rsid w:val="00AA5368"/>
    <w:rsid w:val="00AA5A00"/>
    <w:rsid w:val="00AA6429"/>
    <w:rsid w:val="00AB5737"/>
    <w:rsid w:val="00AC01AA"/>
    <w:rsid w:val="00AC4F72"/>
    <w:rsid w:val="00AC5041"/>
    <w:rsid w:val="00AD1BE3"/>
    <w:rsid w:val="00AE482E"/>
    <w:rsid w:val="00AE688D"/>
    <w:rsid w:val="00AF741A"/>
    <w:rsid w:val="00B01ADB"/>
    <w:rsid w:val="00B04161"/>
    <w:rsid w:val="00B056F9"/>
    <w:rsid w:val="00B11E3D"/>
    <w:rsid w:val="00B14D2C"/>
    <w:rsid w:val="00B17E82"/>
    <w:rsid w:val="00B24DB6"/>
    <w:rsid w:val="00B435BE"/>
    <w:rsid w:val="00B444F7"/>
    <w:rsid w:val="00B450FE"/>
    <w:rsid w:val="00B4575A"/>
    <w:rsid w:val="00B575BA"/>
    <w:rsid w:val="00B6795E"/>
    <w:rsid w:val="00B71608"/>
    <w:rsid w:val="00B76429"/>
    <w:rsid w:val="00B76DFC"/>
    <w:rsid w:val="00B836DA"/>
    <w:rsid w:val="00B86471"/>
    <w:rsid w:val="00B879AF"/>
    <w:rsid w:val="00B956D4"/>
    <w:rsid w:val="00B95D58"/>
    <w:rsid w:val="00B97446"/>
    <w:rsid w:val="00BA54CA"/>
    <w:rsid w:val="00BA7432"/>
    <w:rsid w:val="00BB2764"/>
    <w:rsid w:val="00BB48FD"/>
    <w:rsid w:val="00BC1AA0"/>
    <w:rsid w:val="00BC2495"/>
    <w:rsid w:val="00BC314A"/>
    <w:rsid w:val="00BC7EB9"/>
    <w:rsid w:val="00BD2643"/>
    <w:rsid w:val="00BD56B1"/>
    <w:rsid w:val="00BD6558"/>
    <w:rsid w:val="00BE381B"/>
    <w:rsid w:val="00BF2AD7"/>
    <w:rsid w:val="00BF2F76"/>
    <w:rsid w:val="00BF3022"/>
    <w:rsid w:val="00BF3214"/>
    <w:rsid w:val="00BF5573"/>
    <w:rsid w:val="00C03471"/>
    <w:rsid w:val="00C0407D"/>
    <w:rsid w:val="00C15867"/>
    <w:rsid w:val="00C20B5D"/>
    <w:rsid w:val="00C22398"/>
    <w:rsid w:val="00C2296D"/>
    <w:rsid w:val="00C23155"/>
    <w:rsid w:val="00C40C41"/>
    <w:rsid w:val="00C44380"/>
    <w:rsid w:val="00C45885"/>
    <w:rsid w:val="00C50F22"/>
    <w:rsid w:val="00C57971"/>
    <w:rsid w:val="00C65BD7"/>
    <w:rsid w:val="00C7216C"/>
    <w:rsid w:val="00C73352"/>
    <w:rsid w:val="00C76BA4"/>
    <w:rsid w:val="00C83A48"/>
    <w:rsid w:val="00C85865"/>
    <w:rsid w:val="00C85E85"/>
    <w:rsid w:val="00C87FF5"/>
    <w:rsid w:val="00CA2EAE"/>
    <w:rsid w:val="00CA4AC1"/>
    <w:rsid w:val="00CA59FB"/>
    <w:rsid w:val="00CB0316"/>
    <w:rsid w:val="00CB0B11"/>
    <w:rsid w:val="00CB1DBA"/>
    <w:rsid w:val="00CB426A"/>
    <w:rsid w:val="00CB5354"/>
    <w:rsid w:val="00CC3C9E"/>
    <w:rsid w:val="00CC6A14"/>
    <w:rsid w:val="00CC70A3"/>
    <w:rsid w:val="00CD21F1"/>
    <w:rsid w:val="00CD4442"/>
    <w:rsid w:val="00CD53C3"/>
    <w:rsid w:val="00CD574E"/>
    <w:rsid w:val="00CE00F5"/>
    <w:rsid w:val="00CE4752"/>
    <w:rsid w:val="00CE4C22"/>
    <w:rsid w:val="00CE76E5"/>
    <w:rsid w:val="00CF24C0"/>
    <w:rsid w:val="00CF41EC"/>
    <w:rsid w:val="00CF5D04"/>
    <w:rsid w:val="00CF798E"/>
    <w:rsid w:val="00D04DE4"/>
    <w:rsid w:val="00D063F1"/>
    <w:rsid w:val="00D14F22"/>
    <w:rsid w:val="00D22CD7"/>
    <w:rsid w:val="00D3341D"/>
    <w:rsid w:val="00D352C7"/>
    <w:rsid w:val="00D37391"/>
    <w:rsid w:val="00D4741C"/>
    <w:rsid w:val="00D57918"/>
    <w:rsid w:val="00D67D30"/>
    <w:rsid w:val="00D7012E"/>
    <w:rsid w:val="00D73DC6"/>
    <w:rsid w:val="00D74AD5"/>
    <w:rsid w:val="00D74C1A"/>
    <w:rsid w:val="00D754C1"/>
    <w:rsid w:val="00D77393"/>
    <w:rsid w:val="00D77A35"/>
    <w:rsid w:val="00D81B3E"/>
    <w:rsid w:val="00D90C70"/>
    <w:rsid w:val="00D90E49"/>
    <w:rsid w:val="00D92D83"/>
    <w:rsid w:val="00D96ADE"/>
    <w:rsid w:val="00DA0CE2"/>
    <w:rsid w:val="00DA2387"/>
    <w:rsid w:val="00DA5C56"/>
    <w:rsid w:val="00DC6A10"/>
    <w:rsid w:val="00DC6BCB"/>
    <w:rsid w:val="00DE657E"/>
    <w:rsid w:val="00DF211A"/>
    <w:rsid w:val="00DF4704"/>
    <w:rsid w:val="00E024AA"/>
    <w:rsid w:val="00E0564F"/>
    <w:rsid w:val="00E15C77"/>
    <w:rsid w:val="00E233A8"/>
    <w:rsid w:val="00E250F1"/>
    <w:rsid w:val="00E3550D"/>
    <w:rsid w:val="00E519EA"/>
    <w:rsid w:val="00E52838"/>
    <w:rsid w:val="00E53B2A"/>
    <w:rsid w:val="00E614E0"/>
    <w:rsid w:val="00E73F7F"/>
    <w:rsid w:val="00E753E8"/>
    <w:rsid w:val="00E85409"/>
    <w:rsid w:val="00EA429F"/>
    <w:rsid w:val="00EA4F9E"/>
    <w:rsid w:val="00EA601C"/>
    <w:rsid w:val="00EA63CA"/>
    <w:rsid w:val="00EA6D3B"/>
    <w:rsid w:val="00EB00AD"/>
    <w:rsid w:val="00EB136C"/>
    <w:rsid w:val="00EB480E"/>
    <w:rsid w:val="00EB5EC6"/>
    <w:rsid w:val="00EB7FC9"/>
    <w:rsid w:val="00EC0B02"/>
    <w:rsid w:val="00ED27E8"/>
    <w:rsid w:val="00ED7137"/>
    <w:rsid w:val="00EE2FA2"/>
    <w:rsid w:val="00EF06EA"/>
    <w:rsid w:val="00EF6494"/>
    <w:rsid w:val="00F07604"/>
    <w:rsid w:val="00F16E70"/>
    <w:rsid w:val="00F21088"/>
    <w:rsid w:val="00F307B4"/>
    <w:rsid w:val="00F32695"/>
    <w:rsid w:val="00F326BF"/>
    <w:rsid w:val="00F327E7"/>
    <w:rsid w:val="00F35746"/>
    <w:rsid w:val="00F41C0A"/>
    <w:rsid w:val="00F447C7"/>
    <w:rsid w:val="00F459B4"/>
    <w:rsid w:val="00F5211B"/>
    <w:rsid w:val="00F554A9"/>
    <w:rsid w:val="00F6079D"/>
    <w:rsid w:val="00F63661"/>
    <w:rsid w:val="00F715CE"/>
    <w:rsid w:val="00F716FD"/>
    <w:rsid w:val="00F80355"/>
    <w:rsid w:val="00F81A53"/>
    <w:rsid w:val="00F84354"/>
    <w:rsid w:val="00F85036"/>
    <w:rsid w:val="00F87C43"/>
    <w:rsid w:val="00F97CB8"/>
    <w:rsid w:val="00F97D15"/>
    <w:rsid w:val="00FA1217"/>
    <w:rsid w:val="00FA564C"/>
    <w:rsid w:val="00FA5722"/>
    <w:rsid w:val="00FB0C81"/>
    <w:rsid w:val="00FB698A"/>
    <w:rsid w:val="00FC2200"/>
    <w:rsid w:val="00FC2540"/>
    <w:rsid w:val="00FF0204"/>
    <w:rsid w:val="00FF3AED"/>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441930A9"/>
  <w15:docId w15:val="{FFA204E6-B7DD-42DD-A408-BCA30AB5E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FooterChar">
    <w:name w:val="Footer Char"/>
    <w:basedOn w:val="DefaultParagraphFont"/>
    <w:link w:val="Footer"/>
    <w:uiPriority w:val="99"/>
    <w:rsid w:val="00BA54CA"/>
    <w:rPr>
      <w:sz w:val="22"/>
      <w:szCs w:val="22"/>
      <w:lang w:val="en-CA"/>
    </w:rPr>
  </w:style>
  <w:style w:type="paragraph" w:styleId="Revision">
    <w:name w:val="Revision"/>
    <w:hidden/>
    <w:uiPriority w:val="99"/>
    <w:semiHidden/>
    <w:rsid w:val="00BA54CA"/>
    <w:rPr>
      <w:sz w:val="22"/>
      <w:szCs w:val="22"/>
      <w:lang w:val="en-CA"/>
    </w:rPr>
  </w:style>
  <w:style w:type="paragraph" w:styleId="ListParagraph">
    <w:name w:val="List Paragraph"/>
    <w:basedOn w:val="Normal"/>
    <w:uiPriority w:val="34"/>
    <w:qFormat/>
    <w:rsid w:val="00BA54CA"/>
    <w:pPr>
      <w:ind w:left="720"/>
      <w:jc w:val="left"/>
    </w:pPr>
    <w:rPr>
      <w:rFonts w:ascii="Aptos" w:eastAsiaTheme="minorEastAsia" w:hAnsi="Aptos" w:cs="Aptos"/>
    </w:rPr>
  </w:style>
  <w:style w:type="character" w:styleId="Hyperlink">
    <w:name w:val="Hyperlink"/>
    <w:basedOn w:val="DefaultParagraphFont"/>
    <w:uiPriority w:val="99"/>
    <w:semiHidden/>
    <w:unhideWhenUsed/>
    <w:rsid w:val="00BA54CA"/>
    <w:rPr>
      <w:color w:val="0000FF"/>
      <w:u w:val="single"/>
    </w:rPr>
  </w:style>
  <w:style w:type="character" w:styleId="Emphasis">
    <w:name w:val="Emphasis"/>
    <w:basedOn w:val="DefaultParagraphFont"/>
    <w:uiPriority w:val="20"/>
    <w:qFormat/>
    <w:rsid w:val="00A857F5"/>
    <w:rPr>
      <w:i/>
      <w:iCs/>
    </w:rPr>
  </w:style>
  <w:style w:type="character" w:styleId="FollowedHyperlink">
    <w:name w:val="FollowedHyperlink"/>
    <w:basedOn w:val="DefaultParagraphFont"/>
    <w:uiPriority w:val="99"/>
    <w:semiHidden/>
    <w:unhideWhenUsed/>
    <w:rsid w:val="005C31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es/resources/vigilancia-mundial-de-la-refrigeracion-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87DEFD8CD76B458F5CC8BB6B1AF31E" ma:contentTypeVersion="5" ma:contentTypeDescription="Create a new document." ma:contentTypeScope="" ma:versionID="f317c7c53ab365c476e2b34704c49ac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299C15DA-991F-4B96-8117-DC34B4C5CD52}"/>
</file>

<file path=docProps/app.xml><?xml version="1.0" encoding="utf-8"?>
<Properties xmlns="http://schemas.openxmlformats.org/officeDocument/2006/extended-properties" xmlns:vt="http://schemas.openxmlformats.org/officeDocument/2006/docPropsVTypes">
  <Template>Normal</Template>
  <TotalTime>86</TotalTime>
  <Pages>13</Pages>
  <Words>6064</Words>
  <Characters>34570</Characters>
  <Application>Microsoft Office Word</Application>
  <DocSecurity>0</DocSecurity>
  <Lines>288</Lines>
  <Paragraphs>81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Documento sobre como podrian contribuir las actividades de eliminacion de hcfc y reduccion de hfc apoyadas por el fondo multilateral a la refrigeracion sostenible (decision 92/1 b))</vt:lpstr>
      <vt:lpstr>Paper on how HCFC phase-out and HFC phase-down activities supported by the Multilateral Fund might contribute to sustainable cooling (decision 92/1(b))</vt:lpstr>
    </vt:vector>
  </TitlesOfParts>
  <Company>HP</Company>
  <LinksUpToDate>false</LinksUpToDate>
  <CharactersWithSpaces>40553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Documento sobre cómo podrían contribuir las actividades de eliminación de HCFC y reducción de HFC apoyadas por el Fondo Multilateral a la refrigeración sostenible (decisión 92/1 b))</dc:title>
  <dc:creator>Balaji Natarajan</dc:creator>
  <cp:lastModifiedBy>Angela Xue He Yan</cp:lastModifiedBy>
  <cp:revision>23</cp:revision>
  <cp:lastPrinted>2024-05-03T02:03:00Z</cp:lastPrinted>
  <dcterms:created xsi:type="dcterms:W3CDTF">2024-05-02T15:47:00Z</dcterms:created>
  <dcterms:modified xsi:type="dcterms:W3CDTF">2024-05-03T02:03:00Z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UNEP/OzL.Pro/ExCom/94/63</vt:lpwstr>
  </property>
  <property fmtid="{D5CDD505-2E9C-101B-9397-08002B2CF9AE}" pid="3" name="Revision date">
    <vt:lpwstr>4/29/2024</vt:lpwstr>
  </property>
  <property fmtid="{D5CDD505-2E9C-101B-9397-08002B2CF9AE}" pid="4" name="ContentTypeId">
    <vt:lpwstr>0x0101007F87DEFD8CD76B458F5CC8BB6B1AF31E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