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080736F" w14:textId="77777777">
        <w:trPr>
          <w:trHeight w:val="720"/>
        </w:trPr>
        <w:tc>
          <w:tcPr>
            <w:tcW w:w="6494" w:type="dxa"/>
            <w:gridSpan w:val="2"/>
            <w:tcBorders>
              <w:bottom w:val="single" w:sz="18" w:space="0" w:color="auto"/>
            </w:tcBorders>
          </w:tcPr>
          <w:p w14:paraId="5DC1B592" w14:textId="77777777" w:rsidR="0087455A" w:rsidRDefault="0024162E">
            <w:pPr>
              <w:rPr>
                <w:rFonts w:ascii="Univers" w:hAnsi="Univers"/>
                <w:b/>
                <w:sz w:val="28"/>
                <w:szCs w:val="28"/>
                <w:lang w:val="es-MX"/>
              </w:rPr>
            </w:pPr>
            <w:r>
              <w:rPr>
                <w:rFonts w:ascii="Univers" w:hAnsi="Univers"/>
                <w:b/>
                <w:sz w:val="28"/>
                <w:szCs w:val="28"/>
                <w:lang w:val="es-MX"/>
              </w:rPr>
              <w:t>NACIONES</w:t>
            </w:r>
          </w:p>
          <w:p w14:paraId="6B5F794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8BB9CF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9908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D957C5" w14:textId="77777777" w:rsidR="0087455A" w:rsidRDefault="0024162E">
            <w:pPr>
              <w:spacing w:before="120"/>
            </w:pPr>
            <w:r>
              <w:rPr>
                <w:noProof/>
                <w:lang w:val="en-US"/>
              </w:rPr>
              <w:drawing>
                <wp:anchor distT="0" distB="0" distL="114300" distR="114300" simplePos="0" relativeHeight="251660288" behindDoc="0" locked="0" layoutInCell="1" allowOverlap="1" wp14:anchorId="702E051E" wp14:editId="48D04605">
                  <wp:simplePos x="0" y="0"/>
                  <wp:positionH relativeFrom="column">
                    <wp:posOffset>29161</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4FDFA0CC" wp14:editId="51289C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F08F05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4FA0AC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77C832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EC1647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C37DA2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5B921D4"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A5367B5" w14:textId="77777777" w:rsidR="0087455A" w:rsidRDefault="0087455A">
            <w:pPr>
              <w:rPr>
                <w:lang w:val="es-ES"/>
              </w:rPr>
            </w:pPr>
          </w:p>
          <w:p w14:paraId="5CBE4C3D" w14:textId="77777777" w:rsidR="0087455A" w:rsidRDefault="0024162E">
            <w:pPr>
              <w:rPr>
                <w:lang w:val="es-ES"/>
              </w:rPr>
            </w:pPr>
            <w:r>
              <w:rPr>
                <w:lang w:val="es-ES"/>
              </w:rPr>
              <w:t>Distr.</w:t>
            </w:r>
          </w:p>
          <w:p w14:paraId="0B7FB6ED" w14:textId="77777777" w:rsidR="0087455A" w:rsidRDefault="0024162E">
            <w:pPr>
              <w:rPr>
                <w:lang w:val="es-ES"/>
              </w:rPr>
            </w:pPr>
            <w:r>
              <w:rPr>
                <w:lang w:val="es-ES"/>
              </w:rPr>
              <w:t>GENERAL</w:t>
            </w:r>
          </w:p>
          <w:p w14:paraId="3D9951C1" w14:textId="77777777" w:rsidR="0087455A" w:rsidRDefault="0087455A">
            <w:pPr>
              <w:rPr>
                <w:lang w:val="es-ES"/>
              </w:rPr>
            </w:pPr>
          </w:p>
          <w:p w14:paraId="3DE220AC" w14:textId="01BDE9B5"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A70BDB">
              <w:rPr>
                <w:lang w:val="es-AR"/>
              </w:rPr>
              <w:t>UNEP/</w:t>
            </w:r>
            <w:proofErr w:type="spellStart"/>
            <w:r w:rsidR="00A70BDB">
              <w:rPr>
                <w:lang w:val="es-AR"/>
              </w:rPr>
              <w:t>OzL.Pro</w:t>
            </w:r>
            <w:proofErr w:type="spellEnd"/>
            <w:r w:rsidR="00A70BDB">
              <w:rPr>
                <w:lang w:val="es-AR"/>
              </w:rPr>
              <w:t>/</w:t>
            </w:r>
            <w:proofErr w:type="spellStart"/>
            <w:r w:rsidR="00A70BDB">
              <w:rPr>
                <w:lang w:val="es-AR"/>
              </w:rPr>
              <w:t>ExCom</w:t>
            </w:r>
            <w:proofErr w:type="spellEnd"/>
            <w:r w:rsidR="00A70BDB">
              <w:rPr>
                <w:lang w:val="es-AR"/>
              </w:rPr>
              <w:t>/87/3</w:t>
            </w:r>
            <w:r>
              <w:fldChar w:fldCharType="end"/>
            </w:r>
          </w:p>
          <w:p w14:paraId="270C2BDF" w14:textId="529B9885"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A70BDB">
              <w:rPr>
                <w:lang w:val="es-AR"/>
              </w:rPr>
              <w:t>22</w:t>
            </w:r>
            <w:r w:rsidR="00A70BDB">
              <w:rPr>
                <w:lang w:val="es-AR"/>
              </w:rPr>
              <w:t xml:space="preserve"> de</w:t>
            </w:r>
            <w:r w:rsidR="00A70BDB">
              <w:rPr>
                <w:lang w:val="es-AR"/>
              </w:rPr>
              <w:t xml:space="preserve"> junio </w:t>
            </w:r>
            <w:r w:rsidR="00A70BDB">
              <w:rPr>
                <w:lang w:val="es-AR"/>
              </w:rPr>
              <w:t xml:space="preserve">de </w:t>
            </w:r>
            <w:r w:rsidR="00A70BDB">
              <w:rPr>
                <w:lang w:val="es-AR"/>
              </w:rPr>
              <w:t>2021</w:t>
            </w:r>
            <w:r>
              <w:fldChar w:fldCharType="end"/>
            </w:r>
          </w:p>
          <w:p w14:paraId="18FBC522" w14:textId="77777777" w:rsidR="00114CAA" w:rsidRPr="00064429" w:rsidRDefault="00114CAA">
            <w:pPr>
              <w:rPr>
                <w:caps/>
                <w:lang w:val="es-AR"/>
              </w:rPr>
            </w:pPr>
          </w:p>
          <w:p w14:paraId="0DC668E5" w14:textId="77777777" w:rsidR="0087455A" w:rsidRDefault="0024162E">
            <w:pPr>
              <w:rPr>
                <w:lang w:val="es-MX"/>
              </w:rPr>
            </w:pPr>
            <w:r>
              <w:rPr>
                <w:lang w:val="es-MX"/>
              </w:rPr>
              <w:t xml:space="preserve">ESPAÑOL </w:t>
            </w:r>
          </w:p>
          <w:p w14:paraId="0FB2CDDF" w14:textId="77777777" w:rsidR="0087455A" w:rsidRDefault="0024162E">
            <w:pPr>
              <w:rPr>
                <w:lang w:val="es-ES"/>
              </w:rPr>
            </w:pPr>
            <w:r>
              <w:rPr>
                <w:lang w:val="es-ES"/>
              </w:rPr>
              <w:t xml:space="preserve">ORIGINAL: </w:t>
            </w:r>
            <w:r>
              <w:rPr>
                <w:lang w:val="es-MX"/>
              </w:rPr>
              <w:t>INGLÉS</w:t>
            </w:r>
          </w:p>
        </w:tc>
      </w:tr>
    </w:tbl>
    <w:p w14:paraId="3E46D62F" w14:textId="77777777" w:rsidR="0087455A" w:rsidRPr="00B8609C" w:rsidRDefault="0024162E">
      <w:pPr>
        <w:jc w:val="left"/>
        <w:rPr>
          <w:lang w:val="es-ES"/>
        </w:rPr>
      </w:pPr>
      <w:r w:rsidRPr="00B8609C">
        <w:rPr>
          <w:lang w:val="es-ES"/>
        </w:rPr>
        <w:t>COMITÉ EJECUTIVO DEL FONDO MULTILATERAL</w:t>
      </w:r>
      <w:bookmarkStart w:id="0" w:name="_GoBack"/>
      <w:bookmarkEnd w:id="0"/>
      <w:r w:rsidRPr="00B8609C">
        <w:rPr>
          <w:lang w:val="es-ES"/>
        </w:rPr>
        <w:br/>
        <w:t xml:space="preserve">  PARA LA APLICACIÓN DEL</w:t>
      </w:r>
      <w:r w:rsidRPr="00B8609C">
        <w:rPr>
          <w:lang w:val="es-ES"/>
        </w:rPr>
        <w:br/>
        <w:t xml:space="preserve">  PROTOCOLO DE MONTREAL</w:t>
      </w:r>
    </w:p>
    <w:p w14:paraId="3E93A935" w14:textId="77777777" w:rsidR="00106F6E" w:rsidRPr="00B8609C" w:rsidRDefault="00106F6E" w:rsidP="002959B4">
      <w:pPr>
        <w:jc w:val="left"/>
        <w:rPr>
          <w:lang w:val="es-ES"/>
        </w:rPr>
      </w:pPr>
      <w:r w:rsidRPr="00B8609C">
        <w:rPr>
          <w:lang w:val="es-ES"/>
        </w:rPr>
        <w:t xml:space="preserve">Octogésima </w:t>
      </w:r>
      <w:r w:rsidR="002959B4" w:rsidRPr="00B8609C">
        <w:rPr>
          <w:lang w:val="es-ES"/>
        </w:rPr>
        <w:t>séptima</w:t>
      </w:r>
      <w:r w:rsidR="003863A4" w:rsidRPr="00B8609C">
        <w:rPr>
          <w:lang w:val="es-ES"/>
        </w:rPr>
        <w:t xml:space="preserve"> Reunión</w:t>
      </w:r>
      <w:r w:rsidR="003863A4" w:rsidRPr="00B8609C">
        <w:rPr>
          <w:lang w:val="es-ES"/>
        </w:rPr>
        <w:br/>
        <w:t xml:space="preserve">Montreal, </w:t>
      </w:r>
      <w:r w:rsidR="002959B4" w:rsidRPr="00B8609C">
        <w:rPr>
          <w:lang w:val="es-ES"/>
        </w:rPr>
        <w:t>28 de junio</w:t>
      </w:r>
      <w:r w:rsidR="003863A4" w:rsidRPr="00B8609C">
        <w:rPr>
          <w:lang w:val="es-ES"/>
        </w:rPr>
        <w:t xml:space="preserve"> </w:t>
      </w:r>
      <w:r w:rsidRPr="00B8609C">
        <w:rPr>
          <w:lang w:val="es-ES"/>
        </w:rPr>
        <w:t xml:space="preserve">– </w:t>
      </w:r>
      <w:r w:rsidR="003863A4" w:rsidRPr="00B8609C">
        <w:rPr>
          <w:lang w:val="es-ES"/>
        </w:rPr>
        <w:t>2</w:t>
      </w:r>
      <w:r w:rsidRPr="00B8609C">
        <w:rPr>
          <w:lang w:val="es-ES"/>
        </w:rPr>
        <w:t xml:space="preserve"> de </w:t>
      </w:r>
      <w:r w:rsidR="002959B4" w:rsidRPr="00B8609C">
        <w:rPr>
          <w:lang w:val="es-ES"/>
        </w:rPr>
        <w:t>julio de 2021</w:t>
      </w:r>
      <w:r w:rsidR="002959B4" w:rsidRPr="00B8609C">
        <w:rPr>
          <w:rStyle w:val="FootnoteReference"/>
          <w:lang w:val="es-ES"/>
        </w:rPr>
        <w:footnoteReference w:id="1"/>
      </w:r>
    </w:p>
    <w:p w14:paraId="41CF31D1" w14:textId="77777777" w:rsidR="00106F6E" w:rsidRPr="00B8609C" w:rsidRDefault="00106F6E" w:rsidP="00106F6E">
      <w:pPr>
        <w:jc w:val="left"/>
        <w:rPr>
          <w:lang w:val="es-ES"/>
        </w:rPr>
      </w:pPr>
    </w:p>
    <w:p w14:paraId="571B7631" w14:textId="77777777" w:rsidR="00D83B1A" w:rsidRPr="00175E4D" w:rsidRDefault="00D83B1A" w:rsidP="00D83B1A">
      <w:pPr>
        <w:jc w:val="left"/>
        <w:rPr>
          <w:lang w:val="es-ES"/>
        </w:rPr>
      </w:pPr>
    </w:p>
    <w:p w14:paraId="2582F759" w14:textId="0AE2D8E3" w:rsidR="00D83B1A" w:rsidRPr="00D83B1A" w:rsidRDefault="00DC0A42" w:rsidP="00D83B1A">
      <w:pPr>
        <w:pStyle w:val="0Heading0"/>
        <w:jc w:val="center"/>
        <w:rPr>
          <w:b/>
          <w:bCs/>
          <w:lang w:val="es-ES"/>
        </w:rPr>
      </w:pPr>
      <w:r w:rsidRPr="00D83B1A">
        <w:rPr>
          <w:b/>
          <w:bCs/>
          <w:lang w:val="es-ES"/>
        </w:rPr>
        <w:t>SITUACIÓN DE LAS CONTRIBUCIONES Y LOS DESEMBOLSOS</w:t>
      </w:r>
    </w:p>
    <w:p w14:paraId="2C57CDE0" w14:textId="77777777" w:rsidR="00D83B1A" w:rsidRPr="00D83B1A" w:rsidRDefault="00D83B1A" w:rsidP="00D83B1A">
      <w:pPr>
        <w:pStyle w:val="0Heading0"/>
        <w:jc w:val="center"/>
        <w:rPr>
          <w:b/>
          <w:bCs/>
          <w:lang w:val="es-ES"/>
        </w:rPr>
      </w:pPr>
      <w:r w:rsidRPr="00D83B1A">
        <w:rPr>
          <w:b/>
          <w:bCs/>
          <w:lang w:val="es-ES"/>
        </w:rPr>
        <w:t>Informe del Tesorero</w:t>
      </w:r>
    </w:p>
    <w:p w14:paraId="3F81DB39" w14:textId="0E5BBDC1" w:rsidR="00D83B1A" w:rsidRDefault="00D83B1A" w:rsidP="00D83B1A">
      <w:pPr>
        <w:pStyle w:val="0Heading0"/>
        <w:jc w:val="center"/>
        <w:rPr>
          <w:b/>
          <w:bCs/>
        </w:rPr>
      </w:pPr>
    </w:p>
    <w:p w14:paraId="708B5FAA" w14:textId="77777777" w:rsidR="00A70BDB" w:rsidRDefault="00A70BDB" w:rsidP="00D83B1A">
      <w:pPr>
        <w:pStyle w:val="0Heading0"/>
        <w:jc w:val="center"/>
        <w:rPr>
          <w:b/>
          <w:bCs/>
        </w:rPr>
      </w:pPr>
    </w:p>
    <w:p w14:paraId="73C3F32B" w14:textId="77777777" w:rsidR="00D83B1A" w:rsidRPr="00D83B1A" w:rsidRDefault="00D83B1A" w:rsidP="00D83B1A">
      <w:pPr>
        <w:pStyle w:val="Heading1"/>
        <w:rPr>
          <w:lang w:val="es-ES"/>
        </w:rPr>
      </w:pPr>
      <w:r w:rsidRPr="00D83B1A">
        <w:rPr>
          <w:lang w:val="es-ES"/>
        </w:rPr>
        <w:t>El presente documento ofrece información sobre la situación del Fondo Multilateral</w:t>
      </w:r>
      <w:r w:rsidRPr="004B5029">
        <w:rPr>
          <w:rStyle w:val="FootnoteReference"/>
        </w:rPr>
        <w:footnoteReference w:id="2"/>
      </w:r>
      <w:r w:rsidRPr="00D83B1A">
        <w:rPr>
          <w:lang w:val="es-ES"/>
        </w:rPr>
        <w:t xml:space="preserve"> de acuerdo con lo registrado en el PNUMA a fecha 9 de junio de 2021. El Anexo I de este documento contiene los cuadros siguientes:</w:t>
      </w:r>
    </w:p>
    <w:p w14:paraId="3F54B42E" w14:textId="44E9B0BD" w:rsidR="00D83B1A" w:rsidRPr="00D83B1A" w:rsidRDefault="00D83B1A" w:rsidP="00D83B1A">
      <w:pPr>
        <w:pStyle w:val="0Heading0"/>
        <w:numPr>
          <w:ilvl w:val="0"/>
          <w:numId w:val="24"/>
        </w:numPr>
        <w:tabs>
          <w:tab w:val="clear" w:pos="2500"/>
        </w:tabs>
        <w:ind w:left="1440" w:hanging="720"/>
        <w:rPr>
          <w:lang w:val="es-ES"/>
        </w:rPr>
      </w:pPr>
      <w:r w:rsidRPr="00D83B1A">
        <w:rPr>
          <w:lang w:val="es-ES"/>
        </w:rPr>
        <w:t xml:space="preserve">Cuadro 1: Situación del Fondo </w:t>
      </w:r>
      <w:r w:rsidR="00F3743E">
        <w:rPr>
          <w:lang w:val="es-ES"/>
        </w:rPr>
        <w:t>entre</w:t>
      </w:r>
      <w:r w:rsidRPr="00D83B1A">
        <w:rPr>
          <w:lang w:val="es-ES"/>
        </w:rPr>
        <w:t xml:space="preserve"> 1991</w:t>
      </w:r>
      <w:r w:rsidR="00F3743E">
        <w:rPr>
          <w:lang w:val="es-ES"/>
        </w:rPr>
        <w:t xml:space="preserve"> y </w:t>
      </w:r>
      <w:r w:rsidRPr="00D83B1A">
        <w:rPr>
          <w:lang w:val="es-ES"/>
        </w:rPr>
        <w:t>2021</w:t>
      </w:r>
    </w:p>
    <w:p w14:paraId="2F91106B" w14:textId="77777777"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Cuadro 2: Resumen de situación de las contribuciones y otros ingresos, 1991-2021</w:t>
      </w:r>
    </w:p>
    <w:p w14:paraId="6B2FAC30" w14:textId="77777777" w:rsidR="00D83B1A" w:rsidRPr="00D83B1A" w:rsidRDefault="00D83B1A" w:rsidP="00D83B1A">
      <w:pPr>
        <w:pStyle w:val="0Heading0"/>
        <w:numPr>
          <w:ilvl w:val="0"/>
          <w:numId w:val="24"/>
        </w:numPr>
        <w:tabs>
          <w:tab w:val="clear" w:pos="2500"/>
        </w:tabs>
        <w:ind w:left="1440" w:hanging="720"/>
        <w:rPr>
          <w:lang w:val="es-ES"/>
        </w:rPr>
      </w:pPr>
      <w:r w:rsidRPr="00D83B1A">
        <w:rPr>
          <w:lang w:val="es-ES"/>
        </w:rPr>
        <w:t>Cuadro 3: Resumen de la situación de las contribuciones, 1991-2021</w:t>
      </w:r>
    </w:p>
    <w:p w14:paraId="1EEDAD0B" w14:textId="46CDC2A7"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4: Situación de las contribuciones </w:t>
      </w:r>
      <w:r w:rsidR="00F3743E">
        <w:rPr>
          <w:lang w:val="es-ES"/>
        </w:rPr>
        <w:t>en</w:t>
      </w:r>
      <w:r w:rsidRPr="00D83B1A">
        <w:rPr>
          <w:lang w:val="es-ES"/>
        </w:rPr>
        <w:t xml:space="preserve"> 2021-2023</w:t>
      </w:r>
    </w:p>
    <w:p w14:paraId="1F143F5D" w14:textId="5F413ACA"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5: Situación de las contribuciones </w:t>
      </w:r>
      <w:r w:rsidR="00F3743E">
        <w:rPr>
          <w:lang w:val="es-ES"/>
        </w:rPr>
        <w:t>en</w:t>
      </w:r>
      <w:r w:rsidRPr="00D83B1A">
        <w:rPr>
          <w:lang w:val="es-ES"/>
        </w:rPr>
        <w:t xml:space="preserve"> 2021</w:t>
      </w:r>
    </w:p>
    <w:p w14:paraId="66CF8762" w14:textId="2C0F39A2"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6: Situación de las contribuciones </w:t>
      </w:r>
      <w:r w:rsidR="00F3743E">
        <w:rPr>
          <w:lang w:val="es-ES"/>
        </w:rPr>
        <w:t>en</w:t>
      </w:r>
      <w:r w:rsidRPr="00D83B1A">
        <w:rPr>
          <w:lang w:val="es-ES"/>
        </w:rPr>
        <w:t xml:space="preserve"> 2018-2020</w:t>
      </w:r>
    </w:p>
    <w:p w14:paraId="4289A812" w14:textId="0293D6CD"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7: Situación de las contribuciones </w:t>
      </w:r>
      <w:r w:rsidR="00F3743E">
        <w:rPr>
          <w:lang w:val="es-ES"/>
        </w:rPr>
        <w:t>en</w:t>
      </w:r>
      <w:r w:rsidRPr="00D83B1A">
        <w:rPr>
          <w:lang w:val="es-ES"/>
        </w:rPr>
        <w:t xml:space="preserve"> 2020</w:t>
      </w:r>
    </w:p>
    <w:p w14:paraId="3601A2D7" w14:textId="0CAFA4F1"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8: Situación de las contribuciones </w:t>
      </w:r>
      <w:r w:rsidR="00F3743E">
        <w:rPr>
          <w:lang w:val="es-ES"/>
        </w:rPr>
        <w:t>en</w:t>
      </w:r>
      <w:r w:rsidRPr="00D83B1A">
        <w:rPr>
          <w:lang w:val="es-ES"/>
        </w:rPr>
        <w:t xml:space="preserve"> 2019</w:t>
      </w:r>
    </w:p>
    <w:p w14:paraId="77D0E5F2" w14:textId="193EC356"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9: Situación de las contribuciones </w:t>
      </w:r>
      <w:r w:rsidR="00F3743E">
        <w:rPr>
          <w:lang w:val="es-ES"/>
        </w:rPr>
        <w:t>en</w:t>
      </w:r>
      <w:r w:rsidRPr="00D83B1A">
        <w:rPr>
          <w:lang w:val="es-ES"/>
        </w:rPr>
        <w:t xml:space="preserve"> 2018</w:t>
      </w:r>
    </w:p>
    <w:p w14:paraId="24127EEF" w14:textId="26B17A10"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10: Situación de las contribuciones </w:t>
      </w:r>
      <w:r w:rsidR="00F3743E">
        <w:rPr>
          <w:lang w:val="es-ES"/>
        </w:rPr>
        <w:t>en</w:t>
      </w:r>
      <w:r w:rsidRPr="00D83B1A">
        <w:rPr>
          <w:lang w:val="es-ES"/>
        </w:rPr>
        <w:t xml:space="preserve"> 2015-2017</w:t>
      </w:r>
    </w:p>
    <w:p w14:paraId="749C60C7" w14:textId="0EC7C589"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11: Situación de las contribuciones </w:t>
      </w:r>
      <w:r w:rsidR="00F3743E">
        <w:rPr>
          <w:lang w:val="es-ES"/>
        </w:rPr>
        <w:t>en</w:t>
      </w:r>
      <w:r w:rsidRPr="00D83B1A">
        <w:rPr>
          <w:lang w:val="es-ES"/>
        </w:rPr>
        <w:t xml:space="preserve"> 2017</w:t>
      </w:r>
    </w:p>
    <w:p w14:paraId="2E3996D9" w14:textId="5994FE3C"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12: Situación de las contribuciones </w:t>
      </w:r>
      <w:r w:rsidR="00F3743E">
        <w:rPr>
          <w:lang w:val="es-ES"/>
        </w:rPr>
        <w:t>en</w:t>
      </w:r>
      <w:r w:rsidRPr="00D83B1A">
        <w:rPr>
          <w:lang w:val="es-ES"/>
        </w:rPr>
        <w:t xml:space="preserve"> 2016</w:t>
      </w:r>
    </w:p>
    <w:p w14:paraId="725CD3AD" w14:textId="4E494722" w:rsidR="00D83B1A" w:rsidRPr="00D83B1A" w:rsidRDefault="00D83B1A" w:rsidP="00D83B1A">
      <w:pPr>
        <w:pStyle w:val="0Heading0"/>
        <w:numPr>
          <w:ilvl w:val="0"/>
          <w:numId w:val="24"/>
        </w:numPr>
        <w:tabs>
          <w:tab w:val="clear" w:pos="2500"/>
        </w:tabs>
        <w:ind w:left="1440" w:hanging="720"/>
        <w:jc w:val="both"/>
        <w:rPr>
          <w:lang w:val="es-ES"/>
        </w:rPr>
      </w:pPr>
      <w:r w:rsidRPr="00D83B1A">
        <w:rPr>
          <w:lang w:val="es-ES"/>
        </w:rPr>
        <w:t xml:space="preserve">Cuadro 13: Situación de las contribuciones </w:t>
      </w:r>
      <w:r w:rsidR="00F3743E">
        <w:rPr>
          <w:lang w:val="es-ES"/>
        </w:rPr>
        <w:t>en</w:t>
      </w:r>
      <w:r w:rsidRPr="00D83B1A">
        <w:rPr>
          <w:lang w:val="es-ES"/>
        </w:rPr>
        <w:t xml:space="preserve"> 2015</w:t>
      </w:r>
    </w:p>
    <w:p w14:paraId="6E3193AC" w14:textId="77777777" w:rsidR="00D83B1A" w:rsidRPr="00D83B1A" w:rsidRDefault="00D83B1A" w:rsidP="00D83B1A">
      <w:pPr>
        <w:pStyle w:val="0Heading0"/>
        <w:tabs>
          <w:tab w:val="left" w:pos="0"/>
        </w:tabs>
        <w:jc w:val="both"/>
        <w:rPr>
          <w:lang w:val="es-ES"/>
        </w:rPr>
      </w:pPr>
    </w:p>
    <w:p w14:paraId="7EFB2930" w14:textId="6C3AB4B9" w:rsidR="00D83B1A" w:rsidRPr="00D83B1A" w:rsidRDefault="00D83B1A" w:rsidP="00D83B1A">
      <w:pPr>
        <w:pStyle w:val="Heading1"/>
        <w:rPr>
          <w:lang w:val="es-ES"/>
        </w:rPr>
      </w:pPr>
      <w:r w:rsidRPr="00D83B1A">
        <w:rPr>
          <w:lang w:val="es-ES"/>
        </w:rPr>
        <w:lastRenderedPageBreak/>
        <w:t>El 9 de junio de 2021, el saldo de fondos ascendía a 334 427 526 $EUA en efectivo, una vez considerados todos los fondos aprobados por el Comité Ejecutivo hasta la 86.</w:t>
      </w:r>
      <w:r w:rsidRPr="00D83B1A">
        <w:rPr>
          <w:vertAlign w:val="superscript"/>
          <w:lang w:val="es-ES"/>
        </w:rPr>
        <w:t>a</w:t>
      </w:r>
      <w:r w:rsidRPr="00D83B1A">
        <w:rPr>
          <w:lang w:val="es-ES"/>
        </w:rPr>
        <w:t> reunión (inclusive). Esta cantidad no incluye un monto de 3 280 455 $EUA retenido por el Banco Mundial, que corresponde a saldo</w:t>
      </w:r>
      <w:r>
        <w:rPr>
          <w:lang w:val="es-ES"/>
        </w:rPr>
        <w:t>s</w:t>
      </w:r>
      <w:r w:rsidRPr="00D83B1A">
        <w:rPr>
          <w:lang w:val="es-ES"/>
        </w:rPr>
        <w:t xml:space="preserve"> de proyectos finalizados o cancelados, intereses devengados y otros ajustes, y que es superior a la cantidad que el Tesorero ha podido compensar de proyectos aprobados por el Banco Mundial desde la 83.</w:t>
      </w:r>
      <w:r w:rsidRPr="00D83B1A">
        <w:rPr>
          <w:vertAlign w:val="superscript"/>
          <w:lang w:val="es-ES"/>
        </w:rPr>
        <w:t>a</w:t>
      </w:r>
      <w:r w:rsidRPr="00D83B1A">
        <w:rPr>
          <w:lang w:val="es-ES"/>
        </w:rPr>
        <w:t> reunión.</w:t>
      </w:r>
    </w:p>
    <w:p w14:paraId="04681273" w14:textId="77777777" w:rsidR="00D83B1A" w:rsidRPr="00D83B1A" w:rsidRDefault="00D83B1A" w:rsidP="00D83B1A">
      <w:pPr>
        <w:pStyle w:val="Heading1"/>
        <w:rPr>
          <w:lang w:val="es-ES"/>
        </w:rPr>
      </w:pPr>
      <w:r w:rsidRPr="00D83B1A">
        <w:rPr>
          <w:lang w:val="es-ES"/>
        </w:rPr>
        <w:t>De acuerdo con la decisión Ex.IV/1 tomada en la Cuarta Reunión Extraordinaria de las Partes del Protocolo de Montreal</w:t>
      </w:r>
      <w:r>
        <w:rPr>
          <w:rStyle w:val="FootnoteReference"/>
        </w:rPr>
        <w:footnoteReference w:id="3"/>
      </w:r>
      <w:r w:rsidRPr="00D83B1A">
        <w:rPr>
          <w:lang w:val="es-ES"/>
        </w:rPr>
        <w:t xml:space="preserve"> sobre las contribuciones de 2021 al Fondo Multilateral para la Aplicación del Protocolo de Montreal para el trienio 2021-2023, seis Partes han adelantado sus contribuciones correspondientes a 2021.</w:t>
      </w:r>
    </w:p>
    <w:p w14:paraId="27986A92" w14:textId="6C8FB37F" w:rsidR="00D83B1A" w:rsidRPr="00D83B1A" w:rsidRDefault="00D83B1A" w:rsidP="00D83B1A">
      <w:pPr>
        <w:pStyle w:val="Heading1"/>
        <w:rPr>
          <w:lang w:val="es-ES"/>
        </w:rPr>
      </w:pPr>
      <w:r w:rsidRPr="00D83B1A">
        <w:rPr>
          <w:lang w:val="es-ES"/>
        </w:rPr>
        <w:t>Se ha actualizado la información sobre el mecanismo de tipos de cambio fijos</w:t>
      </w:r>
      <w:r w:rsidRPr="00DA6815">
        <w:rPr>
          <w:rStyle w:val="FootnoteReference"/>
          <w:lang w:val="en-US" w:bidi="hi-IN"/>
        </w:rPr>
        <w:footnoteReference w:id="4"/>
      </w:r>
      <w:r w:rsidRPr="00D83B1A">
        <w:rPr>
          <w:lang w:val="es-ES"/>
        </w:rPr>
        <w:t xml:space="preserve">, que refleja una pérdida debido a la aplicación del mecanismo de 30 146 683 $EUA desde su creación, </w:t>
      </w:r>
      <w:r>
        <w:rPr>
          <w:lang w:val="es-ES"/>
        </w:rPr>
        <w:t>que es</w:t>
      </w:r>
      <w:r w:rsidRPr="00D83B1A">
        <w:rPr>
          <w:lang w:val="es-ES"/>
        </w:rPr>
        <w:t xml:space="preserve"> 74 544 $EUA </w:t>
      </w:r>
      <w:r>
        <w:rPr>
          <w:lang w:val="es-ES"/>
        </w:rPr>
        <w:t xml:space="preserve">menor </w:t>
      </w:r>
      <w:r w:rsidRPr="00D83B1A">
        <w:rPr>
          <w:lang w:val="es-ES"/>
        </w:rPr>
        <w:t>que la pérdida de 30 221 227 $EUA notificada a la 86.</w:t>
      </w:r>
      <w:r w:rsidRPr="00D83B1A">
        <w:rPr>
          <w:vertAlign w:val="superscript"/>
          <w:lang w:val="es-ES"/>
        </w:rPr>
        <w:t>a</w:t>
      </w:r>
      <w:r w:rsidRPr="00D83B1A">
        <w:rPr>
          <w:lang w:val="es-ES"/>
        </w:rPr>
        <w:t> reunión.</w:t>
      </w:r>
    </w:p>
    <w:p w14:paraId="1D3D1DA3" w14:textId="77777777" w:rsidR="00D83B1A" w:rsidRPr="00D83B1A" w:rsidRDefault="00D83B1A" w:rsidP="00D83B1A">
      <w:pPr>
        <w:autoSpaceDE w:val="0"/>
        <w:autoSpaceDN w:val="0"/>
        <w:adjustRightInd w:val="0"/>
        <w:rPr>
          <w:b/>
          <w:bCs/>
          <w:lang w:val="es-ES"/>
        </w:rPr>
      </w:pPr>
      <w:r w:rsidRPr="00D83B1A">
        <w:rPr>
          <w:b/>
          <w:bCs/>
          <w:lang w:val="es-ES"/>
        </w:rPr>
        <w:t>Medidas relativas a las contribuciones pendientes</w:t>
      </w:r>
    </w:p>
    <w:p w14:paraId="4CA6AB57" w14:textId="77777777" w:rsidR="00D83B1A" w:rsidRPr="00175E4D" w:rsidRDefault="00D83B1A" w:rsidP="00D83B1A">
      <w:pPr>
        <w:autoSpaceDE w:val="0"/>
        <w:autoSpaceDN w:val="0"/>
        <w:adjustRightInd w:val="0"/>
        <w:rPr>
          <w:b/>
          <w:bCs/>
          <w:lang w:val="es-ES" w:bidi="hi-IN"/>
        </w:rPr>
      </w:pPr>
    </w:p>
    <w:p w14:paraId="3107FA21" w14:textId="15100F26" w:rsidR="00D83B1A" w:rsidRPr="00D83B1A" w:rsidRDefault="00D83B1A" w:rsidP="00D83B1A">
      <w:pPr>
        <w:pStyle w:val="Heading1"/>
        <w:rPr>
          <w:lang w:val="es-ES"/>
        </w:rPr>
      </w:pPr>
      <w:r w:rsidRPr="00D83B1A">
        <w:rPr>
          <w:lang w:val="es-ES"/>
        </w:rPr>
        <w:t xml:space="preserve">Como seguimiento de la decisión Ex.IV/1, el Tesorero envió facturas a las Partes que no operan al amparo del </w:t>
      </w:r>
      <w:r>
        <w:rPr>
          <w:lang w:val="es-ES"/>
        </w:rPr>
        <w:t>A</w:t>
      </w:r>
      <w:r w:rsidRPr="00D83B1A">
        <w:rPr>
          <w:lang w:val="es-ES"/>
        </w:rPr>
        <w:t>rtículo 5 y que habían solicitado recibirlas para pagar sus contribuciones de 2021 al Fondo Multilateral, así como recordatorios a las Partes que tenían promesas pendientes de pago</w:t>
      </w:r>
      <w:r w:rsidRPr="005D1390">
        <w:rPr>
          <w:rStyle w:val="FootnoteReference"/>
        </w:rPr>
        <w:footnoteReference w:id="5"/>
      </w:r>
      <w:r w:rsidRPr="00D83B1A">
        <w:rPr>
          <w:lang w:val="es-ES"/>
        </w:rPr>
        <w:t>, en los casos en que correspondía.</w:t>
      </w:r>
    </w:p>
    <w:p w14:paraId="1A138F72" w14:textId="77777777" w:rsidR="00D83B1A" w:rsidRPr="00D83B1A" w:rsidRDefault="00D83B1A" w:rsidP="00D83B1A">
      <w:pPr>
        <w:pStyle w:val="Heading1"/>
        <w:rPr>
          <w:lang w:val="es-ES"/>
        </w:rPr>
      </w:pPr>
      <w:r w:rsidRPr="00D83B1A">
        <w:rPr>
          <w:lang w:val="es-ES"/>
        </w:rPr>
        <w:t>Como seguimiento de la decisión 86/3(c)</w:t>
      </w:r>
      <w:r w:rsidRPr="002466BA">
        <w:rPr>
          <w:rStyle w:val="FootnoteReference"/>
          <w:lang w:val="en-US" w:bidi="hi-IN"/>
        </w:rPr>
        <w:footnoteReference w:id="6"/>
      </w:r>
      <w:r w:rsidRPr="00D83B1A">
        <w:rPr>
          <w:lang w:val="es-ES"/>
        </w:rPr>
        <w:t>, el Director respondió a las preguntas de algunas Partes que tenían contribuciones pendientes y deseaban empezar a pagar sus contribuciones evaluadas, incluida la opción de cooperación bilateral que el Fondo tiene disponible. La Secretaría ofreció planificar reuniones virtuales para continuar con la discusión.</w:t>
      </w:r>
    </w:p>
    <w:p w14:paraId="7B72B884" w14:textId="77777777" w:rsidR="00D83B1A" w:rsidRPr="002466BA" w:rsidRDefault="00D83B1A" w:rsidP="00D83B1A">
      <w:pPr>
        <w:pStyle w:val="ListParagraph"/>
        <w:autoSpaceDE w:val="0"/>
        <w:autoSpaceDN w:val="0"/>
        <w:adjustRightInd w:val="0"/>
        <w:spacing w:after="240"/>
        <w:ind w:left="0"/>
        <w:rPr>
          <w:b/>
        </w:rPr>
      </w:pPr>
      <w:r>
        <w:rPr>
          <w:b/>
        </w:rPr>
        <w:t>Conciliación de los registros de contribución bilateral</w:t>
      </w:r>
    </w:p>
    <w:p w14:paraId="7B1D9151" w14:textId="77777777" w:rsidR="00D83B1A" w:rsidRPr="00D83B1A" w:rsidRDefault="00D83B1A" w:rsidP="00D83B1A">
      <w:pPr>
        <w:pStyle w:val="Heading1"/>
        <w:rPr>
          <w:bCs/>
          <w:lang w:val="es-ES"/>
        </w:rPr>
      </w:pPr>
      <w:r w:rsidRPr="00D83B1A">
        <w:rPr>
          <w:lang w:val="es-ES"/>
        </w:rPr>
        <w:t>En respuesta a la decisión 86/3(e)</w:t>
      </w:r>
      <w:r w:rsidRPr="002466BA">
        <w:rPr>
          <w:rStyle w:val="FootnoteReference"/>
        </w:rPr>
        <w:footnoteReference w:id="7"/>
      </w:r>
      <w:r w:rsidRPr="00D83B1A">
        <w:rPr>
          <w:lang w:val="es-ES"/>
        </w:rPr>
        <w:t>, ha finalizado para cuatro Partes que no operan al amparo del Artículo 5 el ejercicio de conciliación de las contribuciones bilaterales entre los registros del Tesorero y los de la Secretaría y se han realizado ajustes a la situación de las contribuciones y los desembolsos del presente documento</w:t>
      </w:r>
      <w:r>
        <w:rPr>
          <w:rStyle w:val="FootnoteReference"/>
        </w:rPr>
        <w:footnoteReference w:id="8"/>
      </w:r>
      <w:r w:rsidRPr="00D83B1A">
        <w:rPr>
          <w:lang w:val="es-ES"/>
        </w:rPr>
        <w:t xml:space="preserve">. </w:t>
      </w:r>
    </w:p>
    <w:p w14:paraId="385CC9E3" w14:textId="604289BA" w:rsidR="00D83B1A" w:rsidRPr="00D83B1A" w:rsidRDefault="00D83B1A" w:rsidP="00D83B1A">
      <w:pPr>
        <w:pStyle w:val="Heading1"/>
        <w:rPr>
          <w:lang w:val="es-ES"/>
        </w:rPr>
      </w:pPr>
      <w:r w:rsidRPr="00D83B1A">
        <w:rPr>
          <w:lang w:val="es-ES"/>
        </w:rPr>
        <w:t xml:space="preserve">Los ajustes globales realizados por el Tesorero no tuvieron ningún efecto sobre la contribución neta de las Partes que no operan al amparo del Artículo 5. Sin embargo, durante el ejercicio de conciliación se </w:t>
      </w:r>
      <w:r w:rsidRPr="00D83B1A">
        <w:rPr>
          <w:lang w:val="es-ES"/>
        </w:rPr>
        <w:lastRenderedPageBreak/>
        <w:t xml:space="preserve">observó que la devolución de un saldo de un proyecto totalmente ejecutado por un organismo bilateral y que estaba registrado en el inventario de proyectos acabados de la Secretaría no se había deducido de las contribuciones bilaterales en el documento de situación de las contribuciones y los desembolsos. Por consiguiente, el Tesorero modificó el presente documento incluyendo una contribución adicional en efectivo al Fondo de la Parte afectada y una reducción por el mismo </w:t>
      </w:r>
      <w:r>
        <w:rPr>
          <w:lang w:val="es-ES"/>
        </w:rPr>
        <w:t>importe</w:t>
      </w:r>
      <w:r w:rsidRPr="00D83B1A">
        <w:rPr>
          <w:lang w:val="es-ES"/>
        </w:rPr>
        <w:t xml:space="preserve"> de la contribución bilateral correspondiente a dicha Parte. </w:t>
      </w:r>
    </w:p>
    <w:p w14:paraId="5AB9CDE0" w14:textId="73AA8860" w:rsidR="00D83B1A" w:rsidRPr="00D83B1A" w:rsidRDefault="00D83B1A" w:rsidP="00D83B1A">
      <w:pPr>
        <w:pStyle w:val="Heading1"/>
        <w:rPr>
          <w:lang w:val="es-ES"/>
        </w:rPr>
      </w:pPr>
      <w:r w:rsidRPr="00D83B1A">
        <w:rPr>
          <w:lang w:val="es-ES"/>
        </w:rPr>
        <w:t>En el momento de publicar el presente documento, la revisión de una Parte que no opera al amparo del Artículo 5</w:t>
      </w:r>
      <w:r w:rsidRPr="00B35713">
        <w:rPr>
          <w:rStyle w:val="FootnoteReference"/>
        </w:rPr>
        <w:footnoteReference w:id="9"/>
      </w:r>
      <w:r w:rsidRPr="00D83B1A">
        <w:rPr>
          <w:lang w:val="es-ES"/>
        </w:rPr>
        <w:t xml:space="preserve"> está pendiente de consultas adicionales con el Gobierno correspondiente. </w:t>
      </w:r>
    </w:p>
    <w:p w14:paraId="251BDDFF" w14:textId="77777777" w:rsidR="00D83B1A" w:rsidRPr="00D83B1A" w:rsidRDefault="00D83B1A" w:rsidP="00D83B1A">
      <w:pPr>
        <w:rPr>
          <w:lang w:val="es-ES"/>
        </w:rPr>
      </w:pPr>
    </w:p>
    <w:p w14:paraId="39204E63" w14:textId="77777777" w:rsidR="00D83B1A" w:rsidRPr="00D83B1A" w:rsidRDefault="00D83B1A" w:rsidP="00D83B1A">
      <w:pPr>
        <w:pStyle w:val="0Heading0"/>
        <w:autoSpaceDE w:val="0"/>
        <w:autoSpaceDN w:val="0"/>
        <w:adjustRightInd w:val="0"/>
        <w:spacing w:after="240"/>
        <w:jc w:val="both"/>
        <w:rPr>
          <w:b/>
          <w:bCs/>
          <w:lang w:val="es-ES"/>
        </w:rPr>
      </w:pPr>
      <w:r w:rsidRPr="00D83B1A">
        <w:rPr>
          <w:b/>
          <w:bCs/>
          <w:lang w:val="es-ES"/>
        </w:rPr>
        <w:t>Recomendaciones</w:t>
      </w:r>
    </w:p>
    <w:p w14:paraId="276C0222" w14:textId="77777777" w:rsidR="00D83B1A" w:rsidRPr="00D83B1A" w:rsidRDefault="00D83B1A" w:rsidP="00D83B1A">
      <w:pPr>
        <w:pStyle w:val="Heading1"/>
        <w:rPr>
          <w:sz w:val="20"/>
          <w:szCs w:val="20"/>
          <w:lang w:val="es-ES"/>
        </w:rPr>
      </w:pPr>
      <w:r w:rsidRPr="00D83B1A">
        <w:rPr>
          <w:lang w:val="es-ES"/>
        </w:rPr>
        <w:t>El Comité Ejecutivo tal vez desee:</w:t>
      </w:r>
    </w:p>
    <w:p w14:paraId="759AA7D8" w14:textId="77777777" w:rsidR="00D83B1A" w:rsidRPr="00D83B1A" w:rsidRDefault="00D83B1A" w:rsidP="00D83B1A">
      <w:pPr>
        <w:pStyle w:val="Heading2"/>
        <w:rPr>
          <w:lang w:val="es-ES"/>
        </w:rPr>
      </w:pPr>
      <w:r w:rsidRPr="00D83B1A">
        <w:rPr>
          <w:lang w:val="es-ES"/>
        </w:rPr>
        <w:t>Tomar nota del informe del Tesorero sobre la situación de las contribuciones y los desembolsos que figura en el Anexo I del presente documento.</w:t>
      </w:r>
    </w:p>
    <w:p w14:paraId="4925ECF9" w14:textId="77777777" w:rsidR="00D83B1A" w:rsidRPr="00D83B1A" w:rsidRDefault="00D83B1A" w:rsidP="00D83B1A">
      <w:pPr>
        <w:pStyle w:val="Heading2"/>
        <w:rPr>
          <w:lang w:val="es-ES"/>
        </w:rPr>
      </w:pPr>
      <w:r w:rsidRPr="00D83B1A">
        <w:rPr>
          <w:lang w:val="es-ES"/>
        </w:rPr>
        <w:t>Pedir al Director y al Tesorero que sigan en contacto con las Partes que tenían contribuciones pendientes para un trienio o más, y que informen al respecto en la 88</w:t>
      </w:r>
      <w:r w:rsidRPr="00D83B1A">
        <w:rPr>
          <w:vertAlign w:val="superscript"/>
          <w:lang w:val="es-ES"/>
        </w:rPr>
        <w:t>a</w:t>
      </w:r>
      <w:r w:rsidRPr="00D83B1A">
        <w:rPr>
          <w:lang w:val="es-ES"/>
        </w:rPr>
        <w:t> reunión.</w:t>
      </w:r>
    </w:p>
    <w:p w14:paraId="4F00EEB0" w14:textId="77777777" w:rsidR="00D83B1A" w:rsidRPr="00D83B1A" w:rsidRDefault="00D83B1A" w:rsidP="00D83B1A">
      <w:pPr>
        <w:pStyle w:val="Heading2"/>
        <w:rPr>
          <w:lang w:val="es-ES"/>
        </w:rPr>
      </w:pPr>
      <w:r w:rsidRPr="00D83B1A">
        <w:rPr>
          <w:lang w:val="es-ES"/>
        </w:rPr>
        <w:t xml:space="preserve">Tomar nota de los ajustes en las contribuciones bilaterales de Canadá, Francia, Portugal y España, resultado de un ejercicio de conciliación entre facturas, pagos y el inventario de proyectos acabados de la Secretaría, incluidos en el Anexo I del presente documento. </w:t>
      </w:r>
    </w:p>
    <w:p w14:paraId="71D1B4CB" w14:textId="77777777" w:rsidR="00D83B1A" w:rsidRPr="00D83B1A" w:rsidRDefault="00D83B1A" w:rsidP="00D83B1A">
      <w:pPr>
        <w:pStyle w:val="Heading2"/>
        <w:rPr>
          <w:lang w:val="es-ES"/>
        </w:rPr>
      </w:pPr>
      <w:r w:rsidRPr="00D83B1A">
        <w:rPr>
          <w:lang w:val="es-ES"/>
        </w:rPr>
        <w:t>Solicitar al Tesorero que, en cooperación con la Secretaría, finalice el ejercicio de conciliación de las cantidades correspondientes a la contribución bilateral de Finlandia registradas en el Fondo Multilateral, e informar de ello en la 88.</w:t>
      </w:r>
      <w:r w:rsidRPr="00D83B1A">
        <w:rPr>
          <w:vertAlign w:val="superscript"/>
          <w:lang w:val="es-ES"/>
        </w:rPr>
        <w:t>a</w:t>
      </w:r>
      <w:r w:rsidRPr="00D83B1A">
        <w:rPr>
          <w:lang w:val="es-ES"/>
        </w:rPr>
        <w:t> reunión.</w:t>
      </w:r>
    </w:p>
    <w:p w14:paraId="32305615" w14:textId="124F4291" w:rsidR="00FB0DC9" w:rsidRDefault="00D83B1A" w:rsidP="00FB0DC9">
      <w:pPr>
        <w:pStyle w:val="Heading2"/>
        <w:rPr>
          <w:lang w:val="es-ES"/>
        </w:rPr>
      </w:pPr>
      <w:r w:rsidRPr="00D83B1A">
        <w:rPr>
          <w:lang w:val="es-ES"/>
        </w:rPr>
        <w:t>Solicitar al Banco Mundial la devolución al Fondo Multilateral de un monto de 3 280 455 $EUA en efectivo, que corresponde al saldo de proyectos finalizados o cancelados, intereses devengados y otros ajustes, y que es superior a la cantidad que el Tesorero ha podido compensar de proyectos aprobados por el Banco Mundial desde la 83.</w:t>
      </w:r>
      <w:r w:rsidRPr="00D83B1A">
        <w:rPr>
          <w:vertAlign w:val="superscript"/>
          <w:lang w:val="es-ES"/>
        </w:rPr>
        <w:t>a</w:t>
      </w:r>
      <w:r w:rsidRPr="00D83B1A">
        <w:rPr>
          <w:lang w:val="es-ES"/>
        </w:rPr>
        <w:t> reunión.</w:t>
      </w:r>
    </w:p>
    <w:p w14:paraId="05B97A8D" w14:textId="379F2217" w:rsidR="00F05ED6" w:rsidRDefault="00F05ED6" w:rsidP="00F05ED6">
      <w:pPr>
        <w:rPr>
          <w:lang w:val="es-ES"/>
        </w:rPr>
      </w:pPr>
    </w:p>
    <w:p w14:paraId="6EEBAAA6" w14:textId="61FEA62D" w:rsidR="00F05ED6" w:rsidRDefault="00F05ED6" w:rsidP="00F05ED6">
      <w:pPr>
        <w:rPr>
          <w:lang w:val="es-ES"/>
        </w:rPr>
      </w:pPr>
    </w:p>
    <w:sectPr w:rsidR="00F05ED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2C0C5" w14:textId="77777777" w:rsidR="00230034" w:rsidRDefault="00230034">
      <w:r>
        <w:separator/>
      </w:r>
    </w:p>
  </w:endnote>
  <w:endnote w:type="continuationSeparator" w:id="0">
    <w:p w14:paraId="60736A23" w14:textId="77777777" w:rsidR="00230034" w:rsidRDefault="0023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148164"/>
      <w:docPartObj>
        <w:docPartGallery w:val="Page Numbers (Bottom of Page)"/>
        <w:docPartUnique/>
      </w:docPartObj>
    </w:sdtPr>
    <w:sdtEndPr>
      <w:rPr>
        <w:noProof/>
      </w:rPr>
    </w:sdtEndPr>
    <w:sdtContent>
      <w:p w14:paraId="10B539AF" w14:textId="58CDC289" w:rsidR="00F05ED6" w:rsidRDefault="00F05ED6">
        <w:pPr>
          <w:pStyle w:val="Footer"/>
          <w:jc w:val="center"/>
        </w:pPr>
        <w:r>
          <w:fldChar w:fldCharType="begin"/>
        </w:r>
        <w:r>
          <w:instrText xml:space="preserve"> PAGE   \* MERGEFORMAT </w:instrText>
        </w:r>
        <w:r>
          <w:fldChar w:fldCharType="separate"/>
        </w:r>
        <w:r w:rsidR="00A70BDB">
          <w:rPr>
            <w:noProof/>
          </w:rPr>
          <w:t>2</w:t>
        </w:r>
        <w:r>
          <w:rPr>
            <w:noProof/>
          </w:rPr>
          <w:fldChar w:fldCharType="end"/>
        </w:r>
      </w:p>
    </w:sdtContent>
  </w:sdt>
  <w:p w14:paraId="6C189B7B" w14:textId="77777777" w:rsidR="00F05ED6" w:rsidRDefault="00F05ED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367969"/>
      <w:docPartObj>
        <w:docPartGallery w:val="Page Numbers (Bottom of Page)"/>
        <w:docPartUnique/>
      </w:docPartObj>
    </w:sdtPr>
    <w:sdtEndPr>
      <w:rPr>
        <w:noProof/>
      </w:rPr>
    </w:sdtEndPr>
    <w:sdtContent>
      <w:p w14:paraId="0DBF77A1" w14:textId="279D343B" w:rsidR="00F05ED6" w:rsidRDefault="00F05ED6">
        <w:pPr>
          <w:pStyle w:val="Footer"/>
          <w:jc w:val="center"/>
        </w:pPr>
        <w:r>
          <w:fldChar w:fldCharType="begin"/>
        </w:r>
        <w:r>
          <w:instrText xml:space="preserve"> PAGE   \* MERGEFORMAT </w:instrText>
        </w:r>
        <w:r>
          <w:fldChar w:fldCharType="separate"/>
        </w:r>
        <w:r w:rsidR="00A70BDB">
          <w:rPr>
            <w:noProof/>
          </w:rPr>
          <w:t>3</w:t>
        </w:r>
        <w:r>
          <w:rPr>
            <w:noProof/>
          </w:rPr>
          <w:fldChar w:fldCharType="end"/>
        </w:r>
      </w:p>
    </w:sdtContent>
  </w:sdt>
  <w:p w14:paraId="4A19B3FA" w14:textId="77777777" w:rsidR="00F05ED6" w:rsidRDefault="00F05ED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43A83" w14:textId="38796CF4" w:rsidR="0087455A" w:rsidRPr="00F05ED6" w:rsidRDefault="00F05ED6" w:rsidP="00F05ED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47FC2" w14:textId="77777777" w:rsidR="00230034" w:rsidRDefault="00230034">
      <w:r>
        <w:separator/>
      </w:r>
    </w:p>
  </w:footnote>
  <w:footnote w:type="continuationSeparator" w:id="0">
    <w:p w14:paraId="539FE7AB" w14:textId="77777777" w:rsidR="00230034" w:rsidRDefault="00230034">
      <w:r>
        <w:continuationSeparator/>
      </w:r>
    </w:p>
  </w:footnote>
  <w:footnote w:id="1">
    <w:p w14:paraId="49AAAEB1" w14:textId="2DE9E566" w:rsidR="002959B4" w:rsidRPr="00F05ED6"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672431DE" w14:textId="6D208F21" w:rsidR="00D83B1A" w:rsidRDefault="00D83B1A" w:rsidP="00D83B1A">
      <w:pPr>
        <w:pStyle w:val="FootnoteText"/>
        <w:rPr>
          <w:lang w:val="es-ES"/>
        </w:rPr>
      </w:pPr>
      <w:r>
        <w:rPr>
          <w:rStyle w:val="FootnoteReference"/>
        </w:rPr>
        <w:footnoteRef/>
      </w:r>
      <w:r w:rsidRPr="00D83B1A">
        <w:rPr>
          <w:lang w:val="es-ES"/>
        </w:rPr>
        <w:t xml:space="preserve"> El Comité Ejecutivo </w:t>
      </w:r>
      <w:r>
        <w:rPr>
          <w:lang w:val="es-ES"/>
        </w:rPr>
        <w:t>solicitó</w:t>
      </w:r>
      <w:r w:rsidRPr="00D83B1A">
        <w:rPr>
          <w:lang w:val="es-ES"/>
        </w:rPr>
        <w:t xml:space="preserve"> que la explicación de la metodología y los supuestos que aplicaba el Tesorero se dieran a conocer a través de la intranet (decisión 40/2(b)(i)). Este registro de los supuestos y la metodología, publicado por primera vez en el informe del Tesorero UNEP/OzL.Pro/ExCom/39/3/Rev.1, sigue estando disponible para su consulta por los miembros del Comité Ejecutivo en el área restringida de la página web del Fondo Multilateral.</w:t>
      </w:r>
    </w:p>
    <w:p w14:paraId="151FE651" w14:textId="77777777" w:rsidR="00A70BDB" w:rsidRPr="00D83B1A" w:rsidRDefault="00A70BDB" w:rsidP="00D83B1A">
      <w:pPr>
        <w:pStyle w:val="FootnoteText"/>
        <w:rPr>
          <w:lang w:val="es-ES"/>
        </w:rPr>
      </w:pPr>
    </w:p>
  </w:footnote>
  <w:footnote w:id="3">
    <w:p w14:paraId="7299FFF1" w14:textId="2BFE2C02" w:rsidR="00D83B1A" w:rsidRPr="00D83B1A" w:rsidRDefault="00D83B1A" w:rsidP="00D83B1A">
      <w:pPr>
        <w:pStyle w:val="FootnoteText"/>
        <w:rPr>
          <w:lang w:val="es-ES"/>
        </w:rPr>
      </w:pPr>
      <w:r>
        <w:rPr>
          <w:rStyle w:val="FootnoteReference"/>
        </w:rPr>
        <w:footnoteRef/>
      </w:r>
      <w:r w:rsidRPr="00D83B1A">
        <w:rPr>
          <w:lang w:val="es-ES"/>
        </w:rPr>
        <w:t xml:space="preserve"> "1. Aprobar, con carácter provisional, el nivel de las cuotas para 2021 de las Partes que</w:t>
      </w:r>
      <w:r>
        <w:rPr>
          <w:lang w:val="es-ES"/>
        </w:rPr>
        <w:t xml:space="preserve"> </w:t>
      </w:r>
      <w:r w:rsidRPr="00D83B1A">
        <w:rPr>
          <w:lang w:val="es-ES"/>
        </w:rPr>
        <w:t>figuran en el cuadro A,</w:t>
      </w:r>
      <w:r>
        <w:rPr>
          <w:lang w:val="es-ES"/>
        </w:rPr>
        <w:t xml:space="preserve"> </w:t>
      </w:r>
      <w:r w:rsidRPr="00D83B1A">
        <w:rPr>
          <w:lang w:val="es-ES"/>
        </w:rPr>
        <w:t>antes de que la Reunión de las Partes adopte una decisión sobre el presupuesto</w:t>
      </w:r>
      <w:r>
        <w:rPr>
          <w:lang w:val="es-ES"/>
        </w:rPr>
        <w:t xml:space="preserve"> </w:t>
      </w:r>
      <w:r w:rsidRPr="00D83B1A">
        <w:rPr>
          <w:lang w:val="es-ES"/>
        </w:rPr>
        <w:t>final del Fondo Multilateral para el trienio 2021-2023; y 2. Observar que las contribuciones de las Partes que se efectúen antes de una decisión</w:t>
      </w:r>
      <w:r>
        <w:rPr>
          <w:lang w:val="es-ES"/>
        </w:rPr>
        <w:t xml:space="preserve"> </w:t>
      </w:r>
      <w:r w:rsidRPr="00D83B1A">
        <w:rPr>
          <w:lang w:val="es-ES"/>
        </w:rPr>
        <w:t>sobre el presupuesto final del Fondo Multilateral para el trienio 2021-2023 se entenderán sin perjuicio</w:t>
      </w:r>
      <w:r>
        <w:rPr>
          <w:lang w:val="es-ES"/>
        </w:rPr>
        <w:t xml:space="preserve"> </w:t>
      </w:r>
      <w:r w:rsidRPr="00D83B1A">
        <w:rPr>
          <w:lang w:val="es-ES"/>
        </w:rPr>
        <w:t>del monto total de la reposición o del nivel acordado de las cuotas de las Partes</w:t>
      </w:r>
      <w:r>
        <w:rPr>
          <w:lang w:val="es-ES"/>
        </w:rPr>
        <w:t>.</w:t>
      </w:r>
      <w:r w:rsidRPr="00D83B1A">
        <w:rPr>
          <w:lang w:val="es-ES"/>
        </w:rPr>
        <w:t>" (documento UNEP/OzL.Pro.ExMOP.4/4)</w:t>
      </w:r>
      <w:r>
        <w:rPr>
          <w:lang w:val="es-ES"/>
        </w:rPr>
        <w:t>.</w:t>
      </w:r>
    </w:p>
  </w:footnote>
  <w:footnote w:id="4">
    <w:p w14:paraId="18FCA8C7" w14:textId="77777777" w:rsidR="00D83B1A" w:rsidRPr="00D83B1A" w:rsidRDefault="00D83B1A" w:rsidP="00D83B1A">
      <w:pPr>
        <w:pStyle w:val="FootnoteText"/>
        <w:rPr>
          <w:lang w:val="es-ES"/>
        </w:rPr>
      </w:pPr>
      <w:r>
        <w:rPr>
          <w:rStyle w:val="FootnoteReference"/>
        </w:rPr>
        <w:footnoteRef/>
      </w:r>
      <w:r w:rsidRPr="00D83B1A">
        <w:rPr>
          <w:lang w:val="es-ES"/>
        </w:rPr>
        <w:t xml:space="preserve"> En total, 14 Partes optaron por utilizar el mecanismo de tipos de cambio fijos para el trienio 2018-2020 de conformidad con la decisión 81/1(b).</w:t>
      </w:r>
    </w:p>
  </w:footnote>
  <w:footnote w:id="5">
    <w:p w14:paraId="2FE3A73F" w14:textId="77777777" w:rsidR="00D83B1A" w:rsidRPr="00D83B1A" w:rsidRDefault="00D83B1A" w:rsidP="00D83B1A">
      <w:pPr>
        <w:pStyle w:val="FootnoteText"/>
        <w:rPr>
          <w:lang w:val="es-ES"/>
        </w:rPr>
      </w:pPr>
      <w:r>
        <w:rPr>
          <w:rStyle w:val="FootnoteReference"/>
        </w:rPr>
        <w:footnoteRef/>
      </w:r>
      <w:r w:rsidRPr="00D83B1A">
        <w:rPr>
          <w:lang w:val="es-ES"/>
        </w:rPr>
        <w:t xml:space="preserve"> En respuesta a la decisión XI/6, párrafo 7 (que instaba a las Partes a que procuraran pagar sus contribuciones lo antes posible en el año civil); la decisión XVII/41, párrafo 5 (que instaba a las Partes a que pagaran sus contribuciones al Fondo Multilateral íntegramente y lo antes posible); y la decisión XVI/37 (que instaba a algunas Partes que nunca habían pagado sus contribuciones al Fondo o lo habían hecho en cuantías inferiores a su contribución a que las pagaran lo antes posible).</w:t>
      </w:r>
    </w:p>
  </w:footnote>
  <w:footnote w:id="6">
    <w:p w14:paraId="4B93E444" w14:textId="77777777" w:rsidR="00D83B1A" w:rsidRPr="00D83B1A" w:rsidRDefault="00D83B1A" w:rsidP="00D83B1A">
      <w:pPr>
        <w:pStyle w:val="FootnoteText"/>
        <w:rPr>
          <w:lang w:val="es-ES"/>
        </w:rPr>
      </w:pPr>
      <w:r>
        <w:rPr>
          <w:rStyle w:val="FootnoteReference"/>
        </w:rPr>
        <w:footnoteRef/>
      </w:r>
      <w:r w:rsidRPr="00D83B1A">
        <w:rPr>
          <w:lang w:val="es-ES"/>
        </w:rPr>
        <w:t xml:space="preserve"> Pedir al Director y al Tesorero que sigan en contacto con las Partes que tenían contribuciones pendientes para un trienio o más e informen al respecto en la 87</w:t>
      </w:r>
      <w:r w:rsidRPr="00D83B1A">
        <w:rPr>
          <w:vertAlign w:val="superscript"/>
          <w:lang w:val="es-ES"/>
        </w:rPr>
        <w:t>a</w:t>
      </w:r>
      <w:r w:rsidRPr="00D83B1A">
        <w:rPr>
          <w:lang w:val="es-ES"/>
        </w:rPr>
        <w:t> reunión.</w:t>
      </w:r>
    </w:p>
  </w:footnote>
  <w:footnote w:id="7">
    <w:p w14:paraId="03A8F061" w14:textId="77777777" w:rsidR="00D83B1A" w:rsidRPr="00D83B1A" w:rsidRDefault="00D83B1A" w:rsidP="00D83B1A">
      <w:pPr>
        <w:pStyle w:val="FootnoteText"/>
        <w:rPr>
          <w:lang w:val="es-ES"/>
        </w:rPr>
      </w:pPr>
      <w:r>
        <w:rPr>
          <w:rStyle w:val="FootnoteReference"/>
        </w:rPr>
        <w:footnoteRef/>
      </w:r>
      <w:r w:rsidRPr="00D83B1A">
        <w:rPr>
          <w:lang w:val="es-ES"/>
        </w:rPr>
        <w:t xml:space="preserve"> Solicitar al Tesorero que, en cooperación con la Secretaría, finalice el ejercicio de conciliación de las contribuciones bilaterales de Canadá, Finlandia, Francia, Portugal y España, e informe de ello en la 87.</w:t>
      </w:r>
      <w:r w:rsidRPr="00D83B1A">
        <w:rPr>
          <w:vertAlign w:val="superscript"/>
          <w:lang w:val="es-ES"/>
        </w:rPr>
        <w:t>a</w:t>
      </w:r>
      <w:r w:rsidRPr="00D83B1A">
        <w:rPr>
          <w:lang w:val="es-ES"/>
        </w:rPr>
        <w:t> reunión.</w:t>
      </w:r>
    </w:p>
  </w:footnote>
  <w:footnote w:id="8">
    <w:p w14:paraId="031A6D64" w14:textId="77777777" w:rsidR="00D83B1A" w:rsidRPr="00D83B1A" w:rsidRDefault="00D83B1A" w:rsidP="00D83B1A">
      <w:pPr>
        <w:pStyle w:val="FootnoteText"/>
        <w:rPr>
          <w:lang w:val="es-ES"/>
        </w:rPr>
      </w:pPr>
      <w:r>
        <w:rPr>
          <w:rStyle w:val="FootnoteReference"/>
        </w:rPr>
        <w:footnoteRef/>
      </w:r>
      <w:r w:rsidRPr="00D83B1A">
        <w:rPr>
          <w:lang w:val="es-ES"/>
        </w:rPr>
        <w:t xml:space="preserve"> Canadá (5 152 $EUA), Francia (910 665 $EUA), Portugal (192 $EUA) y España (3 688 $EUA).</w:t>
      </w:r>
    </w:p>
  </w:footnote>
  <w:footnote w:id="9">
    <w:p w14:paraId="27E358FD" w14:textId="77777777" w:rsidR="00D83B1A" w:rsidRPr="00D83B1A" w:rsidRDefault="00D83B1A" w:rsidP="00D83B1A">
      <w:pPr>
        <w:pStyle w:val="FootnoteText"/>
        <w:rPr>
          <w:lang w:val="es-ES"/>
        </w:rPr>
      </w:pPr>
      <w:r>
        <w:rPr>
          <w:rStyle w:val="FootnoteReference"/>
        </w:rPr>
        <w:footnoteRef/>
      </w:r>
      <w:r w:rsidRPr="00D83B1A">
        <w:rPr>
          <w:lang w:val="es-ES"/>
        </w:rPr>
        <w:t xml:space="preserve"> Finlandia, por un monto de 76 855 $EUA.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3A6AD" w14:textId="39E3635F" w:rsidR="00F05ED6" w:rsidRDefault="00F05ED6" w:rsidP="00F05ED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w:t>
    </w:r>
    <w:r>
      <w:fldChar w:fldCharType="end"/>
    </w:r>
  </w:p>
  <w:p w14:paraId="35072270" w14:textId="26E94A92" w:rsidR="00F05ED6" w:rsidRDefault="00F05ED6">
    <w:pPr>
      <w:pStyle w:val="Header"/>
    </w:pPr>
  </w:p>
  <w:p w14:paraId="5EDE9575" w14:textId="77777777" w:rsidR="00F05ED6" w:rsidRDefault="00F05ED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381A4" w14:textId="3666432A" w:rsidR="00F05ED6" w:rsidRDefault="00F05ED6" w:rsidP="00F05ED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w:t>
    </w:r>
    <w:r>
      <w:fldChar w:fldCharType="end"/>
    </w:r>
  </w:p>
  <w:p w14:paraId="1C2F4C0D" w14:textId="05B5EDA8" w:rsidR="00F05ED6" w:rsidRDefault="00F05ED6">
    <w:pPr>
      <w:pStyle w:val="Header"/>
    </w:pPr>
  </w:p>
  <w:p w14:paraId="2F6B06C5" w14:textId="77777777" w:rsidR="00F05ED6" w:rsidRDefault="00F05ED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4ABA1" w14:textId="02925D93" w:rsidR="0087455A" w:rsidRDefault="0087455A" w:rsidP="00B60EEC">
    <w:pPr>
      <w:jc w:val="right"/>
    </w:pPr>
  </w:p>
  <w:p w14:paraId="6309393F"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17"/>
  </w:num>
  <w:num w:numId="20">
    <w:abstractNumId w:val="12"/>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BCD"/>
    <w:rsid w:val="0005709F"/>
    <w:rsid w:val="00064429"/>
    <w:rsid w:val="000B2490"/>
    <w:rsid w:val="0010049D"/>
    <w:rsid w:val="00105C82"/>
    <w:rsid w:val="00106F6E"/>
    <w:rsid w:val="00114CAA"/>
    <w:rsid w:val="001C2D22"/>
    <w:rsid w:val="001D1BCD"/>
    <w:rsid w:val="001D2C8C"/>
    <w:rsid w:val="001F4047"/>
    <w:rsid w:val="00230034"/>
    <w:rsid w:val="00235D4C"/>
    <w:rsid w:val="0024162E"/>
    <w:rsid w:val="002425B4"/>
    <w:rsid w:val="00244477"/>
    <w:rsid w:val="002464F8"/>
    <w:rsid w:val="002959B4"/>
    <w:rsid w:val="00296C74"/>
    <w:rsid w:val="00385BE5"/>
    <w:rsid w:val="003863A4"/>
    <w:rsid w:val="003B7115"/>
    <w:rsid w:val="0041353C"/>
    <w:rsid w:val="00455352"/>
    <w:rsid w:val="00476E28"/>
    <w:rsid w:val="00476F47"/>
    <w:rsid w:val="004F3B08"/>
    <w:rsid w:val="00551B89"/>
    <w:rsid w:val="005708AF"/>
    <w:rsid w:val="0075124F"/>
    <w:rsid w:val="007926CF"/>
    <w:rsid w:val="00817B93"/>
    <w:rsid w:val="00831BC5"/>
    <w:rsid w:val="0087455A"/>
    <w:rsid w:val="0091085B"/>
    <w:rsid w:val="00943F74"/>
    <w:rsid w:val="00A70BDB"/>
    <w:rsid w:val="00AB56E5"/>
    <w:rsid w:val="00AC7A52"/>
    <w:rsid w:val="00B60EEC"/>
    <w:rsid w:val="00B626D0"/>
    <w:rsid w:val="00B675EC"/>
    <w:rsid w:val="00B8609C"/>
    <w:rsid w:val="00B97BD8"/>
    <w:rsid w:val="00C14E67"/>
    <w:rsid w:val="00CF4DF5"/>
    <w:rsid w:val="00D372A1"/>
    <w:rsid w:val="00D83B1A"/>
    <w:rsid w:val="00D84B6F"/>
    <w:rsid w:val="00DB795B"/>
    <w:rsid w:val="00DC0A42"/>
    <w:rsid w:val="00E02BA2"/>
    <w:rsid w:val="00E17F97"/>
    <w:rsid w:val="00E371B6"/>
    <w:rsid w:val="00E45ED3"/>
    <w:rsid w:val="00E94FFA"/>
    <w:rsid w:val="00F05ED6"/>
    <w:rsid w:val="00F10CD9"/>
    <w:rsid w:val="00F25F7C"/>
    <w:rsid w:val="00F3743E"/>
    <w:rsid w:val="00F51C9C"/>
    <w:rsid w:val="00FB0DC9"/>
    <w:rsid w:val="00FD07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DBD47"/>
  <w15:docId w15:val="{570487E0-36BA-4819-88E2-D384BA41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ußnote,WB-Fußnotentext, Char1"/>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ußnote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s refss,Footnote Reference1,Footnote Reference Number,fr"/>
    <w:basedOn w:val="DefaultParagraphFont"/>
    <w:uiPriority w:val="99"/>
    <w:unhideWhenUsed/>
    <w:rsid w:val="002959B4"/>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0B2490"/>
    <w:pPr>
      <w:ind w:left="720"/>
      <w:contextualSpacing/>
    </w:pPr>
    <w:rPr>
      <w:lang w:val="es-ES"/>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0B2490"/>
    <w:rPr>
      <w:sz w:val="22"/>
      <w:szCs w:val="22"/>
      <w:lang w:val="es-ES"/>
    </w:rPr>
  </w:style>
  <w:style w:type="character" w:customStyle="1" w:styleId="jlqj4b">
    <w:name w:val="jlqj4b"/>
    <w:basedOn w:val="DefaultParagraphFont"/>
    <w:rsid w:val="000B2490"/>
  </w:style>
  <w:style w:type="character" w:customStyle="1" w:styleId="mediumtext1">
    <w:name w:val="medium_text1"/>
    <w:rsid w:val="000B2490"/>
    <w:rPr>
      <w:sz w:val="16"/>
      <w:szCs w:val="16"/>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2BA2"/>
    <w:rPr>
      <w:sz w:val="22"/>
      <w:szCs w:val="22"/>
      <w:lang w:val="en-GB"/>
    </w:rPr>
  </w:style>
  <w:style w:type="table" w:customStyle="1" w:styleId="TableGrid10">
    <w:name w:val="Table Grid1"/>
    <w:basedOn w:val="TableNormal"/>
    <w:next w:val="TableGrid"/>
    <w:uiPriority w:val="59"/>
    <w:rsid w:val="00B8609C"/>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0DC9"/>
    <w:pPr>
      <w:widowControl w:val="0"/>
      <w:autoSpaceDE w:val="0"/>
      <w:autoSpaceDN w:val="0"/>
      <w:adjustRightInd w:val="0"/>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06_presession%2087\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UNEP/OzL.Pro/ExCom/87/3</Document_x0020_Number>
  </documentManagement>
</p:properties>
</file>

<file path=customXml/itemProps1.xml><?xml version="1.0" encoding="utf-8"?>
<ds:datastoreItem xmlns:ds="http://schemas.openxmlformats.org/officeDocument/2006/customXml" ds:itemID="{89E4782D-6669-48B0-B50D-59333C57651E}"/>
</file>

<file path=customXml/itemProps2.xml><?xml version="1.0" encoding="utf-8"?>
<ds:datastoreItem xmlns:ds="http://schemas.openxmlformats.org/officeDocument/2006/customXml" ds:itemID="{2348261F-E7D4-493D-99D3-359DC38249E6}"/>
</file>

<file path=customXml/itemProps3.xml><?xml version="1.0" encoding="utf-8"?>
<ds:datastoreItem xmlns:ds="http://schemas.openxmlformats.org/officeDocument/2006/customXml" ds:itemID="{44183630-CA52-4A82-8090-2BEEC4C2785F}"/>
</file>

<file path=customXml/itemProps4.xml><?xml version="1.0" encoding="utf-8"?>
<ds:datastoreItem xmlns:ds="http://schemas.openxmlformats.org/officeDocument/2006/customXml" ds:itemID="{806408BB-4813-46D7-8818-3CAC8EE66D3B}"/>
</file>

<file path=docProps/app.xml><?xml version="1.0" encoding="utf-8"?>
<Properties xmlns="http://schemas.openxmlformats.org/officeDocument/2006/extended-properties" xmlns:vt="http://schemas.openxmlformats.org/officeDocument/2006/docPropsVTypes">
  <Template>S87-template</Template>
  <TotalTime>19</TotalTime>
  <Pages>3</Pages>
  <Words>922</Words>
  <Characters>4922</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Situación de las contribuciones y los desembolsos</vt:lpstr>
      <vt:lpstr/>
    </vt:vector>
  </TitlesOfParts>
  <Company>UNMFS</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dc:title>
  <dc:creator>Diana Llorente</dc:creator>
  <cp:lastModifiedBy>HB</cp:lastModifiedBy>
  <cp:revision>6</cp:revision>
  <cp:lastPrinted>2001-05-26T16:40:00Z</cp:lastPrinted>
  <dcterms:created xsi:type="dcterms:W3CDTF">2021-06-23T12:34:00Z</dcterms:created>
  <dcterms:modified xsi:type="dcterms:W3CDTF">2021-06-27T00:51:00Z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vt:lpwstr>
  </property>
  <property fmtid="{D5CDD505-2E9C-101B-9397-08002B2CF9AE}" pid="3" name="Revision date">
    <vt:lpwstr>6/22/2021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